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94366" w14:textId="77777777" w:rsidR="005117C7" w:rsidRPr="00593860" w:rsidRDefault="005117C7" w:rsidP="009B4BB6">
      <w:pPr>
        <w:widowControl w:val="0"/>
        <w:tabs>
          <w:tab w:val="clear" w:pos="567"/>
        </w:tabs>
        <w:spacing w:line="240" w:lineRule="auto"/>
        <w:ind w:left="567" w:hanging="567"/>
        <w:rPr>
          <w:color w:val="000000"/>
          <w:szCs w:val="22"/>
        </w:rPr>
      </w:pPr>
      <w:bookmarkStart w:id="0" w:name="_GoBack"/>
      <w:bookmarkEnd w:id="0"/>
    </w:p>
    <w:p w14:paraId="3D394367" w14:textId="77777777" w:rsidR="005117C7" w:rsidRPr="00593860" w:rsidRDefault="005117C7" w:rsidP="009B4BB6">
      <w:pPr>
        <w:widowControl w:val="0"/>
        <w:tabs>
          <w:tab w:val="clear" w:pos="567"/>
        </w:tabs>
        <w:spacing w:line="240" w:lineRule="auto"/>
        <w:ind w:left="567" w:hanging="567"/>
        <w:rPr>
          <w:color w:val="000000"/>
          <w:szCs w:val="22"/>
        </w:rPr>
      </w:pPr>
    </w:p>
    <w:p w14:paraId="3D394368" w14:textId="77777777" w:rsidR="005117C7" w:rsidRPr="00593860" w:rsidRDefault="005117C7" w:rsidP="009B4BB6">
      <w:pPr>
        <w:widowControl w:val="0"/>
        <w:tabs>
          <w:tab w:val="clear" w:pos="567"/>
        </w:tabs>
        <w:spacing w:line="240" w:lineRule="auto"/>
        <w:ind w:left="567" w:hanging="567"/>
        <w:rPr>
          <w:color w:val="000000"/>
          <w:szCs w:val="22"/>
        </w:rPr>
      </w:pPr>
    </w:p>
    <w:p w14:paraId="3D394369" w14:textId="77777777" w:rsidR="005117C7" w:rsidRPr="00593860" w:rsidRDefault="005117C7" w:rsidP="009B4BB6">
      <w:pPr>
        <w:widowControl w:val="0"/>
        <w:tabs>
          <w:tab w:val="clear" w:pos="567"/>
        </w:tabs>
        <w:spacing w:line="240" w:lineRule="auto"/>
        <w:ind w:left="567" w:hanging="567"/>
        <w:rPr>
          <w:color w:val="000000"/>
          <w:szCs w:val="22"/>
        </w:rPr>
      </w:pPr>
    </w:p>
    <w:p w14:paraId="3D39436A" w14:textId="77777777" w:rsidR="005117C7" w:rsidRPr="00593860" w:rsidRDefault="005117C7" w:rsidP="009B4BB6">
      <w:pPr>
        <w:widowControl w:val="0"/>
        <w:tabs>
          <w:tab w:val="clear" w:pos="567"/>
        </w:tabs>
        <w:spacing w:line="240" w:lineRule="auto"/>
        <w:ind w:left="567" w:hanging="567"/>
        <w:rPr>
          <w:color w:val="000000"/>
          <w:szCs w:val="22"/>
        </w:rPr>
      </w:pPr>
    </w:p>
    <w:p w14:paraId="3D39436B" w14:textId="77777777" w:rsidR="005117C7" w:rsidRPr="00593860" w:rsidRDefault="005117C7" w:rsidP="009B4BB6">
      <w:pPr>
        <w:widowControl w:val="0"/>
        <w:tabs>
          <w:tab w:val="clear" w:pos="567"/>
        </w:tabs>
        <w:spacing w:line="240" w:lineRule="auto"/>
        <w:ind w:left="567" w:hanging="567"/>
        <w:rPr>
          <w:color w:val="000000"/>
          <w:szCs w:val="22"/>
        </w:rPr>
      </w:pPr>
    </w:p>
    <w:p w14:paraId="3D39436C" w14:textId="77777777" w:rsidR="005117C7" w:rsidRPr="00593860" w:rsidRDefault="005117C7" w:rsidP="009B4BB6">
      <w:pPr>
        <w:widowControl w:val="0"/>
        <w:tabs>
          <w:tab w:val="clear" w:pos="567"/>
        </w:tabs>
        <w:spacing w:line="240" w:lineRule="auto"/>
        <w:ind w:left="567" w:hanging="567"/>
        <w:rPr>
          <w:color w:val="000000"/>
          <w:szCs w:val="22"/>
        </w:rPr>
      </w:pPr>
    </w:p>
    <w:p w14:paraId="3D39436D" w14:textId="77777777" w:rsidR="005117C7" w:rsidRPr="00593860" w:rsidRDefault="005117C7" w:rsidP="009B4BB6">
      <w:pPr>
        <w:widowControl w:val="0"/>
        <w:tabs>
          <w:tab w:val="clear" w:pos="567"/>
        </w:tabs>
        <w:spacing w:line="240" w:lineRule="auto"/>
        <w:ind w:left="567" w:hanging="567"/>
        <w:rPr>
          <w:color w:val="000000"/>
          <w:szCs w:val="22"/>
        </w:rPr>
      </w:pPr>
    </w:p>
    <w:p w14:paraId="3D39436E" w14:textId="77777777" w:rsidR="005117C7" w:rsidRPr="00593860" w:rsidRDefault="005117C7" w:rsidP="009B4BB6">
      <w:pPr>
        <w:widowControl w:val="0"/>
        <w:tabs>
          <w:tab w:val="clear" w:pos="567"/>
        </w:tabs>
        <w:spacing w:line="240" w:lineRule="auto"/>
        <w:ind w:left="567" w:hanging="567"/>
        <w:rPr>
          <w:color w:val="000000"/>
          <w:szCs w:val="22"/>
        </w:rPr>
      </w:pPr>
    </w:p>
    <w:p w14:paraId="3D39436F" w14:textId="77777777" w:rsidR="005117C7" w:rsidRPr="00593860" w:rsidRDefault="005117C7" w:rsidP="009B4BB6">
      <w:pPr>
        <w:widowControl w:val="0"/>
        <w:tabs>
          <w:tab w:val="clear" w:pos="567"/>
        </w:tabs>
        <w:spacing w:line="240" w:lineRule="auto"/>
        <w:ind w:left="567" w:hanging="567"/>
        <w:rPr>
          <w:color w:val="000000"/>
          <w:szCs w:val="22"/>
        </w:rPr>
      </w:pPr>
    </w:p>
    <w:p w14:paraId="3D394370" w14:textId="77777777" w:rsidR="005117C7" w:rsidRPr="00593860" w:rsidRDefault="005117C7" w:rsidP="009B4BB6">
      <w:pPr>
        <w:widowControl w:val="0"/>
        <w:tabs>
          <w:tab w:val="clear" w:pos="567"/>
        </w:tabs>
        <w:spacing w:line="240" w:lineRule="auto"/>
        <w:ind w:left="567" w:hanging="567"/>
        <w:rPr>
          <w:color w:val="000000"/>
          <w:szCs w:val="22"/>
        </w:rPr>
      </w:pPr>
    </w:p>
    <w:p w14:paraId="3D394371" w14:textId="77777777" w:rsidR="005117C7" w:rsidRPr="00593860" w:rsidRDefault="005117C7" w:rsidP="009B4BB6">
      <w:pPr>
        <w:widowControl w:val="0"/>
        <w:tabs>
          <w:tab w:val="clear" w:pos="567"/>
        </w:tabs>
        <w:spacing w:line="240" w:lineRule="auto"/>
        <w:ind w:left="567" w:hanging="567"/>
        <w:rPr>
          <w:color w:val="000000"/>
          <w:szCs w:val="22"/>
        </w:rPr>
      </w:pPr>
    </w:p>
    <w:p w14:paraId="3D394372" w14:textId="77777777" w:rsidR="005117C7" w:rsidRPr="00593860" w:rsidRDefault="005117C7" w:rsidP="009B4BB6">
      <w:pPr>
        <w:widowControl w:val="0"/>
        <w:tabs>
          <w:tab w:val="clear" w:pos="567"/>
        </w:tabs>
        <w:spacing w:line="240" w:lineRule="auto"/>
        <w:ind w:left="567" w:hanging="567"/>
        <w:rPr>
          <w:color w:val="000000"/>
          <w:szCs w:val="22"/>
        </w:rPr>
      </w:pPr>
    </w:p>
    <w:p w14:paraId="3D394373" w14:textId="77777777" w:rsidR="005117C7" w:rsidRPr="00593860" w:rsidRDefault="005117C7" w:rsidP="009B4BB6">
      <w:pPr>
        <w:widowControl w:val="0"/>
        <w:tabs>
          <w:tab w:val="clear" w:pos="567"/>
        </w:tabs>
        <w:spacing w:line="240" w:lineRule="auto"/>
        <w:ind w:left="567" w:hanging="567"/>
        <w:rPr>
          <w:color w:val="000000"/>
          <w:szCs w:val="22"/>
        </w:rPr>
      </w:pPr>
    </w:p>
    <w:p w14:paraId="3D394374" w14:textId="77777777" w:rsidR="005117C7" w:rsidRPr="00593860" w:rsidRDefault="005117C7" w:rsidP="009B4BB6">
      <w:pPr>
        <w:widowControl w:val="0"/>
        <w:tabs>
          <w:tab w:val="clear" w:pos="567"/>
        </w:tabs>
        <w:spacing w:line="240" w:lineRule="auto"/>
        <w:ind w:left="567" w:hanging="567"/>
        <w:rPr>
          <w:color w:val="000000"/>
          <w:szCs w:val="22"/>
        </w:rPr>
      </w:pPr>
    </w:p>
    <w:p w14:paraId="3D394375" w14:textId="77777777" w:rsidR="005117C7" w:rsidRPr="00593860" w:rsidRDefault="005117C7" w:rsidP="009B4BB6">
      <w:pPr>
        <w:widowControl w:val="0"/>
        <w:tabs>
          <w:tab w:val="clear" w:pos="567"/>
        </w:tabs>
        <w:spacing w:line="240" w:lineRule="auto"/>
        <w:ind w:left="567" w:hanging="567"/>
        <w:rPr>
          <w:color w:val="000000"/>
          <w:szCs w:val="22"/>
        </w:rPr>
      </w:pPr>
    </w:p>
    <w:p w14:paraId="3D394376" w14:textId="77777777" w:rsidR="005117C7" w:rsidRPr="00593860" w:rsidRDefault="005117C7" w:rsidP="009B4BB6">
      <w:pPr>
        <w:widowControl w:val="0"/>
        <w:tabs>
          <w:tab w:val="clear" w:pos="567"/>
        </w:tabs>
        <w:spacing w:line="240" w:lineRule="auto"/>
        <w:ind w:left="567" w:hanging="567"/>
        <w:rPr>
          <w:color w:val="000000"/>
          <w:szCs w:val="22"/>
        </w:rPr>
      </w:pPr>
    </w:p>
    <w:p w14:paraId="3D394377" w14:textId="77777777" w:rsidR="005117C7" w:rsidRPr="00593860" w:rsidRDefault="005117C7" w:rsidP="009B4BB6">
      <w:pPr>
        <w:widowControl w:val="0"/>
        <w:tabs>
          <w:tab w:val="clear" w:pos="567"/>
        </w:tabs>
        <w:spacing w:line="240" w:lineRule="auto"/>
        <w:ind w:left="567" w:hanging="567"/>
        <w:rPr>
          <w:color w:val="000000"/>
          <w:szCs w:val="22"/>
        </w:rPr>
      </w:pPr>
    </w:p>
    <w:p w14:paraId="3D394378" w14:textId="77777777" w:rsidR="005117C7" w:rsidRPr="00593860" w:rsidRDefault="005117C7" w:rsidP="009B4BB6">
      <w:pPr>
        <w:widowControl w:val="0"/>
        <w:tabs>
          <w:tab w:val="clear" w:pos="567"/>
        </w:tabs>
        <w:spacing w:line="240" w:lineRule="auto"/>
        <w:ind w:left="567" w:hanging="567"/>
        <w:rPr>
          <w:color w:val="000000"/>
          <w:szCs w:val="22"/>
        </w:rPr>
      </w:pPr>
    </w:p>
    <w:p w14:paraId="3D394379" w14:textId="77777777" w:rsidR="005117C7" w:rsidRPr="00593860" w:rsidRDefault="005117C7" w:rsidP="009B4BB6">
      <w:pPr>
        <w:widowControl w:val="0"/>
        <w:tabs>
          <w:tab w:val="clear" w:pos="567"/>
        </w:tabs>
        <w:spacing w:line="240" w:lineRule="auto"/>
        <w:ind w:left="567" w:hanging="567"/>
        <w:rPr>
          <w:color w:val="000000"/>
          <w:szCs w:val="22"/>
        </w:rPr>
      </w:pPr>
    </w:p>
    <w:p w14:paraId="3D39437A" w14:textId="77777777" w:rsidR="005117C7" w:rsidRPr="00593860" w:rsidRDefault="005117C7" w:rsidP="009B4BB6">
      <w:pPr>
        <w:widowControl w:val="0"/>
        <w:tabs>
          <w:tab w:val="clear" w:pos="567"/>
        </w:tabs>
        <w:spacing w:line="240" w:lineRule="auto"/>
        <w:ind w:left="567" w:hanging="567"/>
        <w:rPr>
          <w:color w:val="000000"/>
          <w:szCs w:val="22"/>
        </w:rPr>
      </w:pPr>
    </w:p>
    <w:p w14:paraId="3D39437B" w14:textId="77777777" w:rsidR="005117C7" w:rsidRPr="00593860" w:rsidRDefault="005117C7" w:rsidP="009B4BB6">
      <w:pPr>
        <w:widowControl w:val="0"/>
        <w:tabs>
          <w:tab w:val="clear" w:pos="567"/>
        </w:tabs>
        <w:spacing w:line="240" w:lineRule="auto"/>
        <w:ind w:left="567" w:hanging="567"/>
        <w:rPr>
          <w:color w:val="000000"/>
          <w:szCs w:val="22"/>
        </w:rPr>
      </w:pPr>
    </w:p>
    <w:p w14:paraId="3D39437C" w14:textId="77777777" w:rsidR="005117C7" w:rsidRPr="00593860" w:rsidRDefault="005117C7" w:rsidP="009B4BB6">
      <w:pPr>
        <w:widowControl w:val="0"/>
        <w:tabs>
          <w:tab w:val="clear" w:pos="567"/>
        </w:tabs>
        <w:spacing w:line="240" w:lineRule="auto"/>
        <w:ind w:left="567" w:hanging="567"/>
        <w:rPr>
          <w:color w:val="000000"/>
          <w:szCs w:val="22"/>
        </w:rPr>
      </w:pPr>
    </w:p>
    <w:p w14:paraId="3D39437D" w14:textId="77777777" w:rsidR="005117C7" w:rsidRPr="00CD729C" w:rsidRDefault="00BF3DA7" w:rsidP="009B4BB6">
      <w:pPr>
        <w:widowControl w:val="0"/>
        <w:tabs>
          <w:tab w:val="clear" w:pos="567"/>
        </w:tabs>
        <w:spacing w:line="240" w:lineRule="auto"/>
        <w:ind w:left="567" w:hanging="567"/>
        <w:jc w:val="center"/>
        <w:rPr>
          <w:b/>
          <w:color w:val="000000"/>
          <w:szCs w:val="22"/>
        </w:rPr>
      </w:pPr>
      <w:r w:rsidRPr="00CD729C">
        <w:rPr>
          <w:b/>
          <w:color w:val="000000"/>
          <w:szCs w:val="22"/>
        </w:rPr>
        <w:t xml:space="preserve">I </w:t>
      </w:r>
      <w:r w:rsidR="005117C7" w:rsidRPr="00CD729C">
        <w:rPr>
          <w:b/>
          <w:color w:val="000000"/>
          <w:szCs w:val="22"/>
        </w:rPr>
        <w:t>PIELIKUMS</w:t>
      </w:r>
    </w:p>
    <w:p w14:paraId="3D39437E" w14:textId="77777777" w:rsidR="005117C7" w:rsidRPr="00CD729C" w:rsidRDefault="005117C7" w:rsidP="009B4BB6">
      <w:pPr>
        <w:widowControl w:val="0"/>
        <w:tabs>
          <w:tab w:val="clear" w:pos="567"/>
        </w:tabs>
        <w:spacing w:line="240" w:lineRule="auto"/>
        <w:ind w:left="567" w:hanging="567"/>
        <w:jc w:val="center"/>
        <w:rPr>
          <w:color w:val="000000"/>
          <w:szCs w:val="22"/>
        </w:rPr>
      </w:pPr>
    </w:p>
    <w:p w14:paraId="3D39437F" w14:textId="77777777" w:rsidR="005117C7" w:rsidRPr="00CD729C" w:rsidRDefault="005117C7" w:rsidP="009B4BB6">
      <w:pPr>
        <w:widowControl w:val="0"/>
        <w:tabs>
          <w:tab w:val="clear" w:pos="567"/>
        </w:tabs>
        <w:spacing w:line="240" w:lineRule="auto"/>
        <w:ind w:left="567" w:hanging="567"/>
        <w:jc w:val="center"/>
        <w:rPr>
          <w:b/>
          <w:color w:val="000000"/>
          <w:szCs w:val="22"/>
        </w:rPr>
      </w:pPr>
      <w:r w:rsidRPr="00CD729C">
        <w:rPr>
          <w:b/>
          <w:color w:val="000000"/>
          <w:szCs w:val="22"/>
        </w:rPr>
        <w:t>ZĀĻU APRAKSTS</w:t>
      </w:r>
    </w:p>
    <w:p w14:paraId="3D394380" w14:textId="77777777" w:rsidR="005117C7" w:rsidRPr="00CD729C" w:rsidRDefault="005117C7" w:rsidP="009B4BB6">
      <w:pPr>
        <w:widowControl w:val="0"/>
        <w:tabs>
          <w:tab w:val="clear" w:pos="567"/>
          <w:tab w:val="left" w:pos="-1440"/>
          <w:tab w:val="left" w:pos="-720"/>
        </w:tabs>
        <w:spacing w:line="240" w:lineRule="auto"/>
        <w:ind w:left="567" w:hanging="567"/>
        <w:jc w:val="center"/>
        <w:rPr>
          <w:color w:val="000000"/>
          <w:szCs w:val="22"/>
        </w:rPr>
      </w:pPr>
    </w:p>
    <w:p w14:paraId="3D394381" w14:textId="77777777" w:rsidR="00B10C27" w:rsidRPr="00CD729C" w:rsidRDefault="005117C7" w:rsidP="009B4BB6">
      <w:pPr>
        <w:widowControl w:val="0"/>
        <w:spacing w:line="240" w:lineRule="auto"/>
        <w:rPr>
          <w:szCs w:val="22"/>
        </w:rPr>
      </w:pPr>
      <w:r w:rsidRPr="00CD729C">
        <w:rPr>
          <w:color w:val="000000"/>
          <w:szCs w:val="22"/>
        </w:rPr>
        <w:br w:type="page"/>
      </w:r>
      <w:r w:rsidR="00EB334D" w:rsidRPr="00CD729C">
        <w:rPr>
          <w:noProof/>
          <w:lang w:val="en-GB" w:eastAsia="en-GB"/>
        </w:rPr>
        <w:lastRenderedPageBreak/>
        <w:drawing>
          <wp:inline distT="0" distB="0" distL="0" distR="0" wp14:anchorId="3D395814" wp14:editId="3D395815">
            <wp:extent cx="198120" cy="172720"/>
            <wp:effectExtent l="0" t="0" r="0" b="0"/>
            <wp:docPr id="1" name="Picture 4"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20" cy="172720"/>
                    </a:xfrm>
                    <a:prstGeom prst="rect">
                      <a:avLst/>
                    </a:prstGeom>
                    <a:noFill/>
                    <a:ln>
                      <a:noFill/>
                    </a:ln>
                  </pic:spPr>
                </pic:pic>
              </a:graphicData>
            </a:graphic>
          </wp:inline>
        </w:drawing>
      </w:r>
      <w:r w:rsidR="00B10C27" w:rsidRPr="00CD729C">
        <w:rPr>
          <w:szCs w:val="22"/>
        </w:rPr>
        <w:t>Šīm zālēm tiek piemērota papildu uzraudzība. Tādējādi būs iespējams ātri identificēt jaunāko informāciju par šo zāļu drošumu. Veselības aprūpes speciālisti tiek lūgti ziņot par jebkādām iespējamām nevēlamām blakusparādībām. Skatīt 4.8. apakšpunktu par to, kā ziņot par nevēlamām blakusparādībām.</w:t>
      </w:r>
    </w:p>
    <w:p w14:paraId="3D394382" w14:textId="77777777" w:rsidR="00B10C27" w:rsidRPr="00CD729C" w:rsidRDefault="00B10C27" w:rsidP="009B4BB6">
      <w:pPr>
        <w:widowControl w:val="0"/>
        <w:spacing w:line="240" w:lineRule="auto"/>
        <w:rPr>
          <w:szCs w:val="22"/>
        </w:rPr>
      </w:pPr>
    </w:p>
    <w:p w14:paraId="3D394383" w14:textId="77777777" w:rsidR="00B10C27" w:rsidRPr="00CD729C" w:rsidRDefault="00B10C27" w:rsidP="009B4BB6">
      <w:pPr>
        <w:widowControl w:val="0"/>
        <w:spacing w:line="240" w:lineRule="auto"/>
        <w:rPr>
          <w:szCs w:val="22"/>
        </w:rPr>
      </w:pPr>
    </w:p>
    <w:p w14:paraId="3D394384" w14:textId="77777777" w:rsidR="005117C7" w:rsidRPr="00CD729C" w:rsidRDefault="005117C7" w:rsidP="009B4BB6">
      <w:pPr>
        <w:pStyle w:val="ParastaisTreknraksts"/>
        <w:widowControl w:val="0"/>
        <w:rPr>
          <w:color w:val="000000"/>
          <w:szCs w:val="22"/>
        </w:rPr>
      </w:pPr>
      <w:r w:rsidRPr="00CD729C">
        <w:rPr>
          <w:color w:val="000000"/>
          <w:szCs w:val="22"/>
        </w:rPr>
        <w:t>1.</w:t>
      </w:r>
      <w:r w:rsidRPr="00CD729C">
        <w:rPr>
          <w:color w:val="000000"/>
          <w:szCs w:val="22"/>
        </w:rPr>
        <w:tab/>
        <w:t>ZĀĻU NOSAUKUMS</w:t>
      </w:r>
    </w:p>
    <w:p w14:paraId="3D394385" w14:textId="77777777" w:rsidR="005117C7" w:rsidRPr="00CD729C" w:rsidRDefault="005117C7" w:rsidP="009B4BB6">
      <w:pPr>
        <w:pStyle w:val="ParastaisTreknraksts"/>
        <w:widowControl w:val="0"/>
        <w:rPr>
          <w:b w:val="0"/>
          <w:color w:val="000000"/>
          <w:szCs w:val="22"/>
        </w:rPr>
      </w:pPr>
    </w:p>
    <w:p w14:paraId="3D394387" w14:textId="77777777" w:rsidR="00961329" w:rsidRPr="00CD729C" w:rsidRDefault="00961329" w:rsidP="009B4BB6">
      <w:pPr>
        <w:pStyle w:val="ParastaisTreknraksts"/>
        <w:widowControl w:val="0"/>
        <w:rPr>
          <w:b w:val="0"/>
          <w:color w:val="000000"/>
          <w:szCs w:val="22"/>
        </w:rPr>
      </w:pPr>
      <w:r w:rsidRPr="00CD729C">
        <w:rPr>
          <w:b w:val="0"/>
          <w:color w:val="000000"/>
          <w:szCs w:val="22"/>
        </w:rPr>
        <w:t>Glivec 100 mg cietās kapsulas</w:t>
      </w:r>
    </w:p>
    <w:p w14:paraId="3D394388" w14:textId="77777777" w:rsidR="005117C7" w:rsidRPr="00CD729C" w:rsidRDefault="005117C7" w:rsidP="009B4BB6">
      <w:pPr>
        <w:pStyle w:val="ParastaisTreknraksts"/>
        <w:widowControl w:val="0"/>
        <w:rPr>
          <w:b w:val="0"/>
          <w:color w:val="000000"/>
          <w:szCs w:val="22"/>
        </w:rPr>
      </w:pPr>
    </w:p>
    <w:p w14:paraId="3D394389" w14:textId="77777777" w:rsidR="005117C7" w:rsidRPr="00CD729C" w:rsidRDefault="005117C7" w:rsidP="009B4BB6">
      <w:pPr>
        <w:pStyle w:val="ParastaisTreknraksts"/>
        <w:widowControl w:val="0"/>
        <w:rPr>
          <w:b w:val="0"/>
          <w:color w:val="000000"/>
          <w:szCs w:val="22"/>
        </w:rPr>
      </w:pPr>
    </w:p>
    <w:p w14:paraId="3D39438A" w14:textId="77777777" w:rsidR="005117C7" w:rsidRPr="00CD729C" w:rsidRDefault="005117C7" w:rsidP="009B4BB6">
      <w:pPr>
        <w:pStyle w:val="ParastaisTreknraksts"/>
        <w:keepNext/>
        <w:widowControl w:val="0"/>
        <w:rPr>
          <w:color w:val="000000"/>
          <w:szCs w:val="22"/>
        </w:rPr>
      </w:pPr>
      <w:r w:rsidRPr="00CD729C">
        <w:rPr>
          <w:color w:val="000000"/>
          <w:szCs w:val="22"/>
        </w:rPr>
        <w:t>2.</w:t>
      </w:r>
      <w:r w:rsidRPr="00CD729C">
        <w:rPr>
          <w:color w:val="000000"/>
          <w:szCs w:val="22"/>
        </w:rPr>
        <w:tab/>
        <w:t>KVALITATĪVAIS UN KVANTITATĪVAIS SASTĀVS</w:t>
      </w:r>
    </w:p>
    <w:p w14:paraId="3D39438B" w14:textId="77777777" w:rsidR="005117C7" w:rsidRPr="00CD729C" w:rsidRDefault="005117C7" w:rsidP="009B4BB6">
      <w:pPr>
        <w:pStyle w:val="ParastaisTreknraksts"/>
        <w:keepNext/>
        <w:widowControl w:val="0"/>
        <w:rPr>
          <w:b w:val="0"/>
          <w:color w:val="000000"/>
          <w:szCs w:val="22"/>
        </w:rPr>
      </w:pPr>
    </w:p>
    <w:p w14:paraId="3D394390" w14:textId="77777777" w:rsidR="00961329" w:rsidRPr="00CD729C" w:rsidRDefault="00961329" w:rsidP="009B4BB6">
      <w:pPr>
        <w:pStyle w:val="ParastaisTreknraksts"/>
        <w:widowControl w:val="0"/>
        <w:rPr>
          <w:b w:val="0"/>
          <w:color w:val="000000"/>
          <w:szCs w:val="22"/>
        </w:rPr>
      </w:pPr>
      <w:r>
        <w:rPr>
          <w:b w:val="0"/>
          <w:color w:val="000000"/>
          <w:szCs w:val="22"/>
        </w:rPr>
        <w:t>Viena kapsula satur 10</w:t>
      </w:r>
      <w:r w:rsidRPr="00CD729C">
        <w:rPr>
          <w:b w:val="0"/>
          <w:color w:val="000000"/>
          <w:szCs w:val="22"/>
        </w:rPr>
        <w:t>0 mg imatiniba (</w:t>
      </w:r>
      <w:r w:rsidR="006F43C8">
        <w:rPr>
          <w:b w:val="0"/>
          <w:i/>
          <w:color w:val="000000"/>
          <w:szCs w:val="22"/>
        </w:rPr>
        <w:t>i</w:t>
      </w:r>
      <w:r w:rsidRPr="00CD729C">
        <w:rPr>
          <w:b w:val="0"/>
          <w:i/>
          <w:color w:val="000000"/>
          <w:szCs w:val="22"/>
        </w:rPr>
        <w:t>matinib</w:t>
      </w:r>
      <w:r>
        <w:rPr>
          <w:b w:val="0"/>
          <w:i/>
          <w:color w:val="000000"/>
          <w:szCs w:val="22"/>
        </w:rPr>
        <w:t>um</w:t>
      </w:r>
      <w:r w:rsidRPr="00CD729C">
        <w:rPr>
          <w:b w:val="0"/>
          <w:color w:val="000000"/>
          <w:szCs w:val="22"/>
        </w:rPr>
        <w:t>) (me</w:t>
      </w:r>
      <w:r>
        <w:rPr>
          <w:b w:val="0"/>
          <w:color w:val="000000"/>
          <w:szCs w:val="22"/>
        </w:rPr>
        <w:t>s</w:t>
      </w:r>
      <w:r w:rsidRPr="00CD729C">
        <w:rPr>
          <w:b w:val="0"/>
          <w:color w:val="000000"/>
          <w:szCs w:val="22"/>
        </w:rPr>
        <w:t>ilāta formā).</w:t>
      </w:r>
    </w:p>
    <w:p w14:paraId="3D394391" w14:textId="77777777" w:rsidR="00961329" w:rsidRPr="00CD729C" w:rsidRDefault="00961329" w:rsidP="009B4BB6">
      <w:pPr>
        <w:pStyle w:val="ParastaisTreknraksts"/>
        <w:widowControl w:val="0"/>
        <w:rPr>
          <w:b w:val="0"/>
          <w:color w:val="000000"/>
          <w:szCs w:val="22"/>
        </w:rPr>
      </w:pPr>
    </w:p>
    <w:p w14:paraId="3D394392" w14:textId="77777777" w:rsidR="005117C7" w:rsidRPr="00CD729C" w:rsidRDefault="00A36F4C" w:rsidP="009B4BB6">
      <w:pPr>
        <w:pStyle w:val="ParastaisTreknraksts"/>
        <w:widowControl w:val="0"/>
        <w:rPr>
          <w:b w:val="0"/>
          <w:color w:val="000000"/>
          <w:szCs w:val="22"/>
        </w:rPr>
      </w:pPr>
      <w:r w:rsidRPr="00CD729C">
        <w:rPr>
          <w:b w:val="0"/>
          <w:color w:val="000000"/>
          <w:szCs w:val="22"/>
        </w:rPr>
        <w:t>Pilnu p</w:t>
      </w:r>
      <w:r w:rsidR="005117C7" w:rsidRPr="00CD729C">
        <w:rPr>
          <w:b w:val="0"/>
          <w:color w:val="000000"/>
          <w:szCs w:val="22"/>
        </w:rPr>
        <w:t>alīgviel</w:t>
      </w:r>
      <w:r w:rsidRPr="00CD729C">
        <w:rPr>
          <w:b w:val="0"/>
          <w:color w:val="000000"/>
          <w:szCs w:val="22"/>
        </w:rPr>
        <w:t>u sarakstu</w:t>
      </w:r>
      <w:r w:rsidR="005117C7" w:rsidRPr="00CD729C">
        <w:rPr>
          <w:b w:val="0"/>
          <w:color w:val="000000"/>
          <w:szCs w:val="22"/>
        </w:rPr>
        <w:t xml:space="preserve"> sk</w:t>
      </w:r>
      <w:r w:rsidRPr="00CD729C">
        <w:rPr>
          <w:b w:val="0"/>
          <w:color w:val="000000"/>
          <w:szCs w:val="22"/>
        </w:rPr>
        <w:t>atīt</w:t>
      </w:r>
      <w:r w:rsidR="005117C7" w:rsidRPr="00CD729C">
        <w:rPr>
          <w:b w:val="0"/>
          <w:color w:val="000000"/>
          <w:szCs w:val="22"/>
        </w:rPr>
        <w:t xml:space="preserve"> </w:t>
      </w:r>
      <w:r w:rsidR="00BF3DA7" w:rsidRPr="00CD729C">
        <w:rPr>
          <w:b w:val="0"/>
          <w:color w:val="000000"/>
          <w:szCs w:val="22"/>
        </w:rPr>
        <w:t>6.1</w:t>
      </w:r>
      <w:r w:rsidR="007971BC" w:rsidRPr="00CD729C">
        <w:rPr>
          <w:b w:val="0"/>
          <w:color w:val="000000"/>
          <w:szCs w:val="22"/>
        </w:rPr>
        <w:t>. </w:t>
      </w:r>
      <w:r w:rsidRPr="00CD729C">
        <w:rPr>
          <w:b w:val="0"/>
          <w:color w:val="000000"/>
          <w:szCs w:val="22"/>
        </w:rPr>
        <w:t>a</w:t>
      </w:r>
      <w:r w:rsidR="005117C7" w:rsidRPr="00CD729C">
        <w:rPr>
          <w:b w:val="0"/>
          <w:color w:val="000000"/>
          <w:szCs w:val="22"/>
        </w:rPr>
        <w:t>p</w:t>
      </w:r>
      <w:r w:rsidRPr="00CD729C">
        <w:rPr>
          <w:b w:val="0"/>
          <w:color w:val="000000"/>
          <w:szCs w:val="22"/>
        </w:rPr>
        <w:t>akšpunktā</w:t>
      </w:r>
      <w:r w:rsidR="005117C7" w:rsidRPr="00CD729C">
        <w:rPr>
          <w:b w:val="0"/>
          <w:color w:val="000000"/>
          <w:szCs w:val="22"/>
        </w:rPr>
        <w:t>.</w:t>
      </w:r>
    </w:p>
    <w:p w14:paraId="3D394393" w14:textId="77777777" w:rsidR="005117C7" w:rsidRPr="00CD729C" w:rsidRDefault="005117C7" w:rsidP="009B4BB6">
      <w:pPr>
        <w:pStyle w:val="ParastaisTreknraksts"/>
        <w:widowControl w:val="0"/>
        <w:rPr>
          <w:b w:val="0"/>
          <w:color w:val="000000"/>
          <w:szCs w:val="22"/>
        </w:rPr>
      </w:pPr>
    </w:p>
    <w:p w14:paraId="3D394394" w14:textId="77777777" w:rsidR="005117C7" w:rsidRPr="00CD729C" w:rsidRDefault="005117C7" w:rsidP="009B4BB6">
      <w:pPr>
        <w:pStyle w:val="ParastaisTreknraksts"/>
        <w:widowControl w:val="0"/>
        <w:rPr>
          <w:b w:val="0"/>
          <w:color w:val="000000"/>
          <w:szCs w:val="22"/>
        </w:rPr>
      </w:pPr>
    </w:p>
    <w:p w14:paraId="3D394395" w14:textId="77777777" w:rsidR="005117C7" w:rsidRPr="00CD729C" w:rsidRDefault="005117C7" w:rsidP="009B4BB6">
      <w:pPr>
        <w:pStyle w:val="ParastaisTreknraksts"/>
        <w:keepNext/>
        <w:widowControl w:val="0"/>
        <w:rPr>
          <w:caps/>
          <w:color w:val="000000"/>
          <w:szCs w:val="22"/>
        </w:rPr>
      </w:pPr>
      <w:r w:rsidRPr="00CD729C">
        <w:rPr>
          <w:color w:val="000000"/>
          <w:szCs w:val="22"/>
        </w:rPr>
        <w:t>3.</w:t>
      </w:r>
      <w:r w:rsidRPr="00CD729C">
        <w:rPr>
          <w:color w:val="000000"/>
          <w:szCs w:val="22"/>
        </w:rPr>
        <w:tab/>
        <w:t>ZĀĻU FORMA</w:t>
      </w:r>
    </w:p>
    <w:p w14:paraId="3D394396" w14:textId="77777777" w:rsidR="005117C7" w:rsidRPr="00CD729C" w:rsidRDefault="005117C7" w:rsidP="009B4BB6">
      <w:pPr>
        <w:pStyle w:val="ParastaisTreknraksts"/>
        <w:keepNext/>
        <w:widowControl w:val="0"/>
        <w:rPr>
          <w:b w:val="0"/>
          <w:color w:val="000000"/>
          <w:szCs w:val="22"/>
        </w:rPr>
      </w:pPr>
    </w:p>
    <w:p w14:paraId="3D394397" w14:textId="77777777" w:rsidR="005117C7" w:rsidRPr="00CD729C" w:rsidRDefault="005117C7" w:rsidP="009B4BB6">
      <w:pPr>
        <w:pStyle w:val="ParastaisTreknraksts"/>
        <w:widowControl w:val="0"/>
        <w:rPr>
          <w:b w:val="0"/>
          <w:color w:val="000000"/>
          <w:szCs w:val="22"/>
        </w:rPr>
      </w:pPr>
      <w:r w:rsidRPr="00CD729C">
        <w:rPr>
          <w:b w:val="0"/>
          <w:color w:val="000000"/>
          <w:szCs w:val="22"/>
        </w:rPr>
        <w:t>Cietā kapsula</w:t>
      </w:r>
    </w:p>
    <w:p w14:paraId="3D394398" w14:textId="77777777" w:rsidR="005117C7" w:rsidRPr="00CD729C" w:rsidRDefault="005117C7" w:rsidP="009B4BB6">
      <w:pPr>
        <w:pStyle w:val="ParastaisTreknraksts"/>
        <w:widowControl w:val="0"/>
        <w:rPr>
          <w:b w:val="0"/>
          <w:color w:val="000000"/>
          <w:szCs w:val="22"/>
        </w:rPr>
      </w:pPr>
    </w:p>
    <w:p w14:paraId="3D39439D" w14:textId="77777777" w:rsidR="00961329" w:rsidRPr="00CD729C" w:rsidRDefault="00961329" w:rsidP="009B4BB6">
      <w:pPr>
        <w:pStyle w:val="ParastaisTreknraksts"/>
        <w:widowControl w:val="0"/>
        <w:ind w:left="0" w:firstLine="0"/>
        <w:rPr>
          <w:b w:val="0"/>
          <w:color w:val="000000"/>
          <w:szCs w:val="22"/>
        </w:rPr>
      </w:pPr>
      <w:r w:rsidRPr="00CD729C">
        <w:rPr>
          <w:b w:val="0"/>
          <w:color w:val="000000"/>
          <w:szCs w:val="22"/>
        </w:rPr>
        <w:t xml:space="preserve">Baltas vai dzeltenas krāsas pulveris oranžā vai pelēcīgi oranžā </w:t>
      </w:r>
      <w:r w:rsidR="00C06329">
        <w:rPr>
          <w:b w:val="0"/>
          <w:color w:val="000000"/>
          <w:szCs w:val="22"/>
        </w:rPr>
        <w:t xml:space="preserve">necaurredzamā </w:t>
      </w:r>
      <w:r w:rsidRPr="00CD729C">
        <w:rPr>
          <w:b w:val="0"/>
          <w:color w:val="000000"/>
          <w:szCs w:val="22"/>
        </w:rPr>
        <w:t>kapsulā ar marķējumu “NVR SI”.</w:t>
      </w:r>
    </w:p>
    <w:p w14:paraId="3D39439E" w14:textId="77777777" w:rsidR="00961329" w:rsidRPr="00CD729C" w:rsidRDefault="00961329" w:rsidP="009B4BB6">
      <w:pPr>
        <w:pStyle w:val="ParastaisTreknraksts"/>
        <w:widowControl w:val="0"/>
        <w:rPr>
          <w:b w:val="0"/>
          <w:color w:val="000000"/>
          <w:szCs w:val="22"/>
        </w:rPr>
      </w:pPr>
    </w:p>
    <w:p w14:paraId="3D39439F" w14:textId="77777777" w:rsidR="005117C7" w:rsidRPr="00CD729C" w:rsidRDefault="005117C7" w:rsidP="009B4BB6">
      <w:pPr>
        <w:pStyle w:val="ParastaisTreknraksts"/>
        <w:widowControl w:val="0"/>
        <w:rPr>
          <w:b w:val="0"/>
          <w:color w:val="000000"/>
          <w:szCs w:val="22"/>
        </w:rPr>
      </w:pPr>
    </w:p>
    <w:p w14:paraId="3D3943A0" w14:textId="77777777" w:rsidR="005117C7" w:rsidRPr="00CD729C" w:rsidRDefault="005117C7" w:rsidP="009B4BB6">
      <w:pPr>
        <w:keepNext/>
        <w:widowControl w:val="0"/>
        <w:tabs>
          <w:tab w:val="clear" w:pos="567"/>
        </w:tabs>
        <w:spacing w:line="240" w:lineRule="auto"/>
        <w:ind w:left="567" w:hanging="567"/>
        <w:rPr>
          <w:b/>
          <w:color w:val="000000"/>
          <w:szCs w:val="22"/>
        </w:rPr>
      </w:pPr>
      <w:r w:rsidRPr="00CD729C">
        <w:rPr>
          <w:b/>
          <w:caps/>
          <w:color w:val="000000"/>
          <w:szCs w:val="22"/>
        </w:rPr>
        <w:t>4.</w:t>
      </w:r>
      <w:r w:rsidRPr="00CD729C">
        <w:rPr>
          <w:b/>
          <w:caps/>
          <w:color w:val="000000"/>
          <w:szCs w:val="22"/>
        </w:rPr>
        <w:tab/>
        <w:t>KLĪNISKĀ INFORMĀCIJA</w:t>
      </w:r>
    </w:p>
    <w:p w14:paraId="3D3943A1" w14:textId="77777777" w:rsidR="005117C7" w:rsidRPr="00CD729C" w:rsidRDefault="005117C7" w:rsidP="009B4BB6">
      <w:pPr>
        <w:pStyle w:val="ParastaisTreknraksts"/>
        <w:keepNext/>
        <w:widowControl w:val="0"/>
        <w:rPr>
          <w:b w:val="0"/>
          <w:caps/>
          <w:color w:val="000000"/>
          <w:szCs w:val="22"/>
        </w:rPr>
      </w:pPr>
    </w:p>
    <w:p w14:paraId="3D3943A2"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4.1</w:t>
      </w:r>
      <w:r w:rsidR="001440B0" w:rsidRPr="00CD729C">
        <w:rPr>
          <w:b/>
          <w:color w:val="000000"/>
          <w:szCs w:val="22"/>
        </w:rPr>
        <w:t>.</w:t>
      </w:r>
      <w:r w:rsidRPr="00CD729C">
        <w:rPr>
          <w:b/>
          <w:color w:val="000000"/>
          <w:szCs w:val="22"/>
        </w:rPr>
        <w:tab/>
        <w:t>Terapeitiskās indikācijas</w:t>
      </w:r>
    </w:p>
    <w:p w14:paraId="3D3943A3" w14:textId="77777777" w:rsidR="005117C7" w:rsidRPr="00CD729C" w:rsidRDefault="005117C7" w:rsidP="009B4BB6">
      <w:pPr>
        <w:keepNext/>
        <w:widowControl w:val="0"/>
        <w:tabs>
          <w:tab w:val="clear" w:pos="567"/>
        </w:tabs>
        <w:spacing w:line="240" w:lineRule="auto"/>
        <w:rPr>
          <w:color w:val="000000"/>
          <w:szCs w:val="22"/>
        </w:rPr>
      </w:pPr>
    </w:p>
    <w:p w14:paraId="3D3943A4" w14:textId="77777777" w:rsidR="00F253A4" w:rsidRPr="00CD729C" w:rsidRDefault="005117C7" w:rsidP="009B4BB6">
      <w:pPr>
        <w:keepNext/>
        <w:widowControl w:val="0"/>
        <w:tabs>
          <w:tab w:val="clear" w:pos="567"/>
        </w:tabs>
        <w:spacing w:line="240" w:lineRule="auto"/>
        <w:rPr>
          <w:color w:val="000000"/>
          <w:szCs w:val="22"/>
        </w:rPr>
      </w:pPr>
      <w:r w:rsidRPr="00CD729C">
        <w:rPr>
          <w:color w:val="000000"/>
          <w:szCs w:val="22"/>
        </w:rPr>
        <w:t>Glivec ir indicēts</w:t>
      </w:r>
      <w:r w:rsidR="00F253A4" w:rsidRPr="00CD729C">
        <w:rPr>
          <w:color w:val="000000"/>
          <w:szCs w:val="22"/>
        </w:rPr>
        <w:t>:</w:t>
      </w:r>
    </w:p>
    <w:p w14:paraId="3D3943A5" w14:textId="77777777" w:rsidR="005117C7" w:rsidRPr="00CD729C" w:rsidRDefault="00F253A4" w:rsidP="009B4BB6">
      <w:pPr>
        <w:widowControl w:val="0"/>
        <w:numPr>
          <w:ilvl w:val="0"/>
          <w:numId w:val="10"/>
        </w:numPr>
        <w:tabs>
          <w:tab w:val="clear" w:pos="720"/>
          <w:tab w:val="num" w:pos="567"/>
        </w:tabs>
        <w:spacing w:line="240" w:lineRule="auto"/>
        <w:ind w:left="567" w:hanging="567"/>
        <w:rPr>
          <w:color w:val="000000"/>
          <w:szCs w:val="22"/>
        </w:rPr>
      </w:pPr>
      <w:r w:rsidRPr="00CD729C">
        <w:rPr>
          <w:color w:val="000000"/>
          <w:szCs w:val="22"/>
        </w:rPr>
        <w:t>pieaugušajiem un pediatrijas</w:t>
      </w:r>
      <w:r w:rsidR="005117C7" w:rsidRPr="00CD729C">
        <w:rPr>
          <w:color w:val="000000"/>
          <w:szCs w:val="22"/>
        </w:rPr>
        <w:t xml:space="preserve"> pacientiem, kam nesen diagnosticēta Filadelfijas hromosom</w:t>
      </w:r>
      <w:r w:rsidR="00BD6FF3" w:rsidRPr="00CD729C">
        <w:rPr>
          <w:color w:val="000000"/>
          <w:szCs w:val="22"/>
        </w:rPr>
        <w:t>as</w:t>
      </w:r>
      <w:r w:rsidR="005117C7" w:rsidRPr="00CD729C">
        <w:rPr>
          <w:color w:val="000000"/>
          <w:szCs w:val="22"/>
        </w:rPr>
        <w:t xml:space="preserve"> (bcr-abl) pozitīva (Ph</w:t>
      </w:r>
      <w:r w:rsidR="005117C7" w:rsidRPr="00CD729C">
        <w:rPr>
          <w:color w:val="000000"/>
          <w:szCs w:val="22"/>
          <w:vertAlign w:val="superscript"/>
        </w:rPr>
        <w:t>+</w:t>
      </w:r>
      <w:r w:rsidR="005117C7" w:rsidRPr="00CD729C">
        <w:rPr>
          <w:color w:val="000000"/>
          <w:szCs w:val="22"/>
        </w:rPr>
        <w:t>) hroniska mieloleik</w:t>
      </w:r>
      <w:r w:rsidR="00A10624" w:rsidRPr="00CD729C">
        <w:rPr>
          <w:color w:val="000000"/>
          <w:szCs w:val="22"/>
        </w:rPr>
        <w:t>oze</w:t>
      </w:r>
      <w:r w:rsidR="005117C7" w:rsidRPr="00CD729C">
        <w:rPr>
          <w:color w:val="000000"/>
          <w:szCs w:val="22"/>
        </w:rPr>
        <w:t xml:space="preserve"> (</w:t>
      </w:r>
      <w:r w:rsidR="005117C7" w:rsidRPr="00CD729C">
        <w:rPr>
          <w:i/>
          <w:color w:val="000000"/>
          <w:szCs w:val="22"/>
        </w:rPr>
        <w:t>Chronic Myeloid Leukaemia</w:t>
      </w:r>
      <w:r w:rsidR="005117C7" w:rsidRPr="00CD729C">
        <w:rPr>
          <w:color w:val="000000"/>
          <w:szCs w:val="22"/>
        </w:rPr>
        <w:t xml:space="preserve"> - CML) un kam </w:t>
      </w:r>
      <w:r w:rsidR="00BD6FF3" w:rsidRPr="00CD729C">
        <w:rPr>
          <w:color w:val="000000"/>
          <w:szCs w:val="22"/>
        </w:rPr>
        <w:t xml:space="preserve">pirmās līnijas </w:t>
      </w:r>
      <w:r w:rsidR="005117C7" w:rsidRPr="00CD729C">
        <w:rPr>
          <w:color w:val="000000"/>
          <w:szCs w:val="22"/>
        </w:rPr>
        <w:t>terapij</w:t>
      </w:r>
      <w:r w:rsidR="00BD6FF3" w:rsidRPr="00CD729C">
        <w:rPr>
          <w:color w:val="000000"/>
          <w:szCs w:val="22"/>
        </w:rPr>
        <w:t>ā</w:t>
      </w:r>
      <w:r w:rsidR="005117C7" w:rsidRPr="00CD729C">
        <w:rPr>
          <w:color w:val="000000"/>
          <w:szCs w:val="22"/>
        </w:rPr>
        <w:t xml:space="preserve"> kaulu smadzeņu transplantācija nav paredzama.</w:t>
      </w:r>
    </w:p>
    <w:p w14:paraId="3D3943A6" w14:textId="77777777" w:rsidR="005117C7" w:rsidRPr="00CD729C" w:rsidRDefault="00F253A4" w:rsidP="009B4BB6">
      <w:pPr>
        <w:widowControl w:val="0"/>
        <w:numPr>
          <w:ilvl w:val="0"/>
          <w:numId w:val="10"/>
        </w:numPr>
        <w:tabs>
          <w:tab w:val="clear" w:pos="720"/>
          <w:tab w:val="num" w:pos="567"/>
        </w:tabs>
        <w:spacing w:line="240" w:lineRule="auto"/>
        <w:ind w:left="567" w:hanging="567"/>
        <w:rPr>
          <w:color w:val="000000"/>
          <w:szCs w:val="22"/>
        </w:rPr>
      </w:pPr>
      <w:r w:rsidRPr="00CD729C">
        <w:rPr>
          <w:color w:val="000000"/>
          <w:szCs w:val="22"/>
        </w:rPr>
        <w:t>pieaugušajiem un pediatrijas</w:t>
      </w:r>
      <w:r w:rsidR="005117C7" w:rsidRPr="00CD729C">
        <w:rPr>
          <w:color w:val="000000"/>
          <w:szCs w:val="22"/>
        </w:rPr>
        <w:t xml:space="preserve"> pacientiem ar Ph</w:t>
      </w:r>
      <w:r w:rsidR="005117C7" w:rsidRPr="00CD729C">
        <w:rPr>
          <w:color w:val="000000"/>
          <w:szCs w:val="22"/>
          <w:vertAlign w:val="superscript"/>
        </w:rPr>
        <w:t xml:space="preserve">+ </w:t>
      </w:r>
      <w:r w:rsidR="005117C7" w:rsidRPr="00CD729C">
        <w:rPr>
          <w:color w:val="000000"/>
          <w:szCs w:val="22"/>
        </w:rPr>
        <w:t>CML hroniskajā fāzē pēc neveiksmīgas terapijas ar interferonu alfa vai blastu krīzes akcelerācijas fāzē.</w:t>
      </w:r>
    </w:p>
    <w:p w14:paraId="3D3943A7" w14:textId="77777777" w:rsidR="00C514BA" w:rsidRPr="00CD729C" w:rsidRDefault="00C514BA" w:rsidP="009B4BB6">
      <w:pPr>
        <w:pStyle w:val="EndnoteText"/>
        <w:widowControl w:val="0"/>
        <w:numPr>
          <w:ilvl w:val="0"/>
          <w:numId w:val="11"/>
        </w:numPr>
        <w:tabs>
          <w:tab w:val="clear" w:pos="720"/>
          <w:tab w:val="num" w:pos="567"/>
        </w:tabs>
        <w:ind w:left="567" w:hanging="567"/>
        <w:rPr>
          <w:snapToGrid w:val="0"/>
          <w:color w:val="000000"/>
          <w:szCs w:val="22"/>
          <w:lang w:eastAsia="de-DE"/>
        </w:rPr>
      </w:pPr>
      <w:r w:rsidRPr="00CD729C">
        <w:rPr>
          <w:rFonts w:eastAsia="MS Mincho"/>
          <w:color w:val="000000"/>
          <w:lang w:eastAsia="ja-JP"/>
        </w:rPr>
        <w:t xml:space="preserve">pieaugušiem </w:t>
      </w:r>
      <w:r w:rsidR="007423D1" w:rsidRPr="00CD729C">
        <w:rPr>
          <w:rFonts w:eastAsia="MS Mincho"/>
          <w:color w:val="000000"/>
          <w:lang w:eastAsia="ja-JP"/>
        </w:rPr>
        <w:t xml:space="preserve">un pediatrijas </w:t>
      </w:r>
      <w:r w:rsidRPr="00CD729C">
        <w:rPr>
          <w:rFonts w:eastAsia="MS Mincho"/>
          <w:color w:val="000000"/>
          <w:lang w:eastAsia="ja-JP"/>
        </w:rPr>
        <w:t xml:space="preserve">pacientiem ar </w:t>
      </w:r>
      <w:r w:rsidR="00B21479" w:rsidRPr="00CD729C">
        <w:rPr>
          <w:rFonts w:eastAsia="MS Mincho"/>
          <w:color w:val="000000"/>
          <w:lang w:eastAsia="ja-JP"/>
        </w:rPr>
        <w:t xml:space="preserve">nesen </w:t>
      </w:r>
      <w:r w:rsidRPr="00CD729C">
        <w:rPr>
          <w:rFonts w:eastAsia="MS Mincho"/>
          <w:color w:val="000000"/>
          <w:lang w:eastAsia="ja-JP"/>
        </w:rPr>
        <w:t xml:space="preserve">diagnosticētu </w:t>
      </w:r>
      <w:r w:rsidRPr="00CD729C">
        <w:rPr>
          <w:color w:val="000000"/>
          <w:szCs w:val="22"/>
        </w:rPr>
        <w:t>Filadelfijas hromosom</w:t>
      </w:r>
      <w:r w:rsidR="00BD6FF3" w:rsidRPr="00CD729C">
        <w:rPr>
          <w:color w:val="000000"/>
          <w:szCs w:val="22"/>
        </w:rPr>
        <w:t>as</w:t>
      </w:r>
      <w:r w:rsidRPr="00CD729C">
        <w:rPr>
          <w:rFonts w:eastAsia="MS Mincho"/>
          <w:color w:val="000000"/>
          <w:lang w:eastAsia="ja-JP"/>
        </w:rPr>
        <w:t xml:space="preserve"> pozitīvu akūtu limfoblastisku leik</w:t>
      </w:r>
      <w:r w:rsidR="00A10624" w:rsidRPr="00CD729C">
        <w:rPr>
          <w:rFonts w:eastAsia="MS Mincho"/>
          <w:color w:val="000000"/>
          <w:lang w:eastAsia="ja-JP"/>
        </w:rPr>
        <w:t>ozi</w:t>
      </w:r>
      <w:r w:rsidRPr="00CD729C">
        <w:rPr>
          <w:rFonts w:eastAsia="MS Mincho"/>
          <w:color w:val="000000"/>
          <w:lang w:eastAsia="ja-JP"/>
        </w:rPr>
        <w:t xml:space="preserve"> (Ph+ ALL), apvienojumā ar</w:t>
      </w:r>
      <w:r w:rsidRPr="00CD729C">
        <w:rPr>
          <w:color w:val="000000"/>
        </w:rPr>
        <w:t xml:space="preserve"> ķīmijterapiju</w:t>
      </w:r>
      <w:r w:rsidR="00E44FC3" w:rsidRPr="00CD729C">
        <w:rPr>
          <w:color w:val="000000"/>
        </w:rPr>
        <w:t>.</w:t>
      </w:r>
    </w:p>
    <w:p w14:paraId="3D3943A8" w14:textId="77777777" w:rsidR="00C514BA" w:rsidRPr="00CD729C" w:rsidRDefault="00C514BA" w:rsidP="009B4BB6">
      <w:pPr>
        <w:pStyle w:val="EndnoteText"/>
        <w:widowControl w:val="0"/>
        <w:numPr>
          <w:ilvl w:val="0"/>
          <w:numId w:val="11"/>
        </w:numPr>
        <w:tabs>
          <w:tab w:val="clear" w:pos="720"/>
          <w:tab w:val="num" w:pos="567"/>
        </w:tabs>
        <w:ind w:left="567" w:hanging="567"/>
        <w:rPr>
          <w:snapToGrid w:val="0"/>
          <w:color w:val="000000"/>
          <w:szCs w:val="22"/>
          <w:lang w:eastAsia="de-DE"/>
        </w:rPr>
      </w:pPr>
      <w:r w:rsidRPr="00CD729C">
        <w:rPr>
          <w:rFonts w:eastAsia="MS Mincho"/>
          <w:color w:val="000000"/>
          <w:lang w:eastAsia="ja-JP"/>
        </w:rPr>
        <w:t>pieaugušiem pacientiem ar</w:t>
      </w:r>
      <w:r w:rsidRPr="00CD729C">
        <w:rPr>
          <w:rFonts w:eastAsia="MS Mincho"/>
          <w:color w:val="000000"/>
          <w:szCs w:val="24"/>
          <w:lang w:eastAsia="ja-JP"/>
        </w:rPr>
        <w:t xml:space="preserve"> recidivējošu vai refraktāru Ph+ ALL monoterapijas veidā</w:t>
      </w:r>
      <w:r w:rsidR="00E44FC3" w:rsidRPr="00CD729C">
        <w:rPr>
          <w:rFonts w:eastAsia="MS Mincho"/>
          <w:color w:val="000000"/>
          <w:szCs w:val="24"/>
          <w:lang w:eastAsia="ja-JP"/>
        </w:rPr>
        <w:t>.</w:t>
      </w:r>
    </w:p>
    <w:p w14:paraId="3D3943A9" w14:textId="77777777" w:rsidR="00741BD7" w:rsidRPr="00CD729C" w:rsidRDefault="00741BD7" w:rsidP="009B4BB6">
      <w:pPr>
        <w:pStyle w:val="EndnoteText"/>
        <w:widowControl w:val="0"/>
        <w:numPr>
          <w:ilvl w:val="0"/>
          <w:numId w:val="11"/>
        </w:numPr>
        <w:tabs>
          <w:tab w:val="clear" w:pos="720"/>
          <w:tab w:val="num" w:pos="567"/>
        </w:tabs>
        <w:ind w:left="567" w:hanging="567"/>
        <w:rPr>
          <w:snapToGrid w:val="0"/>
          <w:color w:val="000000"/>
          <w:szCs w:val="22"/>
          <w:lang w:eastAsia="de-DE"/>
        </w:rPr>
      </w:pPr>
      <w:r w:rsidRPr="00CD729C">
        <w:rPr>
          <w:rFonts w:eastAsia="MS Mincho"/>
          <w:color w:val="000000"/>
          <w:lang w:eastAsia="ja-JP"/>
        </w:rPr>
        <w:t>pieaugušiem pacientiem ar</w:t>
      </w:r>
      <w:r w:rsidRPr="00CD729C">
        <w:rPr>
          <w:snapToGrid w:val="0"/>
          <w:color w:val="000000"/>
        </w:rPr>
        <w:t xml:space="preserve"> mielodisplastiskām/mieloproliferatīvām slimībām (MDS/MPD), kas saistītas ar trombocītu augšanas faktora receptoru (</w:t>
      </w:r>
      <w:r w:rsidR="00F56C4A" w:rsidRPr="00CD729C">
        <w:rPr>
          <w:i/>
          <w:snapToGrid w:val="0"/>
          <w:color w:val="000000"/>
        </w:rPr>
        <w:t xml:space="preserve">platelet-derived growth factor receptor - </w:t>
      </w:r>
      <w:r w:rsidRPr="00CD729C">
        <w:rPr>
          <w:i/>
          <w:snapToGrid w:val="0"/>
          <w:color w:val="000000"/>
        </w:rPr>
        <w:t>PDGFR</w:t>
      </w:r>
      <w:r w:rsidRPr="00CD729C">
        <w:rPr>
          <w:snapToGrid w:val="0"/>
          <w:color w:val="000000"/>
        </w:rPr>
        <w:t>) gēnu pārkārtošanos.</w:t>
      </w:r>
    </w:p>
    <w:p w14:paraId="3D3943AA" w14:textId="77777777" w:rsidR="00F75C3D" w:rsidRPr="00CD729C" w:rsidRDefault="00F75C3D" w:rsidP="009B4BB6">
      <w:pPr>
        <w:widowControl w:val="0"/>
        <w:numPr>
          <w:ilvl w:val="0"/>
          <w:numId w:val="11"/>
        </w:numPr>
        <w:tabs>
          <w:tab w:val="clear" w:pos="720"/>
          <w:tab w:val="num" w:pos="567"/>
        </w:tabs>
        <w:spacing w:line="240" w:lineRule="auto"/>
        <w:ind w:left="567" w:hanging="567"/>
        <w:rPr>
          <w:color w:val="000000"/>
          <w:szCs w:val="22"/>
        </w:rPr>
      </w:pPr>
      <w:r w:rsidRPr="00CD729C">
        <w:rPr>
          <w:rFonts w:eastAsia="MS Mincho"/>
          <w:color w:val="000000"/>
          <w:szCs w:val="22"/>
          <w:lang w:eastAsia="ja-JP"/>
        </w:rPr>
        <w:t>pieaugušiem pacientiem ar progresējošu hipereozinofīlisko sindromu (</w:t>
      </w:r>
      <w:r w:rsidR="00F56C4A" w:rsidRPr="00CD729C">
        <w:rPr>
          <w:i/>
          <w:color w:val="000000"/>
        </w:rPr>
        <w:t>hypereosinophilic syndrome</w:t>
      </w:r>
      <w:r w:rsidR="00F56C4A" w:rsidRPr="00CD729C">
        <w:rPr>
          <w:rFonts w:eastAsia="MS Mincho"/>
          <w:i/>
          <w:color w:val="000000"/>
          <w:szCs w:val="22"/>
          <w:lang w:eastAsia="ja-JP"/>
        </w:rPr>
        <w:t xml:space="preserve"> - </w:t>
      </w:r>
      <w:r w:rsidR="00CB3DD4" w:rsidRPr="00CD729C">
        <w:rPr>
          <w:rFonts w:eastAsia="MS Mincho"/>
          <w:color w:val="000000"/>
          <w:szCs w:val="22"/>
          <w:lang w:eastAsia="ja-JP"/>
        </w:rPr>
        <w:t>HES</w:t>
      </w:r>
      <w:r w:rsidRPr="00CD729C">
        <w:rPr>
          <w:rFonts w:eastAsia="MS Mincho"/>
          <w:color w:val="000000"/>
          <w:szCs w:val="22"/>
          <w:lang w:eastAsia="ja-JP"/>
        </w:rPr>
        <w:t>) un/vai hronisku eozinofīl</w:t>
      </w:r>
      <w:r w:rsidR="00BD6FF3" w:rsidRPr="00CD729C">
        <w:rPr>
          <w:rFonts w:eastAsia="MS Mincho"/>
          <w:color w:val="000000"/>
          <w:szCs w:val="22"/>
          <w:lang w:eastAsia="ja-JP"/>
        </w:rPr>
        <w:t>u</w:t>
      </w:r>
      <w:r w:rsidRPr="00CD729C">
        <w:rPr>
          <w:rFonts w:eastAsia="MS Mincho"/>
          <w:color w:val="000000"/>
          <w:szCs w:val="22"/>
          <w:lang w:eastAsia="ja-JP"/>
        </w:rPr>
        <w:t xml:space="preserve"> leik</w:t>
      </w:r>
      <w:r w:rsidR="00A10624" w:rsidRPr="00CD729C">
        <w:rPr>
          <w:rFonts w:eastAsia="MS Mincho"/>
          <w:color w:val="000000"/>
          <w:szCs w:val="22"/>
          <w:lang w:eastAsia="ja-JP"/>
        </w:rPr>
        <w:t>ozi</w:t>
      </w:r>
      <w:r w:rsidRPr="00CD729C">
        <w:rPr>
          <w:rFonts w:eastAsia="MS Mincho"/>
          <w:color w:val="000000"/>
          <w:szCs w:val="22"/>
          <w:lang w:eastAsia="ja-JP"/>
        </w:rPr>
        <w:t xml:space="preserve"> (</w:t>
      </w:r>
      <w:r w:rsidR="00F56C4A" w:rsidRPr="00CD729C">
        <w:rPr>
          <w:i/>
          <w:color w:val="000000"/>
        </w:rPr>
        <w:t>chronic eosinophilic leukaemia</w:t>
      </w:r>
      <w:r w:rsidR="00F56C4A" w:rsidRPr="00CD729C">
        <w:rPr>
          <w:rFonts w:eastAsia="MS Mincho"/>
          <w:i/>
          <w:color w:val="000000"/>
          <w:szCs w:val="22"/>
          <w:lang w:eastAsia="ja-JP"/>
        </w:rPr>
        <w:t xml:space="preserve"> - </w:t>
      </w:r>
      <w:r w:rsidRPr="00CD729C">
        <w:rPr>
          <w:rFonts w:eastAsia="MS Mincho"/>
          <w:i/>
          <w:color w:val="000000"/>
          <w:szCs w:val="22"/>
          <w:lang w:eastAsia="ja-JP"/>
        </w:rPr>
        <w:t>CEL</w:t>
      </w:r>
      <w:r w:rsidRPr="00CD729C">
        <w:rPr>
          <w:rFonts w:eastAsia="MS Mincho"/>
          <w:color w:val="000000"/>
          <w:szCs w:val="22"/>
          <w:lang w:eastAsia="ja-JP"/>
        </w:rPr>
        <w:t xml:space="preserve">) ar </w:t>
      </w:r>
      <w:r w:rsidRPr="00CD729C">
        <w:rPr>
          <w:color w:val="000000"/>
        </w:rPr>
        <w:t>FIP1L1-PDGFR</w:t>
      </w:r>
      <w:r w:rsidRPr="00CD729C">
        <w:rPr>
          <w:color w:val="000000"/>
        </w:rPr>
        <w:sym w:font="Symbol" w:char="F061"/>
      </w:r>
      <w:r w:rsidRPr="00CD729C">
        <w:rPr>
          <w:color w:val="000000"/>
        </w:rPr>
        <w:t xml:space="preserve"> pārkārtošanos</w:t>
      </w:r>
      <w:r w:rsidRPr="00CD729C">
        <w:rPr>
          <w:rFonts w:eastAsia="MS Mincho"/>
          <w:color w:val="000000"/>
          <w:szCs w:val="22"/>
          <w:lang w:eastAsia="ja-JP"/>
        </w:rPr>
        <w:t>.</w:t>
      </w:r>
    </w:p>
    <w:p w14:paraId="3D3943AB" w14:textId="77777777" w:rsidR="005117C7" w:rsidRPr="00CD729C" w:rsidRDefault="005117C7" w:rsidP="009B4BB6">
      <w:pPr>
        <w:widowControl w:val="0"/>
        <w:tabs>
          <w:tab w:val="clear" w:pos="567"/>
        </w:tabs>
        <w:spacing w:line="240" w:lineRule="auto"/>
        <w:rPr>
          <w:color w:val="000000"/>
          <w:szCs w:val="22"/>
        </w:rPr>
      </w:pPr>
    </w:p>
    <w:p w14:paraId="3D3943AC"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Glivec ietekme uz kaulu smadzeņu transplantācijas iznākumu nav noskaidrota.</w:t>
      </w:r>
    </w:p>
    <w:p w14:paraId="3D3943AD" w14:textId="77777777" w:rsidR="005117C7" w:rsidRPr="00CD729C" w:rsidRDefault="005117C7" w:rsidP="009B4BB6">
      <w:pPr>
        <w:widowControl w:val="0"/>
        <w:tabs>
          <w:tab w:val="clear" w:pos="567"/>
        </w:tabs>
        <w:spacing w:line="240" w:lineRule="auto"/>
        <w:rPr>
          <w:color w:val="000000"/>
          <w:szCs w:val="22"/>
        </w:rPr>
      </w:pPr>
    </w:p>
    <w:p w14:paraId="3D3943AE" w14:textId="77777777" w:rsidR="00563C1C" w:rsidRPr="00CD729C" w:rsidRDefault="00563C1C" w:rsidP="009B4BB6">
      <w:pPr>
        <w:keepNext/>
        <w:widowControl w:val="0"/>
        <w:tabs>
          <w:tab w:val="clear" w:pos="567"/>
        </w:tabs>
        <w:spacing w:line="240" w:lineRule="auto"/>
        <w:rPr>
          <w:color w:val="000000"/>
          <w:szCs w:val="22"/>
        </w:rPr>
      </w:pPr>
      <w:r w:rsidRPr="00CD729C">
        <w:rPr>
          <w:color w:val="000000"/>
          <w:szCs w:val="22"/>
        </w:rPr>
        <w:t>Glivec ir indicēts:</w:t>
      </w:r>
    </w:p>
    <w:p w14:paraId="3D3943AF" w14:textId="77777777" w:rsidR="00563C1C" w:rsidRPr="00CD729C" w:rsidRDefault="00563C1C" w:rsidP="009B4BB6">
      <w:pPr>
        <w:widowControl w:val="0"/>
        <w:numPr>
          <w:ilvl w:val="0"/>
          <w:numId w:val="12"/>
        </w:numPr>
        <w:tabs>
          <w:tab w:val="clear" w:pos="720"/>
          <w:tab w:val="num" w:pos="567"/>
        </w:tabs>
        <w:spacing w:line="240" w:lineRule="auto"/>
        <w:ind w:left="567" w:hanging="567"/>
        <w:rPr>
          <w:color w:val="000000"/>
          <w:szCs w:val="22"/>
        </w:rPr>
      </w:pPr>
      <w:r w:rsidRPr="00CD729C">
        <w:rPr>
          <w:color w:val="000000"/>
          <w:szCs w:val="22"/>
        </w:rPr>
        <w:t>pieauguš</w:t>
      </w:r>
      <w:r w:rsidR="004042E7" w:rsidRPr="00CD729C">
        <w:rPr>
          <w:color w:val="000000"/>
          <w:szCs w:val="22"/>
        </w:rPr>
        <w:t>o</w:t>
      </w:r>
      <w:r w:rsidRPr="00CD729C">
        <w:rPr>
          <w:color w:val="000000"/>
          <w:szCs w:val="22"/>
        </w:rPr>
        <w:t xml:space="preserve"> pacient</w:t>
      </w:r>
      <w:r w:rsidR="004042E7" w:rsidRPr="00CD729C">
        <w:rPr>
          <w:color w:val="000000"/>
          <w:szCs w:val="22"/>
        </w:rPr>
        <w:t>u</w:t>
      </w:r>
      <w:r w:rsidRPr="00CD729C">
        <w:rPr>
          <w:color w:val="000000"/>
          <w:szCs w:val="22"/>
        </w:rPr>
        <w:t xml:space="preserve"> ar Kit (CD 117) pozitīvu nerezecējamu un/vai metastazējušu ļaundabīgu stromas audzēju kuņģa – zarnu traktā (</w:t>
      </w:r>
      <w:r w:rsidRPr="00CD729C">
        <w:rPr>
          <w:i/>
          <w:color w:val="000000"/>
          <w:szCs w:val="22"/>
        </w:rPr>
        <w:t>Gastrointestinal Stromal Tumor</w:t>
      </w:r>
      <w:r w:rsidRPr="00CD729C">
        <w:rPr>
          <w:color w:val="000000"/>
          <w:szCs w:val="22"/>
        </w:rPr>
        <w:t xml:space="preserve"> -GIST)</w:t>
      </w:r>
      <w:r w:rsidR="004042E7" w:rsidRPr="00CD729C">
        <w:rPr>
          <w:color w:val="000000"/>
          <w:szCs w:val="22"/>
        </w:rPr>
        <w:t xml:space="preserve"> ārstēšanai</w:t>
      </w:r>
      <w:r w:rsidRPr="00CD729C">
        <w:rPr>
          <w:color w:val="000000"/>
          <w:szCs w:val="22"/>
        </w:rPr>
        <w:t>.</w:t>
      </w:r>
    </w:p>
    <w:p w14:paraId="3D3943B0" w14:textId="77777777" w:rsidR="00563C1C" w:rsidRPr="00CD729C" w:rsidRDefault="00563C1C" w:rsidP="009B4BB6">
      <w:pPr>
        <w:widowControl w:val="0"/>
        <w:numPr>
          <w:ilvl w:val="0"/>
          <w:numId w:val="12"/>
        </w:numPr>
        <w:tabs>
          <w:tab w:val="clear" w:pos="720"/>
          <w:tab w:val="num" w:pos="567"/>
        </w:tabs>
        <w:spacing w:line="240" w:lineRule="auto"/>
        <w:ind w:left="567" w:hanging="567"/>
        <w:rPr>
          <w:color w:val="000000"/>
          <w:szCs w:val="22"/>
        </w:rPr>
      </w:pPr>
      <w:r w:rsidRPr="00CD729C">
        <w:rPr>
          <w:color w:val="000000"/>
          <w:szCs w:val="22"/>
        </w:rPr>
        <w:t>pieauguš</w:t>
      </w:r>
      <w:r w:rsidR="00F80239" w:rsidRPr="00CD729C">
        <w:rPr>
          <w:color w:val="000000"/>
          <w:szCs w:val="22"/>
        </w:rPr>
        <w:t>o</w:t>
      </w:r>
      <w:r w:rsidRPr="00CD729C">
        <w:rPr>
          <w:color w:val="000000"/>
          <w:szCs w:val="22"/>
        </w:rPr>
        <w:t xml:space="preserve"> pacient</w:t>
      </w:r>
      <w:r w:rsidR="00F80239" w:rsidRPr="00CD729C">
        <w:rPr>
          <w:color w:val="000000"/>
          <w:szCs w:val="22"/>
        </w:rPr>
        <w:t>u</w:t>
      </w:r>
      <w:r w:rsidRPr="00CD729C">
        <w:rPr>
          <w:color w:val="000000"/>
          <w:szCs w:val="22"/>
        </w:rPr>
        <w:t xml:space="preserve"> </w:t>
      </w:r>
      <w:r w:rsidR="00541141" w:rsidRPr="00CD729C">
        <w:rPr>
          <w:color w:val="000000"/>
          <w:szCs w:val="22"/>
        </w:rPr>
        <w:t xml:space="preserve">ar nozīmīgu recidīva risku </w:t>
      </w:r>
      <w:r w:rsidR="00F80239" w:rsidRPr="00CD729C">
        <w:rPr>
          <w:color w:val="000000"/>
          <w:szCs w:val="22"/>
        </w:rPr>
        <w:t>pēc</w:t>
      </w:r>
      <w:r w:rsidRPr="00CD729C">
        <w:rPr>
          <w:color w:val="000000"/>
          <w:szCs w:val="22"/>
        </w:rPr>
        <w:t xml:space="preserve"> Kit (CD117)-pozitīva GIST rezekcijas</w:t>
      </w:r>
      <w:r w:rsidR="00541141" w:rsidRPr="00CD729C">
        <w:rPr>
          <w:color w:val="000000"/>
          <w:szCs w:val="22"/>
        </w:rPr>
        <w:t xml:space="preserve"> adjuvantai ārstēšanai</w:t>
      </w:r>
      <w:r w:rsidRPr="00CD729C">
        <w:rPr>
          <w:color w:val="000000"/>
          <w:szCs w:val="22"/>
        </w:rPr>
        <w:t xml:space="preserve">. </w:t>
      </w:r>
      <w:r w:rsidR="00BD2002" w:rsidRPr="00CD729C">
        <w:rPr>
          <w:color w:val="000000"/>
          <w:szCs w:val="22"/>
        </w:rPr>
        <w:t>Pacienti, kuriem ir zems vai ļoti zems recidīva risks</w:t>
      </w:r>
      <w:r w:rsidR="00BD6421" w:rsidRPr="00CD729C">
        <w:rPr>
          <w:color w:val="000000"/>
          <w:szCs w:val="22"/>
        </w:rPr>
        <w:t>,</w:t>
      </w:r>
      <w:r w:rsidR="00BD2002" w:rsidRPr="00CD729C">
        <w:rPr>
          <w:color w:val="000000"/>
          <w:szCs w:val="22"/>
        </w:rPr>
        <w:t xml:space="preserve"> nedrīkst saņemt adjuvantu ārstēšanu.</w:t>
      </w:r>
    </w:p>
    <w:p w14:paraId="3D3943B1" w14:textId="77777777" w:rsidR="00563C1C" w:rsidRPr="00CD729C" w:rsidRDefault="00563C1C" w:rsidP="009B4BB6">
      <w:pPr>
        <w:widowControl w:val="0"/>
        <w:numPr>
          <w:ilvl w:val="0"/>
          <w:numId w:val="13"/>
        </w:numPr>
        <w:tabs>
          <w:tab w:val="clear" w:pos="720"/>
          <w:tab w:val="num" w:pos="567"/>
        </w:tabs>
        <w:spacing w:line="240" w:lineRule="auto"/>
        <w:ind w:left="567" w:hanging="567"/>
        <w:rPr>
          <w:color w:val="000000"/>
          <w:szCs w:val="22"/>
        </w:rPr>
      </w:pPr>
      <w:r w:rsidRPr="00CD729C">
        <w:rPr>
          <w:color w:val="000000"/>
          <w:szCs w:val="22"/>
        </w:rPr>
        <w:t>pieauguš</w:t>
      </w:r>
      <w:r w:rsidR="001931D5" w:rsidRPr="00CD729C">
        <w:rPr>
          <w:color w:val="000000"/>
          <w:szCs w:val="22"/>
        </w:rPr>
        <w:t>o</w:t>
      </w:r>
      <w:r w:rsidRPr="00CD729C">
        <w:rPr>
          <w:color w:val="000000"/>
          <w:szCs w:val="22"/>
        </w:rPr>
        <w:t xml:space="preserve"> pacient</w:t>
      </w:r>
      <w:r w:rsidR="001931D5" w:rsidRPr="00CD729C">
        <w:rPr>
          <w:color w:val="000000"/>
          <w:szCs w:val="22"/>
        </w:rPr>
        <w:t>u</w:t>
      </w:r>
      <w:r w:rsidRPr="00CD729C">
        <w:rPr>
          <w:color w:val="000000"/>
          <w:szCs w:val="22"/>
        </w:rPr>
        <w:t xml:space="preserve"> ar nerezecējamu </w:t>
      </w:r>
      <w:r w:rsidRPr="00CD729C">
        <w:rPr>
          <w:i/>
          <w:color w:val="000000"/>
          <w:szCs w:val="22"/>
        </w:rPr>
        <w:t>dermatofibrosarcoma protuberans</w:t>
      </w:r>
      <w:r w:rsidRPr="00CD729C">
        <w:rPr>
          <w:color w:val="000000"/>
          <w:szCs w:val="22"/>
        </w:rPr>
        <w:t xml:space="preserve"> (DFSP) un pieauguš</w:t>
      </w:r>
      <w:r w:rsidR="00987514" w:rsidRPr="00CD729C">
        <w:rPr>
          <w:color w:val="000000"/>
          <w:szCs w:val="22"/>
        </w:rPr>
        <w:t>o pacientu</w:t>
      </w:r>
      <w:r w:rsidRPr="00CD729C">
        <w:rPr>
          <w:color w:val="000000"/>
          <w:szCs w:val="22"/>
        </w:rPr>
        <w:t xml:space="preserve"> ar recidivējošu un/vai metastazējošu </w:t>
      </w:r>
      <w:r w:rsidRPr="00CD729C">
        <w:rPr>
          <w:color w:val="000000"/>
        </w:rPr>
        <w:t>DFSP</w:t>
      </w:r>
      <w:r w:rsidR="001931D5" w:rsidRPr="00CD729C">
        <w:rPr>
          <w:color w:val="000000"/>
        </w:rPr>
        <w:t xml:space="preserve"> ārstēšanai</w:t>
      </w:r>
      <w:r w:rsidRPr="00CD729C">
        <w:rPr>
          <w:color w:val="000000"/>
        </w:rPr>
        <w:t xml:space="preserve">, kam nav piemērojama </w:t>
      </w:r>
      <w:r w:rsidRPr="00CD729C">
        <w:rPr>
          <w:color w:val="000000"/>
        </w:rPr>
        <w:lastRenderedPageBreak/>
        <w:t>ķirurģiska ārstēšana</w:t>
      </w:r>
      <w:r w:rsidRPr="00CD729C">
        <w:rPr>
          <w:color w:val="000000"/>
          <w:szCs w:val="22"/>
        </w:rPr>
        <w:t>.</w:t>
      </w:r>
    </w:p>
    <w:p w14:paraId="3D3943B2" w14:textId="77777777" w:rsidR="00563C1C" w:rsidRPr="00CD729C" w:rsidRDefault="00563C1C" w:rsidP="009B4BB6">
      <w:pPr>
        <w:widowControl w:val="0"/>
        <w:tabs>
          <w:tab w:val="clear" w:pos="567"/>
        </w:tabs>
        <w:spacing w:line="240" w:lineRule="auto"/>
        <w:rPr>
          <w:color w:val="000000"/>
          <w:szCs w:val="22"/>
        </w:rPr>
      </w:pPr>
    </w:p>
    <w:p w14:paraId="3D3943B3" w14:textId="77777777" w:rsidR="00563C1C" w:rsidRPr="00CD729C" w:rsidRDefault="00563C1C" w:rsidP="009B4BB6">
      <w:pPr>
        <w:widowControl w:val="0"/>
        <w:tabs>
          <w:tab w:val="clear" w:pos="567"/>
        </w:tabs>
        <w:spacing w:line="240" w:lineRule="auto"/>
        <w:rPr>
          <w:color w:val="000000"/>
          <w:szCs w:val="22"/>
        </w:rPr>
      </w:pPr>
      <w:r w:rsidRPr="00CD729C">
        <w:rPr>
          <w:color w:val="000000"/>
          <w:szCs w:val="22"/>
        </w:rPr>
        <w:t xml:space="preserve">Glivec efektivitāti pieaugušiem un pediatrijas pacientiem pamato kopējās hematoloģiskās un šūnu veidošanās reakcijas pakāpe, kā arī dzīvildze bez CML progresijas, hematoloģiskā un citoģenētiskā atbildreakcijas pakāpe Ph+ ALL, MDS/MPD, hematoloģiskā atbildreakcijas pakāpe HES/CEL un objektīvas reakcijas pakāpe pieaugušiem pacientiem nerezecējama un/vai metastazējuša GIST un DFSP gadījumā, un dzīvildze bez adjuvanta GIST recidīva. Pieredze par Glivec lietošanu pacientiem ar MDS/MPD, kas saistīta ar </w:t>
      </w:r>
      <w:r w:rsidRPr="00CD729C">
        <w:rPr>
          <w:snapToGrid w:val="0"/>
          <w:color w:val="000000"/>
          <w:szCs w:val="22"/>
        </w:rPr>
        <w:t>PDGFR gēnu pārkārtošanos</w:t>
      </w:r>
      <w:r w:rsidRPr="00CD729C">
        <w:rPr>
          <w:color w:val="000000"/>
          <w:szCs w:val="22"/>
        </w:rPr>
        <w:t xml:space="preserve"> ir ļoti ierobežota (skatīt 5.1</w:t>
      </w:r>
      <w:r w:rsidR="00A031F4" w:rsidRPr="00CD729C">
        <w:rPr>
          <w:color w:val="000000"/>
          <w:szCs w:val="22"/>
        </w:rPr>
        <w:t>.</w:t>
      </w:r>
      <w:r w:rsidR="00E85BDC" w:rsidRPr="00CD729C">
        <w:rPr>
          <w:color w:val="000000"/>
          <w:szCs w:val="22"/>
        </w:rPr>
        <w:t> apakšpunktu</w:t>
      </w:r>
      <w:r w:rsidRPr="00CD729C">
        <w:rPr>
          <w:color w:val="000000"/>
          <w:szCs w:val="22"/>
        </w:rPr>
        <w:t>). Nav kontrolētu pētījumu, kas pierādītu klīnisku ieguvumu vai lielāku dzīvildzi attiecībā uz šo slimību izņemot nesen diagnosticētas hroniskas fāzes CML gadījumā.</w:t>
      </w:r>
    </w:p>
    <w:p w14:paraId="3D3943B4" w14:textId="77777777" w:rsidR="00563C1C" w:rsidRPr="00CD729C" w:rsidRDefault="00563C1C" w:rsidP="009B4BB6">
      <w:pPr>
        <w:widowControl w:val="0"/>
        <w:tabs>
          <w:tab w:val="clear" w:pos="567"/>
        </w:tabs>
        <w:spacing w:line="240" w:lineRule="auto"/>
        <w:rPr>
          <w:color w:val="000000"/>
          <w:szCs w:val="22"/>
        </w:rPr>
      </w:pPr>
    </w:p>
    <w:p w14:paraId="3D3943B5"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4.2</w:t>
      </w:r>
      <w:r w:rsidR="001440B0" w:rsidRPr="00CD729C">
        <w:rPr>
          <w:b/>
          <w:color w:val="000000"/>
          <w:szCs w:val="22"/>
        </w:rPr>
        <w:t>.</w:t>
      </w:r>
      <w:r w:rsidRPr="00CD729C">
        <w:rPr>
          <w:b/>
          <w:color w:val="000000"/>
          <w:szCs w:val="22"/>
        </w:rPr>
        <w:tab/>
        <w:t>Devas un lietošanas veids</w:t>
      </w:r>
    </w:p>
    <w:p w14:paraId="3D3943B6" w14:textId="77777777" w:rsidR="005117C7" w:rsidRPr="00CD729C" w:rsidRDefault="005117C7" w:rsidP="009B4BB6">
      <w:pPr>
        <w:keepNext/>
        <w:widowControl w:val="0"/>
        <w:tabs>
          <w:tab w:val="clear" w:pos="567"/>
        </w:tabs>
        <w:spacing w:line="240" w:lineRule="auto"/>
        <w:rPr>
          <w:color w:val="000000"/>
          <w:szCs w:val="22"/>
        </w:rPr>
      </w:pPr>
    </w:p>
    <w:p w14:paraId="3D3943B7"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Terapija ir jāuzsāk ārstam</w:t>
      </w:r>
      <w:r w:rsidR="00E2143A" w:rsidRPr="00CD729C">
        <w:rPr>
          <w:color w:val="000000"/>
          <w:szCs w:val="22"/>
        </w:rPr>
        <w:t>, kam ir pacientu ar attiecīgām hematoloģiskām ļaundabīgām slimībām un ļaundabīgām sarkomām</w:t>
      </w:r>
      <w:r w:rsidRPr="00CD729C">
        <w:rPr>
          <w:color w:val="000000"/>
          <w:szCs w:val="22"/>
        </w:rPr>
        <w:t xml:space="preserve"> ārstēšanas pieredz</w:t>
      </w:r>
      <w:r w:rsidR="00E2143A" w:rsidRPr="00CD729C">
        <w:rPr>
          <w:color w:val="000000"/>
          <w:szCs w:val="22"/>
        </w:rPr>
        <w:t>e</w:t>
      </w:r>
      <w:r w:rsidRPr="00CD729C">
        <w:rPr>
          <w:color w:val="000000"/>
          <w:szCs w:val="22"/>
        </w:rPr>
        <w:t>.</w:t>
      </w:r>
    </w:p>
    <w:p w14:paraId="3D3943B8" w14:textId="77777777" w:rsidR="005117C7" w:rsidRPr="00CD729C" w:rsidRDefault="005117C7" w:rsidP="009B4BB6">
      <w:pPr>
        <w:widowControl w:val="0"/>
        <w:tabs>
          <w:tab w:val="clear" w:pos="567"/>
        </w:tabs>
        <w:spacing w:line="240" w:lineRule="auto"/>
        <w:rPr>
          <w:color w:val="000000"/>
          <w:szCs w:val="22"/>
        </w:rPr>
      </w:pPr>
    </w:p>
    <w:p w14:paraId="3D3943B9"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 xml:space="preserve">Ordinēto devu </w:t>
      </w:r>
      <w:r w:rsidR="00BD6FF3" w:rsidRPr="00CD729C">
        <w:rPr>
          <w:color w:val="000000"/>
          <w:szCs w:val="22"/>
        </w:rPr>
        <w:t>lieto iekšķīgi</w:t>
      </w:r>
      <w:r w:rsidR="00DD2211" w:rsidRPr="00CD729C">
        <w:rPr>
          <w:color w:val="000000"/>
          <w:szCs w:val="22"/>
        </w:rPr>
        <w:t xml:space="preserve"> kopā</w:t>
      </w:r>
      <w:r w:rsidRPr="00CD729C">
        <w:rPr>
          <w:color w:val="000000"/>
          <w:szCs w:val="22"/>
        </w:rPr>
        <w:t xml:space="preserve"> ar ēdienu vai lielu glāzi ūdens, lai mazinātu kuņģa-zarnu trakta kairinājuma risku.</w:t>
      </w:r>
      <w:r w:rsidR="00437271" w:rsidRPr="00CD729C">
        <w:rPr>
          <w:color w:val="000000"/>
          <w:szCs w:val="22"/>
        </w:rPr>
        <w:t xml:space="preserve"> </w:t>
      </w:r>
      <w:r w:rsidRPr="00CD729C">
        <w:rPr>
          <w:color w:val="000000"/>
          <w:szCs w:val="22"/>
        </w:rPr>
        <w:t>400</w:t>
      </w:r>
      <w:r w:rsidR="009215DC" w:rsidRPr="00CD729C">
        <w:rPr>
          <w:color w:val="000000"/>
          <w:szCs w:val="22"/>
        </w:rPr>
        <w:t> </w:t>
      </w:r>
      <w:r w:rsidRPr="00CD729C">
        <w:rPr>
          <w:color w:val="000000"/>
          <w:szCs w:val="22"/>
        </w:rPr>
        <w:t>mg un 600</w:t>
      </w:r>
      <w:r w:rsidR="009215DC" w:rsidRPr="00CD729C">
        <w:rPr>
          <w:color w:val="000000"/>
          <w:szCs w:val="22"/>
        </w:rPr>
        <w:t> </w:t>
      </w:r>
      <w:r w:rsidRPr="00CD729C">
        <w:rPr>
          <w:color w:val="000000"/>
          <w:szCs w:val="22"/>
        </w:rPr>
        <w:t>mg devas jālieto reizi dienā, bet 800</w:t>
      </w:r>
      <w:r w:rsidR="009215DC" w:rsidRPr="00CD729C">
        <w:rPr>
          <w:color w:val="000000"/>
          <w:szCs w:val="22"/>
        </w:rPr>
        <w:t> </w:t>
      </w:r>
      <w:r w:rsidRPr="00CD729C">
        <w:rPr>
          <w:color w:val="000000"/>
          <w:szCs w:val="22"/>
        </w:rPr>
        <w:t>mg dienas deva jālieto pa 400</w:t>
      </w:r>
      <w:r w:rsidR="009215DC" w:rsidRPr="00CD729C">
        <w:rPr>
          <w:color w:val="000000"/>
          <w:szCs w:val="22"/>
        </w:rPr>
        <w:t> </w:t>
      </w:r>
      <w:r w:rsidRPr="00CD729C">
        <w:rPr>
          <w:color w:val="000000"/>
          <w:szCs w:val="22"/>
        </w:rPr>
        <w:t xml:space="preserve">mg divreiz dienā, no rīta un </w:t>
      </w:r>
      <w:r w:rsidR="00DD2211" w:rsidRPr="00CD729C">
        <w:rPr>
          <w:color w:val="000000"/>
          <w:szCs w:val="22"/>
        </w:rPr>
        <w:t>vakarā. Pacientiem</w:t>
      </w:r>
      <w:r w:rsidRPr="00CD729C">
        <w:rPr>
          <w:color w:val="000000"/>
          <w:szCs w:val="22"/>
        </w:rPr>
        <w:t xml:space="preserve"> (bērniem), kas kapsulu norīt nespēj, to saturu atļauts šķīdināt glāzē negāzēta ūdens vai ābolu sulas. Tā kā pētījumi ar dzīvniekiem liecina, ka preparāts toksiski ietekmē fertilitāti, un potenciālais risks cilvēka auglim nav zināms, fertilas sievietes, kas atver šī preparāta kapsulas, ir jābrīdina, ka ar kapsulu saturu jāapietas piesardzīgi un ir jāizvairās no tā saskares ar ādu un acīm, kā arī </w:t>
      </w:r>
      <w:r w:rsidR="00BD6FF3" w:rsidRPr="00CD729C">
        <w:rPr>
          <w:color w:val="000000"/>
          <w:szCs w:val="22"/>
        </w:rPr>
        <w:t xml:space="preserve">jāizvairās </w:t>
      </w:r>
      <w:r w:rsidRPr="00CD729C">
        <w:rPr>
          <w:color w:val="000000"/>
          <w:szCs w:val="22"/>
        </w:rPr>
        <w:t>to ieelpot (sk</w:t>
      </w:r>
      <w:r w:rsidR="00A64570" w:rsidRPr="00CD729C">
        <w:rPr>
          <w:color w:val="000000"/>
          <w:szCs w:val="22"/>
        </w:rPr>
        <w:t>atīt</w:t>
      </w:r>
      <w:r w:rsidRPr="00CD729C">
        <w:rPr>
          <w:color w:val="000000"/>
          <w:szCs w:val="22"/>
        </w:rPr>
        <w:t xml:space="preserve"> 4.6</w:t>
      </w:r>
      <w:r w:rsidR="001440B0" w:rsidRPr="00CD729C">
        <w:rPr>
          <w:color w:val="000000"/>
          <w:szCs w:val="22"/>
        </w:rPr>
        <w:t>.</w:t>
      </w:r>
      <w:r w:rsidR="00E85BDC" w:rsidRPr="00CD729C">
        <w:rPr>
          <w:color w:val="000000"/>
          <w:szCs w:val="22"/>
        </w:rPr>
        <w:t> apakšpunktu</w:t>
      </w:r>
      <w:r w:rsidRPr="00CD729C">
        <w:rPr>
          <w:color w:val="000000"/>
          <w:szCs w:val="22"/>
        </w:rPr>
        <w:t>). Pēc kapsulu atvēršanas tūlīt jāmazgā rokas.</w:t>
      </w:r>
    </w:p>
    <w:p w14:paraId="3D3943BA" w14:textId="77777777" w:rsidR="005117C7" w:rsidRPr="00CD729C" w:rsidRDefault="005117C7" w:rsidP="009B4BB6">
      <w:pPr>
        <w:widowControl w:val="0"/>
        <w:tabs>
          <w:tab w:val="clear" w:pos="567"/>
        </w:tabs>
        <w:spacing w:line="240" w:lineRule="auto"/>
        <w:rPr>
          <w:color w:val="000000"/>
          <w:szCs w:val="22"/>
        </w:rPr>
      </w:pPr>
    </w:p>
    <w:p w14:paraId="3D3943BB" w14:textId="77777777" w:rsidR="005117C7" w:rsidRPr="00CD729C" w:rsidRDefault="005117C7" w:rsidP="009B4BB6">
      <w:pPr>
        <w:keepNext/>
        <w:widowControl w:val="0"/>
        <w:tabs>
          <w:tab w:val="clear" w:pos="567"/>
        </w:tabs>
        <w:spacing w:line="240" w:lineRule="auto"/>
        <w:rPr>
          <w:color w:val="000000"/>
          <w:szCs w:val="22"/>
          <w:u w:val="single"/>
        </w:rPr>
      </w:pPr>
      <w:r w:rsidRPr="00CD729C">
        <w:rPr>
          <w:color w:val="000000"/>
          <w:szCs w:val="22"/>
          <w:u w:val="single"/>
        </w:rPr>
        <w:t>Devas CML terapijai</w:t>
      </w:r>
      <w:r w:rsidR="00F253A4" w:rsidRPr="00CD729C">
        <w:rPr>
          <w:color w:val="000000"/>
          <w:szCs w:val="22"/>
          <w:u w:val="single"/>
        </w:rPr>
        <w:t xml:space="preserve"> pieaugušajiem</w:t>
      </w:r>
    </w:p>
    <w:p w14:paraId="3D3943BC"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P</w:t>
      </w:r>
      <w:r w:rsidR="00D448E8" w:rsidRPr="00CD729C">
        <w:rPr>
          <w:color w:val="000000"/>
          <w:szCs w:val="22"/>
        </w:rPr>
        <w:t>ieaugušiem p</w:t>
      </w:r>
      <w:r w:rsidRPr="00CD729C">
        <w:rPr>
          <w:color w:val="000000"/>
          <w:szCs w:val="22"/>
        </w:rPr>
        <w:t>acientiem ar hronisku CML ieteicamā Glivec deva ir 400 mg dienā. CML</w:t>
      </w:r>
      <w:r w:rsidRPr="00CD729C">
        <w:rPr>
          <w:i/>
          <w:color w:val="000000"/>
          <w:szCs w:val="22"/>
        </w:rPr>
        <w:t xml:space="preserve"> </w:t>
      </w:r>
      <w:r w:rsidRPr="00CD729C">
        <w:rPr>
          <w:color w:val="000000"/>
          <w:szCs w:val="22"/>
        </w:rPr>
        <w:t>hronisko fāzi definē sekojoši kritēriji: blastu daudzums asinīs un kaulu smadzenēs &lt;15%, bazofilu daudzums perifērajās asinīs &lt;20%, trombocītu daudzums pārsniedz &gt;100 x 10</w:t>
      </w:r>
      <w:r w:rsidRPr="00CD729C">
        <w:rPr>
          <w:color w:val="000000"/>
          <w:szCs w:val="22"/>
          <w:vertAlign w:val="superscript"/>
        </w:rPr>
        <w:t>9</w:t>
      </w:r>
      <w:r w:rsidRPr="00CD729C">
        <w:rPr>
          <w:color w:val="000000"/>
          <w:szCs w:val="22"/>
        </w:rPr>
        <w:t>/l.</w:t>
      </w:r>
    </w:p>
    <w:p w14:paraId="3D3943BD" w14:textId="77777777" w:rsidR="005117C7" w:rsidRPr="00CD729C" w:rsidRDefault="005117C7" w:rsidP="009B4BB6">
      <w:pPr>
        <w:widowControl w:val="0"/>
        <w:tabs>
          <w:tab w:val="clear" w:pos="567"/>
        </w:tabs>
        <w:spacing w:line="240" w:lineRule="auto"/>
        <w:rPr>
          <w:color w:val="000000"/>
          <w:szCs w:val="22"/>
        </w:rPr>
      </w:pPr>
    </w:p>
    <w:p w14:paraId="3D3943BE"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P</w:t>
      </w:r>
      <w:r w:rsidR="00D448E8" w:rsidRPr="00CD729C">
        <w:rPr>
          <w:color w:val="000000"/>
          <w:szCs w:val="22"/>
        </w:rPr>
        <w:t>ieaugušiem p</w:t>
      </w:r>
      <w:r w:rsidRPr="00CD729C">
        <w:rPr>
          <w:color w:val="000000"/>
          <w:szCs w:val="22"/>
        </w:rPr>
        <w:t xml:space="preserve">acientiem akcelerācijas fāzē ieteicamā Glivec deva ir 600 mg dienā. Akcelerācijas fāzi definē jebkurš no sekojošiem parametriem: blastu daudzums </w:t>
      </w:r>
      <w:r w:rsidRPr="00CD729C">
        <w:rPr>
          <w:color w:val="000000"/>
          <w:szCs w:val="22"/>
        </w:rPr>
        <w:sym w:font="Symbol" w:char="F0B3"/>
      </w:r>
      <w:r w:rsidRPr="00CD729C">
        <w:rPr>
          <w:rStyle w:val="CommentReference"/>
          <w:color w:val="000000"/>
          <w:sz w:val="22"/>
          <w:szCs w:val="22"/>
        </w:rPr>
        <w:t>1</w:t>
      </w:r>
      <w:r w:rsidRPr="00CD729C">
        <w:rPr>
          <w:color w:val="000000"/>
          <w:szCs w:val="22"/>
        </w:rPr>
        <w:t xml:space="preserve">5%, bet asinīs vai kaulu smadzenēs &lt;30%, blastu un promielocītu daudzums asinīs vai kaulu smadzenēs </w:t>
      </w:r>
      <w:r w:rsidRPr="00CD729C">
        <w:rPr>
          <w:color w:val="000000"/>
          <w:szCs w:val="22"/>
        </w:rPr>
        <w:sym w:font="Symbol" w:char="F0B3"/>
      </w:r>
      <w:r w:rsidRPr="00CD729C">
        <w:rPr>
          <w:color w:val="000000"/>
          <w:szCs w:val="22"/>
        </w:rPr>
        <w:t>30% (nodrošina &lt;30% blastu), bazofil</w:t>
      </w:r>
      <w:r w:rsidR="002443A3" w:rsidRPr="00CD729C">
        <w:rPr>
          <w:color w:val="000000"/>
          <w:szCs w:val="22"/>
        </w:rPr>
        <w:t>u</w:t>
      </w:r>
      <w:r w:rsidRPr="00CD729C">
        <w:rPr>
          <w:color w:val="000000"/>
          <w:szCs w:val="22"/>
        </w:rPr>
        <w:t xml:space="preserve"> daudzums perifērajās asinīs </w:t>
      </w:r>
      <w:r w:rsidRPr="00CD729C">
        <w:rPr>
          <w:color w:val="000000"/>
          <w:szCs w:val="22"/>
        </w:rPr>
        <w:sym w:font="Symbol" w:char="F0B3"/>
      </w:r>
      <w:r w:rsidRPr="00CD729C">
        <w:rPr>
          <w:color w:val="000000"/>
          <w:szCs w:val="22"/>
        </w:rPr>
        <w:t>20%, trombocītu daudzums neatkarīgi no terapijas &lt;100 x 10</w:t>
      </w:r>
      <w:r w:rsidRPr="00CD729C">
        <w:rPr>
          <w:color w:val="000000"/>
          <w:szCs w:val="22"/>
          <w:vertAlign w:val="superscript"/>
        </w:rPr>
        <w:t>9</w:t>
      </w:r>
      <w:r w:rsidRPr="00CD729C">
        <w:rPr>
          <w:color w:val="000000"/>
          <w:szCs w:val="22"/>
        </w:rPr>
        <w:t>/l.</w:t>
      </w:r>
    </w:p>
    <w:p w14:paraId="3D3943BF" w14:textId="77777777" w:rsidR="005117C7" w:rsidRPr="00CD729C" w:rsidRDefault="005117C7" w:rsidP="009B4BB6">
      <w:pPr>
        <w:widowControl w:val="0"/>
        <w:tabs>
          <w:tab w:val="clear" w:pos="567"/>
        </w:tabs>
        <w:spacing w:line="240" w:lineRule="auto"/>
        <w:rPr>
          <w:color w:val="000000"/>
          <w:szCs w:val="22"/>
        </w:rPr>
      </w:pPr>
    </w:p>
    <w:p w14:paraId="3D3943C0" w14:textId="77777777" w:rsidR="005117C7" w:rsidRPr="00CD729C" w:rsidRDefault="005117C7" w:rsidP="009B4BB6">
      <w:pPr>
        <w:widowControl w:val="0"/>
        <w:spacing w:line="240" w:lineRule="auto"/>
        <w:rPr>
          <w:color w:val="000000"/>
          <w:szCs w:val="22"/>
        </w:rPr>
      </w:pPr>
      <w:r w:rsidRPr="00CD729C">
        <w:rPr>
          <w:color w:val="000000"/>
          <w:szCs w:val="22"/>
        </w:rPr>
        <w:t>Glivec rekomendējamā deva p</w:t>
      </w:r>
      <w:r w:rsidR="00D448E8" w:rsidRPr="00CD729C">
        <w:rPr>
          <w:color w:val="000000"/>
          <w:szCs w:val="22"/>
        </w:rPr>
        <w:t>ieaugušiem p</w:t>
      </w:r>
      <w:r w:rsidRPr="00CD729C">
        <w:rPr>
          <w:color w:val="000000"/>
          <w:szCs w:val="22"/>
        </w:rPr>
        <w:t xml:space="preserve">acientiem blastu krīzes gadījumā ir 600 mg/dienā. Blastu krīze tiek definēta </w:t>
      </w:r>
      <w:r w:rsidR="00BD6FF3" w:rsidRPr="00CD729C">
        <w:rPr>
          <w:color w:val="000000"/>
          <w:szCs w:val="22"/>
        </w:rPr>
        <w:t>kā</w:t>
      </w:r>
      <w:r w:rsidRPr="00CD729C">
        <w:rPr>
          <w:color w:val="000000"/>
          <w:szCs w:val="22"/>
        </w:rPr>
        <w:t xml:space="preserve"> blastu skaits asinīs vai kaulu smadzenēs </w:t>
      </w:r>
      <w:r w:rsidRPr="00CD729C">
        <w:rPr>
          <w:color w:val="000000"/>
          <w:szCs w:val="22"/>
        </w:rPr>
        <w:sym w:font="Symbol" w:char="F0B3"/>
      </w:r>
      <w:r w:rsidRPr="00CD729C">
        <w:rPr>
          <w:color w:val="000000"/>
          <w:szCs w:val="22"/>
        </w:rPr>
        <w:t>30% vai ekstramedulārā slimība izteiktāka nekā hepatosplenomegālija.</w:t>
      </w:r>
    </w:p>
    <w:p w14:paraId="3D3943C1" w14:textId="77777777" w:rsidR="005117C7" w:rsidRPr="00CD729C" w:rsidRDefault="005117C7" w:rsidP="009B4BB6">
      <w:pPr>
        <w:widowControl w:val="0"/>
        <w:tabs>
          <w:tab w:val="clear" w:pos="567"/>
        </w:tabs>
        <w:spacing w:line="240" w:lineRule="auto"/>
        <w:rPr>
          <w:color w:val="000000"/>
          <w:szCs w:val="22"/>
        </w:rPr>
      </w:pPr>
    </w:p>
    <w:p w14:paraId="3D3943C2"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 xml:space="preserve">Terapijas ilgums: </w:t>
      </w:r>
      <w:r w:rsidR="00BD6FF3" w:rsidRPr="00CD729C">
        <w:rPr>
          <w:color w:val="000000"/>
          <w:szCs w:val="22"/>
        </w:rPr>
        <w:t>k</w:t>
      </w:r>
      <w:r w:rsidRPr="00CD729C">
        <w:rPr>
          <w:color w:val="000000"/>
          <w:szCs w:val="22"/>
        </w:rPr>
        <w:t>līnisko pētījumu laikā Glivec terapiju turpināja līdz slimības progresijai. Terapijas pārtraukšanas sekas pēc tam, kad panākta pilnīga citoģenētiska atbildes reakcija, nav noskaidrota.</w:t>
      </w:r>
    </w:p>
    <w:p w14:paraId="3D3943C3" w14:textId="77777777" w:rsidR="005117C7" w:rsidRPr="00CD729C" w:rsidRDefault="005117C7" w:rsidP="009B4BB6">
      <w:pPr>
        <w:widowControl w:val="0"/>
        <w:tabs>
          <w:tab w:val="clear" w:pos="567"/>
        </w:tabs>
        <w:spacing w:line="240" w:lineRule="auto"/>
        <w:rPr>
          <w:color w:val="000000"/>
          <w:szCs w:val="22"/>
        </w:rPr>
      </w:pPr>
    </w:p>
    <w:p w14:paraId="3D3943C4"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Iespēju palielināt devu no 400 mg līdz 600 mg vai 800</w:t>
      </w:r>
      <w:r w:rsidR="009215DC" w:rsidRPr="00CD729C">
        <w:rPr>
          <w:color w:val="000000"/>
          <w:szCs w:val="22"/>
        </w:rPr>
        <w:t> </w:t>
      </w:r>
      <w:r w:rsidRPr="00CD729C">
        <w:rPr>
          <w:color w:val="000000"/>
          <w:szCs w:val="22"/>
        </w:rPr>
        <w:t>mg pacientiem hroniskajā slimības fāzē vai no 600 mg līdz ne vairāk kā 800 mg (</w:t>
      </w:r>
      <w:r w:rsidR="000A4340" w:rsidRPr="00CD729C">
        <w:rPr>
          <w:color w:val="000000"/>
          <w:szCs w:val="22"/>
        </w:rPr>
        <w:t>lieto</w:t>
      </w:r>
      <w:r w:rsidRPr="00CD729C">
        <w:rPr>
          <w:color w:val="000000"/>
          <w:szCs w:val="22"/>
        </w:rPr>
        <w:t xml:space="preserve"> pa 400 mg 2 reizes dienā) pacientiem akcelerācijas vai blastu krīzes fāzē iespējams apsvērt gadījumā, ja nenovēro smagas nevēlamas blakusparādības vai smagu, ar leik</w:t>
      </w:r>
      <w:r w:rsidR="00A10624" w:rsidRPr="00CD729C">
        <w:rPr>
          <w:color w:val="000000"/>
          <w:szCs w:val="22"/>
        </w:rPr>
        <w:t>ozi</w:t>
      </w:r>
      <w:r w:rsidRPr="00CD729C">
        <w:rPr>
          <w:color w:val="000000"/>
          <w:szCs w:val="22"/>
        </w:rPr>
        <w:t xml:space="preserve"> nesaistītu neitropēniju vai trombocitopēniju sekojošos apstākļos: slimības progresija (jebkurā laikā), apmierinošu hematoloģisku reakciju neizdodas sasniegt pēc vismaz 3 mēnešus ilgas terapijas; citoģenēt</w:t>
      </w:r>
      <w:r w:rsidR="0028312A" w:rsidRPr="00CD729C">
        <w:rPr>
          <w:color w:val="000000"/>
          <w:szCs w:val="22"/>
        </w:rPr>
        <w:t>is</w:t>
      </w:r>
      <w:r w:rsidRPr="00CD729C">
        <w:rPr>
          <w:color w:val="000000"/>
          <w:szCs w:val="22"/>
        </w:rPr>
        <w:t>ku reakciju neizdodas sasniegt pēc 12</w:t>
      </w:r>
      <w:r w:rsidR="009215DC" w:rsidRPr="00CD729C">
        <w:rPr>
          <w:color w:val="000000"/>
          <w:szCs w:val="22"/>
        </w:rPr>
        <w:t> </w:t>
      </w:r>
      <w:r w:rsidRPr="00CD729C">
        <w:rPr>
          <w:color w:val="000000"/>
          <w:szCs w:val="22"/>
        </w:rPr>
        <w:t>mēnešus ilgas terapijas; vai iepriekš sasniegtās hematoloģiskās un/vai citoģenētiskās reakcijas zaudējums. Ievērojot faktu, ka, lietojot lielākas preparāta devas, var pieaugt nevēlamo blakusparādību biežums, pacienti pēc tam, kad šo zāļu deva palielināta, ir rūpīgi jākontrolē.</w:t>
      </w:r>
    </w:p>
    <w:p w14:paraId="3D3943C5" w14:textId="77777777" w:rsidR="005117C7" w:rsidRPr="00CD729C" w:rsidRDefault="005117C7" w:rsidP="009B4BB6">
      <w:pPr>
        <w:widowControl w:val="0"/>
        <w:tabs>
          <w:tab w:val="clear" w:pos="567"/>
        </w:tabs>
        <w:spacing w:line="240" w:lineRule="auto"/>
        <w:rPr>
          <w:color w:val="000000"/>
          <w:szCs w:val="22"/>
        </w:rPr>
      </w:pPr>
    </w:p>
    <w:p w14:paraId="3D3943C6" w14:textId="77777777" w:rsidR="00F253A4" w:rsidRPr="00CD729C" w:rsidRDefault="00F253A4" w:rsidP="009B4BB6">
      <w:pPr>
        <w:keepNext/>
        <w:widowControl w:val="0"/>
        <w:tabs>
          <w:tab w:val="clear" w:pos="567"/>
        </w:tabs>
        <w:spacing w:line="240" w:lineRule="auto"/>
        <w:rPr>
          <w:color w:val="000000"/>
          <w:szCs w:val="22"/>
        </w:rPr>
      </w:pPr>
      <w:r w:rsidRPr="00CD729C">
        <w:rPr>
          <w:color w:val="000000"/>
          <w:szCs w:val="22"/>
          <w:u w:val="single"/>
        </w:rPr>
        <w:t xml:space="preserve">Devas CML terapijai </w:t>
      </w:r>
      <w:r w:rsidR="0013252E" w:rsidRPr="00CD729C">
        <w:rPr>
          <w:color w:val="000000"/>
          <w:szCs w:val="22"/>
          <w:u w:val="single"/>
        </w:rPr>
        <w:t>bērniem</w:t>
      </w:r>
    </w:p>
    <w:p w14:paraId="3D3943C7"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Devas bērniem jānosaka, ievērojot to ķermeņa virsmas laukumu (mg/m</w:t>
      </w:r>
      <w:r w:rsidRPr="00CD729C">
        <w:rPr>
          <w:color w:val="000000"/>
          <w:szCs w:val="22"/>
          <w:vertAlign w:val="superscript"/>
        </w:rPr>
        <w:t>2</w:t>
      </w:r>
      <w:r w:rsidRPr="00CD729C">
        <w:rPr>
          <w:color w:val="000000"/>
          <w:szCs w:val="22"/>
        </w:rPr>
        <w:t>). Bērniem ar hronisku un progresējušu CML</w:t>
      </w:r>
      <w:r w:rsidRPr="00CD729C">
        <w:rPr>
          <w:i/>
          <w:color w:val="000000"/>
          <w:szCs w:val="22"/>
        </w:rPr>
        <w:t xml:space="preserve"> </w:t>
      </w:r>
      <w:r w:rsidRPr="00CD729C">
        <w:rPr>
          <w:color w:val="000000"/>
          <w:szCs w:val="22"/>
        </w:rPr>
        <w:t>ir ieteicamas attiecīgi 340 mg/m</w:t>
      </w:r>
      <w:r w:rsidRPr="00CD729C">
        <w:rPr>
          <w:color w:val="000000"/>
          <w:szCs w:val="22"/>
          <w:vertAlign w:val="superscript"/>
        </w:rPr>
        <w:t>2</w:t>
      </w:r>
      <w:r w:rsidRPr="00CD729C">
        <w:rPr>
          <w:color w:val="000000"/>
          <w:szCs w:val="22"/>
        </w:rPr>
        <w:t xml:space="preserve"> liela preparāta dienas deva</w:t>
      </w:r>
      <w:r w:rsidR="00F253A4" w:rsidRPr="00CD729C">
        <w:rPr>
          <w:color w:val="000000"/>
          <w:szCs w:val="22"/>
        </w:rPr>
        <w:t xml:space="preserve"> (nepārsniegt kopējo devu 800 mg)</w:t>
      </w:r>
      <w:r w:rsidRPr="00CD729C">
        <w:rPr>
          <w:color w:val="000000"/>
          <w:szCs w:val="22"/>
        </w:rPr>
        <w:t xml:space="preserve">. Devu atļauts </w:t>
      </w:r>
      <w:r w:rsidR="00F147D5" w:rsidRPr="00CD729C">
        <w:rPr>
          <w:color w:val="000000"/>
          <w:szCs w:val="22"/>
        </w:rPr>
        <w:t>lietot</w:t>
      </w:r>
      <w:r w:rsidRPr="00CD729C">
        <w:rPr>
          <w:color w:val="000000"/>
          <w:szCs w:val="22"/>
        </w:rPr>
        <w:t xml:space="preserve"> vienā reizē vai sadalīt 2 daļās, no kurām vienu </w:t>
      </w:r>
      <w:r w:rsidR="000A4340" w:rsidRPr="00CD729C">
        <w:rPr>
          <w:color w:val="000000"/>
          <w:szCs w:val="22"/>
        </w:rPr>
        <w:t>lieto</w:t>
      </w:r>
      <w:r w:rsidRPr="00CD729C">
        <w:rPr>
          <w:color w:val="000000"/>
          <w:szCs w:val="22"/>
        </w:rPr>
        <w:t xml:space="preserve"> no rīta, otru – vakarā. Pediatriskajai praksei ieteiktās devas pašlaik pamato no ļoti neliela pacientu skaita iegūti dati </w:t>
      </w:r>
      <w:r w:rsidRPr="00CD729C">
        <w:rPr>
          <w:color w:val="000000"/>
          <w:szCs w:val="22"/>
        </w:rPr>
        <w:lastRenderedPageBreak/>
        <w:t>(sk</w:t>
      </w:r>
      <w:r w:rsidR="00A64570" w:rsidRPr="00CD729C">
        <w:rPr>
          <w:color w:val="000000"/>
          <w:szCs w:val="22"/>
        </w:rPr>
        <w:t>atīt</w:t>
      </w:r>
      <w:r w:rsidRPr="00CD729C">
        <w:rPr>
          <w:color w:val="000000"/>
          <w:szCs w:val="22"/>
        </w:rPr>
        <w:t xml:space="preserve"> 5.1</w:t>
      </w:r>
      <w:r w:rsidR="001440B0" w:rsidRPr="00CD729C">
        <w:rPr>
          <w:color w:val="000000"/>
          <w:szCs w:val="22"/>
        </w:rPr>
        <w:t>.</w:t>
      </w:r>
      <w:r w:rsidRPr="00CD729C">
        <w:rPr>
          <w:color w:val="000000"/>
          <w:szCs w:val="22"/>
        </w:rPr>
        <w:t xml:space="preserve"> un 5.2</w:t>
      </w:r>
      <w:r w:rsidR="001440B0" w:rsidRPr="00CD729C">
        <w:rPr>
          <w:color w:val="000000"/>
          <w:szCs w:val="22"/>
        </w:rPr>
        <w:t>.</w:t>
      </w:r>
      <w:r w:rsidR="00E85BDC" w:rsidRPr="00CD729C">
        <w:rPr>
          <w:color w:val="000000"/>
          <w:szCs w:val="22"/>
        </w:rPr>
        <w:t> apakšpunktu</w:t>
      </w:r>
      <w:r w:rsidRPr="00CD729C">
        <w:rPr>
          <w:color w:val="000000"/>
          <w:szCs w:val="22"/>
        </w:rPr>
        <w:t xml:space="preserve">). Par bērnu, kuru vecums nepārsniedz </w:t>
      </w:r>
      <w:r w:rsidR="00F253A4" w:rsidRPr="00CD729C">
        <w:rPr>
          <w:color w:val="000000"/>
          <w:szCs w:val="22"/>
        </w:rPr>
        <w:t>2 </w:t>
      </w:r>
      <w:r w:rsidRPr="00CD729C">
        <w:rPr>
          <w:color w:val="000000"/>
          <w:szCs w:val="22"/>
        </w:rPr>
        <w:t>gadus, ārstēšanu pieredzes nav.</w:t>
      </w:r>
    </w:p>
    <w:p w14:paraId="3D3943C8" w14:textId="77777777" w:rsidR="00F253A4" w:rsidRPr="00CD729C" w:rsidRDefault="00F253A4" w:rsidP="009B4BB6">
      <w:pPr>
        <w:widowControl w:val="0"/>
        <w:spacing w:line="240" w:lineRule="auto"/>
        <w:rPr>
          <w:color w:val="000000"/>
        </w:rPr>
      </w:pPr>
    </w:p>
    <w:p w14:paraId="3D3943C9" w14:textId="77777777" w:rsidR="00F253A4" w:rsidRPr="00CD729C" w:rsidRDefault="00F253A4" w:rsidP="009B4BB6">
      <w:pPr>
        <w:widowControl w:val="0"/>
        <w:tabs>
          <w:tab w:val="clear" w:pos="567"/>
        </w:tabs>
        <w:spacing w:line="240" w:lineRule="auto"/>
        <w:rPr>
          <w:color w:val="000000"/>
          <w:szCs w:val="22"/>
        </w:rPr>
      </w:pPr>
      <w:r w:rsidRPr="00CD729C">
        <w:rPr>
          <w:color w:val="000000"/>
          <w:szCs w:val="22"/>
        </w:rPr>
        <w:t>Devas palielināšana no 340 mg/m</w:t>
      </w:r>
      <w:r w:rsidRPr="00CD729C">
        <w:rPr>
          <w:color w:val="000000"/>
          <w:szCs w:val="22"/>
          <w:vertAlign w:val="superscript"/>
        </w:rPr>
        <w:t>2</w:t>
      </w:r>
      <w:r w:rsidRPr="00CD729C">
        <w:rPr>
          <w:color w:val="000000"/>
          <w:szCs w:val="22"/>
        </w:rPr>
        <w:t xml:space="preserve"> dienā uz 570 mg/m</w:t>
      </w:r>
      <w:r w:rsidRPr="00CD729C">
        <w:rPr>
          <w:color w:val="000000"/>
          <w:szCs w:val="22"/>
          <w:vertAlign w:val="superscript"/>
        </w:rPr>
        <w:t>2</w:t>
      </w:r>
      <w:r w:rsidRPr="00CD729C">
        <w:rPr>
          <w:color w:val="000000"/>
          <w:szCs w:val="22"/>
        </w:rPr>
        <w:t xml:space="preserve"> dienā (nepārsniegt kopējo devu 800 mg) var tikt apsvērta bērniem, kuriem nenovēro smagas nevēlamas blakusparādības vai smagu, ar leik</w:t>
      </w:r>
      <w:r w:rsidR="00A10624" w:rsidRPr="00CD729C">
        <w:rPr>
          <w:color w:val="000000"/>
          <w:szCs w:val="22"/>
        </w:rPr>
        <w:t>ozi</w:t>
      </w:r>
      <w:r w:rsidRPr="00CD729C">
        <w:rPr>
          <w:color w:val="000000"/>
          <w:szCs w:val="22"/>
        </w:rPr>
        <w:t xml:space="preserve"> nesaistītu neitropēniju vai trombocitopēniju sekojošos apstākļos: slimības progresija (jebkurā laikā), apmierinošu hematoloģisku reakciju neizdodas sasniegt pēc vismaz 3 mēnešus ilgas terapijas; citoģenētisku reakciju neizdodas sasniegt pēc 12 mēnešus ilgas terapijas; vai iepriekš sasniegtās hematoloģiskās un/vai citoģenētiskās reakcijas zaudējums. Ievērojot faktu, ka, lietojot lielākas preparāta devas, var pieaugt nevēlamo blakusparādību biežums, pacienti pēc tam, kad šo zāļu deva palielināta, ir rūpīgi jākontrolē.</w:t>
      </w:r>
    </w:p>
    <w:p w14:paraId="3D3943CA" w14:textId="77777777" w:rsidR="005F067E" w:rsidRPr="00CD729C" w:rsidRDefault="005F067E" w:rsidP="009B4BB6">
      <w:pPr>
        <w:widowControl w:val="0"/>
        <w:tabs>
          <w:tab w:val="clear" w:pos="567"/>
        </w:tabs>
        <w:spacing w:line="240" w:lineRule="auto"/>
        <w:rPr>
          <w:color w:val="000000"/>
          <w:szCs w:val="22"/>
        </w:rPr>
      </w:pPr>
    </w:p>
    <w:p w14:paraId="3D3943CB" w14:textId="77777777" w:rsidR="005F067E" w:rsidRPr="00CD729C" w:rsidRDefault="005F067E" w:rsidP="009B4BB6">
      <w:pPr>
        <w:keepNext/>
        <w:widowControl w:val="0"/>
        <w:tabs>
          <w:tab w:val="clear" w:pos="567"/>
        </w:tabs>
        <w:spacing w:line="240" w:lineRule="auto"/>
        <w:rPr>
          <w:color w:val="000000"/>
          <w:szCs w:val="22"/>
          <w:u w:val="single"/>
        </w:rPr>
      </w:pPr>
      <w:r w:rsidRPr="00CD729C">
        <w:rPr>
          <w:color w:val="000000"/>
          <w:szCs w:val="22"/>
          <w:u w:val="single"/>
        </w:rPr>
        <w:t>Devas Ph+ ALL terapijai</w:t>
      </w:r>
      <w:r w:rsidR="007423D1" w:rsidRPr="00CD729C">
        <w:rPr>
          <w:color w:val="000000"/>
          <w:szCs w:val="22"/>
          <w:u w:val="single"/>
        </w:rPr>
        <w:t xml:space="preserve"> pieaugušiem pacientiem</w:t>
      </w:r>
    </w:p>
    <w:p w14:paraId="3D3943CC" w14:textId="77777777" w:rsidR="005F067E" w:rsidRPr="00CD729C" w:rsidRDefault="005F067E" w:rsidP="009B4BB6">
      <w:pPr>
        <w:widowControl w:val="0"/>
        <w:tabs>
          <w:tab w:val="clear" w:pos="567"/>
        </w:tabs>
        <w:spacing w:line="240" w:lineRule="auto"/>
        <w:rPr>
          <w:color w:val="000000"/>
          <w:szCs w:val="22"/>
        </w:rPr>
      </w:pPr>
      <w:r w:rsidRPr="00CD729C">
        <w:rPr>
          <w:color w:val="000000"/>
          <w:szCs w:val="22"/>
        </w:rPr>
        <w:t>P</w:t>
      </w:r>
      <w:r w:rsidR="00915D73" w:rsidRPr="00CD729C">
        <w:rPr>
          <w:color w:val="000000"/>
          <w:szCs w:val="22"/>
        </w:rPr>
        <w:t>ieaugušiem p</w:t>
      </w:r>
      <w:r w:rsidRPr="00CD729C">
        <w:rPr>
          <w:color w:val="000000"/>
          <w:szCs w:val="22"/>
        </w:rPr>
        <w:t>acientiem ar Ph+ ALL ieteicamā Glivec deva ir 600 mg dienā.</w:t>
      </w:r>
      <w:r w:rsidRPr="00CD729C">
        <w:rPr>
          <w:rFonts w:eastAsia="MS Mincho"/>
          <w:color w:val="000000"/>
          <w:lang w:eastAsia="ja-JP"/>
        </w:rPr>
        <w:t xml:space="preserve"> Hematoloģijas ekspertiem, lai nodrošinātu slimības kontroli, jānodrošina pacientu uzraudzība visās ārstēšanas fāzēs.</w:t>
      </w:r>
    </w:p>
    <w:p w14:paraId="3D3943CD" w14:textId="77777777" w:rsidR="005F067E" w:rsidRPr="00CD729C" w:rsidRDefault="005F067E" w:rsidP="009B4BB6">
      <w:pPr>
        <w:widowControl w:val="0"/>
        <w:spacing w:line="240" w:lineRule="auto"/>
        <w:rPr>
          <w:color w:val="000000"/>
        </w:rPr>
      </w:pPr>
    </w:p>
    <w:p w14:paraId="3D3943CE" w14:textId="77777777" w:rsidR="005F067E" w:rsidRPr="00CD729C" w:rsidRDefault="005F067E" w:rsidP="009B4BB6">
      <w:pPr>
        <w:widowControl w:val="0"/>
        <w:spacing w:line="240" w:lineRule="auto"/>
        <w:rPr>
          <w:rFonts w:eastAsia="MS Mincho"/>
          <w:color w:val="000000"/>
          <w:lang w:eastAsia="ja-JP"/>
        </w:rPr>
      </w:pPr>
      <w:r w:rsidRPr="00CD729C">
        <w:rPr>
          <w:rFonts w:eastAsia="MS Mincho"/>
          <w:color w:val="000000"/>
          <w:lang w:eastAsia="ja-JP"/>
        </w:rPr>
        <w:t xml:space="preserve">Terapijas režīms: </w:t>
      </w:r>
      <w:r w:rsidR="001F1C35" w:rsidRPr="00CD729C">
        <w:rPr>
          <w:rFonts w:eastAsia="MS Mincho"/>
          <w:color w:val="000000"/>
          <w:lang w:eastAsia="ja-JP"/>
        </w:rPr>
        <w:t>pamatojoties</w:t>
      </w:r>
      <w:r w:rsidRPr="00CD729C">
        <w:rPr>
          <w:rFonts w:eastAsia="MS Mincho"/>
          <w:color w:val="000000"/>
          <w:lang w:eastAsia="ja-JP"/>
        </w:rPr>
        <w:t xml:space="preserve"> uz iegūtajiem datiem, Glivec uzrādījis pietiekamu efektivitāti un droš</w:t>
      </w:r>
      <w:r w:rsidR="00743B0B">
        <w:rPr>
          <w:rFonts w:eastAsia="MS Mincho"/>
          <w:color w:val="000000"/>
          <w:lang w:eastAsia="ja-JP"/>
        </w:rPr>
        <w:t>um</w:t>
      </w:r>
      <w:r w:rsidRPr="00CD729C">
        <w:rPr>
          <w:rFonts w:eastAsia="MS Mincho"/>
          <w:color w:val="000000"/>
          <w:lang w:eastAsia="ja-JP"/>
        </w:rPr>
        <w:t>u lietojot 600 mg/dienā devu kombinācijā ar ķīmijterapiju indukcijas fāzē, konsolidācijas un uzturošajās fāzēs (skatīt 5.1</w:t>
      </w:r>
      <w:r w:rsidR="001440B0" w:rsidRPr="00CD729C">
        <w:rPr>
          <w:rFonts w:eastAsia="MS Mincho"/>
          <w:color w:val="000000"/>
          <w:lang w:eastAsia="ja-JP"/>
        </w:rPr>
        <w:t>.</w:t>
      </w:r>
      <w:r w:rsidR="00E85BDC" w:rsidRPr="00CD729C">
        <w:rPr>
          <w:color w:val="000000"/>
          <w:szCs w:val="22"/>
        </w:rPr>
        <w:t> apakšpunktu</w:t>
      </w:r>
      <w:r w:rsidRPr="00CD729C">
        <w:rPr>
          <w:rFonts w:eastAsia="MS Mincho"/>
          <w:color w:val="000000"/>
          <w:lang w:eastAsia="ja-JP"/>
        </w:rPr>
        <w:t>) pieaugušajiem ar no jauna diagnosticētu Ph+ALL. Terapijas ilgums ar Glivec var atšķirties atkarībā no izvēlētās ārstēšanas programmas, bet kopumā ilgāka ārstēšana ar Glivec devusi labākus rezultātus.</w:t>
      </w:r>
    </w:p>
    <w:p w14:paraId="3D3943CF" w14:textId="77777777" w:rsidR="005F067E" w:rsidRPr="00CD729C" w:rsidRDefault="005F067E" w:rsidP="009B4BB6">
      <w:pPr>
        <w:widowControl w:val="0"/>
        <w:spacing w:line="240" w:lineRule="auto"/>
        <w:rPr>
          <w:rFonts w:eastAsia="MS Mincho"/>
          <w:color w:val="000000"/>
          <w:lang w:eastAsia="ja-JP"/>
        </w:rPr>
      </w:pPr>
    </w:p>
    <w:p w14:paraId="3D3943D0" w14:textId="77777777" w:rsidR="005F067E" w:rsidRPr="00CD729C" w:rsidRDefault="005F067E" w:rsidP="009B4BB6">
      <w:pPr>
        <w:widowControl w:val="0"/>
        <w:spacing w:line="240" w:lineRule="auto"/>
        <w:rPr>
          <w:color w:val="000000"/>
        </w:rPr>
      </w:pPr>
      <w:r w:rsidRPr="00CD729C">
        <w:rPr>
          <w:rFonts w:eastAsia="MS Mincho"/>
          <w:color w:val="000000"/>
          <w:lang w:eastAsia="ja-JP"/>
        </w:rPr>
        <w:t>Pieaugušajiem ar recidivējošu vai refraktāru Ph+ALL Glivec monoterapija ar 600 mg/dienā devu ir droša, efektīva un var tikt pielietota līdz slimības progresijai.</w:t>
      </w:r>
    </w:p>
    <w:p w14:paraId="3D3943D1" w14:textId="77777777" w:rsidR="007423D1" w:rsidRPr="00CD729C" w:rsidRDefault="007423D1" w:rsidP="009B4BB6">
      <w:pPr>
        <w:widowControl w:val="0"/>
        <w:spacing w:line="240" w:lineRule="auto"/>
        <w:rPr>
          <w:rFonts w:eastAsia="MS Mincho"/>
          <w:color w:val="000000"/>
          <w:lang w:eastAsia="ja-JP"/>
        </w:rPr>
      </w:pPr>
    </w:p>
    <w:p w14:paraId="3D3943D2" w14:textId="77777777" w:rsidR="007423D1" w:rsidRPr="00CD729C" w:rsidRDefault="007423D1" w:rsidP="009B4BB6">
      <w:pPr>
        <w:keepNext/>
        <w:widowControl w:val="0"/>
        <w:spacing w:line="240" w:lineRule="auto"/>
        <w:rPr>
          <w:rFonts w:eastAsia="MS Mincho"/>
          <w:color w:val="000000"/>
          <w:u w:val="single"/>
          <w:lang w:eastAsia="ja-JP"/>
        </w:rPr>
      </w:pPr>
      <w:r w:rsidRPr="00CD729C">
        <w:rPr>
          <w:rFonts w:eastAsia="MS Mincho"/>
          <w:color w:val="000000"/>
          <w:u w:val="single"/>
          <w:lang w:eastAsia="ja-JP"/>
        </w:rPr>
        <w:t>Devas Ph+ ALL terapijai pediatrijas pacientiem</w:t>
      </w:r>
    </w:p>
    <w:p w14:paraId="3D3943D3" w14:textId="77777777" w:rsidR="007423D1" w:rsidRPr="00CD729C" w:rsidRDefault="003D2627" w:rsidP="009B4BB6">
      <w:pPr>
        <w:widowControl w:val="0"/>
        <w:spacing w:line="240" w:lineRule="auto"/>
        <w:rPr>
          <w:color w:val="000000"/>
        </w:rPr>
      </w:pPr>
      <w:r w:rsidRPr="00CD729C">
        <w:rPr>
          <w:color w:val="000000"/>
          <w:szCs w:val="22"/>
        </w:rPr>
        <w:t>Devas bērniem jānosaka, ievērojot to ķermeņa virsmas laukumu (mg/m</w:t>
      </w:r>
      <w:r w:rsidRPr="00CD729C">
        <w:rPr>
          <w:color w:val="000000"/>
          <w:szCs w:val="22"/>
          <w:vertAlign w:val="superscript"/>
        </w:rPr>
        <w:t>2</w:t>
      </w:r>
      <w:r w:rsidRPr="00CD729C">
        <w:rPr>
          <w:color w:val="000000"/>
          <w:szCs w:val="22"/>
        </w:rPr>
        <w:t>).</w:t>
      </w:r>
      <w:r w:rsidR="007423D1" w:rsidRPr="00CD729C">
        <w:rPr>
          <w:color w:val="000000"/>
          <w:szCs w:val="22"/>
        </w:rPr>
        <w:t xml:space="preserve"> </w:t>
      </w:r>
      <w:r w:rsidR="00D75927" w:rsidRPr="00CD729C">
        <w:rPr>
          <w:color w:val="000000"/>
          <w:szCs w:val="22"/>
        </w:rPr>
        <w:t xml:space="preserve">Bērniem ar </w:t>
      </w:r>
      <w:r w:rsidR="00D75927" w:rsidRPr="00CD729C">
        <w:rPr>
          <w:rFonts w:eastAsia="MS Mincho"/>
          <w:color w:val="000000"/>
          <w:lang w:eastAsia="ja-JP"/>
        </w:rPr>
        <w:t xml:space="preserve">Ph+ALL </w:t>
      </w:r>
      <w:r w:rsidRPr="00CD729C">
        <w:rPr>
          <w:color w:val="000000"/>
          <w:szCs w:val="22"/>
        </w:rPr>
        <w:t>ir ieteicama attiecīgi 340 mg/m</w:t>
      </w:r>
      <w:r w:rsidRPr="00CD729C">
        <w:rPr>
          <w:color w:val="000000"/>
          <w:szCs w:val="22"/>
          <w:vertAlign w:val="superscript"/>
        </w:rPr>
        <w:t>2</w:t>
      </w:r>
      <w:r w:rsidRPr="00CD729C">
        <w:rPr>
          <w:color w:val="000000"/>
          <w:szCs w:val="22"/>
        </w:rPr>
        <w:t xml:space="preserve"> liela zāļu dienas deva (nepārsniegt kopējo devu 600 mg).</w:t>
      </w:r>
    </w:p>
    <w:p w14:paraId="3D3943D4" w14:textId="77777777" w:rsidR="00741BD7" w:rsidRPr="00CD729C" w:rsidRDefault="00741BD7" w:rsidP="009B4BB6">
      <w:pPr>
        <w:widowControl w:val="0"/>
        <w:tabs>
          <w:tab w:val="clear" w:pos="567"/>
        </w:tabs>
        <w:spacing w:line="240" w:lineRule="auto"/>
        <w:rPr>
          <w:color w:val="000000"/>
          <w:szCs w:val="22"/>
        </w:rPr>
      </w:pPr>
    </w:p>
    <w:p w14:paraId="3D3943D5" w14:textId="77777777" w:rsidR="00741BD7" w:rsidRPr="00CD729C" w:rsidRDefault="00741BD7" w:rsidP="009B4BB6">
      <w:pPr>
        <w:keepNext/>
        <w:widowControl w:val="0"/>
        <w:tabs>
          <w:tab w:val="clear" w:pos="567"/>
        </w:tabs>
        <w:spacing w:line="240" w:lineRule="auto"/>
        <w:rPr>
          <w:color w:val="000000"/>
          <w:szCs w:val="22"/>
          <w:u w:val="single"/>
        </w:rPr>
      </w:pPr>
      <w:r w:rsidRPr="00CD729C">
        <w:rPr>
          <w:color w:val="000000"/>
          <w:szCs w:val="22"/>
          <w:u w:val="single"/>
        </w:rPr>
        <w:t>Devas MDS/MPD terapijai</w:t>
      </w:r>
    </w:p>
    <w:p w14:paraId="3D3943D6" w14:textId="77777777" w:rsidR="00741BD7" w:rsidRPr="00CD729C" w:rsidRDefault="00741BD7" w:rsidP="009B4BB6">
      <w:pPr>
        <w:widowControl w:val="0"/>
        <w:tabs>
          <w:tab w:val="clear" w:pos="567"/>
        </w:tabs>
        <w:spacing w:line="240" w:lineRule="auto"/>
        <w:rPr>
          <w:color w:val="000000"/>
          <w:szCs w:val="22"/>
        </w:rPr>
      </w:pPr>
      <w:r w:rsidRPr="00CD729C">
        <w:rPr>
          <w:color w:val="000000"/>
          <w:szCs w:val="22"/>
        </w:rPr>
        <w:t>P</w:t>
      </w:r>
      <w:r w:rsidR="00DF33CA" w:rsidRPr="00CD729C">
        <w:rPr>
          <w:color w:val="000000"/>
          <w:szCs w:val="22"/>
        </w:rPr>
        <w:t>ieaugušiem p</w:t>
      </w:r>
      <w:r w:rsidRPr="00CD729C">
        <w:rPr>
          <w:color w:val="000000"/>
          <w:szCs w:val="22"/>
        </w:rPr>
        <w:t>acientiem ar MDS/MPD ieteicamā Glivec deva ir 400 mg dienā.</w:t>
      </w:r>
    </w:p>
    <w:p w14:paraId="3D3943D7" w14:textId="77777777" w:rsidR="00741BD7" w:rsidRPr="00CD729C" w:rsidRDefault="00741BD7" w:rsidP="009B4BB6">
      <w:pPr>
        <w:pStyle w:val="EndnoteText"/>
        <w:widowControl w:val="0"/>
        <w:tabs>
          <w:tab w:val="clear" w:pos="567"/>
        </w:tabs>
        <w:rPr>
          <w:color w:val="000000"/>
          <w:szCs w:val="22"/>
        </w:rPr>
      </w:pPr>
    </w:p>
    <w:p w14:paraId="3D3943D8" w14:textId="77777777" w:rsidR="008B34CE" w:rsidRPr="00CD729C" w:rsidRDefault="00802B04" w:rsidP="009B4BB6">
      <w:pPr>
        <w:pStyle w:val="EndnoteText"/>
        <w:widowControl w:val="0"/>
        <w:tabs>
          <w:tab w:val="clear" w:pos="567"/>
        </w:tabs>
        <w:rPr>
          <w:color w:val="000000"/>
          <w:szCs w:val="22"/>
        </w:rPr>
      </w:pPr>
      <w:r w:rsidRPr="00CD729C">
        <w:rPr>
          <w:color w:val="000000"/>
          <w:szCs w:val="22"/>
        </w:rPr>
        <w:t>Ārstēšanas ilgums</w:t>
      </w:r>
      <w:r w:rsidR="00741BD7" w:rsidRPr="00CD729C">
        <w:rPr>
          <w:color w:val="000000"/>
          <w:szCs w:val="22"/>
        </w:rPr>
        <w:t xml:space="preserve">: </w:t>
      </w:r>
      <w:r w:rsidR="001F1C35" w:rsidRPr="00CD729C">
        <w:rPr>
          <w:color w:val="000000"/>
          <w:szCs w:val="22"/>
        </w:rPr>
        <w:t>l</w:t>
      </w:r>
      <w:r w:rsidRPr="00CD729C">
        <w:rPr>
          <w:color w:val="000000"/>
          <w:szCs w:val="22"/>
        </w:rPr>
        <w:t>īdz šim vienīgajā veiktajā klīniskajā pētījumā</w:t>
      </w:r>
      <w:r w:rsidR="00741BD7" w:rsidRPr="00CD729C">
        <w:rPr>
          <w:color w:val="000000"/>
          <w:szCs w:val="22"/>
        </w:rPr>
        <w:t xml:space="preserve">, </w:t>
      </w:r>
      <w:r w:rsidRPr="00CD729C">
        <w:rPr>
          <w:color w:val="000000"/>
          <w:szCs w:val="22"/>
        </w:rPr>
        <w:t>ārstēšana ar Glivec tika turpināta līdz slimības progresijai</w:t>
      </w:r>
      <w:r w:rsidR="008B34CE" w:rsidRPr="00CD729C">
        <w:rPr>
          <w:color w:val="000000"/>
          <w:szCs w:val="22"/>
        </w:rPr>
        <w:t xml:space="preserve"> (skatīt 5.1</w:t>
      </w:r>
      <w:r w:rsidR="00A031F4" w:rsidRPr="00CD729C">
        <w:rPr>
          <w:color w:val="000000"/>
          <w:szCs w:val="22"/>
        </w:rPr>
        <w:t>.</w:t>
      </w:r>
      <w:r w:rsidR="00E85BDC" w:rsidRPr="00CD729C">
        <w:rPr>
          <w:color w:val="000000"/>
          <w:szCs w:val="22"/>
        </w:rPr>
        <w:t> apakšpunktu</w:t>
      </w:r>
      <w:r w:rsidR="008B34CE" w:rsidRPr="00CD729C">
        <w:rPr>
          <w:color w:val="000000"/>
          <w:szCs w:val="22"/>
        </w:rPr>
        <w:t>). Analīzes veikšanas brīdī vidējais ārstēšanas ilgums bija 47 mēneši (24 dienas - 60 mēneši).</w:t>
      </w:r>
    </w:p>
    <w:p w14:paraId="3D3943D9" w14:textId="77777777" w:rsidR="009F29DE" w:rsidRPr="00CD729C" w:rsidRDefault="009F29DE" w:rsidP="009B4BB6">
      <w:pPr>
        <w:pStyle w:val="EndnoteText"/>
        <w:widowControl w:val="0"/>
        <w:tabs>
          <w:tab w:val="clear" w:pos="567"/>
        </w:tabs>
        <w:rPr>
          <w:color w:val="000000"/>
          <w:szCs w:val="22"/>
        </w:rPr>
      </w:pPr>
    </w:p>
    <w:p w14:paraId="3D3943DA" w14:textId="77777777" w:rsidR="009F29DE" w:rsidRPr="00CD729C" w:rsidRDefault="009F29DE" w:rsidP="009B4BB6">
      <w:pPr>
        <w:keepNext/>
        <w:widowControl w:val="0"/>
        <w:spacing w:line="240" w:lineRule="auto"/>
        <w:rPr>
          <w:color w:val="000000"/>
          <w:u w:val="single"/>
        </w:rPr>
      </w:pPr>
      <w:r w:rsidRPr="00CD729C">
        <w:rPr>
          <w:color w:val="000000"/>
          <w:u w:val="single"/>
        </w:rPr>
        <w:t>Devas HES/CEL terapijai</w:t>
      </w:r>
    </w:p>
    <w:p w14:paraId="3D3943DB" w14:textId="77777777" w:rsidR="009F29DE" w:rsidRPr="00CD729C" w:rsidRDefault="009F29DE" w:rsidP="009B4BB6">
      <w:pPr>
        <w:widowControl w:val="0"/>
        <w:spacing w:line="240" w:lineRule="auto"/>
        <w:rPr>
          <w:color w:val="000000"/>
        </w:rPr>
      </w:pPr>
      <w:r w:rsidRPr="00CD729C">
        <w:rPr>
          <w:color w:val="000000"/>
        </w:rPr>
        <w:t>P</w:t>
      </w:r>
      <w:r w:rsidR="00920C5A" w:rsidRPr="00CD729C">
        <w:rPr>
          <w:color w:val="000000"/>
        </w:rPr>
        <w:t>ieaugušiem p</w:t>
      </w:r>
      <w:r w:rsidRPr="00CD729C">
        <w:rPr>
          <w:color w:val="000000"/>
        </w:rPr>
        <w:t>acientiem ar HES/CEL ieteicamā Glivec deva ir 100 mg dienā.</w:t>
      </w:r>
    </w:p>
    <w:p w14:paraId="3D3943DC" w14:textId="77777777" w:rsidR="009F29DE" w:rsidRPr="00CD729C" w:rsidRDefault="009F29DE" w:rsidP="009B4BB6">
      <w:pPr>
        <w:pStyle w:val="Text"/>
        <w:widowControl w:val="0"/>
        <w:spacing w:before="0"/>
        <w:jc w:val="left"/>
        <w:rPr>
          <w:color w:val="000000"/>
          <w:sz w:val="22"/>
          <w:szCs w:val="22"/>
          <w:lang w:val="lv-LV"/>
        </w:rPr>
      </w:pPr>
    </w:p>
    <w:p w14:paraId="3D3943DD" w14:textId="77777777" w:rsidR="009F29DE" w:rsidRPr="00CD729C" w:rsidRDefault="009F29DE" w:rsidP="009B4BB6">
      <w:pPr>
        <w:pStyle w:val="Text"/>
        <w:widowControl w:val="0"/>
        <w:spacing w:before="0"/>
        <w:jc w:val="left"/>
        <w:rPr>
          <w:color w:val="000000"/>
          <w:sz w:val="22"/>
          <w:szCs w:val="22"/>
          <w:lang w:val="lv-LV"/>
        </w:rPr>
      </w:pPr>
      <w:r w:rsidRPr="00CD729C">
        <w:rPr>
          <w:color w:val="000000"/>
          <w:sz w:val="22"/>
          <w:szCs w:val="22"/>
          <w:lang w:val="lv-LV"/>
        </w:rPr>
        <w:t>Šiem pacientiem var apsvērt devas palielināšanu no 100 mg līdz 400 mg, ja nav blakusparādību un novērtējums liecina par nepietiekamu atbildreakciju pret terapiju.</w:t>
      </w:r>
    </w:p>
    <w:p w14:paraId="3D3943DE" w14:textId="77777777" w:rsidR="00CC3164" w:rsidRPr="00CD729C" w:rsidRDefault="00CC3164" w:rsidP="009B4BB6">
      <w:pPr>
        <w:pStyle w:val="Text"/>
        <w:widowControl w:val="0"/>
        <w:spacing w:before="0"/>
        <w:jc w:val="left"/>
        <w:rPr>
          <w:color w:val="000000"/>
          <w:sz w:val="22"/>
          <w:szCs w:val="22"/>
          <w:lang w:val="lv-LV"/>
        </w:rPr>
      </w:pPr>
    </w:p>
    <w:p w14:paraId="3D3943DF" w14:textId="77777777" w:rsidR="005117C7" w:rsidRPr="00CD729C" w:rsidRDefault="00CC3164" w:rsidP="009B4BB6">
      <w:pPr>
        <w:widowControl w:val="0"/>
        <w:tabs>
          <w:tab w:val="clear" w:pos="567"/>
        </w:tabs>
        <w:spacing w:line="240" w:lineRule="auto"/>
        <w:rPr>
          <w:szCs w:val="22"/>
        </w:rPr>
      </w:pPr>
      <w:r w:rsidRPr="00CD729C">
        <w:rPr>
          <w:szCs w:val="22"/>
        </w:rPr>
        <w:t>Ārstēšana jāturpina tik ilgi, kamēr pacientam novēro uzlabošanos.</w:t>
      </w:r>
    </w:p>
    <w:p w14:paraId="3D3943E0" w14:textId="77777777" w:rsidR="00CC3164" w:rsidRPr="00CD729C" w:rsidRDefault="00CC3164" w:rsidP="009B4BB6">
      <w:pPr>
        <w:widowControl w:val="0"/>
        <w:tabs>
          <w:tab w:val="clear" w:pos="567"/>
        </w:tabs>
        <w:spacing w:line="240" w:lineRule="auto"/>
        <w:rPr>
          <w:color w:val="000000"/>
          <w:szCs w:val="22"/>
        </w:rPr>
      </w:pPr>
    </w:p>
    <w:p w14:paraId="3D3943E1" w14:textId="77777777" w:rsidR="00563C1C" w:rsidRPr="00CD729C" w:rsidRDefault="00563C1C" w:rsidP="009B4BB6">
      <w:pPr>
        <w:keepNext/>
        <w:widowControl w:val="0"/>
        <w:tabs>
          <w:tab w:val="clear" w:pos="567"/>
        </w:tabs>
        <w:spacing w:line="240" w:lineRule="auto"/>
        <w:rPr>
          <w:color w:val="000000"/>
          <w:szCs w:val="22"/>
          <w:u w:val="single"/>
        </w:rPr>
      </w:pPr>
      <w:r w:rsidRPr="00CD729C">
        <w:rPr>
          <w:color w:val="000000"/>
          <w:szCs w:val="22"/>
          <w:u w:val="single"/>
        </w:rPr>
        <w:t>Devas GIST terapijai</w:t>
      </w:r>
    </w:p>
    <w:p w14:paraId="3D3943E2" w14:textId="77777777" w:rsidR="00563C1C" w:rsidRPr="00CD729C" w:rsidRDefault="00563C1C" w:rsidP="009B4BB6">
      <w:pPr>
        <w:widowControl w:val="0"/>
        <w:tabs>
          <w:tab w:val="clear" w:pos="567"/>
        </w:tabs>
        <w:spacing w:line="240" w:lineRule="auto"/>
        <w:rPr>
          <w:color w:val="000000"/>
          <w:szCs w:val="22"/>
        </w:rPr>
      </w:pPr>
      <w:r w:rsidRPr="00CD729C">
        <w:rPr>
          <w:color w:val="000000"/>
          <w:szCs w:val="22"/>
        </w:rPr>
        <w:t>P</w:t>
      </w:r>
      <w:r w:rsidR="00694F5D" w:rsidRPr="00CD729C">
        <w:rPr>
          <w:color w:val="000000"/>
          <w:szCs w:val="22"/>
        </w:rPr>
        <w:t>ieaugušiem p</w:t>
      </w:r>
      <w:r w:rsidRPr="00CD729C">
        <w:rPr>
          <w:color w:val="000000"/>
          <w:szCs w:val="22"/>
        </w:rPr>
        <w:t>acientiem ar ļaundabīgu nerezecējamu un/vai metastazējušu GIST ieteicamā Glivec deva ir 400 mg dienā.</w:t>
      </w:r>
    </w:p>
    <w:p w14:paraId="3D3943E3" w14:textId="77777777" w:rsidR="00563C1C" w:rsidRPr="00CD729C" w:rsidRDefault="00563C1C" w:rsidP="009B4BB6">
      <w:pPr>
        <w:widowControl w:val="0"/>
        <w:tabs>
          <w:tab w:val="clear" w:pos="567"/>
        </w:tabs>
        <w:spacing w:line="240" w:lineRule="auto"/>
        <w:rPr>
          <w:color w:val="000000"/>
          <w:szCs w:val="22"/>
        </w:rPr>
      </w:pPr>
    </w:p>
    <w:p w14:paraId="3D3943E4" w14:textId="77777777" w:rsidR="00563C1C" w:rsidRPr="00CD729C" w:rsidRDefault="00563C1C" w:rsidP="009B4BB6">
      <w:pPr>
        <w:widowControl w:val="0"/>
        <w:tabs>
          <w:tab w:val="clear" w:pos="567"/>
        </w:tabs>
        <w:spacing w:line="240" w:lineRule="auto"/>
        <w:rPr>
          <w:color w:val="000000"/>
          <w:szCs w:val="22"/>
        </w:rPr>
      </w:pPr>
      <w:r w:rsidRPr="00CD729C">
        <w:rPr>
          <w:color w:val="000000"/>
          <w:szCs w:val="22"/>
        </w:rPr>
        <w:t>Datu apjoms par efektu, ko sniedz preparāta devas palielinājums no 400 mg līdz 600 mg vai 800 mg pacientiem, kam slimība progresē, lietojot zemāko devu, ir ierobežots (skatīt 5.1</w:t>
      </w:r>
      <w:r w:rsidR="001440B0" w:rsidRPr="00CD729C">
        <w:rPr>
          <w:color w:val="000000"/>
          <w:szCs w:val="22"/>
        </w:rPr>
        <w:t>.</w:t>
      </w:r>
      <w:r w:rsidR="00E85BDC" w:rsidRPr="00CD729C">
        <w:rPr>
          <w:color w:val="000000"/>
          <w:szCs w:val="22"/>
        </w:rPr>
        <w:t> apakšpunktu</w:t>
      </w:r>
      <w:r w:rsidRPr="00CD729C">
        <w:rPr>
          <w:color w:val="000000"/>
          <w:szCs w:val="22"/>
        </w:rPr>
        <w:t>).</w:t>
      </w:r>
    </w:p>
    <w:p w14:paraId="3D3943E5" w14:textId="77777777" w:rsidR="00563C1C" w:rsidRPr="00CD729C" w:rsidRDefault="00563C1C" w:rsidP="009B4BB6">
      <w:pPr>
        <w:widowControl w:val="0"/>
        <w:tabs>
          <w:tab w:val="clear" w:pos="567"/>
        </w:tabs>
        <w:spacing w:line="240" w:lineRule="auto"/>
        <w:rPr>
          <w:color w:val="000000"/>
          <w:szCs w:val="22"/>
        </w:rPr>
      </w:pPr>
    </w:p>
    <w:p w14:paraId="3D3943E6" w14:textId="77777777" w:rsidR="00563C1C" w:rsidRPr="00CD729C" w:rsidRDefault="00563C1C" w:rsidP="009B4BB6">
      <w:pPr>
        <w:widowControl w:val="0"/>
        <w:tabs>
          <w:tab w:val="clear" w:pos="567"/>
        </w:tabs>
        <w:spacing w:line="240" w:lineRule="auto"/>
        <w:rPr>
          <w:color w:val="000000"/>
          <w:szCs w:val="22"/>
        </w:rPr>
      </w:pPr>
      <w:r w:rsidRPr="00CD729C">
        <w:rPr>
          <w:color w:val="000000"/>
          <w:szCs w:val="22"/>
        </w:rPr>
        <w:t>Terapijas ilgums: klīnisko pētījumu laikā GIST slimniekiem terapiju turpināja līdz slimības progresijai. Laikā, kad tika analizēti iegūtie rezultāti, terapijas vidējais ilgums bija 7 mēneši (7 dienas līdz 13 mēneši). Terapijas pārtraukšanas ietekme pēc tam, kad ir panākta reakcija, nav noskaidrota.</w:t>
      </w:r>
    </w:p>
    <w:p w14:paraId="3D3943E7" w14:textId="77777777" w:rsidR="00563C1C" w:rsidRPr="00CD729C" w:rsidRDefault="00563C1C" w:rsidP="009B4BB6">
      <w:pPr>
        <w:widowControl w:val="0"/>
        <w:spacing w:line="240" w:lineRule="auto"/>
      </w:pPr>
    </w:p>
    <w:p w14:paraId="3D3943E8" w14:textId="77777777" w:rsidR="00563C1C" w:rsidRPr="00CD729C" w:rsidRDefault="00563C1C" w:rsidP="009B4BB6">
      <w:pPr>
        <w:widowControl w:val="0"/>
        <w:spacing w:line="240" w:lineRule="auto"/>
        <w:rPr>
          <w:color w:val="000000"/>
          <w:szCs w:val="22"/>
        </w:rPr>
      </w:pPr>
      <w:r w:rsidRPr="00CD729C">
        <w:rPr>
          <w:color w:val="000000"/>
          <w:szCs w:val="22"/>
        </w:rPr>
        <w:t xml:space="preserve">Pieaugušiem pacientiem pēc GIST rezekcijas ieteicamā </w:t>
      </w:r>
      <w:r w:rsidR="00E352EF" w:rsidRPr="00CD729C">
        <w:rPr>
          <w:color w:val="000000"/>
          <w:szCs w:val="22"/>
        </w:rPr>
        <w:t xml:space="preserve">adjuvantas terapijas </w:t>
      </w:r>
      <w:r w:rsidRPr="00CD729C">
        <w:rPr>
          <w:color w:val="000000"/>
          <w:szCs w:val="22"/>
        </w:rPr>
        <w:t xml:space="preserve">Glivec deva ir 400 mg/dienā. </w:t>
      </w:r>
      <w:r w:rsidR="00BD6421" w:rsidRPr="00CD729C">
        <w:rPr>
          <w:color w:val="000000"/>
          <w:szCs w:val="22"/>
        </w:rPr>
        <w:t xml:space="preserve">Ārstēšanas optimālais ilgums nav noteikts. Klīniskajos pētījumos pierādītais ārstēšanas </w:t>
      </w:r>
      <w:r w:rsidR="00BD6421" w:rsidRPr="00CD729C">
        <w:rPr>
          <w:color w:val="000000"/>
          <w:szCs w:val="22"/>
        </w:rPr>
        <w:lastRenderedPageBreak/>
        <w:t xml:space="preserve">ilgums šai indikācijai ir </w:t>
      </w:r>
      <w:r w:rsidR="000C6D50" w:rsidRPr="00CD729C">
        <w:rPr>
          <w:color w:val="000000"/>
          <w:szCs w:val="22"/>
        </w:rPr>
        <w:t>36</w:t>
      </w:r>
      <w:r w:rsidR="00BD6421" w:rsidRPr="00CD729C">
        <w:rPr>
          <w:color w:val="000000"/>
          <w:szCs w:val="22"/>
        </w:rPr>
        <w:t> mēneši</w:t>
      </w:r>
      <w:r w:rsidR="000C6D50" w:rsidRPr="00CD729C">
        <w:rPr>
          <w:color w:val="000000"/>
          <w:szCs w:val="22"/>
        </w:rPr>
        <w:t xml:space="preserve"> (skatīt 5.1</w:t>
      </w:r>
      <w:r w:rsidR="001440B0" w:rsidRPr="00CD729C">
        <w:rPr>
          <w:color w:val="000000"/>
          <w:szCs w:val="22"/>
        </w:rPr>
        <w:t>.</w:t>
      </w:r>
      <w:r w:rsidR="00E85BDC" w:rsidRPr="00CD729C">
        <w:rPr>
          <w:color w:val="000000"/>
          <w:szCs w:val="22"/>
        </w:rPr>
        <w:t> apakšpunktu</w:t>
      </w:r>
      <w:r w:rsidR="000C6D50" w:rsidRPr="00CD729C">
        <w:rPr>
          <w:color w:val="000000"/>
          <w:szCs w:val="22"/>
        </w:rPr>
        <w:t>)</w:t>
      </w:r>
      <w:r w:rsidR="00BD6421" w:rsidRPr="00CD729C">
        <w:rPr>
          <w:color w:val="000000"/>
          <w:szCs w:val="22"/>
        </w:rPr>
        <w:t>.</w:t>
      </w:r>
    </w:p>
    <w:p w14:paraId="3D3943E9" w14:textId="77777777" w:rsidR="00563C1C" w:rsidRPr="00CD729C" w:rsidRDefault="00563C1C" w:rsidP="009B4BB6">
      <w:pPr>
        <w:widowControl w:val="0"/>
        <w:tabs>
          <w:tab w:val="clear" w:pos="567"/>
        </w:tabs>
        <w:spacing w:line="240" w:lineRule="auto"/>
        <w:ind w:left="567" w:hanging="567"/>
        <w:rPr>
          <w:color w:val="000000"/>
          <w:szCs w:val="22"/>
        </w:rPr>
      </w:pPr>
    </w:p>
    <w:p w14:paraId="3D3943EA" w14:textId="77777777" w:rsidR="005F067E" w:rsidRPr="00CD729C" w:rsidRDefault="005F067E" w:rsidP="009B4BB6">
      <w:pPr>
        <w:keepNext/>
        <w:widowControl w:val="0"/>
        <w:tabs>
          <w:tab w:val="clear" w:pos="567"/>
        </w:tabs>
        <w:spacing w:line="240" w:lineRule="auto"/>
        <w:ind w:left="567" w:hanging="567"/>
        <w:rPr>
          <w:color w:val="000000"/>
          <w:szCs w:val="22"/>
          <w:u w:val="single"/>
        </w:rPr>
      </w:pPr>
      <w:r w:rsidRPr="00CD729C">
        <w:rPr>
          <w:color w:val="000000"/>
          <w:szCs w:val="22"/>
          <w:u w:val="single"/>
        </w:rPr>
        <w:t>Devas DFSP terapijai</w:t>
      </w:r>
    </w:p>
    <w:p w14:paraId="3D3943EB" w14:textId="77777777" w:rsidR="005F067E" w:rsidRPr="00CD729C" w:rsidRDefault="005F067E" w:rsidP="009B4BB6">
      <w:pPr>
        <w:widowControl w:val="0"/>
        <w:tabs>
          <w:tab w:val="clear" w:pos="567"/>
        </w:tabs>
        <w:spacing w:line="240" w:lineRule="auto"/>
        <w:ind w:left="567" w:hanging="567"/>
        <w:rPr>
          <w:color w:val="000000"/>
          <w:szCs w:val="22"/>
        </w:rPr>
      </w:pPr>
      <w:r w:rsidRPr="00CD729C">
        <w:rPr>
          <w:color w:val="000000"/>
          <w:szCs w:val="22"/>
        </w:rPr>
        <w:t>P</w:t>
      </w:r>
      <w:r w:rsidR="00D04DCF" w:rsidRPr="00CD729C">
        <w:rPr>
          <w:color w:val="000000"/>
          <w:szCs w:val="22"/>
        </w:rPr>
        <w:t>ieaugušiem p</w:t>
      </w:r>
      <w:r w:rsidRPr="00CD729C">
        <w:rPr>
          <w:color w:val="000000"/>
          <w:szCs w:val="22"/>
        </w:rPr>
        <w:t>acientiem ar DFSP ieteicamā Glivec deva ir 800 mg dienā.</w:t>
      </w:r>
    </w:p>
    <w:p w14:paraId="3D3943EC" w14:textId="77777777" w:rsidR="005117C7" w:rsidRPr="00CD729C" w:rsidRDefault="005117C7" w:rsidP="009B4BB6">
      <w:pPr>
        <w:widowControl w:val="0"/>
        <w:tabs>
          <w:tab w:val="clear" w:pos="567"/>
        </w:tabs>
        <w:spacing w:line="240" w:lineRule="auto"/>
        <w:ind w:left="567" w:hanging="567"/>
        <w:rPr>
          <w:color w:val="000000"/>
          <w:szCs w:val="22"/>
        </w:rPr>
      </w:pPr>
    </w:p>
    <w:p w14:paraId="3D3943ED" w14:textId="77777777" w:rsidR="005117C7" w:rsidRPr="00CD729C" w:rsidRDefault="005117C7" w:rsidP="009B4BB6">
      <w:pPr>
        <w:keepNext/>
        <w:widowControl w:val="0"/>
        <w:tabs>
          <w:tab w:val="clear" w:pos="567"/>
        </w:tabs>
        <w:spacing w:line="240" w:lineRule="auto"/>
        <w:ind w:left="567" w:hanging="567"/>
        <w:rPr>
          <w:color w:val="000000"/>
          <w:szCs w:val="22"/>
          <w:u w:val="single"/>
        </w:rPr>
      </w:pPr>
      <w:r w:rsidRPr="00CD729C">
        <w:rPr>
          <w:color w:val="000000"/>
          <w:szCs w:val="22"/>
          <w:u w:val="single"/>
        </w:rPr>
        <w:t>Devas korekcija nevēlamu blakusparādību gadījumā</w:t>
      </w:r>
    </w:p>
    <w:p w14:paraId="3D3943EE" w14:textId="77777777" w:rsidR="005117C7" w:rsidRPr="00CD729C" w:rsidRDefault="005117C7" w:rsidP="009B4BB6">
      <w:pPr>
        <w:keepNext/>
        <w:widowControl w:val="0"/>
        <w:tabs>
          <w:tab w:val="clear" w:pos="567"/>
        </w:tabs>
        <w:spacing w:line="240" w:lineRule="auto"/>
        <w:ind w:left="567" w:hanging="567"/>
        <w:rPr>
          <w:i/>
          <w:color w:val="000000"/>
          <w:szCs w:val="22"/>
        </w:rPr>
      </w:pPr>
      <w:r w:rsidRPr="00CD729C">
        <w:rPr>
          <w:i/>
          <w:color w:val="000000"/>
          <w:szCs w:val="22"/>
        </w:rPr>
        <w:t>Ne-hematoloģiska rakstura nevēlamas blakusparādības</w:t>
      </w:r>
    </w:p>
    <w:p w14:paraId="3D3943EF"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Ja Glivec lietošanas laikā attīstās smagas,</w:t>
      </w:r>
      <w:r w:rsidRPr="00CD729C">
        <w:rPr>
          <w:i/>
          <w:color w:val="000000"/>
          <w:szCs w:val="22"/>
        </w:rPr>
        <w:t xml:space="preserve"> </w:t>
      </w:r>
      <w:r w:rsidRPr="00CD729C">
        <w:rPr>
          <w:color w:val="000000"/>
          <w:szCs w:val="22"/>
        </w:rPr>
        <w:t>ne-hematoloģiska rakstura nevēlamas blakusparādības, nākamās devas lietošana ir jāatliek, līdz parādību simptomi izzūd. Vēlāk, atkarīgi no nevēlamo blakusparādību sākotnējā smaguma, terapiju ir atļauts turpināt.</w:t>
      </w:r>
    </w:p>
    <w:p w14:paraId="3D3943F0" w14:textId="77777777" w:rsidR="005117C7" w:rsidRPr="00CD729C" w:rsidRDefault="005117C7" w:rsidP="009B4BB6">
      <w:pPr>
        <w:widowControl w:val="0"/>
        <w:tabs>
          <w:tab w:val="clear" w:pos="567"/>
        </w:tabs>
        <w:spacing w:line="240" w:lineRule="auto"/>
        <w:rPr>
          <w:color w:val="000000"/>
          <w:szCs w:val="22"/>
        </w:rPr>
      </w:pPr>
    </w:p>
    <w:p w14:paraId="3D3943F1"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Ja bilirubīna koncentrācija vairāk kā 3 reizes pārsniedz normas augšējo robežu (</w:t>
      </w:r>
      <w:r w:rsidRPr="00CD729C">
        <w:rPr>
          <w:i/>
          <w:color w:val="000000"/>
          <w:szCs w:val="22"/>
        </w:rPr>
        <w:t xml:space="preserve">Upper Limit of Normal </w:t>
      </w:r>
      <w:r w:rsidRPr="00CD729C">
        <w:rPr>
          <w:color w:val="000000"/>
          <w:szCs w:val="22"/>
        </w:rPr>
        <w:t xml:space="preserve">- ULN) vai aknu transamināžu daudzums normas augšējo robežu pārsniedz vairāk kā 5 reizes, nākamās Glivec devas lietošana ir jāatliek, līdz bilirubīna koncentrācija atjaunojas līdz lielumam, kas ir &lt;1,5 ULN, bet transamināžu koncentrācija atjaunojas līmenī, kas ir &lt;2,5 ULN. Pēc tam, samazinot Glivec dienas devu, terapiju ir atļauts turpināt. Pieaugušajiem deva ir jāsamazina no 400 mg līdz 300 mg vai no 600 mg līdz 400 mg dienā, </w:t>
      </w:r>
      <w:r w:rsidR="005F067E" w:rsidRPr="00CD729C">
        <w:rPr>
          <w:color w:val="000000"/>
          <w:szCs w:val="22"/>
        </w:rPr>
        <w:t xml:space="preserve">vai no 800 mg līdz 600 mg, </w:t>
      </w:r>
      <w:r w:rsidRPr="00CD729C">
        <w:rPr>
          <w:color w:val="000000"/>
          <w:szCs w:val="22"/>
        </w:rPr>
        <w:t>bet bērniem – no 340 mg/m</w:t>
      </w:r>
      <w:r w:rsidRPr="00CD729C">
        <w:rPr>
          <w:color w:val="000000"/>
          <w:szCs w:val="22"/>
          <w:vertAlign w:val="superscript"/>
        </w:rPr>
        <w:t>2</w:t>
      </w:r>
      <w:r w:rsidRPr="00CD729C">
        <w:rPr>
          <w:color w:val="000000"/>
          <w:szCs w:val="22"/>
        </w:rPr>
        <w:t xml:space="preserve"> līdz 260 mg/m</w:t>
      </w:r>
      <w:r w:rsidRPr="00CD729C">
        <w:rPr>
          <w:color w:val="000000"/>
          <w:szCs w:val="22"/>
          <w:vertAlign w:val="superscript"/>
        </w:rPr>
        <w:t>2</w:t>
      </w:r>
      <w:r w:rsidRPr="00CD729C">
        <w:rPr>
          <w:color w:val="000000"/>
          <w:szCs w:val="22"/>
        </w:rPr>
        <w:t> dienā.</w:t>
      </w:r>
    </w:p>
    <w:p w14:paraId="3D3943F2" w14:textId="77777777" w:rsidR="005117C7" w:rsidRPr="00CD729C" w:rsidRDefault="005117C7" w:rsidP="009B4BB6">
      <w:pPr>
        <w:widowControl w:val="0"/>
        <w:tabs>
          <w:tab w:val="clear" w:pos="567"/>
        </w:tabs>
        <w:spacing w:line="240" w:lineRule="auto"/>
        <w:ind w:left="567" w:hanging="567"/>
        <w:rPr>
          <w:color w:val="000000"/>
          <w:szCs w:val="22"/>
        </w:rPr>
      </w:pPr>
    </w:p>
    <w:p w14:paraId="3D3943F3"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i/>
          <w:color w:val="000000"/>
          <w:szCs w:val="22"/>
        </w:rPr>
        <w:t>Hematoloģiska rakstura nevēlamas blakusparādības</w:t>
      </w:r>
    </w:p>
    <w:p w14:paraId="3D3943F4"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Indikācijas, kad, smagas neitropēnijas vai trombocitopēnijas gadījumā, nepieciešams samazināt preparāta devu vai terapiju pārtraukt, ir norādītas turpmākajā tabulā.</w:t>
      </w:r>
    </w:p>
    <w:p w14:paraId="3D3943F5" w14:textId="77777777" w:rsidR="005117C7" w:rsidRPr="00CD729C" w:rsidRDefault="005117C7" w:rsidP="009B4BB6">
      <w:pPr>
        <w:widowControl w:val="0"/>
        <w:tabs>
          <w:tab w:val="clear" w:pos="567"/>
        </w:tabs>
        <w:spacing w:line="240" w:lineRule="auto"/>
        <w:ind w:left="567" w:hanging="567"/>
        <w:rPr>
          <w:color w:val="000000"/>
          <w:szCs w:val="22"/>
        </w:rPr>
      </w:pPr>
    </w:p>
    <w:p w14:paraId="3D3943F6" w14:textId="77777777" w:rsidR="005117C7" w:rsidRPr="00CD729C" w:rsidRDefault="005117C7" w:rsidP="009B4BB6">
      <w:pPr>
        <w:pStyle w:val="ParastaisTreknraksts"/>
        <w:keepNext/>
        <w:widowControl w:val="0"/>
        <w:rPr>
          <w:b w:val="0"/>
          <w:color w:val="000000"/>
          <w:szCs w:val="22"/>
        </w:rPr>
      </w:pPr>
      <w:r w:rsidRPr="00CD729C">
        <w:rPr>
          <w:b w:val="0"/>
          <w:color w:val="000000"/>
          <w:szCs w:val="22"/>
        </w:rPr>
        <w:t>Devas korekcija neitropēnijas vai trombocitopēnijas gadījumā</w:t>
      </w:r>
      <w:r w:rsidR="008C0309" w:rsidRPr="00CD729C">
        <w:rPr>
          <w:b w:val="0"/>
          <w:color w:val="000000"/>
          <w:szCs w:val="22"/>
        </w:rPr>
        <w:t>:</w:t>
      </w:r>
    </w:p>
    <w:p w14:paraId="3D3943F7" w14:textId="77777777" w:rsidR="005117C7" w:rsidRPr="00CD729C" w:rsidRDefault="005117C7" w:rsidP="009B4BB6">
      <w:pPr>
        <w:pStyle w:val="ParastaisTreknraksts"/>
        <w:keepNext/>
        <w:widowControl w:val="0"/>
        <w:rPr>
          <w:b w:val="0"/>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4215"/>
      </w:tblGrid>
      <w:tr w:rsidR="00033189" w:rsidRPr="00CD729C" w14:paraId="3D3943FC" w14:textId="77777777" w:rsidTr="00F96ECC">
        <w:trPr>
          <w:cantSplit/>
        </w:trPr>
        <w:tc>
          <w:tcPr>
            <w:tcW w:w="2802" w:type="dxa"/>
          </w:tcPr>
          <w:p w14:paraId="3D3943F8" w14:textId="77777777" w:rsidR="00033189" w:rsidRPr="00CD729C" w:rsidRDefault="00033189" w:rsidP="009B4BB6">
            <w:pPr>
              <w:pStyle w:val="EndnoteText"/>
              <w:keepNext/>
              <w:widowControl w:val="0"/>
              <w:tabs>
                <w:tab w:val="clear" w:pos="567"/>
              </w:tabs>
              <w:rPr>
                <w:color w:val="000000"/>
                <w:szCs w:val="22"/>
              </w:rPr>
            </w:pPr>
            <w:r w:rsidRPr="00CD729C">
              <w:rPr>
                <w:color w:val="000000"/>
                <w:szCs w:val="22"/>
              </w:rPr>
              <w:t>HES/CEL (sākotnējā deva 100 mg)</w:t>
            </w:r>
          </w:p>
        </w:tc>
        <w:tc>
          <w:tcPr>
            <w:tcW w:w="2268" w:type="dxa"/>
          </w:tcPr>
          <w:p w14:paraId="3D3943F9" w14:textId="77777777" w:rsidR="00033189" w:rsidRPr="00CD729C" w:rsidRDefault="00033189" w:rsidP="009B4BB6">
            <w:pPr>
              <w:keepNext/>
              <w:widowControl w:val="0"/>
              <w:tabs>
                <w:tab w:val="clear" w:pos="567"/>
              </w:tabs>
              <w:spacing w:line="240" w:lineRule="auto"/>
              <w:rPr>
                <w:color w:val="000000"/>
                <w:szCs w:val="22"/>
              </w:rPr>
            </w:pPr>
            <w:r w:rsidRPr="00CD729C">
              <w:rPr>
                <w:color w:val="000000"/>
                <w:szCs w:val="22"/>
              </w:rPr>
              <w:t>ANC &lt;1,0 x 10</w:t>
            </w:r>
            <w:r w:rsidRPr="00CD729C">
              <w:rPr>
                <w:color w:val="000000"/>
                <w:szCs w:val="22"/>
                <w:vertAlign w:val="superscript"/>
              </w:rPr>
              <w:t>9</w:t>
            </w:r>
            <w:r w:rsidRPr="00CD729C">
              <w:rPr>
                <w:color w:val="000000"/>
                <w:szCs w:val="22"/>
              </w:rPr>
              <w:t>/l un/vai trombocītu daudzums &lt;50 x 10</w:t>
            </w:r>
            <w:r w:rsidRPr="00CD729C">
              <w:rPr>
                <w:color w:val="000000"/>
                <w:szCs w:val="22"/>
                <w:vertAlign w:val="superscript"/>
              </w:rPr>
              <w:t>9</w:t>
            </w:r>
            <w:r w:rsidRPr="00CD729C">
              <w:rPr>
                <w:color w:val="000000"/>
                <w:szCs w:val="22"/>
              </w:rPr>
              <w:t>/l</w:t>
            </w:r>
          </w:p>
        </w:tc>
        <w:tc>
          <w:tcPr>
            <w:tcW w:w="4215" w:type="dxa"/>
          </w:tcPr>
          <w:p w14:paraId="3D3943FA" w14:textId="77777777" w:rsidR="00033189" w:rsidRPr="00CD729C" w:rsidRDefault="00082599" w:rsidP="009B4BB6">
            <w:pPr>
              <w:keepNext/>
              <w:widowControl w:val="0"/>
              <w:tabs>
                <w:tab w:val="clear" w:pos="567"/>
              </w:tabs>
              <w:spacing w:line="240" w:lineRule="auto"/>
              <w:ind w:left="572" w:hanging="572"/>
              <w:rPr>
                <w:color w:val="000000"/>
                <w:szCs w:val="22"/>
              </w:rPr>
            </w:pPr>
            <w:r w:rsidRPr="00CD729C">
              <w:rPr>
                <w:color w:val="000000"/>
                <w:szCs w:val="22"/>
              </w:rPr>
              <w:t>1.</w:t>
            </w:r>
            <w:r w:rsidRPr="00CD729C">
              <w:rPr>
                <w:color w:val="000000"/>
                <w:szCs w:val="22"/>
              </w:rPr>
              <w:tab/>
            </w:r>
            <w:r w:rsidR="00033189" w:rsidRPr="00CD729C">
              <w:rPr>
                <w:color w:val="000000"/>
                <w:szCs w:val="22"/>
              </w:rPr>
              <w:t xml:space="preserve">Glivec lietošanu pārtrauc, līdz ANC </w:t>
            </w:r>
            <w:r w:rsidR="00033189" w:rsidRPr="00CD729C">
              <w:rPr>
                <w:color w:val="000000"/>
                <w:szCs w:val="22"/>
              </w:rPr>
              <w:sym w:font="Symbol" w:char="F0B3"/>
            </w:r>
            <w:r w:rsidR="00033189" w:rsidRPr="00CD729C">
              <w:rPr>
                <w:color w:val="000000"/>
                <w:szCs w:val="22"/>
              </w:rPr>
              <w:t>1,5 x 10</w:t>
            </w:r>
            <w:r w:rsidR="00033189" w:rsidRPr="00CD729C">
              <w:rPr>
                <w:color w:val="000000"/>
                <w:szCs w:val="22"/>
                <w:vertAlign w:val="superscript"/>
              </w:rPr>
              <w:t>9</w:t>
            </w:r>
            <w:r w:rsidR="00033189" w:rsidRPr="00CD729C">
              <w:rPr>
                <w:color w:val="000000"/>
                <w:szCs w:val="22"/>
              </w:rPr>
              <w:t xml:space="preserve">/l un trombocītu daudzums </w:t>
            </w:r>
            <w:r w:rsidR="00033189" w:rsidRPr="00CD729C">
              <w:rPr>
                <w:color w:val="000000"/>
                <w:szCs w:val="22"/>
              </w:rPr>
              <w:sym w:font="Symbol" w:char="F0B3"/>
            </w:r>
            <w:r w:rsidR="00033189" w:rsidRPr="00CD729C">
              <w:rPr>
                <w:color w:val="000000"/>
                <w:szCs w:val="22"/>
              </w:rPr>
              <w:t>75 x 10</w:t>
            </w:r>
            <w:r w:rsidR="00033189" w:rsidRPr="00CD729C">
              <w:rPr>
                <w:color w:val="000000"/>
                <w:szCs w:val="22"/>
                <w:vertAlign w:val="superscript"/>
              </w:rPr>
              <w:t>9</w:t>
            </w:r>
            <w:r w:rsidR="00033189" w:rsidRPr="00CD729C">
              <w:rPr>
                <w:color w:val="000000"/>
                <w:szCs w:val="22"/>
              </w:rPr>
              <w:t>/l.</w:t>
            </w:r>
          </w:p>
          <w:p w14:paraId="3D3943FB" w14:textId="77777777" w:rsidR="00033189" w:rsidRPr="00CD729C" w:rsidRDefault="00082599" w:rsidP="009B4BB6">
            <w:pPr>
              <w:keepNext/>
              <w:widowControl w:val="0"/>
              <w:tabs>
                <w:tab w:val="clear" w:pos="567"/>
              </w:tabs>
              <w:spacing w:line="240" w:lineRule="auto"/>
              <w:ind w:left="572" w:hanging="572"/>
              <w:rPr>
                <w:color w:val="000000"/>
                <w:szCs w:val="22"/>
              </w:rPr>
            </w:pPr>
            <w:r w:rsidRPr="00CD729C">
              <w:rPr>
                <w:color w:val="000000"/>
                <w:szCs w:val="22"/>
              </w:rPr>
              <w:t>2.</w:t>
            </w:r>
            <w:r w:rsidRPr="00CD729C">
              <w:rPr>
                <w:color w:val="000000"/>
                <w:szCs w:val="22"/>
              </w:rPr>
              <w:tab/>
            </w:r>
            <w:r w:rsidR="00033189" w:rsidRPr="00CD729C">
              <w:rPr>
                <w:color w:val="000000"/>
                <w:szCs w:val="22"/>
              </w:rPr>
              <w:t>Terapiju turpina ar Glivec iepriekšējo devu (kādu lietoja pirms smagas blakusparādības rašanās).</w:t>
            </w:r>
          </w:p>
        </w:tc>
      </w:tr>
      <w:tr w:rsidR="005117C7" w:rsidRPr="00CD729C" w14:paraId="3D394404" w14:textId="77777777" w:rsidTr="00F96ECC">
        <w:trPr>
          <w:cantSplit/>
        </w:trPr>
        <w:tc>
          <w:tcPr>
            <w:tcW w:w="2802" w:type="dxa"/>
          </w:tcPr>
          <w:p w14:paraId="3D3943FD" w14:textId="77777777" w:rsidR="005117C7" w:rsidRPr="00CD729C" w:rsidRDefault="005117C7" w:rsidP="009B4BB6">
            <w:pPr>
              <w:pStyle w:val="EndnoteText"/>
              <w:widowControl w:val="0"/>
              <w:tabs>
                <w:tab w:val="clear" w:pos="567"/>
              </w:tabs>
              <w:rPr>
                <w:color w:val="000000"/>
                <w:szCs w:val="22"/>
              </w:rPr>
            </w:pPr>
            <w:r w:rsidRPr="00CD729C">
              <w:rPr>
                <w:color w:val="000000"/>
                <w:szCs w:val="22"/>
              </w:rPr>
              <w:t>CML hroniskā fāze</w:t>
            </w:r>
            <w:r w:rsidR="00403B09" w:rsidRPr="00CD729C">
              <w:rPr>
                <w:color w:val="000000"/>
                <w:szCs w:val="22"/>
              </w:rPr>
              <w:t>, MDS/MPD</w:t>
            </w:r>
            <w:r w:rsidRPr="00CD729C">
              <w:rPr>
                <w:color w:val="000000"/>
                <w:szCs w:val="22"/>
              </w:rPr>
              <w:t xml:space="preserve"> un GIST (sākotnējā deva – 400 mg)</w:t>
            </w:r>
          </w:p>
          <w:p w14:paraId="3D3943FE" w14:textId="77777777" w:rsidR="00033189" w:rsidRPr="00CD729C" w:rsidRDefault="00033189" w:rsidP="009B4BB6">
            <w:pPr>
              <w:pStyle w:val="EndnoteText"/>
              <w:widowControl w:val="0"/>
              <w:tabs>
                <w:tab w:val="clear" w:pos="567"/>
              </w:tabs>
              <w:rPr>
                <w:color w:val="000000"/>
                <w:szCs w:val="22"/>
              </w:rPr>
            </w:pPr>
            <w:r w:rsidRPr="00CD729C">
              <w:rPr>
                <w:color w:val="000000"/>
                <w:szCs w:val="22"/>
              </w:rPr>
              <w:t>HES/CEL</w:t>
            </w:r>
          </w:p>
          <w:p w14:paraId="3D3943FF" w14:textId="77777777" w:rsidR="00033189" w:rsidRPr="00CD729C" w:rsidRDefault="00033189" w:rsidP="009B4BB6">
            <w:pPr>
              <w:widowControl w:val="0"/>
              <w:spacing w:line="240" w:lineRule="auto"/>
              <w:rPr>
                <w:color w:val="000000"/>
              </w:rPr>
            </w:pPr>
            <w:r w:rsidRPr="00CD729C">
              <w:rPr>
                <w:color w:val="000000"/>
                <w:szCs w:val="22"/>
              </w:rPr>
              <w:t>(deva 400 mg)</w:t>
            </w:r>
          </w:p>
        </w:tc>
        <w:tc>
          <w:tcPr>
            <w:tcW w:w="2268" w:type="dxa"/>
          </w:tcPr>
          <w:p w14:paraId="3D394400"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ANC &lt;1,0 x 10</w:t>
            </w:r>
            <w:r w:rsidRPr="00CD729C">
              <w:rPr>
                <w:color w:val="000000"/>
                <w:szCs w:val="22"/>
                <w:vertAlign w:val="superscript"/>
              </w:rPr>
              <w:t>9</w:t>
            </w:r>
            <w:r w:rsidRPr="00CD729C">
              <w:rPr>
                <w:color w:val="000000"/>
                <w:szCs w:val="22"/>
              </w:rPr>
              <w:t>/l un/vai trombocītu daudzums &lt;50 x 10</w:t>
            </w:r>
            <w:r w:rsidRPr="00CD729C">
              <w:rPr>
                <w:color w:val="000000"/>
                <w:szCs w:val="22"/>
                <w:vertAlign w:val="superscript"/>
              </w:rPr>
              <w:t>9</w:t>
            </w:r>
            <w:r w:rsidRPr="00CD729C">
              <w:rPr>
                <w:color w:val="000000"/>
                <w:szCs w:val="22"/>
              </w:rPr>
              <w:t>/l</w:t>
            </w:r>
          </w:p>
        </w:tc>
        <w:tc>
          <w:tcPr>
            <w:tcW w:w="4215" w:type="dxa"/>
          </w:tcPr>
          <w:p w14:paraId="3D394401" w14:textId="77777777" w:rsidR="005117C7" w:rsidRPr="00CD729C" w:rsidRDefault="00082599" w:rsidP="009B4BB6">
            <w:pPr>
              <w:widowControl w:val="0"/>
              <w:tabs>
                <w:tab w:val="clear" w:pos="567"/>
                <w:tab w:val="left" w:pos="600"/>
              </w:tabs>
              <w:spacing w:line="240" w:lineRule="auto"/>
              <w:ind w:left="572" w:hanging="572"/>
              <w:rPr>
                <w:color w:val="000000"/>
                <w:szCs w:val="22"/>
              </w:rPr>
            </w:pPr>
            <w:r w:rsidRPr="00CD729C">
              <w:rPr>
                <w:color w:val="000000"/>
                <w:szCs w:val="22"/>
              </w:rPr>
              <w:t>1.</w:t>
            </w:r>
            <w:r w:rsidRPr="00CD729C">
              <w:rPr>
                <w:color w:val="000000"/>
                <w:szCs w:val="22"/>
              </w:rPr>
              <w:tab/>
            </w:r>
            <w:r w:rsidR="005117C7" w:rsidRPr="00CD729C">
              <w:rPr>
                <w:color w:val="000000"/>
                <w:szCs w:val="22"/>
              </w:rPr>
              <w:t xml:space="preserve">Glivec lietošanu pārtrauc, līdz ANC </w:t>
            </w:r>
            <w:r w:rsidR="005117C7" w:rsidRPr="00CD729C">
              <w:rPr>
                <w:color w:val="000000"/>
                <w:szCs w:val="22"/>
              </w:rPr>
              <w:sym w:font="Symbol" w:char="F0B3"/>
            </w:r>
            <w:r w:rsidR="005117C7" w:rsidRPr="00CD729C">
              <w:rPr>
                <w:color w:val="000000"/>
                <w:szCs w:val="22"/>
              </w:rPr>
              <w:t>1,5 x 10</w:t>
            </w:r>
            <w:r w:rsidR="005117C7" w:rsidRPr="00CD729C">
              <w:rPr>
                <w:color w:val="000000"/>
                <w:szCs w:val="22"/>
                <w:vertAlign w:val="superscript"/>
              </w:rPr>
              <w:t>9</w:t>
            </w:r>
            <w:r w:rsidR="005117C7" w:rsidRPr="00CD729C">
              <w:rPr>
                <w:color w:val="000000"/>
                <w:szCs w:val="22"/>
              </w:rPr>
              <w:t xml:space="preserve">/l un trombocītu daudzums </w:t>
            </w:r>
            <w:r w:rsidR="005117C7" w:rsidRPr="00CD729C">
              <w:rPr>
                <w:color w:val="000000"/>
                <w:szCs w:val="22"/>
              </w:rPr>
              <w:sym w:font="Symbol" w:char="F0B3"/>
            </w:r>
            <w:r w:rsidR="005117C7" w:rsidRPr="00CD729C">
              <w:rPr>
                <w:color w:val="000000"/>
                <w:szCs w:val="22"/>
              </w:rPr>
              <w:t>75 x 10</w:t>
            </w:r>
            <w:r w:rsidR="005117C7" w:rsidRPr="00CD729C">
              <w:rPr>
                <w:color w:val="000000"/>
                <w:szCs w:val="22"/>
                <w:vertAlign w:val="superscript"/>
              </w:rPr>
              <w:t>9</w:t>
            </w:r>
            <w:r w:rsidR="005117C7" w:rsidRPr="00CD729C">
              <w:rPr>
                <w:color w:val="000000"/>
                <w:szCs w:val="22"/>
              </w:rPr>
              <w:t>/l.</w:t>
            </w:r>
          </w:p>
          <w:p w14:paraId="3D394402" w14:textId="77777777" w:rsidR="005117C7" w:rsidRPr="00CD729C" w:rsidRDefault="00082599" w:rsidP="009B4BB6">
            <w:pPr>
              <w:widowControl w:val="0"/>
              <w:tabs>
                <w:tab w:val="clear" w:pos="567"/>
                <w:tab w:val="left" w:pos="600"/>
              </w:tabs>
              <w:spacing w:line="240" w:lineRule="auto"/>
              <w:ind w:left="572" w:hanging="572"/>
              <w:rPr>
                <w:color w:val="000000"/>
                <w:szCs w:val="22"/>
              </w:rPr>
            </w:pPr>
            <w:r w:rsidRPr="00CD729C">
              <w:rPr>
                <w:color w:val="000000"/>
                <w:szCs w:val="22"/>
              </w:rPr>
              <w:t>2.</w:t>
            </w:r>
            <w:r w:rsidRPr="00CD729C">
              <w:rPr>
                <w:color w:val="000000"/>
                <w:szCs w:val="22"/>
              </w:rPr>
              <w:tab/>
            </w:r>
            <w:r w:rsidR="005117C7" w:rsidRPr="00CD729C">
              <w:rPr>
                <w:color w:val="000000"/>
                <w:szCs w:val="22"/>
              </w:rPr>
              <w:t>Terapiju turpina ar Glivec iepriekšējo devu (kādu lietoja pirms smagas blakusparādības rašanās).</w:t>
            </w:r>
          </w:p>
          <w:p w14:paraId="3D394403" w14:textId="77777777" w:rsidR="005117C7" w:rsidRPr="00CD729C" w:rsidRDefault="00082599" w:rsidP="009B4BB6">
            <w:pPr>
              <w:widowControl w:val="0"/>
              <w:tabs>
                <w:tab w:val="clear" w:pos="567"/>
                <w:tab w:val="left" w:pos="600"/>
              </w:tabs>
              <w:spacing w:line="240" w:lineRule="auto"/>
              <w:ind w:left="572" w:hanging="572"/>
              <w:rPr>
                <w:color w:val="000000"/>
                <w:szCs w:val="22"/>
              </w:rPr>
            </w:pPr>
            <w:r w:rsidRPr="00CD729C">
              <w:rPr>
                <w:color w:val="000000"/>
                <w:szCs w:val="22"/>
              </w:rPr>
              <w:t>3.</w:t>
            </w:r>
            <w:r w:rsidRPr="00CD729C">
              <w:rPr>
                <w:color w:val="000000"/>
                <w:szCs w:val="22"/>
              </w:rPr>
              <w:tab/>
            </w:r>
            <w:r w:rsidR="005117C7" w:rsidRPr="00CD729C">
              <w:rPr>
                <w:color w:val="000000"/>
                <w:szCs w:val="22"/>
              </w:rPr>
              <w:t>Gadījumā, ja recidivē ANC &lt;1,0 x 10</w:t>
            </w:r>
            <w:r w:rsidR="005117C7" w:rsidRPr="00CD729C">
              <w:rPr>
                <w:color w:val="000000"/>
                <w:szCs w:val="22"/>
                <w:vertAlign w:val="superscript"/>
              </w:rPr>
              <w:t>9</w:t>
            </w:r>
            <w:r w:rsidR="005117C7" w:rsidRPr="00CD729C">
              <w:rPr>
                <w:color w:val="000000"/>
                <w:szCs w:val="22"/>
              </w:rPr>
              <w:t xml:space="preserve">/l un trombocītu daudzums </w:t>
            </w:r>
            <w:r w:rsidR="00275701" w:rsidRPr="00CD729C">
              <w:rPr>
                <w:color w:val="000000"/>
                <w:szCs w:val="22"/>
              </w:rPr>
              <w:t>&lt;</w:t>
            </w:r>
            <w:r w:rsidR="005117C7" w:rsidRPr="00CD729C">
              <w:rPr>
                <w:color w:val="000000"/>
                <w:szCs w:val="22"/>
              </w:rPr>
              <w:t>50 x 10</w:t>
            </w:r>
            <w:r w:rsidR="005117C7" w:rsidRPr="00CD729C">
              <w:rPr>
                <w:color w:val="000000"/>
                <w:szCs w:val="22"/>
                <w:vertAlign w:val="superscript"/>
              </w:rPr>
              <w:t>9</w:t>
            </w:r>
            <w:r w:rsidR="005117C7" w:rsidRPr="00CD729C">
              <w:rPr>
                <w:color w:val="000000"/>
                <w:szCs w:val="22"/>
              </w:rPr>
              <w:t xml:space="preserve">/l, atkārto p. 1. </w:t>
            </w:r>
            <w:r w:rsidR="00275701" w:rsidRPr="00CD729C">
              <w:rPr>
                <w:color w:val="000000"/>
                <w:szCs w:val="22"/>
              </w:rPr>
              <w:t>u</w:t>
            </w:r>
            <w:r w:rsidR="005117C7" w:rsidRPr="00CD729C">
              <w:rPr>
                <w:color w:val="000000"/>
                <w:szCs w:val="22"/>
              </w:rPr>
              <w:t>n terapiju turpina ar samazinātu, 300 mg lielu Glivec devu.</w:t>
            </w:r>
          </w:p>
        </w:tc>
      </w:tr>
      <w:tr w:rsidR="00F253A4" w:rsidRPr="00CD729C" w14:paraId="3D39440E" w14:textId="77777777" w:rsidTr="00F96ECC">
        <w:trPr>
          <w:cantSplit/>
        </w:trPr>
        <w:tc>
          <w:tcPr>
            <w:tcW w:w="2802" w:type="dxa"/>
          </w:tcPr>
          <w:p w14:paraId="3D394405" w14:textId="77777777" w:rsidR="00F253A4" w:rsidRPr="00CD729C" w:rsidRDefault="00F253A4" w:rsidP="009B4BB6">
            <w:pPr>
              <w:pStyle w:val="EndnoteText"/>
              <w:widowControl w:val="0"/>
              <w:tabs>
                <w:tab w:val="clear" w:pos="567"/>
              </w:tabs>
              <w:rPr>
                <w:color w:val="000000"/>
                <w:szCs w:val="22"/>
              </w:rPr>
            </w:pPr>
            <w:r w:rsidRPr="00CD729C">
              <w:rPr>
                <w:color w:val="000000"/>
                <w:szCs w:val="22"/>
              </w:rPr>
              <w:t>CML hroniskā fāze pediatrijas pacientiem</w:t>
            </w:r>
          </w:p>
          <w:p w14:paraId="3D394406" w14:textId="77777777" w:rsidR="00F253A4" w:rsidRPr="00CD729C" w:rsidRDefault="00F253A4" w:rsidP="009B4BB6">
            <w:pPr>
              <w:pStyle w:val="EndnoteText"/>
              <w:widowControl w:val="0"/>
              <w:tabs>
                <w:tab w:val="clear" w:pos="567"/>
              </w:tabs>
              <w:rPr>
                <w:color w:val="000000"/>
                <w:szCs w:val="22"/>
              </w:rPr>
            </w:pPr>
            <w:r w:rsidRPr="00CD729C">
              <w:rPr>
                <w:color w:val="000000"/>
                <w:szCs w:val="22"/>
              </w:rPr>
              <w:t>(deva 340 mg/m</w:t>
            </w:r>
            <w:r w:rsidRPr="00CD729C">
              <w:rPr>
                <w:color w:val="000000"/>
                <w:szCs w:val="22"/>
                <w:vertAlign w:val="superscript"/>
              </w:rPr>
              <w:t>2</w:t>
            </w:r>
            <w:r w:rsidRPr="00CD729C">
              <w:rPr>
                <w:color w:val="000000"/>
                <w:szCs w:val="22"/>
              </w:rPr>
              <w:t>)</w:t>
            </w:r>
          </w:p>
        </w:tc>
        <w:tc>
          <w:tcPr>
            <w:tcW w:w="2268" w:type="dxa"/>
          </w:tcPr>
          <w:p w14:paraId="3D394407" w14:textId="77777777" w:rsidR="00F253A4" w:rsidRPr="00CD729C" w:rsidRDefault="00F253A4" w:rsidP="009B4BB6">
            <w:pPr>
              <w:pStyle w:val="Table"/>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ANC &lt;1,0 x 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/l</w:t>
            </w:r>
          </w:p>
          <w:p w14:paraId="3D394408" w14:textId="77777777" w:rsidR="00F253A4" w:rsidRPr="00CD729C" w:rsidRDefault="00F253A4" w:rsidP="009B4BB6">
            <w:pPr>
              <w:pStyle w:val="Table"/>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un/vai</w:t>
            </w:r>
          </w:p>
          <w:p w14:paraId="3D394409" w14:textId="77777777" w:rsidR="00F253A4" w:rsidRPr="00CD729C" w:rsidRDefault="00F253A4" w:rsidP="009B4BB6">
            <w:pPr>
              <w:pStyle w:val="Table"/>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trombocītu daudzums &lt;50 x 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/l</w:t>
            </w:r>
          </w:p>
          <w:p w14:paraId="3D39440A" w14:textId="77777777" w:rsidR="00F253A4" w:rsidRPr="00CD729C" w:rsidRDefault="00F253A4" w:rsidP="009B4BB6">
            <w:pPr>
              <w:widowControl w:val="0"/>
              <w:tabs>
                <w:tab w:val="clear" w:pos="567"/>
              </w:tabs>
              <w:spacing w:line="240" w:lineRule="auto"/>
              <w:rPr>
                <w:color w:val="000000"/>
                <w:szCs w:val="22"/>
              </w:rPr>
            </w:pPr>
          </w:p>
        </w:tc>
        <w:tc>
          <w:tcPr>
            <w:tcW w:w="4215" w:type="dxa"/>
          </w:tcPr>
          <w:p w14:paraId="3D39440B" w14:textId="77777777" w:rsidR="00F253A4" w:rsidRPr="00CD729C" w:rsidRDefault="00082599" w:rsidP="009B4BB6">
            <w:pPr>
              <w:pStyle w:val="Table"/>
              <w:keepNext w:val="0"/>
              <w:widowControl w:val="0"/>
              <w:tabs>
                <w:tab w:val="clear" w:pos="284"/>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1.</w:t>
            </w:r>
            <w:r w:rsidRPr="00CD729C">
              <w:rPr>
                <w:rFonts w:ascii="Times New Roman" w:hAnsi="Times New Roman"/>
                <w:color w:val="000000"/>
                <w:szCs w:val="22"/>
                <w:lang w:val="lv-LV"/>
              </w:rPr>
              <w:tab/>
            </w:r>
            <w:r w:rsidR="00F253A4" w:rsidRPr="00CD729C">
              <w:rPr>
                <w:rFonts w:ascii="Times New Roman" w:hAnsi="Times New Roman"/>
                <w:color w:val="000000"/>
                <w:szCs w:val="22"/>
                <w:lang w:val="lv-LV"/>
              </w:rPr>
              <w:t xml:space="preserve">Glivec lietošanu pārtrauc, līdz ANC </w:t>
            </w:r>
            <w:r w:rsidR="00F253A4" w:rsidRPr="00CD729C">
              <w:rPr>
                <w:rFonts w:ascii="Times New Roman" w:hAnsi="Times New Roman"/>
                <w:color w:val="000000"/>
                <w:szCs w:val="22"/>
                <w:lang w:val="lv-LV"/>
              </w:rPr>
              <w:sym w:font="Symbol" w:char="F0B3"/>
            </w:r>
            <w:r w:rsidR="00F253A4" w:rsidRPr="00CD729C">
              <w:rPr>
                <w:rFonts w:ascii="Times New Roman" w:hAnsi="Times New Roman"/>
                <w:color w:val="000000"/>
                <w:szCs w:val="22"/>
                <w:lang w:val="lv-LV"/>
              </w:rPr>
              <w:t>1,5 x 10</w:t>
            </w:r>
            <w:r w:rsidR="00F253A4" w:rsidRPr="00CD729C">
              <w:rPr>
                <w:rFonts w:ascii="Times New Roman" w:hAnsi="Times New Roman"/>
                <w:color w:val="000000"/>
                <w:szCs w:val="22"/>
                <w:vertAlign w:val="superscript"/>
                <w:lang w:val="lv-LV"/>
              </w:rPr>
              <w:t>9</w:t>
            </w:r>
            <w:r w:rsidR="00F253A4" w:rsidRPr="00CD729C">
              <w:rPr>
                <w:rFonts w:ascii="Times New Roman" w:hAnsi="Times New Roman"/>
                <w:color w:val="000000"/>
                <w:szCs w:val="22"/>
                <w:lang w:val="lv-LV"/>
              </w:rPr>
              <w:t xml:space="preserve">/l un trombocītu daudzums </w:t>
            </w:r>
            <w:r w:rsidR="00F253A4" w:rsidRPr="00CD729C">
              <w:rPr>
                <w:rFonts w:ascii="Times New Roman" w:hAnsi="Times New Roman"/>
                <w:color w:val="000000"/>
                <w:szCs w:val="22"/>
                <w:lang w:val="lv-LV"/>
              </w:rPr>
              <w:sym w:font="Symbol" w:char="F0B3"/>
            </w:r>
            <w:r w:rsidR="00F253A4" w:rsidRPr="00CD729C">
              <w:rPr>
                <w:rFonts w:ascii="Times New Roman" w:hAnsi="Times New Roman"/>
                <w:color w:val="000000"/>
                <w:szCs w:val="22"/>
                <w:lang w:val="lv-LV"/>
              </w:rPr>
              <w:t>75 x 10</w:t>
            </w:r>
            <w:r w:rsidR="00F253A4" w:rsidRPr="00CD729C">
              <w:rPr>
                <w:rFonts w:ascii="Times New Roman" w:hAnsi="Times New Roman"/>
                <w:color w:val="000000"/>
                <w:szCs w:val="22"/>
                <w:vertAlign w:val="superscript"/>
                <w:lang w:val="lv-LV"/>
              </w:rPr>
              <w:t>9</w:t>
            </w:r>
            <w:r w:rsidR="00F253A4" w:rsidRPr="00CD729C">
              <w:rPr>
                <w:rFonts w:ascii="Times New Roman" w:hAnsi="Times New Roman"/>
                <w:color w:val="000000"/>
                <w:szCs w:val="22"/>
                <w:lang w:val="lv-LV"/>
              </w:rPr>
              <w:t>/l.</w:t>
            </w:r>
          </w:p>
          <w:p w14:paraId="3D39440C" w14:textId="77777777" w:rsidR="00F253A4" w:rsidRPr="00CD729C" w:rsidRDefault="00082599" w:rsidP="009B4BB6">
            <w:pPr>
              <w:pStyle w:val="Table"/>
              <w:keepNext w:val="0"/>
              <w:widowControl w:val="0"/>
              <w:tabs>
                <w:tab w:val="clear" w:pos="284"/>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2.</w:t>
            </w:r>
            <w:r w:rsidRPr="00CD729C">
              <w:rPr>
                <w:rFonts w:ascii="Times New Roman" w:hAnsi="Times New Roman"/>
                <w:color w:val="000000"/>
                <w:szCs w:val="22"/>
                <w:lang w:val="lv-LV"/>
              </w:rPr>
              <w:tab/>
            </w:r>
            <w:r w:rsidR="00F253A4" w:rsidRPr="00CD729C">
              <w:rPr>
                <w:rFonts w:ascii="Times New Roman" w:hAnsi="Times New Roman"/>
                <w:color w:val="000000"/>
                <w:szCs w:val="22"/>
                <w:lang w:val="lv-LV"/>
              </w:rPr>
              <w:t>Terapiju turpina ar Glivec iepriekšējo devu (kādu lietoja pirms smagas blakusparādības rašanās).</w:t>
            </w:r>
          </w:p>
          <w:p w14:paraId="3D39440D" w14:textId="77777777" w:rsidR="00F253A4" w:rsidRPr="00CD729C" w:rsidRDefault="00082599" w:rsidP="009B4BB6">
            <w:pPr>
              <w:pStyle w:val="Table"/>
              <w:keepNext w:val="0"/>
              <w:widowControl w:val="0"/>
              <w:tabs>
                <w:tab w:val="clear" w:pos="284"/>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3.</w:t>
            </w:r>
            <w:r w:rsidRPr="00CD729C">
              <w:rPr>
                <w:rFonts w:ascii="Times New Roman" w:hAnsi="Times New Roman"/>
                <w:color w:val="000000"/>
                <w:szCs w:val="22"/>
                <w:lang w:val="lv-LV"/>
              </w:rPr>
              <w:tab/>
            </w:r>
            <w:r w:rsidR="00F253A4" w:rsidRPr="00CD729C">
              <w:rPr>
                <w:rFonts w:ascii="Times New Roman" w:hAnsi="Times New Roman"/>
                <w:color w:val="000000"/>
                <w:szCs w:val="22"/>
                <w:lang w:val="lv-LV"/>
              </w:rPr>
              <w:t>Gadījumā, ja recidivē ANC &lt;1,0 x10</w:t>
            </w:r>
            <w:r w:rsidR="00F253A4" w:rsidRPr="00CD729C">
              <w:rPr>
                <w:rFonts w:ascii="Times New Roman" w:hAnsi="Times New Roman"/>
                <w:color w:val="000000"/>
                <w:szCs w:val="22"/>
                <w:vertAlign w:val="superscript"/>
                <w:lang w:val="lv-LV"/>
              </w:rPr>
              <w:t>9</w:t>
            </w:r>
            <w:r w:rsidR="00F253A4" w:rsidRPr="00CD729C">
              <w:rPr>
                <w:rFonts w:ascii="Times New Roman" w:hAnsi="Times New Roman"/>
                <w:color w:val="000000"/>
                <w:szCs w:val="22"/>
                <w:lang w:val="lv-LV"/>
              </w:rPr>
              <w:t>/l un trombocītu daudzums &lt;50 x10</w:t>
            </w:r>
            <w:r w:rsidR="00F253A4" w:rsidRPr="00CD729C">
              <w:rPr>
                <w:rFonts w:ascii="Times New Roman" w:hAnsi="Times New Roman"/>
                <w:color w:val="000000"/>
                <w:szCs w:val="22"/>
                <w:vertAlign w:val="superscript"/>
                <w:lang w:val="lv-LV"/>
              </w:rPr>
              <w:t>9</w:t>
            </w:r>
            <w:r w:rsidR="00F253A4" w:rsidRPr="00CD729C">
              <w:rPr>
                <w:rFonts w:ascii="Times New Roman" w:hAnsi="Times New Roman"/>
                <w:color w:val="000000"/>
                <w:szCs w:val="22"/>
                <w:lang w:val="lv-LV"/>
              </w:rPr>
              <w:t xml:space="preserve">/l, atkārto p. 1. </w:t>
            </w:r>
            <w:r w:rsidR="00275701" w:rsidRPr="00CD729C">
              <w:rPr>
                <w:rFonts w:ascii="Times New Roman" w:hAnsi="Times New Roman"/>
                <w:color w:val="000000"/>
                <w:szCs w:val="22"/>
                <w:lang w:val="lv-LV"/>
              </w:rPr>
              <w:t>u</w:t>
            </w:r>
            <w:r w:rsidR="00F253A4" w:rsidRPr="00CD729C">
              <w:rPr>
                <w:rFonts w:ascii="Times New Roman" w:hAnsi="Times New Roman"/>
                <w:color w:val="000000"/>
                <w:szCs w:val="22"/>
                <w:lang w:val="lv-LV"/>
              </w:rPr>
              <w:t>n terapiju turpina ar samazinātu, 260 mg/m</w:t>
            </w:r>
            <w:r w:rsidR="00F253A4" w:rsidRPr="00CD729C">
              <w:rPr>
                <w:rFonts w:ascii="Times New Roman" w:hAnsi="Times New Roman"/>
                <w:color w:val="000000"/>
                <w:szCs w:val="22"/>
                <w:vertAlign w:val="superscript"/>
                <w:lang w:val="lv-LV"/>
              </w:rPr>
              <w:t>2</w:t>
            </w:r>
            <w:r w:rsidR="00F253A4" w:rsidRPr="00CD729C">
              <w:rPr>
                <w:rFonts w:ascii="Times New Roman" w:hAnsi="Times New Roman"/>
                <w:color w:val="000000"/>
                <w:szCs w:val="22"/>
                <w:lang w:val="lv-LV"/>
              </w:rPr>
              <w:t xml:space="preserve"> lielu Glivec devu.</w:t>
            </w:r>
          </w:p>
        </w:tc>
      </w:tr>
      <w:tr w:rsidR="005117C7" w:rsidRPr="00CD729C" w14:paraId="3D394415" w14:textId="77777777" w:rsidTr="00F96ECC">
        <w:trPr>
          <w:cantSplit/>
        </w:trPr>
        <w:tc>
          <w:tcPr>
            <w:tcW w:w="2802" w:type="dxa"/>
          </w:tcPr>
          <w:p w14:paraId="3D39440F" w14:textId="77777777" w:rsidR="005117C7" w:rsidRPr="00CD729C" w:rsidRDefault="005117C7" w:rsidP="009B4BB6">
            <w:pPr>
              <w:pStyle w:val="EndnoteText"/>
              <w:widowControl w:val="0"/>
              <w:tabs>
                <w:tab w:val="clear" w:pos="567"/>
              </w:tabs>
              <w:rPr>
                <w:color w:val="000000"/>
                <w:szCs w:val="22"/>
              </w:rPr>
            </w:pPr>
            <w:r w:rsidRPr="00CD729C">
              <w:rPr>
                <w:color w:val="000000"/>
                <w:szCs w:val="22"/>
              </w:rPr>
              <w:lastRenderedPageBreak/>
              <w:t xml:space="preserve">CML akcelerācijas fāze un blastu krīze </w:t>
            </w:r>
            <w:r w:rsidR="00260548" w:rsidRPr="00CD729C">
              <w:rPr>
                <w:color w:val="000000"/>
                <w:szCs w:val="22"/>
              </w:rPr>
              <w:t xml:space="preserve">un Ph+ ALL </w:t>
            </w:r>
            <w:r w:rsidRPr="00CD729C">
              <w:rPr>
                <w:color w:val="000000"/>
                <w:szCs w:val="22"/>
              </w:rPr>
              <w:t>(sākotnējā deva – 600 mg)</w:t>
            </w:r>
          </w:p>
        </w:tc>
        <w:tc>
          <w:tcPr>
            <w:tcW w:w="2268" w:type="dxa"/>
          </w:tcPr>
          <w:p w14:paraId="3D394410" w14:textId="77777777" w:rsidR="005117C7" w:rsidRPr="00CD729C" w:rsidRDefault="000E6FF4" w:rsidP="009B4BB6">
            <w:pPr>
              <w:widowControl w:val="0"/>
              <w:tabs>
                <w:tab w:val="clear" w:pos="567"/>
              </w:tabs>
              <w:spacing w:line="240" w:lineRule="auto"/>
              <w:rPr>
                <w:color w:val="000000"/>
                <w:szCs w:val="22"/>
              </w:rPr>
            </w:pPr>
            <w:r w:rsidRPr="00CD729C">
              <w:rPr>
                <w:color w:val="000000"/>
                <w:szCs w:val="22"/>
                <w:vertAlign w:val="superscript"/>
              </w:rPr>
              <w:t>a</w:t>
            </w:r>
            <w:r w:rsidRPr="00CD729C">
              <w:rPr>
                <w:color w:val="000000"/>
                <w:szCs w:val="22"/>
              </w:rPr>
              <w:t xml:space="preserve">ANC </w:t>
            </w:r>
            <w:r w:rsidR="005117C7" w:rsidRPr="00CD729C">
              <w:rPr>
                <w:color w:val="000000"/>
                <w:szCs w:val="22"/>
              </w:rPr>
              <w:t>&lt;0,5 x 10</w:t>
            </w:r>
            <w:r w:rsidR="005117C7" w:rsidRPr="00CD729C">
              <w:rPr>
                <w:color w:val="000000"/>
                <w:szCs w:val="22"/>
                <w:vertAlign w:val="superscript"/>
              </w:rPr>
              <w:t>9</w:t>
            </w:r>
            <w:r w:rsidR="005117C7" w:rsidRPr="00CD729C">
              <w:rPr>
                <w:color w:val="000000"/>
                <w:szCs w:val="22"/>
              </w:rPr>
              <w:t>/l un/vai trombocītu daudzums &lt;10 x 10</w:t>
            </w:r>
            <w:r w:rsidR="005117C7" w:rsidRPr="00CD729C">
              <w:rPr>
                <w:color w:val="000000"/>
                <w:szCs w:val="22"/>
                <w:vertAlign w:val="superscript"/>
              </w:rPr>
              <w:t>9</w:t>
            </w:r>
            <w:r w:rsidR="005117C7" w:rsidRPr="00CD729C">
              <w:rPr>
                <w:color w:val="000000"/>
                <w:szCs w:val="22"/>
              </w:rPr>
              <w:t>/l</w:t>
            </w:r>
          </w:p>
        </w:tc>
        <w:tc>
          <w:tcPr>
            <w:tcW w:w="4215" w:type="dxa"/>
          </w:tcPr>
          <w:p w14:paraId="3D394411" w14:textId="77777777" w:rsidR="005117C7" w:rsidRPr="00CD729C" w:rsidRDefault="00082599" w:rsidP="009B4BB6">
            <w:pPr>
              <w:widowControl w:val="0"/>
              <w:tabs>
                <w:tab w:val="clear" w:pos="567"/>
                <w:tab w:val="left" w:pos="600"/>
              </w:tabs>
              <w:spacing w:line="240" w:lineRule="auto"/>
              <w:ind w:left="572" w:hanging="572"/>
              <w:rPr>
                <w:color w:val="000000"/>
                <w:szCs w:val="22"/>
              </w:rPr>
            </w:pPr>
            <w:r w:rsidRPr="00CD729C">
              <w:rPr>
                <w:color w:val="000000"/>
                <w:szCs w:val="22"/>
              </w:rPr>
              <w:t>1.</w:t>
            </w:r>
            <w:r w:rsidRPr="00CD729C">
              <w:rPr>
                <w:color w:val="000000"/>
                <w:szCs w:val="22"/>
              </w:rPr>
              <w:tab/>
            </w:r>
            <w:r w:rsidR="005117C7" w:rsidRPr="00CD729C">
              <w:rPr>
                <w:color w:val="000000"/>
                <w:szCs w:val="22"/>
              </w:rPr>
              <w:t>Pārbauda, vai citopēnija nav saistīta ar leik</w:t>
            </w:r>
            <w:r w:rsidR="00A10624" w:rsidRPr="00CD729C">
              <w:rPr>
                <w:color w:val="000000"/>
                <w:szCs w:val="22"/>
              </w:rPr>
              <w:t>ozi</w:t>
            </w:r>
            <w:r w:rsidR="005117C7" w:rsidRPr="00CD729C">
              <w:rPr>
                <w:color w:val="000000"/>
                <w:szCs w:val="22"/>
              </w:rPr>
              <w:t xml:space="preserve"> (kaulu smadzeņu aspirāts vai biopsija).</w:t>
            </w:r>
          </w:p>
          <w:p w14:paraId="3D394412" w14:textId="77777777" w:rsidR="005117C7" w:rsidRPr="00CD729C" w:rsidRDefault="00082599" w:rsidP="009B4BB6">
            <w:pPr>
              <w:widowControl w:val="0"/>
              <w:tabs>
                <w:tab w:val="clear" w:pos="567"/>
                <w:tab w:val="left" w:pos="600"/>
              </w:tabs>
              <w:spacing w:line="240" w:lineRule="auto"/>
              <w:ind w:left="572" w:hanging="572"/>
              <w:rPr>
                <w:color w:val="000000"/>
                <w:szCs w:val="22"/>
              </w:rPr>
            </w:pPr>
            <w:r w:rsidRPr="00CD729C">
              <w:rPr>
                <w:color w:val="000000"/>
                <w:szCs w:val="22"/>
              </w:rPr>
              <w:t>2.</w:t>
            </w:r>
            <w:r w:rsidRPr="00CD729C">
              <w:rPr>
                <w:color w:val="000000"/>
                <w:szCs w:val="22"/>
              </w:rPr>
              <w:tab/>
            </w:r>
            <w:r w:rsidR="005117C7" w:rsidRPr="00CD729C">
              <w:rPr>
                <w:color w:val="000000"/>
                <w:szCs w:val="22"/>
              </w:rPr>
              <w:t>Ja citopēnija nav saistīta ar leik</w:t>
            </w:r>
            <w:r w:rsidR="00A10624" w:rsidRPr="00CD729C">
              <w:rPr>
                <w:color w:val="000000"/>
                <w:szCs w:val="22"/>
              </w:rPr>
              <w:t>ozi</w:t>
            </w:r>
            <w:r w:rsidR="005117C7" w:rsidRPr="00CD729C">
              <w:rPr>
                <w:color w:val="000000"/>
                <w:szCs w:val="22"/>
              </w:rPr>
              <w:t>, Glivec devu samazina līdz 400 mg.</w:t>
            </w:r>
          </w:p>
          <w:p w14:paraId="3D394413" w14:textId="77777777" w:rsidR="005117C7" w:rsidRPr="00CD729C" w:rsidRDefault="00082599" w:rsidP="009B4BB6">
            <w:pPr>
              <w:widowControl w:val="0"/>
              <w:tabs>
                <w:tab w:val="clear" w:pos="567"/>
                <w:tab w:val="left" w:pos="600"/>
              </w:tabs>
              <w:spacing w:line="240" w:lineRule="auto"/>
              <w:ind w:left="572" w:hanging="572"/>
              <w:rPr>
                <w:color w:val="000000"/>
                <w:szCs w:val="22"/>
              </w:rPr>
            </w:pPr>
            <w:r w:rsidRPr="00CD729C">
              <w:rPr>
                <w:color w:val="000000"/>
                <w:szCs w:val="22"/>
              </w:rPr>
              <w:t>3.</w:t>
            </w:r>
            <w:r w:rsidRPr="00CD729C">
              <w:rPr>
                <w:color w:val="000000"/>
                <w:szCs w:val="22"/>
              </w:rPr>
              <w:tab/>
            </w:r>
            <w:r w:rsidR="005117C7" w:rsidRPr="00CD729C">
              <w:rPr>
                <w:color w:val="000000"/>
                <w:szCs w:val="22"/>
              </w:rPr>
              <w:t>Ja citopēnija saglabājas 2 nedēļas, devu samazina vēl vairāk – līdz 300 mg.</w:t>
            </w:r>
          </w:p>
          <w:p w14:paraId="3D394414" w14:textId="77777777" w:rsidR="005117C7" w:rsidRPr="00CD729C" w:rsidRDefault="00082599" w:rsidP="009B4BB6">
            <w:pPr>
              <w:widowControl w:val="0"/>
              <w:tabs>
                <w:tab w:val="clear" w:pos="567"/>
                <w:tab w:val="left" w:pos="600"/>
              </w:tabs>
              <w:spacing w:line="240" w:lineRule="auto"/>
              <w:ind w:left="572" w:hanging="572"/>
              <w:rPr>
                <w:color w:val="000000"/>
                <w:szCs w:val="22"/>
              </w:rPr>
            </w:pPr>
            <w:r w:rsidRPr="00CD729C">
              <w:rPr>
                <w:color w:val="000000"/>
                <w:szCs w:val="22"/>
              </w:rPr>
              <w:t>4.</w:t>
            </w:r>
            <w:r w:rsidRPr="00CD729C">
              <w:rPr>
                <w:color w:val="000000"/>
                <w:szCs w:val="22"/>
              </w:rPr>
              <w:tab/>
            </w:r>
            <w:r w:rsidR="005117C7" w:rsidRPr="00CD729C">
              <w:rPr>
                <w:color w:val="000000"/>
                <w:szCs w:val="22"/>
              </w:rPr>
              <w:t>Ja citopēnija saglabājas 4 nedēļas un joprojām nav saistīta ar leik</w:t>
            </w:r>
            <w:r w:rsidR="00A10624" w:rsidRPr="00CD729C">
              <w:rPr>
                <w:color w:val="000000"/>
                <w:szCs w:val="22"/>
              </w:rPr>
              <w:t>ozi</w:t>
            </w:r>
            <w:r w:rsidR="005117C7" w:rsidRPr="00CD729C">
              <w:rPr>
                <w:color w:val="000000"/>
                <w:szCs w:val="22"/>
              </w:rPr>
              <w:t xml:space="preserve">, Glivec lietošanu pārtrauc, līdz ANC </w:t>
            </w:r>
            <w:r w:rsidR="005117C7" w:rsidRPr="00CD729C">
              <w:rPr>
                <w:color w:val="000000"/>
                <w:szCs w:val="22"/>
              </w:rPr>
              <w:sym w:font="Symbol" w:char="F0B3"/>
            </w:r>
            <w:r w:rsidR="005117C7" w:rsidRPr="00CD729C">
              <w:rPr>
                <w:color w:val="000000"/>
                <w:szCs w:val="22"/>
              </w:rPr>
              <w:t>1 x 10</w:t>
            </w:r>
            <w:r w:rsidR="005117C7" w:rsidRPr="00CD729C">
              <w:rPr>
                <w:color w:val="000000"/>
                <w:szCs w:val="22"/>
                <w:vertAlign w:val="superscript"/>
              </w:rPr>
              <w:t>9</w:t>
            </w:r>
            <w:r w:rsidR="005117C7" w:rsidRPr="00CD729C">
              <w:rPr>
                <w:color w:val="000000"/>
                <w:szCs w:val="22"/>
              </w:rPr>
              <w:t xml:space="preserve">/l un trombocītu daudzums </w:t>
            </w:r>
            <w:r w:rsidR="005117C7" w:rsidRPr="00CD729C">
              <w:rPr>
                <w:color w:val="000000"/>
                <w:szCs w:val="22"/>
              </w:rPr>
              <w:sym w:font="Symbol" w:char="F0B3"/>
            </w:r>
            <w:r w:rsidR="005117C7" w:rsidRPr="00CD729C">
              <w:rPr>
                <w:color w:val="000000"/>
                <w:szCs w:val="22"/>
              </w:rPr>
              <w:t>20 x 10</w:t>
            </w:r>
            <w:r w:rsidR="005117C7" w:rsidRPr="00CD729C">
              <w:rPr>
                <w:color w:val="000000"/>
                <w:szCs w:val="22"/>
                <w:vertAlign w:val="superscript"/>
              </w:rPr>
              <w:t>9</w:t>
            </w:r>
            <w:r w:rsidR="005117C7" w:rsidRPr="00CD729C">
              <w:rPr>
                <w:color w:val="000000"/>
                <w:szCs w:val="22"/>
              </w:rPr>
              <w:t>/l. Pēc tam terapiju turpina ar 300 mg lielu Glivec devu.</w:t>
            </w:r>
          </w:p>
        </w:tc>
      </w:tr>
      <w:tr w:rsidR="000E6FF4" w:rsidRPr="00CD729C" w14:paraId="3D39441D" w14:textId="77777777" w:rsidTr="00F96ECC">
        <w:trPr>
          <w:cantSplit/>
        </w:trPr>
        <w:tc>
          <w:tcPr>
            <w:tcW w:w="2802" w:type="dxa"/>
          </w:tcPr>
          <w:p w14:paraId="3D394416" w14:textId="77777777" w:rsidR="000E6FF4" w:rsidRPr="00CD729C" w:rsidRDefault="000E6FF4" w:rsidP="009B4BB6">
            <w:pPr>
              <w:pStyle w:val="EndnoteText"/>
              <w:widowControl w:val="0"/>
              <w:tabs>
                <w:tab w:val="clear" w:pos="567"/>
              </w:tabs>
              <w:rPr>
                <w:color w:val="000000"/>
                <w:szCs w:val="22"/>
              </w:rPr>
            </w:pPr>
            <w:r w:rsidRPr="00CD729C">
              <w:rPr>
                <w:color w:val="000000"/>
                <w:szCs w:val="22"/>
              </w:rPr>
              <w:t>CML akcelerācijas fāze bērniem un blastu krīze (sākotnējā deva - 340 mg/m</w:t>
            </w:r>
            <w:r w:rsidRPr="00CD729C">
              <w:rPr>
                <w:color w:val="000000"/>
                <w:szCs w:val="22"/>
                <w:vertAlign w:val="superscript"/>
              </w:rPr>
              <w:t>2</w:t>
            </w:r>
            <w:r w:rsidRPr="00CD729C">
              <w:rPr>
                <w:color w:val="000000"/>
                <w:szCs w:val="22"/>
              </w:rPr>
              <w:t>)</w:t>
            </w:r>
          </w:p>
        </w:tc>
        <w:tc>
          <w:tcPr>
            <w:tcW w:w="2268" w:type="dxa"/>
          </w:tcPr>
          <w:p w14:paraId="3D394417" w14:textId="77777777" w:rsidR="000E6FF4" w:rsidRPr="00CD729C" w:rsidRDefault="000E6FF4" w:rsidP="009B4BB6">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vertAlign w:val="superscript"/>
                <w:lang w:val="lv-LV"/>
              </w:rPr>
              <w:t>a</w:t>
            </w:r>
            <w:r w:rsidRPr="00CD729C">
              <w:rPr>
                <w:rFonts w:ascii="Times New Roman" w:hAnsi="Times New Roman"/>
                <w:color w:val="000000"/>
                <w:szCs w:val="22"/>
                <w:lang w:val="lv-LV"/>
              </w:rPr>
              <w:t>ANC &lt;0,5 x 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/l</w:t>
            </w:r>
          </w:p>
          <w:p w14:paraId="3D394418" w14:textId="77777777" w:rsidR="000E6FF4" w:rsidRPr="00CD729C" w:rsidDel="000E6FF4" w:rsidRDefault="000E6FF4" w:rsidP="009B4BB6">
            <w:pPr>
              <w:widowControl w:val="0"/>
              <w:tabs>
                <w:tab w:val="clear" w:pos="567"/>
              </w:tabs>
              <w:spacing w:line="240" w:lineRule="auto"/>
              <w:rPr>
                <w:color w:val="000000"/>
                <w:szCs w:val="22"/>
                <w:vertAlign w:val="superscript"/>
              </w:rPr>
            </w:pPr>
            <w:r w:rsidRPr="00CD729C">
              <w:rPr>
                <w:color w:val="000000"/>
                <w:szCs w:val="22"/>
              </w:rPr>
              <w:t>un/vai trombocītu daudzums &lt;10 x 10</w:t>
            </w:r>
            <w:r w:rsidRPr="00CD729C">
              <w:rPr>
                <w:color w:val="000000"/>
                <w:szCs w:val="22"/>
                <w:vertAlign w:val="superscript"/>
              </w:rPr>
              <w:t>9</w:t>
            </w:r>
            <w:r w:rsidRPr="00CD729C">
              <w:rPr>
                <w:color w:val="000000"/>
                <w:szCs w:val="22"/>
              </w:rPr>
              <w:t>/l</w:t>
            </w:r>
          </w:p>
        </w:tc>
        <w:tc>
          <w:tcPr>
            <w:tcW w:w="4215" w:type="dxa"/>
          </w:tcPr>
          <w:p w14:paraId="3D394419" w14:textId="77777777" w:rsidR="000E6FF4" w:rsidRPr="00CD729C" w:rsidRDefault="00082599" w:rsidP="009B4BB6">
            <w:pPr>
              <w:pStyle w:val="Table"/>
              <w:keepNext w:val="0"/>
              <w:keepLines w:val="0"/>
              <w:widowControl w:val="0"/>
              <w:tabs>
                <w:tab w:val="clear" w:pos="284"/>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1.</w:t>
            </w:r>
            <w:r w:rsidRPr="00CD729C">
              <w:rPr>
                <w:rFonts w:ascii="Times New Roman" w:hAnsi="Times New Roman"/>
                <w:color w:val="000000"/>
                <w:szCs w:val="22"/>
                <w:lang w:val="lv-LV"/>
              </w:rPr>
              <w:tab/>
            </w:r>
            <w:r w:rsidR="000E6FF4" w:rsidRPr="00CD729C">
              <w:rPr>
                <w:rFonts w:ascii="Times New Roman" w:hAnsi="Times New Roman"/>
                <w:color w:val="000000"/>
                <w:szCs w:val="22"/>
                <w:lang w:val="lv-LV"/>
              </w:rPr>
              <w:t>Pārbauda, vai citopēnija nav saistīta ar leik</w:t>
            </w:r>
            <w:r w:rsidR="00A10624" w:rsidRPr="00CD729C">
              <w:rPr>
                <w:rFonts w:ascii="Times New Roman" w:hAnsi="Times New Roman"/>
                <w:color w:val="000000"/>
                <w:szCs w:val="22"/>
                <w:lang w:val="lv-LV"/>
              </w:rPr>
              <w:t>ozi</w:t>
            </w:r>
            <w:r w:rsidR="000E6FF4" w:rsidRPr="00CD729C">
              <w:rPr>
                <w:rFonts w:ascii="Times New Roman" w:hAnsi="Times New Roman"/>
                <w:color w:val="000000"/>
                <w:szCs w:val="22"/>
                <w:lang w:val="lv-LV"/>
              </w:rPr>
              <w:t xml:space="preserve"> (kaulu smadzeņu aspirāts vai biopsija).</w:t>
            </w:r>
          </w:p>
          <w:p w14:paraId="3D39441A" w14:textId="77777777" w:rsidR="000E6FF4" w:rsidRPr="00CD729C" w:rsidRDefault="00082599" w:rsidP="009B4BB6">
            <w:pPr>
              <w:pStyle w:val="Table"/>
              <w:keepNext w:val="0"/>
              <w:keepLines w:val="0"/>
              <w:widowControl w:val="0"/>
              <w:tabs>
                <w:tab w:val="clear" w:pos="284"/>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2.</w:t>
            </w:r>
            <w:r w:rsidRPr="00CD729C">
              <w:rPr>
                <w:rFonts w:ascii="Times New Roman" w:hAnsi="Times New Roman"/>
                <w:color w:val="000000"/>
                <w:szCs w:val="22"/>
                <w:lang w:val="lv-LV"/>
              </w:rPr>
              <w:tab/>
            </w:r>
            <w:r w:rsidR="000E6FF4" w:rsidRPr="00CD729C">
              <w:rPr>
                <w:rFonts w:ascii="Times New Roman" w:hAnsi="Times New Roman"/>
                <w:color w:val="000000"/>
                <w:szCs w:val="22"/>
                <w:lang w:val="lv-LV"/>
              </w:rPr>
              <w:t>Ja citopēnija nav saistīta ar leik</w:t>
            </w:r>
            <w:r w:rsidR="00A10624" w:rsidRPr="00CD729C">
              <w:rPr>
                <w:rFonts w:ascii="Times New Roman" w:hAnsi="Times New Roman"/>
                <w:color w:val="000000"/>
                <w:szCs w:val="22"/>
                <w:lang w:val="lv-LV"/>
              </w:rPr>
              <w:t>ozi</w:t>
            </w:r>
            <w:r w:rsidR="000E6FF4" w:rsidRPr="00CD729C">
              <w:rPr>
                <w:rFonts w:ascii="Times New Roman" w:hAnsi="Times New Roman"/>
                <w:color w:val="000000"/>
                <w:szCs w:val="22"/>
                <w:lang w:val="lv-LV"/>
              </w:rPr>
              <w:t>, Glivec devu samazina līdz 260 mg/m</w:t>
            </w:r>
            <w:r w:rsidR="000E6FF4" w:rsidRPr="00CD729C">
              <w:rPr>
                <w:rFonts w:ascii="Times New Roman" w:hAnsi="Times New Roman"/>
                <w:color w:val="000000"/>
                <w:szCs w:val="22"/>
                <w:vertAlign w:val="superscript"/>
                <w:lang w:val="lv-LV"/>
              </w:rPr>
              <w:t>2</w:t>
            </w:r>
            <w:r w:rsidR="000E6FF4" w:rsidRPr="00CD729C">
              <w:rPr>
                <w:rFonts w:ascii="Times New Roman" w:hAnsi="Times New Roman"/>
                <w:color w:val="000000"/>
                <w:szCs w:val="22"/>
                <w:lang w:val="lv-LV"/>
              </w:rPr>
              <w:t>.</w:t>
            </w:r>
          </w:p>
          <w:p w14:paraId="3D39441B" w14:textId="77777777" w:rsidR="000E6FF4" w:rsidRPr="00CD729C" w:rsidRDefault="00082599" w:rsidP="009B4BB6">
            <w:pPr>
              <w:pStyle w:val="Table"/>
              <w:keepNext w:val="0"/>
              <w:keepLines w:val="0"/>
              <w:widowControl w:val="0"/>
              <w:tabs>
                <w:tab w:val="clear" w:pos="284"/>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3.</w:t>
            </w:r>
            <w:r w:rsidRPr="00CD729C">
              <w:rPr>
                <w:rFonts w:ascii="Times New Roman" w:hAnsi="Times New Roman"/>
                <w:color w:val="000000"/>
                <w:szCs w:val="22"/>
                <w:lang w:val="lv-LV"/>
              </w:rPr>
              <w:tab/>
            </w:r>
            <w:r w:rsidR="000E6FF4" w:rsidRPr="00CD729C">
              <w:rPr>
                <w:rFonts w:ascii="Times New Roman" w:hAnsi="Times New Roman"/>
                <w:color w:val="000000"/>
                <w:szCs w:val="22"/>
                <w:lang w:val="lv-LV"/>
              </w:rPr>
              <w:t>Ja citopēnija saglabājas 2 nedēļas, devu samazina vēl vairāk – līdz 200 mg/m</w:t>
            </w:r>
            <w:r w:rsidR="000E6FF4" w:rsidRPr="00CD729C">
              <w:rPr>
                <w:rFonts w:ascii="Times New Roman" w:hAnsi="Times New Roman"/>
                <w:color w:val="000000"/>
                <w:szCs w:val="22"/>
                <w:vertAlign w:val="superscript"/>
                <w:lang w:val="lv-LV"/>
              </w:rPr>
              <w:t>2</w:t>
            </w:r>
            <w:r w:rsidR="000E6FF4" w:rsidRPr="00CD729C">
              <w:rPr>
                <w:rFonts w:ascii="Times New Roman" w:hAnsi="Times New Roman"/>
                <w:color w:val="000000"/>
                <w:szCs w:val="22"/>
                <w:lang w:val="lv-LV"/>
              </w:rPr>
              <w:t>.</w:t>
            </w:r>
          </w:p>
          <w:p w14:paraId="3D39441C" w14:textId="77777777" w:rsidR="000E6FF4" w:rsidRPr="00CD729C" w:rsidRDefault="00082599" w:rsidP="009B4BB6">
            <w:pPr>
              <w:pStyle w:val="Table"/>
              <w:keepNext w:val="0"/>
              <w:keepLines w:val="0"/>
              <w:widowControl w:val="0"/>
              <w:tabs>
                <w:tab w:val="clear" w:pos="284"/>
              </w:tabs>
              <w:spacing w:before="0" w:after="0"/>
              <w:ind w:left="572" w:hanging="572"/>
              <w:rPr>
                <w:rFonts w:ascii="Times New Roman" w:hAnsi="Times New Roman"/>
                <w:color w:val="000000"/>
                <w:szCs w:val="22"/>
                <w:lang w:val="lv-LV"/>
              </w:rPr>
            </w:pPr>
            <w:r w:rsidRPr="00CD729C">
              <w:rPr>
                <w:rFonts w:ascii="Times New Roman" w:hAnsi="Times New Roman"/>
                <w:color w:val="000000"/>
                <w:lang w:val="lv-LV"/>
              </w:rPr>
              <w:t>4.</w:t>
            </w:r>
            <w:r w:rsidRPr="00CD729C">
              <w:rPr>
                <w:rFonts w:ascii="Times New Roman" w:hAnsi="Times New Roman"/>
                <w:color w:val="000000"/>
                <w:lang w:val="lv-LV"/>
              </w:rPr>
              <w:tab/>
            </w:r>
            <w:r w:rsidR="000E6FF4" w:rsidRPr="00CD729C">
              <w:rPr>
                <w:rFonts w:ascii="Times New Roman" w:hAnsi="Times New Roman"/>
                <w:color w:val="000000"/>
                <w:lang w:val="lv-LV"/>
              </w:rPr>
              <w:t>Ja citopēnija saglabājas 4 nedēļas un joprojām nav saistīta ar leik</w:t>
            </w:r>
            <w:r w:rsidR="00A10624" w:rsidRPr="00CD729C">
              <w:rPr>
                <w:rFonts w:ascii="Times New Roman" w:hAnsi="Times New Roman"/>
                <w:color w:val="000000"/>
                <w:lang w:val="lv-LV"/>
              </w:rPr>
              <w:t>ozi</w:t>
            </w:r>
            <w:r w:rsidR="000E6FF4" w:rsidRPr="00CD729C">
              <w:rPr>
                <w:rFonts w:ascii="Times New Roman" w:hAnsi="Times New Roman"/>
                <w:color w:val="000000"/>
                <w:lang w:val="lv-LV"/>
              </w:rPr>
              <w:t xml:space="preserve">, Glivec lietošanu pārtrauc, līdz ANC </w:t>
            </w:r>
            <w:r w:rsidR="000E6FF4" w:rsidRPr="00CD729C">
              <w:rPr>
                <w:rFonts w:ascii="Times New Roman" w:hAnsi="Times New Roman"/>
                <w:color w:val="000000"/>
                <w:lang w:val="lv-LV"/>
              </w:rPr>
              <w:sym w:font="Symbol" w:char="F0B3"/>
            </w:r>
            <w:r w:rsidR="000E6FF4" w:rsidRPr="00CD729C">
              <w:rPr>
                <w:rFonts w:ascii="Times New Roman" w:hAnsi="Times New Roman"/>
                <w:color w:val="000000"/>
                <w:lang w:val="lv-LV"/>
              </w:rPr>
              <w:t>1 x 10</w:t>
            </w:r>
            <w:r w:rsidR="000E6FF4" w:rsidRPr="00CD729C">
              <w:rPr>
                <w:rFonts w:ascii="Times New Roman" w:hAnsi="Times New Roman"/>
                <w:color w:val="000000"/>
                <w:vertAlign w:val="superscript"/>
                <w:lang w:val="lv-LV"/>
              </w:rPr>
              <w:t>9</w:t>
            </w:r>
            <w:r w:rsidR="000E6FF4" w:rsidRPr="00CD729C">
              <w:rPr>
                <w:rFonts w:ascii="Times New Roman" w:hAnsi="Times New Roman"/>
                <w:color w:val="000000"/>
                <w:lang w:val="lv-LV"/>
              </w:rPr>
              <w:t xml:space="preserve">/l un trombocītu daudzums </w:t>
            </w:r>
            <w:r w:rsidR="000E6FF4" w:rsidRPr="00CD729C">
              <w:rPr>
                <w:rFonts w:ascii="Times New Roman" w:hAnsi="Times New Roman"/>
                <w:color w:val="000000"/>
                <w:lang w:val="lv-LV"/>
              </w:rPr>
              <w:sym w:font="Symbol" w:char="F0B3"/>
            </w:r>
            <w:r w:rsidR="000E6FF4" w:rsidRPr="00CD729C">
              <w:rPr>
                <w:rFonts w:ascii="Times New Roman" w:hAnsi="Times New Roman"/>
                <w:color w:val="000000"/>
                <w:lang w:val="lv-LV"/>
              </w:rPr>
              <w:t>20 x 10</w:t>
            </w:r>
            <w:r w:rsidR="000E6FF4" w:rsidRPr="00CD729C">
              <w:rPr>
                <w:rFonts w:ascii="Times New Roman" w:hAnsi="Times New Roman"/>
                <w:color w:val="000000"/>
                <w:vertAlign w:val="superscript"/>
                <w:lang w:val="lv-LV"/>
              </w:rPr>
              <w:t>9</w:t>
            </w:r>
            <w:r w:rsidR="000E6FF4" w:rsidRPr="00CD729C">
              <w:rPr>
                <w:rFonts w:ascii="Times New Roman" w:hAnsi="Times New Roman"/>
                <w:color w:val="000000"/>
                <w:lang w:val="lv-LV"/>
              </w:rPr>
              <w:t>/l. Pēc tam terapiju turpina ar 200 mg/m</w:t>
            </w:r>
            <w:r w:rsidR="000E6FF4" w:rsidRPr="00CD729C">
              <w:rPr>
                <w:rFonts w:ascii="Times New Roman" w:hAnsi="Times New Roman"/>
                <w:color w:val="000000"/>
                <w:vertAlign w:val="superscript"/>
                <w:lang w:val="lv-LV"/>
              </w:rPr>
              <w:t>2</w:t>
            </w:r>
            <w:r w:rsidR="000E6FF4" w:rsidRPr="00CD729C">
              <w:rPr>
                <w:rFonts w:ascii="Times New Roman" w:hAnsi="Times New Roman"/>
                <w:color w:val="000000"/>
                <w:lang w:val="lv-LV"/>
              </w:rPr>
              <w:t xml:space="preserve"> lielu Glivec devu.</w:t>
            </w:r>
          </w:p>
        </w:tc>
      </w:tr>
      <w:tr w:rsidR="00B5737F" w:rsidRPr="00CD729C" w14:paraId="3D394426" w14:textId="77777777" w:rsidTr="00F96ECC">
        <w:trPr>
          <w:cantSplit/>
        </w:trPr>
        <w:tc>
          <w:tcPr>
            <w:tcW w:w="2802" w:type="dxa"/>
          </w:tcPr>
          <w:p w14:paraId="3D39441E" w14:textId="77777777" w:rsidR="00B5737F" w:rsidRPr="00CD729C" w:rsidRDefault="00B5737F" w:rsidP="009B4BB6">
            <w:pPr>
              <w:pStyle w:val="Table"/>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DFSP</w:t>
            </w:r>
          </w:p>
          <w:p w14:paraId="3D39441F" w14:textId="77777777" w:rsidR="00B5737F" w:rsidRPr="00CD729C" w:rsidRDefault="00B5737F" w:rsidP="009B4BB6">
            <w:pPr>
              <w:pStyle w:val="EndnoteText"/>
              <w:keepNext/>
              <w:keepLines/>
              <w:widowControl w:val="0"/>
              <w:tabs>
                <w:tab w:val="clear" w:pos="567"/>
              </w:tabs>
              <w:rPr>
                <w:color w:val="000000"/>
                <w:szCs w:val="22"/>
              </w:rPr>
            </w:pPr>
            <w:r w:rsidRPr="00CD729C">
              <w:rPr>
                <w:color w:val="000000"/>
                <w:szCs w:val="22"/>
              </w:rPr>
              <w:t>(sākumdeva 800 mg)</w:t>
            </w:r>
          </w:p>
        </w:tc>
        <w:tc>
          <w:tcPr>
            <w:tcW w:w="2268" w:type="dxa"/>
          </w:tcPr>
          <w:p w14:paraId="3D394420" w14:textId="77777777" w:rsidR="00B5737F" w:rsidRPr="00CD729C" w:rsidRDefault="00B5737F" w:rsidP="009B4BB6">
            <w:pPr>
              <w:pStyle w:val="Table"/>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ANC &lt;1,0 x 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/l</w:t>
            </w:r>
          </w:p>
          <w:p w14:paraId="3D394421" w14:textId="77777777" w:rsidR="00B5737F" w:rsidRPr="00CD729C" w:rsidRDefault="00B5737F" w:rsidP="009B4BB6">
            <w:pPr>
              <w:pStyle w:val="Table"/>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un/vai</w:t>
            </w:r>
          </w:p>
          <w:p w14:paraId="3D394422" w14:textId="77777777" w:rsidR="00B5737F" w:rsidRPr="00CD729C" w:rsidRDefault="00B5737F" w:rsidP="009B4BB6">
            <w:pPr>
              <w:pStyle w:val="Table"/>
              <w:widowControl w:val="0"/>
              <w:spacing w:before="0" w:after="0"/>
              <w:rPr>
                <w:rFonts w:ascii="Times New Roman" w:hAnsi="Times New Roman"/>
                <w:color w:val="000000"/>
                <w:szCs w:val="22"/>
                <w:vertAlign w:val="superscript"/>
                <w:lang w:val="lv-LV"/>
              </w:rPr>
            </w:pPr>
            <w:r w:rsidRPr="00CD729C">
              <w:rPr>
                <w:rFonts w:ascii="Times New Roman" w:hAnsi="Times New Roman"/>
                <w:color w:val="000000"/>
                <w:szCs w:val="22"/>
                <w:lang w:val="lv-LV"/>
              </w:rPr>
              <w:t>trombocīti &lt;50 x 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/l</w:t>
            </w:r>
          </w:p>
        </w:tc>
        <w:tc>
          <w:tcPr>
            <w:tcW w:w="4215" w:type="dxa"/>
          </w:tcPr>
          <w:p w14:paraId="3D394423" w14:textId="77777777" w:rsidR="00B5737F" w:rsidRPr="00CD729C" w:rsidRDefault="00082599" w:rsidP="009B4BB6">
            <w:pPr>
              <w:pStyle w:val="Table"/>
              <w:widowControl w:val="0"/>
              <w:tabs>
                <w:tab w:val="clear" w:pos="284"/>
                <w:tab w:val="left" w:pos="611"/>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1.</w:t>
            </w:r>
            <w:r w:rsidRPr="00CD729C">
              <w:rPr>
                <w:rFonts w:ascii="Times New Roman" w:hAnsi="Times New Roman"/>
                <w:color w:val="000000"/>
                <w:szCs w:val="22"/>
                <w:lang w:val="lv-LV"/>
              </w:rPr>
              <w:tab/>
            </w:r>
            <w:r w:rsidR="00B5737F" w:rsidRPr="00CD729C">
              <w:rPr>
                <w:rFonts w:ascii="Times New Roman" w:hAnsi="Times New Roman"/>
                <w:color w:val="000000"/>
                <w:szCs w:val="22"/>
                <w:lang w:val="lv-LV"/>
              </w:rPr>
              <w:t xml:space="preserve">Pārtraukt Glivec terapiju, līdz ANC </w:t>
            </w:r>
            <w:r w:rsidR="00B5737F" w:rsidRPr="00CD729C">
              <w:rPr>
                <w:rFonts w:ascii="Times New Roman" w:hAnsi="Times New Roman"/>
                <w:color w:val="000000"/>
                <w:szCs w:val="22"/>
                <w:lang w:val="lv-LV"/>
              </w:rPr>
              <w:sym w:font="Symbol" w:char="F0B3"/>
            </w:r>
            <w:r w:rsidR="00B5737F" w:rsidRPr="00CD729C">
              <w:rPr>
                <w:rFonts w:ascii="Times New Roman" w:hAnsi="Times New Roman"/>
                <w:color w:val="000000"/>
                <w:szCs w:val="22"/>
                <w:lang w:val="lv-LV"/>
              </w:rPr>
              <w:t>1,5 x 10</w:t>
            </w:r>
            <w:r w:rsidR="00B5737F" w:rsidRPr="00CD729C">
              <w:rPr>
                <w:rFonts w:ascii="Times New Roman" w:hAnsi="Times New Roman"/>
                <w:color w:val="000000"/>
                <w:szCs w:val="22"/>
                <w:vertAlign w:val="superscript"/>
                <w:lang w:val="lv-LV"/>
              </w:rPr>
              <w:t>9</w:t>
            </w:r>
            <w:r w:rsidR="00B5737F" w:rsidRPr="00CD729C">
              <w:rPr>
                <w:rFonts w:ascii="Times New Roman" w:hAnsi="Times New Roman"/>
                <w:color w:val="000000"/>
                <w:szCs w:val="22"/>
                <w:lang w:val="lv-LV"/>
              </w:rPr>
              <w:t xml:space="preserve">/l un trombocīti </w:t>
            </w:r>
            <w:r w:rsidR="00B5737F" w:rsidRPr="00CD729C">
              <w:rPr>
                <w:rFonts w:ascii="Times New Roman" w:hAnsi="Times New Roman"/>
                <w:color w:val="000000"/>
                <w:szCs w:val="22"/>
                <w:lang w:val="lv-LV"/>
              </w:rPr>
              <w:sym w:font="Symbol" w:char="F0B3"/>
            </w:r>
            <w:r w:rsidR="00B5737F" w:rsidRPr="00CD729C">
              <w:rPr>
                <w:rFonts w:ascii="Times New Roman" w:hAnsi="Times New Roman"/>
                <w:color w:val="000000"/>
                <w:szCs w:val="22"/>
                <w:lang w:val="lv-LV"/>
              </w:rPr>
              <w:t>75 x 10</w:t>
            </w:r>
            <w:r w:rsidR="00B5737F" w:rsidRPr="00CD729C">
              <w:rPr>
                <w:rFonts w:ascii="Times New Roman" w:hAnsi="Times New Roman"/>
                <w:color w:val="000000"/>
                <w:szCs w:val="22"/>
                <w:vertAlign w:val="superscript"/>
                <w:lang w:val="lv-LV"/>
              </w:rPr>
              <w:t>9</w:t>
            </w:r>
            <w:r w:rsidR="00B5737F" w:rsidRPr="00CD729C">
              <w:rPr>
                <w:rFonts w:ascii="Times New Roman" w:hAnsi="Times New Roman"/>
                <w:color w:val="000000"/>
                <w:szCs w:val="22"/>
                <w:lang w:val="lv-LV"/>
              </w:rPr>
              <w:t>/l.</w:t>
            </w:r>
          </w:p>
          <w:p w14:paraId="3D394424" w14:textId="77777777" w:rsidR="00B5737F" w:rsidRPr="00CD729C" w:rsidRDefault="00082599" w:rsidP="009B4BB6">
            <w:pPr>
              <w:pStyle w:val="Table"/>
              <w:widowControl w:val="0"/>
              <w:tabs>
                <w:tab w:val="clear" w:pos="284"/>
                <w:tab w:val="left" w:pos="611"/>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2.</w:t>
            </w:r>
            <w:r w:rsidRPr="00CD729C">
              <w:rPr>
                <w:rFonts w:ascii="Times New Roman" w:hAnsi="Times New Roman"/>
                <w:color w:val="000000"/>
                <w:szCs w:val="22"/>
                <w:lang w:val="lv-LV"/>
              </w:rPr>
              <w:tab/>
            </w:r>
            <w:r w:rsidR="00B5737F" w:rsidRPr="00CD729C">
              <w:rPr>
                <w:rFonts w:ascii="Times New Roman" w:hAnsi="Times New Roman"/>
                <w:color w:val="000000"/>
                <w:szCs w:val="22"/>
                <w:lang w:val="lv-LV"/>
              </w:rPr>
              <w:t>Atsākt ārstēšanu ar Glivec 600 mg devā.</w:t>
            </w:r>
          </w:p>
          <w:p w14:paraId="3D394425" w14:textId="77777777" w:rsidR="00B5737F" w:rsidRPr="00CD729C" w:rsidRDefault="00082599" w:rsidP="009B4BB6">
            <w:pPr>
              <w:pStyle w:val="Table"/>
              <w:widowControl w:val="0"/>
              <w:tabs>
                <w:tab w:val="clear" w:pos="284"/>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3.</w:t>
            </w:r>
            <w:r w:rsidRPr="00CD729C">
              <w:rPr>
                <w:rFonts w:ascii="Times New Roman" w:hAnsi="Times New Roman"/>
                <w:color w:val="000000"/>
                <w:szCs w:val="22"/>
                <w:lang w:val="lv-LV"/>
              </w:rPr>
              <w:tab/>
            </w:r>
            <w:r w:rsidR="00B5737F" w:rsidRPr="00CD729C">
              <w:rPr>
                <w:rFonts w:ascii="Times New Roman" w:hAnsi="Times New Roman"/>
                <w:color w:val="000000"/>
                <w:szCs w:val="22"/>
                <w:lang w:val="lv-LV"/>
              </w:rPr>
              <w:t>Ja ANC atkal ir &lt;1,0 x 10</w:t>
            </w:r>
            <w:r w:rsidR="00B5737F" w:rsidRPr="00CD729C">
              <w:rPr>
                <w:rFonts w:ascii="Times New Roman" w:hAnsi="Times New Roman"/>
                <w:color w:val="000000"/>
                <w:szCs w:val="22"/>
                <w:vertAlign w:val="superscript"/>
                <w:lang w:val="lv-LV"/>
              </w:rPr>
              <w:t>9</w:t>
            </w:r>
            <w:r w:rsidR="00B5737F" w:rsidRPr="00CD729C">
              <w:rPr>
                <w:rFonts w:ascii="Times New Roman" w:hAnsi="Times New Roman"/>
                <w:color w:val="000000"/>
                <w:szCs w:val="22"/>
                <w:lang w:val="lv-LV"/>
              </w:rPr>
              <w:t>/l un/vai trombocīti &lt;50 x 10</w:t>
            </w:r>
            <w:r w:rsidR="00B5737F" w:rsidRPr="00CD729C">
              <w:rPr>
                <w:rFonts w:ascii="Times New Roman" w:hAnsi="Times New Roman"/>
                <w:color w:val="000000"/>
                <w:szCs w:val="22"/>
                <w:vertAlign w:val="superscript"/>
                <w:lang w:val="lv-LV"/>
              </w:rPr>
              <w:t>9</w:t>
            </w:r>
            <w:r w:rsidR="00B5737F" w:rsidRPr="00CD729C">
              <w:rPr>
                <w:rFonts w:ascii="Times New Roman" w:hAnsi="Times New Roman"/>
                <w:color w:val="000000"/>
                <w:szCs w:val="22"/>
                <w:lang w:val="lv-LV"/>
              </w:rPr>
              <w:t>/l, atkārtojiet 1. punktu un atsāciet terapiju ar mazāku Glivec devu - 400 mg.</w:t>
            </w:r>
          </w:p>
        </w:tc>
      </w:tr>
      <w:tr w:rsidR="005117C7" w:rsidRPr="00CD729C" w14:paraId="3D394429" w14:textId="77777777" w:rsidTr="00F96ECC">
        <w:trPr>
          <w:cantSplit/>
        </w:trPr>
        <w:tc>
          <w:tcPr>
            <w:tcW w:w="9285" w:type="dxa"/>
            <w:gridSpan w:val="3"/>
          </w:tcPr>
          <w:p w14:paraId="3D394427" w14:textId="77777777" w:rsidR="005117C7" w:rsidRPr="00CD729C" w:rsidRDefault="005117C7" w:rsidP="009B4BB6">
            <w:pPr>
              <w:keepNext/>
              <w:keepLines/>
              <w:widowControl w:val="0"/>
              <w:tabs>
                <w:tab w:val="clear" w:pos="567"/>
              </w:tabs>
              <w:spacing w:line="240" w:lineRule="auto"/>
              <w:rPr>
                <w:color w:val="000000"/>
                <w:szCs w:val="22"/>
              </w:rPr>
            </w:pPr>
            <w:r w:rsidRPr="00CD729C">
              <w:rPr>
                <w:color w:val="000000"/>
                <w:szCs w:val="22"/>
              </w:rPr>
              <w:t xml:space="preserve">ANC = absolūtais neitrofilu </w:t>
            </w:r>
            <w:r w:rsidR="005066E6" w:rsidRPr="00CD729C">
              <w:rPr>
                <w:color w:val="000000"/>
                <w:szCs w:val="22"/>
              </w:rPr>
              <w:t>skaits</w:t>
            </w:r>
          </w:p>
          <w:p w14:paraId="3D394428" w14:textId="77777777" w:rsidR="005117C7" w:rsidRPr="00CD729C" w:rsidRDefault="000E6FF4" w:rsidP="009B4BB6">
            <w:pPr>
              <w:keepNext/>
              <w:keepLines/>
              <w:widowControl w:val="0"/>
              <w:tabs>
                <w:tab w:val="clear" w:pos="567"/>
              </w:tabs>
              <w:spacing w:line="240" w:lineRule="auto"/>
              <w:rPr>
                <w:color w:val="000000"/>
                <w:szCs w:val="22"/>
              </w:rPr>
            </w:pPr>
            <w:r w:rsidRPr="00CD729C">
              <w:rPr>
                <w:color w:val="000000"/>
                <w:szCs w:val="22"/>
                <w:vertAlign w:val="superscript"/>
              </w:rPr>
              <w:t>a</w:t>
            </w:r>
            <w:r w:rsidRPr="00CD729C">
              <w:rPr>
                <w:color w:val="000000"/>
                <w:szCs w:val="22"/>
              </w:rPr>
              <w:t>iestājas pēc ne mazāk kā 1 mēnesi ilgas terapijas</w:t>
            </w:r>
          </w:p>
        </w:tc>
      </w:tr>
    </w:tbl>
    <w:p w14:paraId="3D39442A" w14:textId="77777777" w:rsidR="005117C7" w:rsidRPr="00CD729C" w:rsidRDefault="005117C7" w:rsidP="009B4BB6">
      <w:pPr>
        <w:widowControl w:val="0"/>
        <w:tabs>
          <w:tab w:val="clear" w:pos="567"/>
        </w:tabs>
        <w:spacing w:line="240" w:lineRule="auto"/>
        <w:ind w:left="567" w:hanging="567"/>
        <w:rPr>
          <w:color w:val="000000"/>
          <w:szCs w:val="22"/>
          <w:u w:val="single"/>
        </w:rPr>
      </w:pPr>
    </w:p>
    <w:p w14:paraId="3D39442B" w14:textId="77777777" w:rsidR="007E5075" w:rsidRPr="00CD729C" w:rsidRDefault="007E5075" w:rsidP="009B4BB6">
      <w:pPr>
        <w:keepNext/>
        <w:widowControl w:val="0"/>
        <w:tabs>
          <w:tab w:val="clear" w:pos="567"/>
        </w:tabs>
        <w:spacing w:line="240" w:lineRule="auto"/>
        <w:ind w:left="567" w:hanging="567"/>
        <w:rPr>
          <w:color w:val="000000"/>
          <w:szCs w:val="22"/>
          <w:u w:val="single"/>
        </w:rPr>
      </w:pPr>
      <w:r w:rsidRPr="00CD729C">
        <w:rPr>
          <w:color w:val="000000"/>
          <w:szCs w:val="22"/>
          <w:u w:val="single"/>
        </w:rPr>
        <w:t>Īpašas pacientu grupas</w:t>
      </w:r>
    </w:p>
    <w:p w14:paraId="3D39442C" w14:textId="77777777" w:rsidR="005117C7" w:rsidRPr="00CD729C" w:rsidRDefault="005117C7" w:rsidP="009B4BB6">
      <w:pPr>
        <w:widowControl w:val="0"/>
        <w:tabs>
          <w:tab w:val="clear" w:pos="567"/>
        </w:tabs>
        <w:spacing w:line="240" w:lineRule="auto"/>
        <w:rPr>
          <w:color w:val="000000"/>
          <w:szCs w:val="22"/>
        </w:rPr>
      </w:pPr>
      <w:r w:rsidRPr="00CD729C">
        <w:rPr>
          <w:i/>
          <w:color w:val="000000"/>
          <w:szCs w:val="22"/>
        </w:rPr>
        <w:t>Pediatrija:</w:t>
      </w:r>
      <w:r w:rsidRPr="00CD729C">
        <w:rPr>
          <w:color w:val="000000"/>
          <w:szCs w:val="22"/>
        </w:rPr>
        <w:t xml:space="preserve"> </w:t>
      </w:r>
      <w:r w:rsidR="005066E6" w:rsidRPr="00CD729C">
        <w:rPr>
          <w:color w:val="000000"/>
          <w:szCs w:val="22"/>
        </w:rPr>
        <w:t>n</w:t>
      </w:r>
      <w:r w:rsidR="00B5737F" w:rsidRPr="00CD729C">
        <w:rPr>
          <w:color w:val="000000"/>
        </w:rPr>
        <w:t xml:space="preserve">av pieredzes lietošanai bērniem </w:t>
      </w:r>
      <w:r w:rsidR="00B5737F" w:rsidRPr="00CD729C">
        <w:rPr>
          <w:color w:val="000000"/>
          <w:szCs w:val="22"/>
        </w:rPr>
        <w:t xml:space="preserve">ar CML līdz 2 gadu vecumam </w:t>
      </w:r>
      <w:r w:rsidR="00F714FF" w:rsidRPr="00CD729C">
        <w:rPr>
          <w:color w:val="000000"/>
          <w:szCs w:val="22"/>
        </w:rPr>
        <w:t xml:space="preserve">un ar Ph+ALL līdz 1 gada vecumam </w:t>
      </w:r>
      <w:r w:rsidR="00B5737F" w:rsidRPr="00CD729C">
        <w:rPr>
          <w:color w:val="000000"/>
          <w:szCs w:val="22"/>
        </w:rPr>
        <w:t>(skatīt 5.1</w:t>
      </w:r>
      <w:r w:rsidR="00A031F4" w:rsidRPr="00CD729C">
        <w:rPr>
          <w:color w:val="000000"/>
          <w:szCs w:val="22"/>
        </w:rPr>
        <w:t>.</w:t>
      </w:r>
      <w:r w:rsidR="00E85BDC" w:rsidRPr="00CD729C">
        <w:rPr>
          <w:color w:val="000000"/>
          <w:szCs w:val="22"/>
        </w:rPr>
        <w:t> apakšpunktu</w:t>
      </w:r>
      <w:r w:rsidR="00B5737F" w:rsidRPr="00CD729C">
        <w:rPr>
          <w:color w:val="000000"/>
          <w:szCs w:val="22"/>
        </w:rPr>
        <w:t>). P</w:t>
      </w:r>
      <w:r w:rsidR="0013252E" w:rsidRPr="00CD729C">
        <w:rPr>
          <w:color w:val="000000"/>
          <w:szCs w:val="22"/>
        </w:rPr>
        <w:t xml:space="preserve">ieredze </w:t>
      </w:r>
      <w:r w:rsidR="00B5737F" w:rsidRPr="00CD729C">
        <w:rPr>
          <w:color w:val="000000"/>
          <w:szCs w:val="22"/>
        </w:rPr>
        <w:t>lietošan</w:t>
      </w:r>
      <w:r w:rsidR="0013252E" w:rsidRPr="00CD729C">
        <w:rPr>
          <w:color w:val="000000"/>
          <w:szCs w:val="22"/>
        </w:rPr>
        <w:t>ai</w:t>
      </w:r>
      <w:r w:rsidR="00B5737F" w:rsidRPr="00CD729C">
        <w:rPr>
          <w:color w:val="000000"/>
          <w:szCs w:val="22"/>
        </w:rPr>
        <w:t xml:space="preserve"> </w:t>
      </w:r>
      <w:r w:rsidR="000771DC" w:rsidRPr="00CD729C">
        <w:rPr>
          <w:color w:val="000000"/>
          <w:szCs w:val="22"/>
        </w:rPr>
        <w:t xml:space="preserve">bērniem ar </w:t>
      </w:r>
      <w:r w:rsidR="00CB4B2E" w:rsidRPr="00CD729C">
        <w:rPr>
          <w:color w:val="000000"/>
          <w:szCs w:val="22"/>
        </w:rPr>
        <w:t>MDS/MPD</w:t>
      </w:r>
      <w:r w:rsidR="00C51004" w:rsidRPr="00CD729C">
        <w:rPr>
          <w:color w:val="000000"/>
          <w:szCs w:val="22"/>
        </w:rPr>
        <w:t>,</w:t>
      </w:r>
      <w:r w:rsidR="00CB4B2E" w:rsidRPr="00CD729C">
        <w:rPr>
          <w:color w:val="000000"/>
          <w:szCs w:val="22"/>
        </w:rPr>
        <w:t xml:space="preserve"> DFSP</w:t>
      </w:r>
      <w:r w:rsidR="00C51004" w:rsidRPr="00CD729C">
        <w:rPr>
          <w:color w:val="000000"/>
          <w:szCs w:val="22"/>
        </w:rPr>
        <w:t>,</w:t>
      </w:r>
      <w:r w:rsidR="00CB4B2E" w:rsidRPr="00CD729C">
        <w:rPr>
          <w:color w:val="000000"/>
          <w:szCs w:val="22"/>
        </w:rPr>
        <w:t xml:space="preserve"> </w:t>
      </w:r>
      <w:r w:rsidR="00B5737F" w:rsidRPr="00CD729C">
        <w:rPr>
          <w:color w:val="000000"/>
          <w:szCs w:val="22"/>
        </w:rPr>
        <w:t>GIST</w:t>
      </w:r>
      <w:r w:rsidR="009D6A16" w:rsidRPr="00CD729C">
        <w:rPr>
          <w:color w:val="000000"/>
          <w:szCs w:val="22"/>
        </w:rPr>
        <w:t xml:space="preserve"> un HES/CEL</w:t>
      </w:r>
      <w:r w:rsidR="00C51004" w:rsidRPr="00CD729C">
        <w:rPr>
          <w:color w:val="000000"/>
          <w:szCs w:val="22"/>
        </w:rPr>
        <w:t xml:space="preserve"> ir ļoti ierobežota</w:t>
      </w:r>
      <w:r w:rsidR="00B5737F" w:rsidRPr="00CD729C">
        <w:rPr>
          <w:color w:val="000000"/>
          <w:szCs w:val="22"/>
        </w:rPr>
        <w:t>.</w:t>
      </w:r>
    </w:p>
    <w:p w14:paraId="3D39442D" w14:textId="77777777" w:rsidR="00C51004" w:rsidRPr="00CD729C" w:rsidRDefault="00C51004" w:rsidP="009B4BB6">
      <w:pPr>
        <w:widowControl w:val="0"/>
        <w:tabs>
          <w:tab w:val="clear" w:pos="567"/>
        </w:tabs>
        <w:spacing w:line="240" w:lineRule="auto"/>
        <w:rPr>
          <w:color w:val="000000"/>
          <w:szCs w:val="22"/>
        </w:rPr>
      </w:pPr>
    </w:p>
    <w:p w14:paraId="3D39442E" w14:textId="77777777" w:rsidR="00E26AA0" w:rsidRPr="00CD729C" w:rsidRDefault="00E26AA0" w:rsidP="009B4BB6">
      <w:pPr>
        <w:widowControl w:val="0"/>
        <w:tabs>
          <w:tab w:val="clear" w:pos="567"/>
        </w:tabs>
        <w:spacing w:line="240" w:lineRule="auto"/>
        <w:rPr>
          <w:color w:val="000000"/>
          <w:szCs w:val="22"/>
        </w:rPr>
      </w:pPr>
      <w:r w:rsidRPr="00CD729C">
        <w:rPr>
          <w:color w:val="000000"/>
          <w:szCs w:val="22"/>
        </w:rPr>
        <w:t>Imatiniba droš</w:t>
      </w:r>
      <w:r w:rsidR="00961329">
        <w:rPr>
          <w:color w:val="000000"/>
          <w:szCs w:val="22"/>
        </w:rPr>
        <w:t>ums</w:t>
      </w:r>
      <w:r w:rsidRPr="00CD729C">
        <w:rPr>
          <w:color w:val="000000"/>
          <w:szCs w:val="22"/>
        </w:rPr>
        <w:t xml:space="preserve"> un efektivitāte</w:t>
      </w:r>
      <w:r w:rsidR="008526A8" w:rsidRPr="00CD729C">
        <w:rPr>
          <w:color w:val="000000"/>
          <w:szCs w:val="22"/>
        </w:rPr>
        <w:t>, lietojot</w:t>
      </w:r>
      <w:r w:rsidRPr="00CD729C">
        <w:rPr>
          <w:color w:val="000000"/>
          <w:szCs w:val="22"/>
        </w:rPr>
        <w:t xml:space="preserve"> bērniem ar MDS/MPD, DFSP, GIST un HES/CEL </w:t>
      </w:r>
      <w:r w:rsidR="00C1011F" w:rsidRPr="00CD729C">
        <w:rPr>
          <w:color w:val="000000"/>
          <w:szCs w:val="22"/>
        </w:rPr>
        <w:t>vecumā līdz</w:t>
      </w:r>
      <w:r w:rsidRPr="00CD729C">
        <w:rPr>
          <w:color w:val="000000"/>
          <w:szCs w:val="22"/>
        </w:rPr>
        <w:t xml:space="preserve"> 18 gadiem</w:t>
      </w:r>
      <w:r w:rsidR="009E711D" w:rsidRPr="00CD729C">
        <w:rPr>
          <w:color w:val="000000"/>
          <w:szCs w:val="22"/>
        </w:rPr>
        <w:t>,</w:t>
      </w:r>
      <w:r w:rsidRPr="00CD729C">
        <w:rPr>
          <w:color w:val="000000"/>
          <w:szCs w:val="22"/>
        </w:rPr>
        <w:t xml:space="preserve"> nav pierādīta klīniskajos pētījumos. </w:t>
      </w:r>
      <w:r w:rsidR="008526A8" w:rsidRPr="00CD729C">
        <w:rPr>
          <w:color w:val="000000"/>
          <w:szCs w:val="22"/>
        </w:rPr>
        <w:t>Pašlaik pieejamie publicētie dati aprakstīti 5.1</w:t>
      </w:r>
      <w:r w:rsidR="00A031F4" w:rsidRPr="00CD729C">
        <w:rPr>
          <w:color w:val="000000"/>
          <w:szCs w:val="22"/>
        </w:rPr>
        <w:t>.</w:t>
      </w:r>
      <w:r w:rsidR="0035507E" w:rsidRPr="00CD729C">
        <w:rPr>
          <w:color w:val="000000"/>
          <w:szCs w:val="22"/>
        </w:rPr>
        <w:t xml:space="preserve"> </w:t>
      </w:r>
      <w:r w:rsidR="008526A8" w:rsidRPr="00CD729C">
        <w:rPr>
          <w:color w:val="000000"/>
          <w:szCs w:val="22"/>
        </w:rPr>
        <w:t>apakšpunkt</w:t>
      </w:r>
      <w:r w:rsidR="00C1011F" w:rsidRPr="00CD729C">
        <w:rPr>
          <w:color w:val="000000"/>
          <w:szCs w:val="22"/>
        </w:rPr>
        <w:t>ā</w:t>
      </w:r>
      <w:r w:rsidR="008526A8" w:rsidRPr="00CD729C">
        <w:rPr>
          <w:color w:val="000000"/>
          <w:szCs w:val="22"/>
        </w:rPr>
        <w:t xml:space="preserve">, taču ieteikumus par devām </w:t>
      </w:r>
      <w:r w:rsidR="00C23BF6" w:rsidRPr="00CD729C">
        <w:rPr>
          <w:color w:val="000000"/>
          <w:szCs w:val="22"/>
        </w:rPr>
        <w:t xml:space="preserve">sniegt </w:t>
      </w:r>
      <w:r w:rsidR="008526A8" w:rsidRPr="00CD729C">
        <w:rPr>
          <w:color w:val="000000"/>
          <w:szCs w:val="22"/>
        </w:rPr>
        <w:t>nevar.</w:t>
      </w:r>
    </w:p>
    <w:p w14:paraId="3D39442F" w14:textId="77777777" w:rsidR="00C51004" w:rsidRPr="00CD729C" w:rsidRDefault="00C51004" w:rsidP="009B4BB6">
      <w:pPr>
        <w:widowControl w:val="0"/>
        <w:tabs>
          <w:tab w:val="clear" w:pos="567"/>
        </w:tabs>
        <w:spacing w:line="240" w:lineRule="auto"/>
        <w:rPr>
          <w:color w:val="000000"/>
          <w:szCs w:val="22"/>
        </w:rPr>
      </w:pPr>
    </w:p>
    <w:p w14:paraId="3D394430" w14:textId="77777777" w:rsidR="005117C7" w:rsidRPr="00CD729C" w:rsidRDefault="005117C7" w:rsidP="009B4BB6">
      <w:pPr>
        <w:widowControl w:val="0"/>
        <w:tabs>
          <w:tab w:val="clear" w:pos="567"/>
        </w:tabs>
        <w:spacing w:line="240" w:lineRule="auto"/>
        <w:rPr>
          <w:color w:val="000000"/>
          <w:szCs w:val="22"/>
        </w:rPr>
      </w:pPr>
      <w:r w:rsidRPr="00CD729C">
        <w:rPr>
          <w:i/>
          <w:color w:val="000000"/>
          <w:szCs w:val="22"/>
        </w:rPr>
        <w:t>Aknu mazspēja:</w:t>
      </w:r>
      <w:r w:rsidRPr="00CD729C">
        <w:rPr>
          <w:color w:val="000000"/>
          <w:szCs w:val="22"/>
        </w:rPr>
        <w:t xml:space="preserve"> </w:t>
      </w:r>
      <w:r w:rsidR="0065532B" w:rsidRPr="00CD729C">
        <w:rPr>
          <w:color w:val="000000"/>
          <w:szCs w:val="22"/>
        </w:rPr>
        <w:t>i</w:t>
      </w:r>
      <w:r w:rsidRPr="00CD729C">
        <w:rPr>
          <w:color w:val="000000"/>
          <w:szCs w:val="22"/>
        </w:rPr>
        <w:t>matiniba vielmaiņas procesi galvenokārt notiek aknās. Pacientiem ar viegliem, vidēji smagiem vai smagiem aknu darbības traucējumiem jālieto mazāk</w:t>
      </w:r>
      <w:r w:rsidR="009215DC" w:rsidRPr="00CD729C">
        <w:rPr>
          <w:color w:val="000000"/>
          <w:szCs w:val="22"/>
        </w:rPr>
        <w:t>ā</w:t>
      </w:r>
      <w:r w:rsidRPr="00CD729C">
        <w:rPr>
          <w:color w:val="000000"/>
          <w:szCs w:val="22"/>
        </w:rPr>
        <w:t xml:space="preserve"> ieteicamā deva 400</w:t>
      </w:r>
      <w:r w:rsidR="009215DC" w:rsidRPr="00CD729C">
        <w:rPr>
          <w:color w:val="000000"/>
          <w:szCs w:val="22"/>
        </w:rPr>
        <w:t> </w:t>
      </w:r>
      <w:r w:rsidRPr="00CD729C">
        <w:rPr>
          <w:color w:val="000000"/>
          <w:szCs w:val="22"/>
        </w:rPr>
        <w:t xml:space="preserve">mg dienā. Ja </w:t>
      </w:r>
      <w:r w:rsidR="009D6A16" w:rsidRPr="00CD729C">
        <w:rPr>
          <w:color w:val="000000"/>
          <w:szCs w:val="22"/>
        </w:rPr>
        <w:t>na</w:t>
      </w:r>
      <w:r w:rsidR="00545A10" w:rsidRPr="00CD729C">
        <w:rPr>
          <w:color w:val="000000"/>
          <w:szCs w:val="22"/>
        </w:rPr>
        <w:t>v</w:t>
      </w:r>
      <w:r w:rsidR="009D6A16" w:rsidRPr="00CD729C">
        <w:rPr>
          <w:color w:val="000000"/>
          <w:szCs w:val="22"/>
        </w:rPr>
        <w:t xml:space="preserve"> pietiekamas panesamības</w:t>
      </w:r>
      <w:r w:rsidRPr="00CD729C">
        <w:rPr>
          <w:color w:val="000000"/>
          <w:szCs w:val="22"/>
        </w:rPr>
        <w:t>, devu var samazināt (sk</w:t>
      </w:r>
      <w:r w:rsidR="00A64570" w:rsidRPr="00CD729C">
        <w:rPr>
          <w:color w:val="000000"/>
          <w:szCs w:val="22"/>
        </w:rPr>
        <w:t>atīt</w:t>
      </w:r>
      <w:r w:rsidRPr="00CD729C">
        <w:rPr>
          <w:color w:val="000000"/>
          <w:szCs w:val="22"/>
        </w:rPr>
        <w:t xml:space="preserve"> 4.4</w:t>
      </w:r>
      <w:r w:rsidR="00A031F4" w:rsidRPr="00CD729C">
        <w:rPr>
          <w:color w:val="000000"/>
          <w:szCs w:val="22"/>
        </w:rPr>
        <w:t>.</w:t>
      </w:r>
      <w:r w:rsidRPr="00CD729C">
        <w:rPr>
          <w:color w:val="000000"/>
          <w:szCs w:val="22"/>
        </w:rPr>
        <w:t>, 4.8</w:t>
      </w:r>
      <w:r w:rsidR="00A031F4" w:rsidRPr="00CD729C">
        <w:rPr>
          <w:color w:val="000000"/>
          <w:szCs w:val="22"/>
        </w:rPr>
        <w:t>.</w:t>
      </w:r>
      <w:r w:rsidRPr="00CD729C">
        <w:rPr>
          <w:color w:val="000000"/>
          <w:szCs w:val="22"/>
        </w:rPr>
        <w:t xml:space="preserve"> un 5.2</w:t>
      </w:r>
      <w:r w:rsidR="00A031F4" w:rsidRPr="00CD729C">
        <w:rPr>
          <w:color w:val="000000"/>
          <w:szCs w:val="22"/>
        </w:rPr>
        <w:t>.</w:t>
      </w:r>
      <w:r w:rsidR="00E85BDC" w:rsidRPr="00CD729C">
        <w:rPr>
          <w:color w:val="000000"/>
          <w:szCs w:val="22"/>
        </w:rPr>
        <w:t> apakšpunktu</w:t>
      </w:r>
      <w:r w:rsidRPr="00CD729C">
        <w:rPr>
          <w:color w:val="000000"/>
          <w:szCs w:val="22"/>
        </w:rPr>
        <w:t>).</w:t>
      </w:r>
    </w:p>
    <w:p w14:paraId="3D394431" w14:textId="77777777" w:rsidR="005117C7" w:rsidRPr="00CD729C" w:rsidRDefault="005117C7" w:rsidP="009B4BB6">
      <w:pPr>
        <w:widowControl w:val="0"/>
        <w:tabs>
          <w:tab w:val="clear" w:pos="567"/>
        </w:tabs>
        <w:spacing w:line="240" w:lineRule="auto"/>
        <w:rPr>
          <w:color w:val="000000"/>
          <w:szCs w:val="22"/>
        </w:rPr>
      </w:pPr>
    </w:p>
    <w:p w14:paraId="3D394432" w14:textId="77777777" w:rsidR="005117C7" w:rsidRPr="00CD729C" w:rsidRDefault="005117C7" w:rsidP="009B4BB6">
      <w:pPr>
        <w:keepNext/>
        <w:keepLines/>
        <w:widowControl w:val="0"/>
        <w:tabs>
          <w:tab w:val="clear" w:pos="567"/>
        </w:tabs>
        <w:spacing w:line="240" w:lineRule="auto"/>
        <w:rPr>
          <w:bCs/>
          <w:color w:val="000000"/>
          <w:szCs w:val="22"/>
        </w:rPr>
      </w:pPr>
      <w:r w:rsidRPr="00CD729C">
        <w:rPr>
          <w:bCs/>
          <w:color w:val="000000"/>
          <w:szCs w:val="22"/>
        </w:rPr>
        <w:lastRenderedPageBreak/>
        <w:t>Aknu darbības</w:t>
      </w:r>
      <w:r w:rsidR="007F4A8A" w:rsidRPr="00CD729C">
        <w:rPr>
          <w:bCs/>
          <w:color w:val="000000"/>
          <w:szCs w:val="22"/>
        </w:rPr>
        <w:t xml:space="preserve"> traucējumu</w:t>
      </w:r>
      <w:r w:rsidRPr="00CD729C">
        <w:rPr>
          <w:bCs/>
          <w:color w:val="000000"/>
          <w:szCs w:val="22"/>
        </w:rPr>
        <w:t xml:space="preserve"> klasifikācija</w:t>
      </w:r>
      <w:r w:rsidR="008033B9" w:rsidRPr="00CD729C">
        <w:rPr>
          <w:bCs/>
          <w:color w:val="000000"/>
          <w:szCs w:val="22"/>
        </w:rPr>
        <w:t>:</w:t>
      </w:r>
    </w:p>
    <w:p w14:paraId="3D394433" w14:textId="77777777" w:rsidR="005117C7" w:rsidRPr="00CD729C" w:rsidRDefault="005117C7" w:rsidP="009B4BB6">
      <w:pPr>
        <w:keepNext/>
        <w:keepLines/>
        <w:widowControl w:val="0"/>
        <w:tabs>
          <w:tab w:val="clear" w:pos="567"/>
        </w:tabs>
        <w:spacing w:line="240" w:lineRule="auto"/>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530"/>
      </w:tblGrid>
      <w:tr w:rsidR="005117C7" w:rsidRPr="00CD729C" w14:paraId="3D394436" w14:textId="77777777" w:rsidTr="00F96ECC">
        <w:trPr>
          <w:cantSplit/>
        </w:trPr>
        <w:tc>
          <w:tcPr>
            <w:tcW w:w="4643" w:type="dxa"/>
          </w:tcPr>
          <w:p w14:paraId="3D394434" w14:textId="77777777" w:rsidR="005117C7" w:rsidRPr="00CD729C" w:rsidRDefault="005117C7" w:rsidP="009B4BB6">
            <w:pPr>
              <w:keepNext/>
              <w:keepLines/>
              <w:widowControl w:val="0"/>
              <w:tabs>
                <w:tab w:val="clear" w:pos="567"/>
              </w:tabs>
              <w:spacing w:line="240" w:lineRule="auto"/>
              <w:rPr>
                <w:color w:val="000000"/>
                <w:szCs w:val="22"/>
              </w:rPr>
            </w:pPr>
            <w:r w:rsidRPr="00CD729C">
              <w:rPr>
                <w:color w:val="000000"/>
                <w:szCs w:val="22"/>
              </w:rPr>
              <w:t>Aknu darbības traucējumi</w:t>
            </w:r>
          </w:p>
        </w:tc>
        <w:tc>
          <w:tcPr>
            <w:tcW w:w="4644" w:type="dxa"/>
          </w:tcPr>
          <w:p w14:paraId="3D394435" w14:textId="77777777" w:rsidR="005117C7" w:rsidRPr="00CD729C" w:rsidRDefault="005117C7" w:rsidP="009B4BB6">
            <w:pPr>
              <w:keepNext/>
              <w:keepLines/>
              <w:widowControl w:val="0"/>
              <w:tabs>
                <w:tab w:val="clear" w:pos="567"/>
              </w:tabs>
              <w:spacing w:line="240" w:lineRule="auto"/>
              <w:rPr>
                <w:color w:val="000000"/>
                <w:szCs w:val="22"/>
              </w:rPr>
            </w:pPr>
            <w:r w:rsidRPr="00CD729C">
              <w:rPr>
                <w:color w:val="000000"/>
                <w:szCs w:val="22"/>
              </w:rPr>
              <w:t>Aknu darbības pārbaudes</w:t>
            </w:r>
          </w:p>
        </w:tc>
      </w:tr>
      <w:tr w:rsidR="005117C7" w:rsidRPr="00CD729C" w14:paraId="3D39443A" w14:textId="77777777" w:rsidTr="00F96ECC">
        <w:trPr>
          <w:cantSplit/>
        </w:trPr>
        <w:tc>
          <w:tcPr>
            <w:tcW w:w="4643" w:type="dxa"/>
          </w:tcPr>
          <w:p w14:paraId="3D394437" w14:textId="77777777" w:rsidR="005117C7" w:rsidRPr="00CD729C" w:rsidRDefault="005117C7" w:rsidP="009B4BB6">
            <w:pPr>
              <w:keepNext/>
              <w:keepLines/>
              <w:widowControl w:val="0"/>
              <w:tabs>
                <w:tab w:val="clear" w:pos="567"/>
              </w:tabs>
              <w:spacing w:line="240" w:lineRule="auto"/>
              <w:rPr>
                <w:color w:val="000000"/>
                <w:szCs w:val="22"/>
              </w:rPr>
            </w:pPr>
            <w:r w:rsidRPr="00CD729C">
              <w:rPr>
                <w:color w:val="000000"/>
                <w:szCs w:val="22"/>
              </w:rPr>
              <w:t>Viegli</w:t>
            </w:r>
          </w:p>
        </w:tc>
        <w:tc>
          <w:tcPr>
            <w:tcW w:w="4644" w:type="dxa"/>
          </w:tcPr>
          <w:p w14:paraId="3D394438" w14:textId="77777777" w:rsidR="005117C7" w:rsidRPr="00CD729C" w:rsidRDefault="005117C7" w:rsidP="009B4BB6">
            <w:pPr>
              <w:keepNext/>
              <w:keepLines/>
              <w:widowControl w:val="0"/>
              <w:tabs>
                <w:tab w:val="clear" w:pos="567"/>
              </w:tabs>
              <w:spacing w:line="240" w:lineRule="auto"/>
              <w:rPr>
                <w:color w:val="000000"/>
                <w:szCs w:val="22"/>
              </w:rPr>
            </w:pPr>
            <w:r w:rsidRPr="00CD729C">
              <w:rPr>
                <w:color w:val="000000"/>
                <w:szCs w:val="22"/>
              </w:rPr>
              <w:t>Kopējais bilirubīns: = 1,5</w:t>
            </w:r>
            <w:r w:rsidR="00DE6D15" w:rsidRPr="00CD729C">
              <w:rPr>
                <w:color w:val="000000"/>
                <w:szCs w:val="22"/>
              </w:rPr>
              <w:t> </w:t>
            </w:r>
            <w:r w:rsidR="009215DC" w:rsidRPr="00CD729C">
              <w:rPr>
                <w:color w:val="000000"/>
                <w:szCs w:val="22"/>
              </w:rPr>
              <w:t>A</w:t>
            </w:r>
            <w:r w:rsidRPr="00CD729C">
              <w:rPr>
                <w:color w:val="000000"/>
                <w:szCs w:val="22"/>
              </w:rPr>
              <w:t>NR</w:t>
            </w:r>
          </w:p>
          <w:p w14:paraId="3D394439" w14:textId="77777777" w:rsidR="005117C7" w:rsidRPr="00CD729C" w:rsidRDefault="005117C7" w:rsidP="009B4BB6">
            <w:pPr>
              <w:keepNext/>
              <w:keepLines/>
              <w:widowControl w:val="0"/>
              <w:tabs>
                <w:tab w:val="clear" w:pos="567"/>
              </w:tabs>
              <w:spacing w:line="240" w:lineRule="auto"/>
              <w:rPr>
                <w:color w:val="000000"/>
                <w:szCs w:val="22"/>
              </w:rPr>
            </w:pPr>
            <w:r w:rsidRPr="00CD729C">
              <w:rPr>
                <w:color w:val="000000"/>
                <w:szCs w:val="22"/>
              </w:rPr>
              <w:t xml:space="preserve">ASAT: </w:t>
            </w:r>
            <w:r w:rsidRPr="00CD729C">
              <w:rPr>
                <w:color w:val="000000"/>
                <w:szCs w:val="22"/>
              </w:rPr>
              <w:sym w:font="Symbol" w:char="F03E"/>
            </w:r>
            <w:r w:rsidRPr="00CD729C">
              <w:rPr>
                <w:color w:val="000000"/>
                <w:szCs w:val="22"/>
              </w:rPr>
              <w:t xml:space="preserve">ANR (var būt normāls vai </w:t>
            </w:r>
            <w:r w:rsidRPr="00CD729C">
              <w:rPr>
                <w:color w:val="000000"/>
                <w:szCs w:val="22"/>
              </w:rPr>
              <w:sym w:font="Symbol" w:char="F03C"/>
            </w:r>
            <w:r w:rsidRPr="00CD729C">
              <w:rPr>
                <w:color w:val="000000"/>
                <w:szCs w:val="22"/>
              </w:rPr>
              <w:t>ANR, ja kopēj</w:t>
            </w:r>
            <w:r w:rsidR="00DE6D15" w:rsidRPr="00CD729C">
              <w:rPr>
                <w:color w:val="000000"/>
                <w:szCs w:val="22"/>
              </w:rPr>
              <w:t>ā</w:t>
            </w:r>
            <w:r w:rsidRPr="00CD729C">
              <w:rPr>
                <w:color w:val="000000"/>
                <w:szCs w:val="22"/>
              </w:rPr>
              <w:t xml:space="preserve"> bilirubīna līmenis ir </w:t>
            </w:r>
            <w:r w:rsidRPr="00CD729C">
              <w:rPr>
                <w:color w:val="000000"/>
                <w:szCs w:val="22"/>
              </w:rPr>
              <w:sym w:font="Symbol" w:char="F03E"/>
            </w:r>
            <w:r w:rsidRPr="00CD729C">
              <w:rPr>
                <w:color w:val="000000"/>
                <w:szCs w:val="22"/>
              </w:rPr>
              <w:t>ANR</w:t>
            </w:r>
            <w:r w:rsidR="00BB4ADE" w:rsidRPr="00CD729C">
              <w:rPr>
                <w:color w:val="000000"/>
                <w:szCs w:val="22"/>
              </w:rPr>
              <w:t>)</w:t>
            </w:r>
          </w:p>
        </w:tc>
      </w:tr>
      <w:tr w:rsidR="005117C7" w:rsidRPr="00CD729C" w14:paraId="3D39443E" w14:textId="77777777" w:rsidTr="00F96ECC">
        <w:trPr>
          <w:cantSplit/>
        </w:trPr>
        <w:tc>
          <w:tcPr>
            <w:tcW w:w="4643" w:type="dxa"/>
          </w:tcPr>
          <w:p w14:paraId="3D39443B" w14:textId="77777777" w:rsidR="005117C7" w:rsidRPr="00CD729C" w:rsidRDefault="005117C7" w:rsidP="009B4BB6">
            <w:pPr>
              <w:keepNext/>
              <w:keepLines/>
              <w:widowControl w:val="0"/>
              <w:tabs>
                <w:tab w:val="clear" w:pos="567"/>
              </w:tabs>
              <w:spacing w:line="240" w:lineRule="auto"/>
              <w:rPr>
                <w:color w:val="000000"/>
                <w:szCs w:val="22"/>
              </w:rPr>
            </w:pPr>
            <w:r w:rsidRPr="00CD729C">
              <w:rPr>
                <w:color w:val="000000"/>
                <w:szCs w:val="22"/>
              </w:rPr>
              <w:t>Vidēji smagi</w:t>
            </w:r>
          </w:p>
        </w:tc>
        <w:tc>
          <w:tcPr>
            <w:tcW w:w="4644" w:type="dxa"/>
          </w:tcPr>
          <w:p w14:paraId="3D39443C" w14:textId="77777777" w:rsidR="005117C7" w:rsidRPr="00CD729C" w:rsidRDefault="005117C7" w:rsidP="009B4BB6">
            <w:pPr>
              <w:keepNext/>
              <w:keepLines/>
              <w:widowControl w:val="0"/>
              <w:tabs>
                <w:tab w:val="clear" w:pos="567"/>
              </w:tabs>
              <w:spacing w:line="240" w:lineRule="auto"/>
              <w:rPr>
                <w:color w:val="000000"/>
                <w:szCs w:val="22"/>
              </w:rPr>
            </w:pPr>
            <w:r w:rsidRPr="00CD729C">
              <w:rPr>
                <w:color w:val="000000"/>
                <w:szCs w:val="22"/>
              </w:rPr>
              <w:t xml:space="preserve">Kopējais bilirubīns: </w:t>
            </w:r>
            <w:r w:rsidRPr="00CD729C">
              <w:rPr>
                <w:color w:val="000000"/>
                <w:szCs w:val="22"/>
              </w:rPr>
              <w:sym w:font="Symbol" w:char="F03E"/>
            </w:r>
            <w:r w:rsidRPr="00CD729C">
              <w:rPr>
                <w:color w:val="000000"/>
                <w:szCs w:val="22"/>
              </w:rPr>
              <w:t>1,5–3,0</w:t>
            </w:r>
            <w:r w:rsidR="00DE6D15" w:rsidRPr="00CD729C">
              <w:rPr>
                <w:color w:val="000000"/>
                <w:szCs w:val="22"/>
              </w:rPr>
              <w:t> </w:t>
            </w:r>
            <w:r w:rsidRPr="00CD729C">
              <w:rPr>
                <w:color w:val="000000"/>
                <w:szCs w:val="22"/>
              </w:rPr>
              <w:t>ANR</w:t>
            </w:r>
          </w:p>
          <w:p w14:paraId="3D39443D" w14:textId="77777777" w:rsidR="005117C7" w:rsidRPr="00CD729C" w:rsidRDefault="005117C7" w:rsidP="009B4BB6">
            <w:pPr>
              <w:keepNext/>
              <w:keepLines/>
              <w:widowControl w:val="0"/>
              <w:tabs>
                <w:tab w:val="clear" w:pos="567"/>
              </w:tabs>
              <w:spacing w:line="240" w:lineRule="auto"/>
              <w:rPr>
                <w:color w:val="000000"/>
                <w:szCs w:val="22"/>
              </w:rPr>
            </w:pPr>
            <w:r w:rsidRPr="00CD729C">
              <w:rPr>
                <w:color w:val="000000"/>
                <w:szCs w:val="22"/>
              </w:rPr>
              <w:t>ASAT: jebkāds</w:t>
            </w:r>
          </w:p>
        </w:tc>
      </w:tr>
      <w:tr w:rsidR="005117C7" w:rsidRPr="00CD729C" w14:paraId="3D394442" w14:textId="77777777" w:rsidTr="00F96ECC">
        <w:trPr>
          <w:cantSplit/>
        </w:trPr>
        <w:tc>
          <w:tcPr>
            <w:tcW w:w="4643" w:type="dxa"/>
          </w:tcPr>
          <w:p w14:paraId="3D39443F" w14:textId="77777777" w:rsidR="005117C7" w:rsidRPr="00CD729C" w:rsidRDefault="005117C7" w:rsidP="009B4BB6">
            <w:pPr>
              <w:keepNext/>
              <w:keepLines/>
              <w:widowControl w:val="0"/>
              <w:tabs>
                <w:tab w:val="clear" w:pos="567"/>
              </w:tabs>
              <w:spacing w:line="240" w:lineRule="auto"/>
              <w:rPr>
                <w:color w:val="000000"/>
                <w:szCs w:val="22"/>
              </w:rPr>
            </w:pPr>
            <w:r w:rsidRPr="00CD729C">
              <w:rPr>
                <w:color w:val="000000"/>
                <w:szCs w:val="22"/>
              </w:rPr>
              <w:t>Smagi</w:t>
            </w:r>
          </w:p>
        </w:tc>
        <w:tc>
          <w:tcPr>
            <w:tcW w:w="4644" w:type="dxa"/>
          </w:tcPr>
          <w:p w14:paraId="3D394440" w14:textId="77777777" w:rsidR="005117C7" w:rsidRPr="00CD729C" w:rsidRDefault="005117C7" w:rsidP="009B4BB6">
            <w:pPr>
              <w:keepNext/>
              <w:keepLines/>
              <w:widowControl w:val="0"/>
              <w:tabs>
                <w:tab w:val="clear" w:pos="567"/>
              </w:tabs>
              <w:spacing w:line="240" w:lineRule="auto"/>
              <w:rPr>
                <w:color w:val="000000"/>
                <w:szCs w:val="22"/>
              </w:rPr>
            </w:pPr>
            <w:r w:rsidRPr="00CD729C">
              <w:rPr>
                <w:color w:val="000000"/>
                <w:szCs w:val="22"/>
              </w:rPr>
              <w:t xml:space="preserve">Kopējais bilirubīns: </w:t>
            </w:r>
            <w:r w:rsidRPr="00CD729C">
              <w:rPr>
                <w:color w:val="000000"/>
                <w:szCs w:val="22"/>
              </w:rPr>
              <w:sym w:font="Symbol" w:char="F03E"/>
            </w:r>
            <w:r w:rsidRPr="00CD729C">
              <w:rPr>
                <w:color w:val="000000"/>
                <w:szCs w:val="22"/>
              </w:rPr>
              <w:t>3–10</w:t>
            </w:r>
            <w:r w:rsidR="0022417B" w:rsidRPr="00CD729C">
              <w:rPr>
                <w:color w:val="000000"/>
                <w:szCs w:val="22"/>
              </w:rPr>
              <w:t> </w:t>
            </w:r>
            <w:r w:rsidRPr="00CD729C">
              <w:rPr>
                <w:color w:val="000000"/>
                <w:szCs w:val="22"/>
              </w:rPr>
              <w:t>ANR</w:t>
            </w:r>
          </w:p>
          <w:p w14:paraId="3D394441" w14:textId="77777777" w:rsidR="005117C7" w:rsidRPr="00CD729C" w:rsidRDefault="005117C7" w:rsidP="009B4BB6">
            <w:pPr>
              <w:keepNext/>
              <w:keepLines/>
              <w:widowControl w:val="0"/>
              <w:tabs>
                <w:tab w:val="clear" w:pos="567"/>
              </w:tabs>
              <w:spacing w:line="240" w:lineRule="auto"/>
              <w:rPr>
                <w:color w:val="000000"/>
                <w:szCs w:val="22"/>
              </w:rPr>
            </w:pPr>
            <w:r w:rsidRPr="00CD729C">
              <w:rPr>
                <w:color w:val="000000"/>
                <w:szCs w:val="22"/>
              </w:rPr>
              <w:t>ASAT: jebkāds</w:t>
            </w:r>
          </w:p>
        </w:tc>
      </w:tr>
    </w:tbl>
    <w:p w14:paraId="3D394443" w14:textId="77777777" w:rsidR="005117C7" w:rsidRPr="00CD729C" w:rsidRDefault="005117C7" w:rsidP="009B4BB6">
      <w:pPr>
        <w:keepNext/>
        <w:keepLines/>
        <w:widowControl w:val="0"/>
        <w:tabs>
          <w:tab w:val="clear" w:pos="567"/>
        </w:tabs>
        <w:spacing w:line="240" w:lineRule="auto"/>
        <w:rPr>
          <w:color w:val="000000"/>
          <w:szCs w:val="22"/>
        </w:rPr>
      </w:pPr>
      <w:r w:rsidRPr="00CD729C">
        <w:rPr>
          <w:color w:val="000000"/>
          <w:szCs w:val="22"/>
        </w:rPr>
        <w:t>ANR = augšējā normas robeža iestādē</w:t>
      </w:r>
    </w:p>
    <w:p w14:paraId="3D394444" w14:textId="77777777" w:rsidR="005117C7" w:rsidRPr="00CD729C" w:rsidRDefault="005117C7" w:rsidP="009B4BB6">
      <w:pPr>
        <w:keepNext/>
        <w:keepLines/>
        <w:widowControl w:val="0"/>
        <w:tabs>
          <w:tab w:val="clear" w:pos="567"/>
        </w:tabs>
        <w:spacing w:line="240" w:lineRule="auto"/>
        <w:rPr>
          <w:color w:val="000000"/>
          <w:szCs w:val="22"/>
        </w:rPr>
      </w:pPr>
      <w:r w:rsidRPr="00CD729C">
        <w:rPr>
          <w:color w:val="000000"/>
          <w:szCs w:val="22"/>
        </w:rPr>
        <w:t>ASAT = aspartāta aminotransfer</w:t>
      </w:r>
      <w:r w:rsidR="00DD2211" w:rsidRPr="00CD729C">
        <w:rPr>
          <w:color w:val="000000"/>
          <w:szCs w:val="22"/>
        </w:rPr>
        <w:t>ā</w:t>
      </w:r>
      <w:r w:rsidR="009215DC" w:rsidRPr="00CD729C">
        <w:rPr>
          <w:color w:val="000000"/>
          <w:szCs w:val="22"/>
        </w:rPr>
        <w:t>z</w:t>
      </w:r>
      <w:r w:rsidRPr="00CD729C">
        <w:rPr>
          <w:color w:val="000000"/>
          <w:szCs w:val="22"/>
        </w:rPr>
        <w:t>e</w:t>
      </w:r>
    </w:p>
    <w:p w14:paraId="3D394445" w14:textId="77777777" w:rsidR="005117C7" w:rsidRPr="00CD729C" w:rsidRDefault="005117C7" w:rsidP="009B4BB6">
      <w:pPr>
        <w:widowControl w:val="0"/>
        <w:tabs>
          <w:tab w:val="clear" w:pos="567"/>
        </w:tabs>
        <w:spacing w:line="240" w:lineRule="auto"/>
        <w:rPr>
          <w:color w:val="000000"/>
          <w:szCs w:val="22"/>
        </w:rPr>
      </w:pPr>
    </w:p>
    <w:p w14:paraId="3D394446" w14:textId="77777777" w:rsidR="005117C7" w:rsidRPr="00CD729C" w:rsidRDefault="005117C7" w:rsidP="009B4BB6">
      <w:pPr>
        <w:widowControl w:val="0"/>
        <w:tabs>
          <w:tab w:val="clear" w:pos="567"/>
        </w:tabs>
        <w:spacing w:line="240" w:lineRule="auto"/>
        <w:rPr>
          <w:color w:val="000000"/>
          <w:szCs w:val="22"/>
        </w:rPr>
      </w:pPr>
      <w:r w:rsidRPr="00CD729C">
        <w:rPr>
          <w:i/>
          <w:color w:val="000000"/>
          <w:szCs w:val="22"/>
        </w:rPr>
        <w:t>Nieru mazspēja:</w:t>
      </w:r>
      <w:r w:rsidRPr="00CD729C">
        <w:rPr>
          <w:color w:val="000000"/>
          <w:szCs w:val="22"/>
        </w:rPr>
        <w:t xml:space="preserve"> </w:t>
      </w:r>
      <w:r w:rsidR="005E2501" w:rsidRPr="00D35446">
        <w:rPr>
          <w:color w:val="000000"/>
          <w:szCs w:val="22"/>
        </w:rPr>
        <w:t>p</w:t>
      </w:r>
      <w:r w:rsidR="00583906" w:rsidRPr="00CD729C">
        <w:rPr>
          <w:color w:val="000000"/>
          <w:szCs w:val="22"/>
        </w:rPr>
        <w:t>acientiem ar nieru disfunkciju</w:t>
      </w:r>
      <w:r w:rsidR="007E5075" w:rsidRPr="00CD729C">
        <w:t xml:space="preserve"> </w:t>
      </w:r>
      <w:r w:rsidR="007E5075" w:rsidRPr="00CD729C">
        <w:rPr>
          <w:color w:val="000000"/>
          <w:szCs w:val="22"/>
        </w:rPr>
        <w:t>vai kuriem tiek veikta dialīze,</w:t>
      </w:r>
      <w:r w:rsidR="00583906" w:rsidRPr="00CD729C">
        <w:rPr>
          <w:color w:val="000000"/>
          <w:szCs w:val="22"/>
        </w:rPr>
        <w:t xml:space="preserve"> par sākumdevu jālieto minimālā ieteicamā deva 400 mg dienā.</w:t>
      </w:r>
      <w:r w:rsidR="00E6099A" w:rsidRPr="00CD729C">
        <w:rPr>
          <w:color w:val="000000"/>
          <w:szCs w:val="22"/>
        </w:rPr>
        <w:t xml:space="preserve"> </w:t>
      </w:r>
      <w:r w:rsidR="00583906" w:rsidRPr="00CD729C">
        <w:rPr>
          <w:color w:val="000000"/>
          <w:szCs w:val="22"/>
        </w:rPr>
        <w:t>T</w:t>
      </w:r>
      <w:r w:rsidRPr="00CD729C">
        <w:rPr>
          <w:color w:val="000000"/>
          <w:szCs w:val="22"/>
        </w:rPr>
        <w:t xml:space="preserve">omēr </w:t>
      </w:r>
      <w:r w:rsidR="00583906" w:rsidRPr="00CD729C">
        <w:rPr>
          <w:color w:val="000000"/>
          <w:szCs w:val="22"/>
        </w:rPr>
        <w:t xml:space="preserve">šiem pacientiem </w:t>
      </w:r>
      <w:r w:rsidRPr="00CD729C">
        <w:rPr>
          <w:color w:val="000000"/>
          <w:szCs w:val="22"/>
        </w:rPr>
        <w:t>jāievēro piesardzība.</w:t>
      </w:r>
      <w:r w:rsidR="00583906" w:rsidRPr="00CD729C">
        <w:rPr>
          <w:color w:val="000000"/>
          <w:szCs w:val="22"/>
        </w:rPr>
        <w:t xml:space="preserve"> Devu var mazināt, ja rodas blakusparādības</w:t>
      </w:r>
      <w:r w:rsidR="007E5075" w:rsidRPr="00CD729C">
        <w:rPr>
          <w:color w:val="000000"/>
          <w:szCs w:val="22"/>
        </w:rPr>
        <w:t>. Ja panesamība ir laba, devu var</w:t>
      </w:r>
      <w:r w:rsidR="00583906" w:rsidRPr="00CD729C">
        <w:rPr>
          <w:color w:val="000000"/>
          <w:szCs w:val="22"/>
        </w:rPr>
        <w:t xml:space="preserve"> palielināt nepietiekamas efektivitātes gadījumā (skatīt 4.4</w:t>
      </w:r>
      <w:r w:rsidR="00A031F4" w:rsidRPr="00CD729C">
        <w:rPr>
          <w:color w:val="000000"/>
          <w:szCs w:val="22"/>
        </w:rPr>
        <w:t>.</w:t>
      </w:r>
      <w:r w:rsidR="00583906" w:rsidRPr="00CD729C">
        <w:rPr>
          <w:color w:val="000000"/>
          <w:szCs w:val="22"/>
        </w:rPr>
        <w:t xml:space="preserve"> un 5.2</w:t>
      </w:r>
      <w:r w:rsidR="00A031F4" w:rsidRPr="00CD729C">
        <w:rPr>
          <w:color w:val="000000"/>
          <w:szCs w:val="22"/>
        </w:rPr>
        <w:t>.</w:t>
      </w:r>
      <w:r w:rsidR="008A5348" w:rsidRPr="00CD729C">
        <w:rPr>
          <w:color w:val="000000"/>
          <w:szCs w:val="22"/>
        </w:rPr>
        <w:t> apakšpunktu</w:t>
      </w:r>
      <w:r w:rsidR="00583906" w:rsidRPr="00CD729C">
        <w:rPr>
          <w:color w:val="000000"/>
          <w:szCs w:val="22"/>
        </w:rPr>
        <w:t>).</w:t>
      </w:r>
    </w:p>
    <w:p w14:paraId="3D394447" w14:textId="77777777" w:rsidR="005117C7" w:rsidRPr="00CD729C" w:rsidRDefault="005117C7" w:rsidP="009B4BB6">
      <w:pPr>
        <w:widowControl w:val="0"/>
        <w:tabs>
          <w:tab w:val="clear" w:pos="567"/>
        </w:tabs>
        <w:spacing w:line="240" w:lineRule="auto"/>
        <w:rPr>
          <w:color w:val="000000"/>
          <w:szCs w:val="22"/>
        </w:rPr>
      </w:pPr>
    </w:p>
    <w:p w14:paraId="3D394448" w14:textId="77777777" w:rsidR="005117C7" w:rsidRPr="00CD729C" w:rsidRDefault="005117C7" w:rsidP="009B4BB6">
      <w:pPr>
        <w:widowControl w:val="0"/>
        <w:tabs>
          <w:tab w:val="clear" w:pos="567"/>
        </w:tabs>
        <w:spacing w:line="240" w:lineRule="auto"/>
        <w:rPr>
          <w:color w:val="000000"/>
          <w:szCs w:val="22"/>
        </w:rPr>
      </w:pPr>
      <w:r w:rsidRPr="00CD729C">
        <w:rPr>
          <w:i/>
          <w:color w:val="000000"/>
          <w:szCs w:val="22"/>
        </w:rPr>
        <w:t xml:space="preserve">Gados vecāki </w:t>
      </w:r>
      <w:r w:rsidR="00276FF8" w:rsidRPr="00CD729C">
        <w:rPr>
          <w:i/>
          <w:color w:val="000000"/>
          <w:szCs w:val="22"/>
        </w:rPr>
        <w:t>cilvēki</w:t>
      </w:r>
      <w:r w:rsidRPr="00CD729C">
        <w:rPr>
          <w:i/>
          <w:color w:val="000000"/>
          <w:szCs w:val="22"/>
        </w:rPr>
        <w:t>:</w:t>
      </w:r>
      <w:r w:rsidRPr="00CD729C">
        <w:rPr>
          <w:color w:val="000000"/>
          <w:szCs w:val="22"/>
        </w:rPr>
        <w:t xml:space="preserve"> </w:t>
      </w:r>
      <w:r w:rsidR="00371589" w:rsidRPr="00CD729C">
        <w:rPr>
          <w:color w:val="000000"/>
          <w:szCs w:val="22"/>
        </w:rPr>
        <w:t>a</w:t>
      </w:r>
      <w:r w:rsidRPr="00CD729C">
        <w:rPr>
          <w:color w:val="000000"/>
          <w:szCs w:val="22"/>
        </w:rPr>
        <w:t xml:space="preserve">r gados vecākiem </w:t>
      </w:r>
      <w:r w:rsidR="00276FF8" w:rsidRPr="00CD729C">
        <w:rPr>
          <w:color w:val="000000"/>
          <w:szCs w:val="22"/>
        </w:rPr>
        <w:t xml:space="preserve">cilvēkiem </w:t>
      </w:r>
      <w:r w:rsidRPr="00CD729C">
        <w:rPr>
          <w:color w:val="000000"/>
          <w:szCs w:val="22"/>
        </w:rPr>
        <w:t xml:space="preserve">specifiski imatiniba farmakokinētikas pētījumi nav veikti. Klīnisko pētījumu laikā, iekļaujot vairāk kā 20% pacientu vecumā no 65 gadiem, nozīmīgas preparāta farmakokinētikas izmaiņas, kas saistītas ar pacienta vecumu, nav konstatētas. Gados vecākiem </w:t>
      </w:r>
      <w:r w:rsidR="00276FF8" w:rsidRPr="00CD729C">
        <w:rPr>
          <w:color w:val="000000"/>
          <w:szCs w:val="22"/>
        </w:rPr>
        <w:t xml:space="preserve">cilvēkiem </w:t>
      </w:r>
      <w:r w:rsidRPr="00CD729C">
        <w:rPr>
          <w:color w:val="000000"/>
          <w:szCs w:val="22"/>
        </w:rPr>
        <w:t>specifiskas preparāta devas ieteikt nav nepieciešams.</w:t>
      </w:r>
    </w:p>
    <w:p w14:paraId="3D394449" w14:textId="77777777" w:rsidR="005117C7" w:rsidRPr="00CD729C" w:rsidRDefault="005117C7" w:rsidP="009B4BB6">
      <w:pPr>
        <w:widowControl w:val="0"/>
        <w:tabs>
          <w:tab w:val="clear" w:pos="567"/>
        </w:tabs>
        <w:spacing w:line="240" w:lineRule="auto"/>
        <w:rPr>
          <w:color w:val="000000"/>
          <w:szCs w:val="22"/>
        </w:rPr>
      </w:pPr>
    </w:p>
    <w:p w14:paraId="3D39444A"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4.3</w:t>
      </w:r>
      <w:r w:rsidR="00A031F4" w:rsidRPr="00CD729C">
        <w:rPr>
          <w:b/>
          <w:color w:val="000000"/>
          <w:szCs w:val="22"/>
        </w:rPr>
        <w:t>.</w:t>
      </w:r>
      <w:r w:rsidRPr="00CD729C">
        <w:rPr>
          <w:b/>
          <w:color w:val="000000"/>
          <w:szCs w:val="22"/>
        </w:rPr>
        <w:tab/>
        <w:t>Kontrindikācijas</w:t>
      </w:r>
    </w:p>
    <w:p w14:paraId="3D39444B"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44C"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 xml:space="preserve">Paaugstināta jutība pret aktīvo vielu vai jebkuru no </w:t>
      </w:r>
      <w:r w:rsidR="00BF3DA7" w:rsidRPr="00CD729C">
        <w:rPr>
          <w:color w:val="000000"/>
          <w:szCs w:val="22"/>
        </w:rPr>
        <w:t>6.1</w:t>
      </w:r>
      <w:r w:rsidR="00A031F4" w:rsidRPr="00CD729C">
        <w:rPr>
          <w:color w:val="000000"/>
          <w:szCs w:val="22"/>
        </w:rPr>
        <w:t>.</w:t>
      </w:r>
      <w:r w:rsidR="00961329">
        <w:rPr>
          <w:color w:val="000000"/>
          <w:szCs w:val="22"/>
        </w:rPr>
        <w:t> </w:t>
      </w:r>
      <w:r w:rsidR="00BF3DA7" w:rsidRPr="00CD729C">
        <w:rPr>
          <w:color w:val="000000"/>
          <w:szCs w:val="22"/>
        </w:rPr>
        <w:t xml:space="preserve">apakšpunktā uzskaitītajām </w:t>
      </w:r>
      <w:r w:rsidRPr="00CD729C">
        <w:rPr>
          <w:color w:val="000000"/>
          <w:szCs w:val="22"/>
        </w:rPr>
        <w:t>palīgvielām.</w:t>
      </w:r>
    </w:p>
    <w:p w14:paraId="3D39444D" w14:textId="77777777" w:rsidR="005117C7" w:rsidRPr="00CD729C" w:rsidRDefault="005117C7" w:rsidP="009B4BB6">
      <w:pPr>
        <w:widowControl w:val="0"/>
        <w:tabs>
          <w:tab w:val="clear" w:pos="567"/>
        </w:tabs>
        <w:spacing w:line="240" w:lineRule="auto"/>
        <w:ind w:left="567" w:hanging="567"/>
        <w:rPr>
          <w:color w:val="000000"/>
          <w:szCs w:val="22"/>
        </w:rPr>
      </w:pPr>
    </w:p>
    <w:p w14:paraId="3D39444E" w14:textId="77777777" w:rsidR="005117C7" w:rsidRPr="00CD729C" w:rsidRDefault="005117C7" w:rsidP="009B4BB6">
      <w:pPr>
        <w:keepNext/>
        <w:widowControl w:val="0"/>
        <w:tabs>
          <w:tab w:val="clear" w:pos="567"/>
        </w:tabs>
        <w:spacing w:line="240" w:lineRule="auto"/>
        <w:ind w:left="567" w:hanging="567"/>
        <w:rPr>
          <w:b/>
          <w:color w:val="000000"/>
          <w:szCs w:val="22"/>
        </w:rPr>
      </w:pPr>
      <w:r w:rsidRPr="00CD729C">
        <w:rPr>
          <w:b/>
          <w:color w:val="000000"/>
          <w:szCs w:val="22"/>
        </w:rPr>
        <w:t>4.4</w:t>
      </w:r>
      <w:r w:rsidR="00A031F4" w:rsidRPr="00CD729C">
        <w:rPr>
          <w:b/>
          <w:color w:val="000000"/>
          <w:szCs w:val="22"/>
        </w:rPr>
        <w:t>.</w:t>
      </w:r>
      <w:r w:rsidRPr="00CD729C">
        <w:rPr>
          <w:b/>
          <w:color w:val="000000"/>
          <w:szCs w:val="22"/>
        </w:rPr>
        <w:tab/>
        <w:t>Īpaši brīdinājumi un piesardzība lietošanā</w:t>
      </w:r>
    </w:p>
    <w:p w14:paraId="3D39444F"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450"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Ja Glivec ordinē kopā ar cit</w:t>
      </w:r>
      <w:r w:rsidR="00053481" w:rsidRPr="00CD729C">
        <w:rPr>
          <w:color w:val="000000"/>
          <w:szCs w:val="22"/>
        </w:rPr>
        <w:t>ā</w:t>
      </w:r>
      <w:r w:rsidRPr="00CD729C">
        <w:rPr>
          <w:color w:val="000000"/>
          <w:szCs w:val="22"/>
        </w:rPr>
        <w:t xml:space="preserve">m </w:t>
      </w:r>
      <w:r w:rsidR="00053481" w:rsidRPr="00CD729C">
        <w:rPr>
          <w:color w:val="000000"/>
          <w:szCs w:val="22"/>
        </w:rPr>
        <w:t>zālēm</w:t>
      </w:r>
      <w:r w:rsidRPr="00CD729C">
        <w:rPr>
          <w:color w:val="000000"/>
          <w:szCs w:val="22"/>
        </w:rPr>
        <w:t>, ir iespējama mijiedarbība.</w:t>
      </w:r>
      <w:r w:rsidR="00917296" w:rsidRPr="00CD729C">
        <w:rPr>
          <w:color w:val="000000"/>
          <w:szCs w:val="22"/>
        </w:rPr>
        <w:t xml:space="preserve"> Lietojot Glivec kopā ar </w:t>
      </w:r>
      <w:r w:rsidR="008752AD" w:rsidRPr="00CD729C">
        <w:rPr>
          <w:color w:val="000000"/>
          <w:szCs w:val="22"/>
        </w:rPr>
        <w:t>proteāzes inhibi</w:t>
      </w:r>
      <w:r w:rsidR="00FA4BBF" w:rsidRPr="00CD729C">
        <w:rPr>
          <w:color w:val="000000"/>
          <w:szCs w:val="22"/>
        </w:rPr>
        <w:t>toriem, azola grupas pretsēnīšu līdzekļiem, noteiktiem makrolīdu grupas līdzekļiem (skatīt 4.5</w:t>
      </w:r>
      <w:r w:rsidR="00A031F4" w:rsidRPr="00CD729C">
        <w:rPr>
          <w:color w:val="000000"/>
          <w:szCs w:val="22"/>
        </w:rPr>
        <w:t>.</w:t>
      </w:r>
      <w:r w:rsidR="008A5348" w:rsidRPr="00CD729C">
        <w:rPr>
          <w:color w:val="000000"/>
          <w:szCs w:val="22"/>
        </w:rPr>
        <w:t> apakšpunktu</w:t>
      </w:r>
      <w:r w:rsidR="00FA4BBF" w:rsidRPr="00CD729C">
        <w:rPr>
          <w:color w:val="000000"/>
          <w:szCs w:val="22"/>
        </w:rPr>
        <w:t xml:space="preserve">), </w:t>
      </w:r>
      <w:r w:rsidR="00917296" w:rsidRPr="00CD729C">
        <w:rPr>
          <w:color w:val="000000"/>
          <w:szCs w:val="22"/>
        </w:rPr>
        <w:t>CYP3A4 substrātiem ar šauru terapeitisk</w:t>
      </w:r>
      <w:r w:rsidR="00AA3A81" w:rsidRPr="00CD729C">
        <w:rPr>
          <w:color w:val="000000"/>
          <w:szCs w:val="22"/>
        </w:rPr>
        <w:t>u indeksu</w:t>
      </w:r>
      <w:r w:rsidR="00917296" w:rsidRPr="00CD729C">
        <w:rPr>
          <w:color w:val="000000"/>
          <w:szCs w:val="22"/>
        </w:rPr>
        <w:t xml:space="preserve"> (piemēram, ciklosporīnu</w:t>
      </w:r>
      <w:r w:rsidR="00FA4BBF" w:rsidRPr="00CD729C">
        <w:rPr>
          <w:color w:val="000000"/>
          <w:szCs w:val="22"/>
        </w:rPr>
        <w:t>,</w:t>
      </w:r>
      <w:r w:rsidR="00917296" w:rsidRPr="00CD729C">
        <w:rPr>
          <w:color w:val="000000"/>
          <w:szCs w:val="22"/>
        </w:rPr>
        <w:t xml:space="preserve"> pimozīdu</w:t>
      </w:r>
      <w:r w:rsidR="00BE51C9" w:rsidRPr="00CD729C">
        <w:rPr>
          <w:color w:val="000000"/>
          <w:szCs w:val="22"/>
        </w:rPr>
        <w:t>,</w:t>
      </w:r>
      <w:r w:rsidR="00FA4BBF" w:rsidRPr="00CD729C">
        <w:t xml:space="preserve"> </w:t>
      </w:r>
      <w:r w:rsidR="00FA4BBF" w:rsidRPr="00CD729C">
        <w:rPr>
          <w:color w:val="000000"/>
          <w:szCs w:val="22"/>
        </w:rPr>
        <w:t>takrolim</w:t>
      </w:r>
      <w:r w:rsidR="00BE51C9" w:rsidRPr="00CD729C">
        <w:rPr>
          <w:color w:val="000000"/>
          <w:szCs w:val="22"/>
        </w:rPr>
        <w:t>u</w:t>
      </w:r>
      <w:r w:rsidR="00FA4BBF" w:rsidRPr="00CD729C">
        <w:rPr>
          <w:color w:val="000000"/>
          <w:szCs w:val="22"/>
        </w:rPr>
        <w:t>, sirolim</w:t>
      </w:r>
      <w:r w:rsidR="00BE51C9" w:rsidRPr="00CD729C">
        <w:rPr>
          <w:color w:val="000000"/>
          <w:szCs w:val="22"/>
        </w:rPr>
        <w:t>u, ergotamīnu, diergotamīnu, fentanilu, alfentanilu, terfenadīnu</w:t>
      </w:r>
      <w:r w:rsidR="00FA4BBF" w:rsidRPr="00CD729C">
        <w:rPr>
          <w:color w:val="000000"/>
          <w:szCs w:val="22"/>
        </w:rPr>
        <w:t>, bortezomib</w:t>
      </w:r>
      <w:r w:rsidR="00BE51C9" w:rsidRPr="00CD729C">
        <w:rPr>
          <w:color w:val="000000"/>
          <w:szCs w:val="22"/>
        </w:rPr>
        <w:t>u</w:t>
      </w:r>
      <w:r w:rsidR="00FA4BBF" w:rsidRPr="00CD729C">
        <w:rPr>
          <w:color w:val="000000"/>
          <w:szCs w:val="22"/>
        </w:rPr>
        <w:t xml:space="preserve">, </w:t>
      </w:r>
      <w:r w:rsidR="00BE51C9" w:rsidRPr="00CD729C">
        <w:rPr>
          <w:color w:val="000000"/>
          <w:szCs w:val="22"/>
        </w:rPr>
        <w:t>docetakselu</w:t>
      </w:r>
      <w:r w:rsidR="00FA4BBF" w:rsidRPr="00CD729C">
        <w:rPr>
          <w:color w:val="000000"/>
          <w:szCs w:val="22"/>
        </w:rPr>
        <w:t xml:space="preserve">, </w:t>
      </w:r>
      <w:r w:rsidR="00BE51C9" w:rsidRPr="00CD729C">
        <w:rPr>
          <w:color w:val="000000"/>
          <w:szCs w:val="22"/>
        </w:rPr>
        <w:t>hinidīnu</w:t>
      </w:r>
      <w:r w:rsidR="00917296" w:rsidRPr="00CD729C">
        <w:rPr>
          <w:color w:val="000000"/>
          <w:szCs w:val="22"/>
        </w:rPr>
        <w:t xml:space="preserve">) vai varfarīnu </w:t>
      </w:r>
      <w:r w:rsidR="00C613BA" w:rsidRPr="00CD729C">
        <w:rPr>
          <w:color w:val="000000"/>
          <w:szCs w:val="22"/>
        </w:rPr>
        <w:t xml:space="preserve">un </w:t>
      </w:r>
      <w:r w:rsidR="00917296" w:rsidRPr="00CD729C">
        <w:rPr>
          <w:color w:val="000000"/>
          <w:szCs w:val="22"/>
        </w:rPr>
        <w:t xml:space="preserve">citiem kumarīna atvasinājumiem, </w:t>
      </w:r>
      <w:r w:rsidR="00BA3EF1" w:rsidRPr="00CD729C">
        <w:rPr>
          <w:color w:val="000000"/>
          <w:szCs w:val="22"/>
        </w:rPr>
        <w:t>jā</w:t>
      </w:r>
      <w:r w:rsidR="00917296" w:rsidRPr="00CD729C">
        <w:rPr>
          <w:color w:val="000000"/>
          <w:szCs w:val="22"/>
        </w:rPr>
        <w:t>ievēro piesardzīb</w:t>
      </w:r>
      <w:r w:rsidR="00BA3EF1" w:rsidRPr="00CD729C">
        <w:rPr>
          <w:color w:val="000000"/>
          <w:szCs w:val="22"/>
        </w:rPr>
        <w:t>a</w:t>
      </w:r>
      <w:r w:rsidR="00917296" w:rsidRPr="00CD729C">
        <w:rPr>
          <w:color w:val="000000"/>
          <w:szCs w:val="22"/>
        </w:rPr>
        <w:t xml:space="preserve"> (skatīt 4.5</w:t>
      </w:r>
      <w:r w:rsidR="00A031F4" w:rsidRPr="00CD729C">
        <w:rPr>
          <w:color w:val="000000"/>
          <w:szCs w:val="22"/>
        </w:rPr>
        <w:t>.</w:t>
      </w:r>
      <w:r w:rsidR="00552C22" w:rsidRPr="00CD729C">
        <w:rPr>
          <w:color w:val="000000"/>
          <w:szCs w:val="22"/>
        </w:rPr>
        <w:t> apakšpunktu</w:t>
      </w:r>
      <w:r w:rsidR="00917296" w:rsidRPr="00CD729C">
        <w:rPr>
          <w:color w:val="000000"/>
          <w:szCs w:val="22"/>
        </w:rPr>
        <w:t>).</w:t>
      </w:r>
    </w:p>
    <w:p w14:paraId="3D394451" w14:textId="77777777" w:rsidR="005117C7" w:rsidRPr="00CD729C" w:rsidRDefault="005117C7" w:rsidP="009B4BB6">
      <w:pPr>
        <w:widowControl w:val="0"/>
        <w:tabs>
          <w:tab w:val="clear" w:pos="567"/>
        </w:tabs>
        <w:spacing w:line="240" w:lineRule="auto"/>
        <w:ind w:left="567" w:hanging="567"/>
        <w:rPr>
          <w:color w:val="000000"/>
          <w:szCs w:val="22"/>
        </w:rPr>
      </w:pPr>
    </w:p>
    <w:p w14:paraId="3D394452"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Vienlaicīga imatiniba un zāļu, kas inducē CYP3A4 (piemēram, deksametazonu, fenitoīnu, karbamazepīnu, rifampicīnu, fenobarbitālu, vai asinszā</w:t>
      </w:r>
      <w:r w:rsidR="005066E6" w:rsidRPr="00CD729C">
        <w:rPr>
          <w:color w:val="000000"/>
          <w:szCs w:val="22"/>
        </w:rPr>
        <w:t>les</w:t>
      </w:r>
      <w:r w:rsidRPr="00CD729C">
        <w:rPr>
          <w:color w:val="000000"/>
          <w:szCs w:val="22"/>
        </w:rPr>
        <w:t xml:space="preserve"> (</w:t>
      </w:r>
      <w:r w:rsidRPr="00CD729C">
        <w:rPr>
          <w:i/>
          <w:color w:val="000000"/>
          <w:szCs w:val="22"/>
        </w:rPr>
        <w:t xml:space="preserve">Hypericum perforatum) </w:t>
      </w:r>
      <w:r w:rsidRPr="00CD729C">
        <w:rPr>
          <w:color w:val="000000"/>
          <w:szCs w:val="22"/>
        </w:rPr>
        <w:t>preparātiem) lietošana var ievērojami vājināt Glivec iedarbību un, iespējams, paaugstināt terapeitiskas neveiksmes risku. Tādējādi ir jāizvairās vienlaicīgi ordinēt spēcīgus CYP3A4</w:t>
      </w:r>
      <w:r w:rsidR="005F78CA" w:rsidRPr="00CD729C">
        <w:rPr>
          <w:color w:val="000000"/>
          <w:szCs w:val="22"/>
        </w:rPr>
        <w:t> </w:t>
      </w:r>
      <w:r w:rsidRPr="00CD729C">
        <w:rPr>
          <w:color w:val="000000"/>
          <w:szCs w:val="22"/>
        </w:rPr>
        <w:t>induktorus un imatinibu (sk</w:t>
      </w:r>
      <w:r w:rsidR="00A64570" w:rsidRPr="00CD729C">
        <w:rPr>
          <w:color w:val="000000"/>
          <w:szCs w:val="22"/>
        </w:rPr>
        <w:t>atīt</w:t>
      </w:r>
      <w:r w:rsidRPr="00CD729C">
        <w:rPr>
          <w:color w:val="000000"/>
          <w:szCs w:val="22"/>
        </w:rPr>
        <w:t xml:space="preserve"> 4.5</w:t>
      </w:r>
      <w:r w:rsidR="00A031F4" w:rsidRPr="00CD729C">
        <w:rPr>
          <w:color w:val="000000"/>
          <w:szCs w:val="22"/>
        </w:rPr>
        <w:t>.</w:t>
      </w:r>
      <w:r w:rsidR="008A5348" w:rsidRPr="00CD729C">
        <w:rPr>
          <w:color w:val="000000"/>
          <w:szCs w:val="22"/>
        </w:rPr>
        <w:t> apakšpunktu</w:t>
      </w:r>
      <w:r w:rsidRPr="00CD729C">
        <w:rPr>
          <w:color w:val="000000"/>
          <w:szCs w:val="22"/>
        </w:rPr>
        <w:t>).</w:t>
      </w:r>
    </w:p>
    <w:p w14:paraId="3D394453" w14:textId="77777777" w:rsidR="00FB5FD0" w:rsidRPr="00CD729C" w:rsidRDefault="00FB5FD0" w:rsidP="009B4BB6">
      <w:pPr>
        <w:widowControl w:val="0"/>
        <w:spacing w:line="240" w:lineRule="auto"/>
        <w:rPr>
          <w:color w:val="000000"/>
          <w:szCs w:val="22"/>
        </w:rPr>
      </w:pPr>
    </w:p>
    <w:p w14:paraId="3D394454" w14:textId="77777777" w:rsidR="00BF3DA7" w:rsidRPr="00CD729C" w:rsidRDefault="00BF3DA7" w:rsidP="009B4BB6">
      <w:pPr>
        <w:keepNext/>
        <w:widowControl w:val="0"/>
        <w:spacing w:line="240" w:lineRule="auto"/>
        <w:rPr>
          <w:color w:val="000000"/>
          <w:szCs w:val="22"/>
          <w:u w:val="single"/>
        </w:rPr>
      </w:pPr>
      <w:r w:rsidRPr="00CD729C">
        <w:rPr>
          <w:color w:val="000000"/>
          <w:szCs w:val="22"/>
          <w:u w:val="single"/>
        </w:rPr>
        <w:t>Hipotireoze</w:t>
      </w:r>
    </w:p>
    <w:p w14:paraId="3D394455" w14:textId="77777777" w:rsidR="00FB5FD0" w:rsidRPr="00CD729C" w:rsidRDefault="00FB5FD0" w:rsidP="009B4BB6">
      <w:pPr>
        <w:widowControl w:val="0"/>
        <w:spacing w:line="240" w:lineRule="auto"/>
        <w:rPr>
          <w:color w:val="000000"/>
          <w:szCs w:val="22"/>
        </w:rPr>
      </w:pPr>
      <w:r w:rsidRPr="00CD729C">
        <w:rPr>
          <w:color w:val="000000"/>
          <w:szCs w:val="22"/>
        </w:rPr>
        <w:t>Pacientiem, kam veikta tireoidektomija, un kas saņem levotiroksīna aizstājterapiju Glivec terapijas laikā, ziņots par klīniskiem hipotireozes gadījumiem</w:t>
      </w:r>
      <w:r w:rsidR="00D24F0A" w:rsidRPr="00CD729C">
        <w:rPr>
          <w:color w:val="000000"/>
          <w:szCs w:val="22"/>
        </w:rPr>
        <w:t xml:space="preserve"> (skatīt 4.5</w:t>
      </w:r>
      <w:r w:rsidR="00A031F4" w:rsidRPr="00CD729C">
        <w:rPr>
          <w:color w:val="000000"/>
          <w:szCs w:val="22"/>
        </w:rPr>
        <w:t>.</w:t>
      </w:r>
      <w:r w:rsidR="008A5348" w:rsidRPr="00CD729C">
        <w:rPr>
          <w:color w:val="000000"/>
          <w:szCs w:val="22"/>
        </w:rPr>
        <w:t> apakšpunktu</w:t>
      </w:r>
      <w:r w:rsidR="00D24F0A" w:rsidRPr="00CD729C">
        <w:rPr>
          <w:color w:val="000000"/>
          <w:szCs w:val="22"/>
        </w:rPr>
        <w:t>)</w:t>
      </w:r>
      <w:r w:rsidRPr="00CD729C">
        <w:rPr>
          <w:color w:val="000000"/>
          <w:szCs w:val="22"/>
        </w:rPr>
        <w:t xml:space="preserve">. Šiem pacientiem rūpīgi jākontrolē </w:t>
      </w:r>
      <w:r w:rsidR="007F2DB4" w:rsidRPr="00CD729C">
        <w:rPr>
          <w:color w:val="000000"/>
          <w:szCs w:val="22"/>
        </w:rPr>
        <w:t>vairogdziedzeri stimulējošā hormona (</w:t>
      </w:r>
      <w:r w:rsidRPr="00CD729C">
        <w:rPr>
          <w:i/>
          <w:color w:val="000000"/>
          <w:szCs w:val="22"/>
        </w:rPr>
        <w:t>TSH</w:t>
      </w:r>
      <w:r w:rsidR="002B6AFE" w:rsidRPr="00CD729C">
        <w:rPr>
          <w:i/>
          <w:color w:val="000000"/>
          <w:szCs w:val="22"/>
        </w:rPr>
        <w:t xml:space="preserve"> - thyroid-stimulating hormone</w:t>
      </w:r>
      <w:r w:rsidR="007F2DB4" w:rsidRPr="00CD729C">
        <w:rPr>
          <w:color w:val="000000"/>
          <w:szCs w:val="22"/>
        </w:rPr>
        <w:t>)</w:t>
      </w:r>
      <w:r w:rsidRPr="00CD729C">
        <w:rPr>
          <w:color w:val="000000"/>
          <w:szCs w:val="22"/>
        </w:rPr>
        <w:t xml:space="preserve"> līmenis.</w:t>
      </w:r>
    </w:p>
    <w:p w14:paraId="3D394456" w14:textId="77777777" w:rsidR="005117C7" w:rsidRPr="00CD729C" w:rsidRDefault="005117C7" w:rsidP="009B4BB6">
      <w:pPr>
        <w:widowControl w:val="0"/>
        <w:tabs>
          <w:tab w:val="clear" w:pos="567"/>
        </w:tabs>
        <w:spacing w:line="240" w:lineRule="auto"/>
        <w:rPr>
          <w:color w:val="000000"/>
          <w:szCs w:val="22"/>
        </w:rPr>
      </w:pPr>
    </w:p>
    <w:p w14:paraId="3D394457" w14:textId="77777777" w:rsidR="00BF3DA7" w:rsidRPr="00CD729C" w:rsidRDefault="00BF3DA7" w:rsidP="009B4BB6">
      <w:pPr>
        <w:keepNext/>
        <w:widowControl w:val="0"/>
        <w:tabs>
          <w:tab w:val="clear" w:pos="567"/>
        </w:tabs>
        <w:spacing w:line="240" w:lineRule="auto"/>
        <w:rPr>
          <w:color w:val="000000"/>
          <w:szCs w:val="22"/>
          <w:u w:val="single"/>
        </w:rPr>
      </w:pPr>
      <w:r w:rsidRPr="00CD729C">
        <w:rPr>
          <w:color w:val="000000"/>
          <w:szCs w:val="22"/>
          <w:u w:val="single"/>
        </w:rPr>
        <w:t>Hepatotoksicitāte</w:t>
      </w:r>
    </w:p>
    <w:p w14:paraId="3D394458"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Glivec vielmaiņas procesi galvenokārt notiek aknās un tikai 13% devas izdalās caur nierēm. Pacientiem ar aknu darbības traucējumiem (viegliem, vidēji smagiem vai smagiem) rūpīgi jākontrolē perifērā asinsaina un aknu fermentu daudzums (sk</w:t>
      </w:r>
      <w:r w:rsidR="00A64570" w:rsidRPr="00CD729C">
        <w:rPr>
          <w:color w:val="000000"/>
          <w:szCs w:val="22"/>
        </w:rPr>
        <w:t>atīt</w:t>
      </w:r>
      <w:r w:rsidRPr="00CD729C">
        <w:rPr>
          <w:color w:val="000000"/>
          <w:szCs w:val="22"/>
        </w:rPr>
        <w:t xml:space="preserve"> 4.2</w:t>
      </w:r>
      <w:r w:rsidR="00A031F4" w:rsidRPr="00CD729C">
        <w:rPr>
          <w:color w:val="000000"/>
          <w:szCs w:val="22"/>
        </w:rPr>
        <w:t>.</w:t>
      </w:r>
      <w:r w:rsidRPr="00CD729C">
        <w:rPr>
          <w:color w:val="000000"/>
          <w:szCs w:val="22"/>
        </w:rPr>
        <w:t>, 4.8</w:t>
      </w:r>
      <w:r w:rsidR="00A031F4" w:rsidRPr="00CD729C">
        <w:rPr>
          <w:color w:val="000000"/>
          <w:szCs w:val="22"/>
        </w:rPr>
        <w:t>.</w:t>
      </w:r>
      <w:r w:rsidRPr="00CD729C">
        <w:rPr>
          <w:color w:val="000000"/>
          <w:szCs w:val="22"/>
        </w:rPr>
        <w:t xml:space="preserve"> un 5.2</w:t>
      </w:r>
      <w:r w:rsidR="00A031F4" w:rsidRPr="00CD729C">
        <w:rPr>
          <w:color w:val="000000"/>
          <w:szCs w:val="22"/>
        </w:rPr>
        <w:t>.</w:t>
      </w:r>
      <w:r w:rsidR="00552C22" w:rsidRPr="00CD729C">
        <w:rPr>
          <w:color w:val="000000"/>
          <w:szCs w:val="22"/>
        </w:rPr>
        <w:t> apakšpunktu</w:t>
      </w:r>
      <w:r w:rsidRPr="00CD729C">
        <w:rPr>
          <w:color w:val="000000"/>
          <w:szCs w:val="22"/>
        </w:rPr>
        <w:t>). Ir jāievēro, ka GIST slimniekiem iespējamas metastāzes aknās, kā dēļ ir iespējami aknu darbības traucējumi.</w:t>
      </w:r>
    </w:p>
    <w:p w14:paraId="3D394459" w14:textId="77777777" w:rsidR="00863031" w:rsidRPr="00CD729C" w:rsidRDefault="00863031" w:rsidP="009B4BB6">
      <w:pPr>
        <w:widowControl w:val="0"/>
        <w:tabs>
          <w:tab w:val="clear" w:pos="567"/>
        </w:tabs>
        <w:spacing w:line="240" w:lineRule="auto"/>
        <w:rPr>
          <w:color w:val="000000"/>
          <w:szCs w:val="22"/>
        </w:rPr>
      </w:pPr>
    </w:p>
    <w:p w14:paraId="3D39445A" w14:textId="77777777" w:rsidR="00863031" w:rsidRPr="00CD729C" w:rsidRDefault="00E74EF1" w:rsidP="009B4BB6">
      <w:pPr>
        <w:widowControl w:val="0"/>
        <w:tabs>
          <w:tab w:val="clear" w:pos="567"/>
        </w:tabs>
        <w:spacing w:line="240" w:lineRule="auto"/>
        <w:rPr>
          <w:color w:val="000000"/>
          <w:szCs w:val="22"/>
        </w:rPr>
      </w:pPr>
      <w:r w:rsidRPr="00CD729C">
        <w:rPr>
          <w:color w:val="000000"/>
          <w:szCs w:val="22"/>
        </w:rPr>
        <w:t>Saistībā ar im</w:t>
      </w:r>
      <w:r w:rsidR="0022417B" w:rsidRPr="00CD729C">
        <w:rPr>
          <w:color w:val="000000"/>
          <w:szCs w:val="22"/>
        </w:rPr>
        <w:t>a</w:t>
      </w:r>
      <w:r w:rsidRPr="00CD729C">
        <w:rPr>
          <w:color w:val="000000"/>
          <w:szCs w:val="22"/>
        </w:rPr>
        <w:t xml:space="preserve">tiniba lietošanu saņemti ziņojumi par aknu bojājumiem, tai skaitā aknu mazspēju un aknu nekrozi. </w:t>
      </w:r>
      <w:r w:rsidR="00863031" w:rsidRPr="00CD729C">
        <w:rPr>
          <w:color w:val="000000"/>
          <w:szCs w:val="22"/>
        </w:rPr>
        <w:t xml:space="preserve">Imatinibu kombinējot ar lielu </w:t>
      </w:r>
      <w:r w:rsidR="005066E6" w:rsidRPr="00CD729C">
        <w:rPr>
          <w:color w:val="000000"/>
          <w:szCs w:val="22"/>
        </w:rPr>
        <w:t xml:space="preserve">devu </w:t>
      </w:r>
      <w:r w:rsidR="00863031" w:rsidRPr="00CD729C">
        <w:rPr>
          <w:color w:val="000000"/>
          <w:szCs w:val="22"/>
        </w:rPr>
        <w:t xml:space="preserve">ķīmijterapijas shēmām </w:t>
      </w:r>
      <w:r w:rsidR="00342B86" w:rsidRPr="00CD729C">
        <w:rPr>
          <w:color w:val="000000"/>
          <w:szCs w:val="22"/>
        </w:rPr>
        <w:t xml:space="preserve">novērots </w:t>
      </w:r>
      <w:r w:rsidR="007D2A5E" w:rsidRPr="00CD729C">
        <w:rPr>
          <w:color w:val="000000"/>
          <w:szCs w:val="22"/>
        </w:rPr>
        <w:t xml:space="preserve">palielināts skaits </w:t>
      </w:r>
      <w:r w:rsidR="00342B86" w:rsidRPr="00CD729C">
        <w:rPr>
          <w:color w:val="000000"/>
          <w:szCs w:val="22"/>
        </w:rPr>
        <w:t>smag</w:t>
      </w:r>
      <w:r w:rsidR="005066E6" w:rsidRPr="00CD729C">
        <w:rPr>
          <w:color w:val="000000"/>
          <w:szCs w:val="22"/>
        </w:rPr>
        <w:t>u</w:t>
      </w:r>
      <w:r w:rsidR="00342B86" w:rsidRPr="00CD729C">
        <w:rPr>
          <w:color w:val="000000"/>
          <w:szCs w:val="22"/>
        </w:rPr>
        <w:t xml:space="preserve"> ar aknām saistīt</w:t>
      </w:r>
      <w:r w:rsidR="007D2A5E" w:rsidRPr="00CD729C">
        <w:rPr>
          <w:color w:val="000000"/>
          <w:szCs w:val="22"/>
        </w:rPr>
        <w:t>u</w:t>
      </w:r>
      <w:r w:rsidR="00342B86" w:rsidRPr="00CD729C">
        <w:rPr>
          <w:color w:val="000000"/>
          <w:szCs w:val="22"/>
        </w:rPr>
        <w:t xml:space="preserve"> blakusparādīb</w:t>
      </w:r>
      <w:r w:rsidR="007D2A5E" w:rsidRPr="00CD729C">
        <w:rPr>
          <w:color w:val="000000"/>
          <w:szCs w:val="22"/>
        </w:rPr>
        <w:t>u</w:t>
      </w:r>
      <w:r w:rsidR="00342B86" w:rsidRPr="00CD729C">
        <w:rPr>
          <w:color w:val="000000"/>
          <w:szCs w:val="22"/>
        </w:rPr>
        <w:t xml:space="preserve">. </w:t>
      </w:r>
      <w:r w:rsidR="005066E6" w:rsidRPr="00CD729C">
        <w:rPr>
          <w:color w:val="000000"/>
          <w:szCs w:val="22"/>
        </w:rPr>
        <w:t>Nepieciešams rūpīgi kontrolēt a</w:t>
      </w:r>
      <w:r w:rsidR="000A4FC3" w:rsidRPr="00CD729C">
        <w:rPr>
          <w:color w:val="000000"/>
          <w:szCs w:val="22"/>
        </w:rPr>
        <w:t xml:space="preserve">knu </w:t>
      </w:r>
      <w:r w:rsidR="005066E6" w:rsidRPr="00CD729C">
        <w:rPr>
          <w:color w:val="000000"/>
          <w:szCs w:val="22"/>
        </w:rPr>
        <w:t>darbību gadījumos</w:t>
      </w:r>
      <w:r w:rsidR="00863031" w:rsidRPr="00CD729C">
        <w:rPr>
          <w:color w:val="000000"/>
          <w:szCs w:val="22"/>
        </w:rPr>
        <w:t xml:space="preserve">, kad imatinibs tiek kombinēts ar ķīmijterapijas shēmām, kas, kā zināms, saistītas ar aknu disfunkciju (skatīt </w:t>
      </w:r>
      <w:r w:rsidR="00863031" w:rsidRPr="00CD729C">
        <w:rPr>
          <w:color w:val="000000"/>
          <w:szCs w:val="22"/>
        </w:rPr>
        <w:lastRenderedPageBreak/>
        <w:t>4.5</w:t>
      </w:r>
      <w:r w:rsidR="00A031F4" w:rsidRPr="00CD729C">
        <w:rPr>
          <w:color w:val="000000"/>
          <w:szCs w:val="22"/>
        </w:rPr>
        <w:t>.</w:t>
      </w:r>
      <w:r w:rsidR="00863031" w:rsidRPr="00CD729C">
        <w:rPr>
          <w:color w:val="000000"/>
          <w:szCs w:val="22"/>
        </w:rPr>
        <w:t xml:space="preserve"> un 4.8</w:t>
      </w:r>
      <w:r w:rsidR="00A031F4" w:rsidRPr="00CD729C">
        <w:rPr>
          <w:color w:val="000000"/>
          <w:szCs w:val="22"/>
        </w:rPr>
        <w:t>.</w:t>
      </w:r>
      <w:r w:rsidR="00552C22" w:rsidRPr="00CD729C">
        <w:rPr>
          <w:color w:val="000000"/>
          <w:szCs w:val="22"/>
        </w:rPr>
        <w:t> apakšpunktu</w:t>
      </w:r>
      <w:r w:rsidR="00863031" w:rsidRPr="00CD729C">
        <w:rPr>
          <w:color w:val="000000"/>
          <w:szCs w:val="22"/>
        </w:rPr>
        <w:t>).</w:t>
      </w:r>
    </w:p>
    <w:p w14:paraId="3D39445B" w14:textId="77777777" w:rsidR="005117C7" w:rsidRPr="00CD729C" w:rsidRDefault="005117C7" w:rsidP="009B4BB6">
      <w:pPr>
        <w:widowControl w:val="0"/>
        <w:tabs>
          <w:tab w:val="clear" w:pos="567"/>
        </w:tabs>
        <w:spacing w:line="240" w:lineRule="auto"/>
        <w:rPr>
          <w:color w:val="000000"/>
          <w:szCs w:val="22"/>
        </w:rPr>
      </w:pPr>
    </w:p>
    <w:p w14:paraId="3D39445C" w14:textId="77777777" w:rsidR="00BF3DA7" w:rsidRPr="00CD729C" w:rsidRDefault="00BF3DA7" w:rsidP="009B4BB6">
      <w:pPr>
        <w:keepNext/>
        <w:widowControl w:val="0"/>
        <w:tabs>
          <w:tab w:val="clear" w:pos="567"/>
        </w:tabs>
        <w:spacing w:line="240" w:lineRule="auto"/>
        <w:rPr>
          <w:color w:val="000000"/>
          <w:szCs w:val="22"/>
          <w:u w:val="single"/>
        </w:rPr>
      </w:pPr>
      <w:r w:rsidRPr="00CD729C">
        <w:rPr>
          <w:color w:val="000000"/>
          <w:szCs w:val="22"/>
          <w:u w:val="single"/>
        </w:rPr>
        <w:t>Šķidruma aizture</w:t>
      </w:r>
    </w:p>
    <w:p w14:paraId="3D39445D"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Aptuveni 2</w:t>
      </w:r>
      <w:r w:rsidR="00263F92" w:rsidRPr="00CD729C">
        <w:rPr>
          <w:color w:val="000000"/>
          <w:szCs w:val="22"/>
        </w:rPr>
        <w:t>,5</w:t>
      </w:r>
      <w:r w:rsidRPr="00CD729C">
        <w:rPr>
          <w:color w:val="000000"/>
          <w:szCs w:val="22"/>
        </w:rPr>
        <w:t>% pacientu</w:t>
      </w:r>
      <w:r w:rsidR="00263F92" w:rsidRPr="00CD729C">
        <w:rPr>
          <w:color w:val="000000"/>
          <w:szCs w:val="22"/>
        </w:rPr>
        <w:t xml:space="preserve"> ar nesen diagnosticētu CML</w:t>
      </w:r>
      <w:r w:rsidRPr="00CD729C">
        <w:rPr>
          <w:color w:val="000000"/>
          <w:szCs w:val="22"/>
        </w:rPr>
        <w:t>, kas lieto Glivec, ir aprakstīta smaga šķidruma aizture (eksudatīvs pleirīts, tūska, plaušu tūska, ascīts</w:t>
      </w:r>
      <w:r w:rsidR="00D24F0A" w:rsidRPr="00CD729C">
        <w:rPr>
          <w:color w:val="000000"/>
          <w:szCs w:val="22"/>
        </w:rPr>
        <w:t xml:space="preserve">, </w:t>
      </w:r>
      <w:r w:rsidR="00B956CA" w:rsidRPr="00CD729C">
        <w:rPr>
          <w:color w:val="000000"/>
          <w:szCs w:val="22"/>
        </w:rPr>
        <w:t>vi</w:t>
      </w:r>
      <w:r w:rsidR="00B102EF" w:rsidRPr="00CD729C">
        <w:rPr>
          <w:color w:val="000000"/>
          <w:szCs w:val="22"/>
        </w:rPr>
        <w:t>rspusēja</w:t>
      </w:r>
      <w:r w:rsidR="00B956CA" w:rsidRPr="00CD729C">
        <w:rPr>
          <w:color w:val="000000"/>
          <w:szCs w:val="22"/>
        </w:rPr>
        <w:t xml:space="preserve"> </w:t>
      </w:r>
      <w:r w:rsidR="00D24F0A" w:rsidRPr="00CD729C">
        <w:rPr>
          <w:color w:val="000000"/>
          <w:szCs w:val="22"/>
        </w:rPr>
        <w:t>tūska</w:t>
      </w:r>
      <w:r w:rsidRPr="00CD729C">
        <w:rPr>
          <w:color w:val="000000"/>
          <w:szCs w:val="22"/>
        </w:rPr>
        <w:t xml:space="preserve">). Tādējādi ir ļoti ieteicams kontrolēt pacienta svaru. Negaidīts, straujš pacienta ķermeņa masas pieaugums ir rūpīgi jāizmeklē un, ja nepieciešams, jāordinē piemēroti uzturoši un terapeitiski pasākumi. Klīnisko pētījumu laikā iepriekš nosauktās parādības biežāk novēroja gados vecākiem </w:t>
      </w:r>
      <w:r w:rsidR="00276FF8" w:rsidRPr="00CD729C">
        <w:rPr>
          <w:color w:val="000000"/>
          <w:szCs w:val="22"/>
        </w:rPr>
        <w:t>cilvēkiem</w:t>
      </w:r>
      <w:r w:rsidRPr="00CD729C">
        <w:rPr>
          <w:color w:val="000000"/>
          <w:szCs w:val="22"/>
        </w:rPr>
        <w:t>, kā arī pacientiem, kuriem anamnēzē ir sirds slimības. Tādējādi, ja pacientam ir sirds darbības traucējumi, jāievēro piesardzība.</w:t>
      </w:r>
    </w:p>
    <w:p w14:paraId="3D39445E" w14:textId="77777777" w:rsidR="00CB4B2E" w:rsidRPr="00CD729C" w:rsidRDefault="00CB4B2E" w:rsidP="009B4BB6">
      <w:pPr>
        <w:pStyle w:val="EndnoteText"/>
        <w:widowControl w:val="0"/>
        <w:tabs>
          <w:tab w:val="clear" w:pos="567"/>
        </w:tabs>
        <w:rPr>
          <w:color w:val="000000"/>
        </w:rPr>
      </w:pPr>
    </w:p>
    <w:p w14:paraId="3D39445F" w14:textId="77777777" w:rsidR="00BF3DA7" w:rsidRPr="00CD729C" w:rsidRDefault="00BF3DA7" w:rsidP="009B4BB6">
      <w:pPr>
        <w:pStyle w:val="EndnoteText"/>
        <w:keepNext/>
        <w:widowControl w:val="0"/>
        <w:tabs>
          <w:tab w:val="clear" w:pos="567"/>
        </w:tabs>
        <w:rPr>
          <w:color w:val="000000"/>
          <w:u w:val="single"/>
        </w:rPr>
      </w:pPr>
      <w:r w:rsidRPr="00CD729C">
        <w:rPr>
          <w:color w:val="000000"/>
          <w:u w:val="single"/>
        </w:rPr>
        <w:t>Pacienti ar sirds slimībām</w:t>
      </w:r>
    </w:p>
    <w:p w14:paraId="3D394460" w14:textId="77777777" w:rsidR="00CB4B2E" w:rsidRPr="00CD729C" w:rsidRDefault="000771DC" w:rsidP="009B4BB6">
      <w:pPr>
        <w:pStyle w:val="EndnoteText"/>
        <w:widowControl w:val="0"/>
        <w:tabs>
          <w:tab w:val="clear" w:pos="567"/>
        </w:tabs>
        <w:rPr>
          <w:color w:val="000000"/>
        </w:rPr>
      </w:pPr>
      <w:r w:rsidRPr="00CD729C">
        <w:rPr>
          <w:color w:val="000000"/>
        </w:rPr>
        <w:t>Pacieti ar sirds slimībām</w:t>
      </w:r>
      <w:r w:rsidR="001B04A2" w:rsidRPr="00CD729C">
        <w:rPr>
          <w:color w:val="000000"/>
        </w:rPr>
        <w:t>,</w:t>
      </w:r>
      <w:r w:rsidRPr="00CD729C">
        <w:rPr>
          <w:color w:val="000000"/>
        </w:rPr>
        <w:t xml:space="preserve"> sirds mazspējas riska faktoriem</w:t>
      </w:r>
      <w:r w:rsidR="001B04A2" w:rsidRPr="00CD729C">
        <w:rPr>
          <w:color w:val="000000"/>
        </w:rPr>
        <w:t xml:space="preserve"> vai nieru mazspēju anamnēzē</w:t>
      </w:r>
      <w:r w:rsidRPr="00CD729C">
        <w:rPr>
          <w:color w:val="000000"/>
        </w:rPr>
        <w:t xml:space="preserve"> ir rūpīgi jānovēro</w:t>
      </w:r>
      <w:r w:rsidR="00CB4B2E" w:rsidRPr="00CD729C">
        <w:rPr>
          <w:color w:val="000000"/>
        </w:rPr>
        <w:t xml:space="preserve">, </w:t>
      </w:r>
      <w:r w:rsidRPr="00CD729C">
        <w:rPr>
          <w:color w:val="000000"/>
        </w:rPr>
        <w:t xml:space="preserve">un ikviens pacients ar sirds </w:t>
      </w:r>
      <w:r w:rsidR="001B04A2" w:rsidRPr="00CD729C">
        <w:rPr>
          <w:color w:val="000000"/>
        </w:rPr>
        <w:t xml:space="preserve">vai nieru </w:t>
      </w:r>
      <w:r w:rsidRPr="00CD729C">
        <w:rPr>
          <w:color w:val="000000"/>
        </w:rPr>
        <w:t>mazspēju saistītiem simptomiem ir jāizmeklē un jāārstē</w:t>
      </w:r>
      <w:r w:rsidR="00CB4B2E" w:rsidRPr="00CD729C">
        <w:rPr>
          <w:color w:val="000000"/>
        </w:rPr>
        <w:t>.</w:t>
      </w:r>
    </w:p>
    <w:p w14:paraId="3D394461" w14:textId="77777777" w:rsidR="00CB4B2E" w:rsidRPr="00CD729C" w:rsidRDefault="00CB4B2E" w:rsidP="009B4BB6">
      <w:pPr>
        <w:pStyle w:val="Text"/>
        <w:widowControl w:val="0"/>
        <w:spacing w:before="0"/>
        <w:jc w:val="left"/>
        <w:rPr>
          <w:color w:val="000000"/>
          <w:sz w:val="22"/>
          <w:szCs w:val="22"/>
          <w:lang w:val="lv-LV"/>
        </w:rPr>
      </w:pPr>
    </w:p>
    <w:p w14:paraId="3D394462" w14:textId="77777777" w:rsidR="00A41CA4" w:rsidRPr="00CD729C" w:rsidRDefault="000771DC" w:rsidP="009B4BB6">
      <w:pPr>
        <w:pStyle w:val="Text"/>
        <w:widowControl w:val="0"/>
        <w:spacing w:before="0"/>
        <w:jc w:val="left"/>
        <w:rPr>
          <w:color w:val="000000"/>
          <w:sz w:val="22"/>
          <w:szCs w:val="22"/>
          <w:lang w:val="lv-LV"/>
        </w:rPr>
      </w:pPr>
      <w:r w:rsidRPr="00CD729C">
        <w:rPr>
          <w:color w:val="000000"/>
          <w:sz w:val="22"/>
          <w:szCs w:val="22"/>
          <w:lang w:val="lv-LV"/>
        </w:rPr>
        <w:t>Pacientiem ar hipereozinofīlijas sindromu (</w:t>
      </w:r>
      <w:r w:rsidR="00CB3DD4" w:rsidRPr="00CD729C">
        <w:rPr>
          <w:color w:val="000000"/>
          <w:sz w:val="22"/>
          <w:szCs w:val="22"/>
          <w:lang w:val="lv-LV"/>
        </w:rPr>
        <w:t>HES</w:t>
      </w:r>
      <w:r w:rsidRPr="00CD729C">
        <w:rPr>
          <w:color w:val="000000"/>
          <w:sz w:val="22"/>
          <w:szCs w:val="22"/>
          <w:lang w:val="lv-LV"/>
        </w:rPr>
        <w:t xml:space="preserve">) </w:t>
      </w:r>
      <w:r w:rsidR="0000520C" w:rsidRPr="00CD729C">
        <w:rPr>
          <w:color w:val="000000"/>
          <w:sz w:val="22"/>
          <w:szCs w:val="22"/>
          <w:lang w:val="lv-LV"/>
        </w:rPr>
        <w:t xml:space="preserve">ar slēptu </w:t>
      </w:r>
      <w:r w:rsidR="00CB3DD4" w:rsidRPr="00CD729C">
        <w:rPr>
          <w:color w:val="000000"/>
          <w:sz w:val="22"/>
          <w:szCs w:val="22"/>
          <w:lang w:val="lv-LV"/>
        </w:rPr>
        <w:t>HES</w:t>
      </w:r>
      <w:r w:rsidR="0000520C" w:rsidRPr="00CD729C">
        <w:rPr>
          <w:color w:val="000000"/>
          <w:sz w:val="22"/>
          <w:szCs w:val="22"/>
          <w:lang w:val="lv-LV"/>
        </w:rPr>
        <w:t xml:space="preserve"> šūnu infiltrāciju miokardā</w:t>
      </w:r>
      <w:r w:rsidR="00DD08C3" w:rsidRPr="00CD729C">
        <w:rPr>
          <w:color w:val="000000"/>
          <w:sz w:val="22"/>
          <w:szCs w:val="22"/>
          <w:lang w:val="lv-LV"/>
        </w:rPr>
        <w:t xml:space="preserve"> </w:t>
      </w:r>
      <w:r w:rsidRPr="00CD729C">
        <w:rPr>
          <w:color w:val="000000"/>
          <w:sz w:val="22"/>
          <w:szCs w:val="22"/>
          <w:lang w:val="lv-LV"/>
        </w:rPr>
        <w:t xml:space="preserve">bijuši atsevišķi kardiogēniskā šoka/kreisā kambara disfunkcijas gadījumi, kas saistīti ar </w:t>
      </w:r>
      <w:r w:rsidR="00DD08C3" w:rsidRPr="00CD729C">
        <w:rPr>
          <w:color w:val="000000"/>
          <w:sz w:val="22"/>
          <w:szCs w:val="22"/>
          <w:lang w:val="lv-LV"/>
        </w:rPr>
        <w:t>HES šūnu degranulāciju</w:t>
      </w:r>
      <w:r w:rsidR="00BA3EF1" w:rsidRPr="00CD729C">
        <w:rPr>
          <w:color w:val="000000"/>
          <w:sz w:val="22"/>
          <w:szCs w:val="22"/>
          <w:lang w:val="lv-LV"/>
        </w:rPr>
        <w:t>,</w:t>
      </w:r>
      <w:r w:rsidR="00DD08C3" w:rsidRPr="00CD729C">
        <w:rPr>
          <w:color w:val="000000"/>
          <w:sz w:val="22"/>
          <w:szCs w:val="22"/>
          <w:lang w:val="lv-LV"/>
        </w:rPr>
        <w:t xml:space="preserve"> </w:t>
      </w:r>
      <w:r w:rsidR="00BA3EF1" w:rsidRPr="00CD729C">
        <w:rPr>
          <w:color w:val="000000"/>
          <w:sz w:val="22"/>
          <w:szCs w:val="22"/>
          <w:lang w:val="lv-LV"/>
        </w:rPr>
        <w:t xml:space="preserve">uzsākot terapiju </w:t>
      </w:r>
      <w:r w:rsidR="00DD08C3" w:rsidRPr="00CD729C">
        <w:rPr>
          <w:color w:val="000000"/>
          <w:sz w:val="22"/>
          <w:szCs w:val="22"/>
          <w:lang w:val="lv-LV"/>
        </w:rPr>
        <w:t>ar imatinibu</w:t>
      </w:r>
      <w:r w:rsidRPr="00CD729C">
        <w:rPr>
          <w:color w:val="000000"/>
          <w:sz w:val="22"/>
          <w:szCs w:val="22"/>
          <w:lang w:val="lv-LV"/>
        </w:rPr>
        <w:t>. Ziņots, ka šis stāvoklis bija atgriezenisks, kad tika pielietoti sistēmiskie steroīdi, asinsriti nodrošinoši pasākumi un uz laiku tika pārtraukta imatiniba lietošana. Tā kā saistībā ar imatiniba lietošanu saņemti ret</w:t>
      </w:r>
      <w:r w:rsidR="00360965" w:rsidRPr="00CD729C">
        <w:rPr>
          <w:color w:val="000000"/>
          <w:sz w:val="22"/>
          <w:szCs w:val="22"/>
          <w:lang w:val="lv-LV"/>
        </w:rPr>
        <w:t>āki</w:t>
      </w:r>
      <w:r w:rsidRPr="00CD729C">
        <w:rPr>
          <w:color w:val="000000"/>
          <w:sz w:val="22"/>
          <w:szCs w:val="22"/>
          <w:lang w:val="lv-LV"/>
        </w:rPr>
        <w:t xml:space="preserve"> blakusparādību ziņojumi par sirdsdarbības traucējumiem, pirms imatiniba lietošanas HES/CEL pacientiem nepieciešams rūpīgi izvērtēt imatiniba terapijas ieguvuma/riska attiecību.</w:t>
      </w:r>
    </w:p>
    <w:p w14:paraId="3D394463" w14:textId="77777777" w:rsidR="00A41CA4" w:rsidRPr="00CD729C" w:rsidRDefault="00A41CA4" w:rsidP="009B4BB6">
      <w:pPr>
        <w:pStyle w:val="Text"/>
        <w:widowControl w:val="0"/>
        <w:spacing w:before="0"/>
        <w:jc w:val="left"/>
        <w:rPr>
          <w:color w:val="000000"/>
          <w:sz w:val="22"/>
          <w:szCs w:val="22"/>
          <w:lang w:val="lv-LV"/>
        </w:rPr>
      </w:pPr>
    </w:p>
    <w:p w14:paraId="3D394464" w14:textId="77777777" w:rsidR="000771DC" w:rsidRPr="00CD729C" w:rsidRDefault="000771DC" w:rsidP="009B4BB6">
      <w:pPr>
        <w:pStyle w:val="Text"/>
        <w:widowControl w:val="0"/>
        <w:spacing w:before="0"/>
        <w:jc w:val="left"/>
        <w:rPr>
          <w:color w:val="000000"/>
          <w:sz w:val="22"/>
          <w:szCs w:val="22"/>
          <w:lang w:val="lv-LV"/>
        </w:rPr>
      </w:pPr>
      <w:r w:rsidRPr="00CD729C">
        <w:rPr>
          <w:color w:val="000000"/>
          <w:sz w:val="22"/>
          <w:szCs w:val="22"/>
          <w:lang w:val="lv-LV"/>
        </w:rPr>
        <w:t>Mielodisplāziskas/mieloproliferatīvas slimības ar PDGFR gēnu pārkārtošanos var būt saistītas ar augstu eozinofīlu līmeni. Tāpēc pacientiem ar HES/CEL un pacientiem ar MDS/MPD, kas saistīti ar augstu eozinofīlu līmeni, pirms imatiniba lietošanas apsverama konsultācija pie kardioloģijas speciālista, ehokardiogrammas veikšana un seruma troponīna noteikšana. Ja kādas no šo pārbaužu rezultātiem uzrāda novirzes, ārstēšanas sākumā apsverama kardioloģijas speciālista uzraudzība un profilaktiska sistēmisko steroīdu (1</w:t>
      </w:r>
      <w:r w:rsidR="002F268D" w:rsidRPr="00CD729C">
        <w:rPr>
          <w:color w:val="000000"/>
          <w:sz w:val="22"/>
          <w:szCs w:val="22"/>
          <w:lang w:val="lv-LV"/>
        </w:rPr>
        <w:noBreakHyphen/>
      </w:r>
      <w:r w:rsidRPr="00CD729C">
        <w:rPr>
          <w:color w:val="000000"/>
          <w:sz w:val="22"/>
          <w:szCs w:val="22"/>
          <w:lang w:val="lv-LV"/>
        </w:rPr>
        <w:t>2 mg/kg) lietošana vienu vai divas nedēļas vienlaikus ar imatinibu.</w:t>
      </w:r>
    </w:p>
    <w:p w14:paraId="3D394465" w14:textId="77777777" w:rsidR="00563C1C" w:rsidRPr="00CD729C" w:rsidRDefault="00563C1C" w:rsidP="009B4BB6">
      <w:pPr>
        <w:widowControl w:val="0"/>
        <w:tabs>
          <w:tab w:val="clear" w:pos="567"/>
        </w:tabs>
        <w:spacing w:line="240" w:lineRule="auto"/>
        <w:rPr>
          <w:color w:val="000000"/>
          <w:szCs w:val="22"/>
        </w:rPr>
      </w:pPr>
    </w:p>
    <w:p w14:paraId="3D394466" w14:textId="77777777" w:rsidR="00BF3DA7" w:rsidRPr="00CD729C" w:rsidRDefault="00BF3DA7" w:rsidP="009B4BB6">
      <w:pPr>
        <w:keepNext/>
        <w:widowControl w:val="0"/>
        <w:tabs>
          <w:tab w:val="clear" w:pos="567"/>
        </w:tabs>
        <w:spacing w:line="240" w:lineRule="auto"/>
        <w:rPr>
          <w:color w:val="000000"/>
          <w:szCs w:val="22"/>
          <w:u w:val="single"/>
        </w:rPr>
      </w:pPr>
      <w:r w:rsidRPr="00CD729C">
        <w:rPr>
          <w:color w:val="000000"/>
          <w:szCs w:val="22"/>
          <w:u w:val="single"/>
        </w:rPr>
        <w:t>Kuņģa-zarnu trakta asiņošana</w:t>
      </w:r>
    </w:p>
    <w:p w14:paraId="3D394467" w14:textId="77777777" w:rsidR="005117C7" w:rsidRPr="00CD729C" w:rsidRDefault="00563C1C" w:rsidP="009B4BB6">
      <w:pPr>
        <w:widowControl w:val="0"/>
        <w:tabs>
          <w:tab w:val="clear" w:pos="567"/>
        </w:tabs>
        <w:spacing w:line="240" w:lineRule="auto"/>
        <w:rPr>
          <w:color w:val="000000"/>
          <w:szCs w:val="22"/>
        </w:rPr>
      </w:pPr>
      <w:r w:rsidRPr="00CD729C">
        <w:rPr>
          <w:color w:val="000000"/>
          <w:szCs w:val="22"/>
        </w:rPr>
        <w:t xml:space="preserve">Klīniskā pētījumā slimniekiem ar nerezecējamu un/vai metastazējušu GIST ir aprakstīta </w:t>
      </w:r>
      <w:r w:rsidR="007D4D39" w:rsidRPr="00CD729C">
        <w:rPr>
          <w:color w:val="000000"/>
          <w:szCs w:val="22"/>
        </w:rPr>
        <w:t xml:space="preserve">gan kuņģa-zarnu trakta, gan </w:t>
      </w:r>
      <w:r w:rsidRPr="00CD729C">
        <w:rPr>
          <w:color w:val="000000"/>
          <w:szCs w:val="22"/>
        </w:rPr>
        <w:t>intratumorālā</w:t>
      </w:r>
      <w:r w:rsidR="005117C7" w:rsidRPr="00CD729C">
        <w:rPr>
          <w:color w:val="000000"/>
          <w:szCs w:val="22"/>
        </w:rPr>
        <w:t xml:space="preserve"> asiņošana (sk</w:t>
      </w:r>
      <w:r w:rsidR="00A64570" w:rsidRPr="00CD729C">
        <w:rPr>
          <w:color w:val="000000"/>
          <w:szCs w:val="22"/>
        </w:rPr>
        <w:t>atīt</w:t>
      </w:r>
      <w:r w:rsidR="005117C7" w:rsidRPr="00CD729C">
        <w:rPr>
          <w:color w:val="000000"/>
          <w:szCs w:val="22"/>
        </w:rPr>
        <w:t xml:space="preserve"> 4.8</w:t>
      </w:r>
      <w:r w:rsidR="00A031F4" w:rsidRPr="00CD729C">
        <w:rPr>
          <w:color w:val="000000"/>
          <w:szCs w:val="22"/>
        </w:rPr>
        <w:t>.</w:t>
      </w:r>
      <w:r w:rsidR="00552C22" w:rsidRPr="00CD729C">
        <w:rPr>
          <w:color w:val="000000"/>
          <w:szCs w:val="22"/>
        </w:rPr>
        <w:t> apakšpunktu</w:t>
      </w:r>
      <w:r w:rsidR="005117C7" w:rsidRPr="00CD729C">
        <w:rPr>
          <w:color w:val="000000"/>
          <w:szCs w:val="22"/>
        </w:rPr>
        <w:t>). Ievērojot pieejamos datus, predisponējoši faktori (piemēram, audzēja lielums un lokalizācija vai asins koagulācijas traucējumi) nav konstatēti. Tādēļ GIST slimnieki, ievērojot jebkādas etioloģijas asiņošanas iespēju, paaugstināta riska grupā neietilpst. Tā kā palielināts asinsvadu daudzums audos un asiņošanas tendence ir attiecināmas uz GIST klīniskās gaitas īpašībām, visiem šāda veida pacientiem ir jāpiemēro standarta pieeja un procedūras asiņošanas kontrolei un terapijai.</w:t>
      </w:r>
    </w:p>
    <w:p w14:paraId="3D394468" w14:textId="77777777" w:rsidR="00C07BFB" w:rsidRPr="00CD729C" w:rsidRDefault="00C07BFB" w:rsidP="009B4BB6">
      <w:pPr>
        <w:widowControl w:val="0"/>
        <w:tabs>
          <w:tab w:val="clear" w:pos="567"/>
        </w:tabs>
        <w:spacing w:line="240" w:lineRule="auto"/>
        <w:rPr>
          <w:color w:val="000000"/>
          <w:szCs w:val="22"/>
        </w:rPr>
      </w:pPr>
    </w:p>
    <w:p w14:paraId="3D394469" w14:textId="77777777" w:rsidR="00C07BFB" w:rsidRPr="00CD729C" w:rsidRDefault="002F4384" w:rsidP="009B4BB6">
      <w:pPr>
        <w:widowControl w:val="0"/>
        <w:tabs>
          <w:tab w:val="clear" w:pos="567"/>
        </w:tabs>
        <w:spacing w:line="240" w:lineRule="auto"/>
        <w:rPr>
          <w:color w:val="000000"/>
          <w:szCs w:val="22"/>
        </w:rPr>
      </w:pPr>
      <w:r w:rsidRPr="00CD729C">
        <w:rPr>
          <w:color w:val="000000"/>
          <w:szCs w:val="22"/>
        </w:rPr>
        <w:t>Turklāt</w:t>
      </w:r>
      <w:r w:rsidR="007E2E53" w:rsidRPr="00CD729C">
        <w:rPr>
          <w:color w:val="000000"/>
          <w:szCs w:val="22"/>
        </w:rPr>
        <w:t xml:space="preserve"> </w:t>
      </w:r>
      <w:r w:rsidR="00D426E3" w:rsidRPr="00CD729C">
        <w:rPr>
          <w:color w:val="000000"/>
          <w:szCs w:val="22"/>
        </w:rPr>
        <w:t>pacientiem ar CML, ALL un citām slimībām (skatīt 4.8.</w:t>
      </w:r>
      <w:r w:rsidR="006B6D5C" w:rsidRPr="00CD729C">
        <w:rPr>
          <w:color w:val="000000"/>
          <w:szCs w:val="22"/>
        </w:rPr>
        <w:t> </w:t>
      </w:r>
      <w:r w:rsidR="00D426E3" w:rsidRPr="00CD729C">
        <w:rPr>
          <w:color w:val="000000"/>
          <w:szCs w:val="22"/>
        </w:rPr>
        <w:t xml:space="preserve">apakšpunktu) </w:t>
      </w:r>
      <w:r w:rsidR="007E2E53" w:rsidRPr="00CD729C">
        <w:rPr>
          <w:color w:val="000000"/>
          <w:szCs w:val="22"/>
        </w:rPr>
        <w:t>pēcreģistrācijas periodā ziņots par</w:t>
      </w:r>
      <w:r w:rsidR="00D426E3" w:rsidRPr="00CD729C">
        <w:rPr>
          <w:color w:val="000000"/>
          <w:szCs w:val="22"/>
        </w:rPr>
        <w:t xml:space="preserve"> kuņģa antrālo vaskulāro ektāziju (GAVE – </w:t>
      </w:r>
      <w:r w:rsidR="00D426E3" w:rsidRPr="00CD729C">
        <w:rPr>
          <w:i/>
          <w:color w:val="000000"/>
          <w:szCs w:val="22"/>
        </w:rPr>
        <w:t>gastric antral vascular ectasia</w:t>
      </w:r>
      <w:r w:rsidR="00D426E3" w:rsidRPr="00CD729C">
        <w:rPr>
          <w:color w:val="000000"/>
          <w:szCs w:val="22"/>
        </w:rPr>
        <w:t xml:space="preserve">) – retu </w:t>
      </w:r>
      <w:r w:rsidR="005C278C" w:rsidRPr="00CD729C">
        <w:rPr>
          <w:color w:val="000000"/>
          <w:szCs w:val="22"/>
        </w:rPr>
        <w:t>kuņģa</w:t>
      </w:r>
      <w:r w:rsidR="001756D8" w:rsidRPr="00CD729C">
        <w:rPr>
          <w:color w:val="000000"/>
          <w:szCs w:val="22"/>
        </w:rPr>
        <w:t>-</w:t>
      </w:r>
      <w:r w:rsidR="005C278C" w:rsidRPr="00CD729C">
        <w:rPr>
          <w:color w:val="000000"/>
          <w:szCs w:val="22"/>
        </w:rPr>
        <w:t>zarnu trakta</w:t>
      </w:r>
      <w:r w:rsidR="00D426E3" w:rsidRPr="00CD729C">
        <w:rPr>
          <w:color w:val="000000"/>
          <w:szCs w:val="22"/>
        </w:rPr>
        <w:t xml:space="preserve"> asiņošanas iemeslu. Nepieciešamības gadījumā var apsvērt ārstēšanas ar Glivec pārtraukšanu.</w:t>
      </w:r>
    </w:p>
    <w:p w14:paraId="3D39446A" w14:textId="77777777" w:rsidR="00D367D1" w:rsidRPr="00CD729C" w:rsidRDefault="00D367D1" w:rsidP="009B4BB6">
      <w:pPr>
        <w:pStyle w:val="EndnoteText"/>
        <w:widowControl w:val="0"/>
        <w:tabs>
          <w:tab w:val="clear" w:pos="567"/>
        </w:tabs>
        <w:rPr>
          <w:snapToGrid w:val="0"/>
          <w:color w:val="000000"/>
          <w:szCs w:val="22"/>
        </w:rPr>
      </w:pPr>
    </w:p>
    <w:p w14:paraId="3D39446B" w14:textId="77777777" w:rsidR="00BF3DA7" w:rsidRPr="00CD729C" w:rsidRDefault="00BF3DA7" w:rsidP="009B4BB6">
      <w:pPr>
        <w:pStyle w:val="EndnoteText"/>
        <w:keepNext/>
        <w:widowControl w:val="0"/>
        <w:tabs>
          <w:tab w:val="clear" w:pos="567"/>
        </w:tabs>
        <w:rPr>
          <w:snapToGrid w:val="0"/>
          <w:color w:val="000000"/>
          <w:szCs w:val="22"/>
          <w:u w:val="single"/>
        </w:rPr>
      </w:pPr>
      <w:r w:rsidRPr="00CD729C">
        <w:rPr>
          <w:snapToGrid w:val="0"/>
          <w:color w:val="000000"/>
          <w:szCs w:val="22"/>
          <w:u w:val="single"/>
        </w:rPr>
        <w:t>Audzēja sabrukšanas sindroms</w:t>
      </w:r>
    </w:p>
    <w:p w14:paraId="3D39446C" w14:textId="77777777" w:rsidR="00D367D1" w:rsidRDefault="00D367D1" w:rsidP="009B4BB6">
      <w:pPr>
        <w:pStyle w:val="EndnoteText"/>
        <w:widowControl w:val="0"/>
        <w:tabs>
          <w:tab w:val="clear" w:pos="567"/>
        </w:tabs>
        <w:rPr>
          <w:snapToGrid w:val="0"/>
          <w:color w:val="000000"/>
          <w:szCs w:val="22"/>
        </w:rPr>
      </w:pPr>
      <w:r w:rsidRPr="00CD729C">
        <w:rPr>
          <w:snapToGrid w:val="0"/>
          <w:color w:val="000000"/>
          <w:szCs w:val="22"/>
        </w:rPr>
        <w:t xml:space="preserve">Saistībā ar iespējamu audzēja </w:t>
      </w:r>
      <w:r w:rsidR="009466B7" w:rsidRPr="00CD729C">
        <w:rPr>
          <w:snapToGrid w:val="0"/>
          <w:color w:val="000000"/>
          <w:szCs w:val="22"/>
        </w:rPr>
        <w:t>sabrukšanas</w:t>
      </w:r>
      <w:r w:rsidRPr="00CD729C">
        <w:rPr>
          <w:snapToGrid w:val="0"/>
          <w:color w:val="000000"/>
          <w:szCs w:val="22"/>
        </w:rPr>
        <w:t xml:space="preserve"> sindroma (A</w:t>
      </w:r>
      <w:r w:rsidR="00654F41" w:rsidRPr="00CD729C">
        <w:rPr>
          <w:snapToGrid w:val="0"/>
          <w:color w:val="000000"/>
          <w:szCs w:val="22"/>
        </w:rPr>
        <w:t>S</w:t>
      </w:r>
      <w:r w:rsidRPr="00CD729C">
        <w:rPr>
          <w:snapToGrid w:val="0"/>
          <w:color w:val="000000"/>
          <w:szCs w:val="22"/>
        </w:rPr>
        <w:t>S) attīstības risku, pirms ārstēšanas ar Glivec uzsākšanas nepieciešams veikt klīniski nozīmīgas dehidratācijas korekciju un augsta urīnskābes līmeņa asinīs terapiju (skatīt 4.8</w:t>
      </w:r>
      <w:r w:rsidR="00A031F4" w:rsidRPr="00CD729C">
        <w:rPr>
          <w:snapToGrid w:val="0"/>
          <w:color w:val="000000"/>
          <w:szCs w:val="22"/>
        </w:rPr>
        <w:t>.</w:t>
      </w:r>
      <w:r w:rsidR="00552C22" w:rsidRPr="00CD729C">
        <w:rPr>
          <w:color w:val="000000"/>
          <w:szCs w:val="22"/>
        </w:rPr>
        <w:t> apakšpunktu</w:t>
      </w:r>
      <w:r w:rsidRPr="00CD729C">
        <w:rPr>
          <w:snapToGrid w:val="0"/>
          <w:color w:val="000000"/>
          <w:szCs w:val="22"/>
        </w:rPr>
        <w:t>).</w:t>
      </w:r>
    </w:p>
    <w:p w14:paraId="3D39446D" w14:textId="77777777" w:rsidR="00F96ECC" w:rsidRPr="00F96ECC" w:rsidRDefault="00F96ECC" w:rsidP="009B4BB6">
      <w:pPr>
        <w:widowControl w:val="0"/>
        <w:spacing w:line="240" w:lineRule="auto"/>
      </w:pPr>
    </w:p>
    <w:p w14:paraId="3D39446E" w14:textId="77777777" w:rsidR="00DB74ED" w:rsidRPr="0059270C" w:rsidRDefault="00DB74ED" w:rsidP="009B4BB6">
      <w:pPr>
        <w:pStyle w:val="Default"/>
        <w:keepNext/>
        <w:widowControl w:val="0"/>
        <w:rPr>
          <w:rFonts w:ascii="Times New Roman" w:hAnsi="Times New Roman" w:cs="Times New Roman"/>
          <w:sz w:val="22"/>
          <w:szCs w:val="22"/>
          <w:u w:val="single"/>
          <w:lang w:val="lv-LV"/>
        </w:rPr>
      </w:pPr>
      <w:r w:rsidRPr="0059270C">
        <w:rPr>
          <w:rFonts w:ascii="Times New Roman" w:hAnsi="Times New Roman" w:cs="Times New Roman"/>
          <w:sz w:val="22"/>
          <w:szCs w:val="22"/>
          <w:u w:val="single"/>
          <w:lang w:val="lv-LV"/>
        </w:rPr>
        <w:t>B hepatīta reaktivācija</w:t>
      </w:r>
    </w:p>
    <w:p w14:paraId="3D39446F" w14:textId="77777777" w:rsidR="0059270C" w:rsidRDefault="00DB74ED" w:rsidP="009B4BB6">
      <w:pPr>
        <w:pStyle w:val="Default"/>
        <w:widowControl w:val="0"/>
        <w:rPr>
          <w:rFonts w:ascii="Times New Roman" w:hAnsi="Times New Roman" w:cs="Times New Roman"/>
          <w:sz w:val="22"/>
          <w:szCs w:val="22"/>
          <w:lang w:val="lv-LV"/>
        </w:rPr>
      </w:pPr>
      <w:r w:rsidRPr="0059270C">
        <w:rPr>
          <w:rFonts w:ascii="Times New Roman" w:hAnsi="Times New Roman" w:cs="Times New Roman"/>
          <w:sz w:val="22"/>
          <w:szCs w:val="22"/>
          <w:lang w:val="lv-LV"/>
        </w:rPr>
        <w:t xml:space="preserve">Pēc tam, kad pacienti, kuri ir hroniski B hepatīta vīrusa nēsātāji, bija lietojuši </w:t>
      </w:r>
      <w:r w:rsidRPr="0059270C">
        <w:rPr>
          <w:rFonts w:ascii="Times New Roman" w:hAnsi="Times New Roman" w:cs="Times New Roman"/>
          <w:i/>
          <w:iCs/>
          <w:sz w:val="22"/>
          <w:szCs w:val="22"/>
          <w:lang w:val="lv-LV"/>
        </w:rPr>
        <w:t xml:space="preserve">Brc-Abl </w:t>
      </w:r>
      <w:r w:rsidRPr="0059270C">
        <w:rPr>
          <w:rFonts w:ascii="Times New Roman" w:hAnsi="Times New Roman" w:cs="Times New Roman"/>
          <w:sz w:val="22"/>
          <w:szCs w:val="22"/>
          <w:lang w:val="lv-LV"/>
        </w:rPr>
        <w:t>tirozīnkināzes inhibitorus, novēroja šā vīrusa reaktivāciju. Dažos gadījumos iestājās akūta aknu mazspēja vai fulminants hepatīts, kura dēļ bija jāveic aknu transplantācija, vai iznākums bija letāls.</w:t>
      </w:r>
    </w:p>
    <w:p w14:paraId="3D394470" w14:textId="77777777" w:rsidR="00DB74ED" w:rsidRPr="0059270C" w:rsidRDefault="00DB74ED" w:rsidP="009B4BB6">
      <w:pPr>
        <w:pStyle w:val="Default"/>
        <w:widowControl w:val="0"/>
        <w:rPr>
          <w:rFonts w:ascii="Times New Roman" w:hAnsi="Times New Roman" w:cs="Times New Roman"/>
          <w:sz w:val="22"/>
          <w:szCs w:val="22"/>
          <w:lang w:val="lv-LV"/>
        </w:rPr>
      </w:pPr>
    </w:p>
    <w:p w14:paraId="3D394471" w14:textId="77777777" w:rsidR="00DB74ED" w:rsidRPr="002B1E42" w:rsidRDefault="00DB74ED" w:rsidP="009B4BB6">
      <w:pPr>
        <w:widowControl w:val="0"/>
        <w:spacing w:line="240" w:lineRule="auto"/>
        <w:rPr>
          <w:szCs w:val="22"/>
        </w:rPr>
      </w:pPr>
      <w:r w:rsidRPr="00A73076">
        <w:rPr>
          <w:szCs w:val="22"/>
        </w:rPr>
        <w:t>Pirms uzsākt ārstēš</w:t>
      </w:r>
      <w:r>
        <w:rPr>
          <w:szCs w:val="22"/>
        </w:rPr>
        <w:t>anu ar Tasigna</w:t>
      </w:r>
      <w:r w:rsidRPr="00A73076">
        <w:rPr>
          <w:szCs w:val="22"/>
        </w:rPr>
        <w:t xml:space="preserve">, pacienti jātestē uz BHV infekciju. Pacientiem ar pozitīvu B hepatīta vīrusa seroloģiju (tajā skaitā pacientiem ar aktīvu slimību) pirms ārstēšanas uzsākšanas un pacientiem, kuriem ārstēšanas laikā BHV infekcijas tests ir pozitīvs, jākonsultējas ar aknu slimību un B hepatīta </w:t>
      </w:r>
      <w:r w:rsidRPr="00A73076">
        <w:rPr>
          <w:szCs w:val="22"/>
        </w:rPr>
        <w:lastRenderedPageBreak/>
        <w:t xml:space="preserve">vīrusa ārstēšanas </w:t>
      </w:r>
      <w:r w:rsidRPr="002B1E42">
        <w:rPr>
          <w:szCs w:val="22"/>
        </w:rPr>
        <w:t>speciālistiem. Terapijas laikā un vairākus mēnešus pēc terapijas beigšanas BHV nēsātāji, kuriem nepieciešama ārstēšana ar Tasigna, rūpīgi jānovēro, vai nerodas aktīvas BHV infekcijas pazīmes un simptomi (skatīt 4.8. apakšpunktu).</w:t>
      </w:r>
    </w:p>
    <w:p w14:paraId="3D394472" w14:textId="77777777" w:rsidR="00C300D9" w:rsidRPr="002B1E42" w:rsidRDefault="00C300D9" w:rsidP="009B4BB6">
      <w:pPr>
        <w:widowControl w:val="0"/>
        <w:spacing w:line="240" w:lineRule="auto"/>
        <w:rPr>
          <w:szCs w:val="22"/>
        </w:rPr>
      </w:pPr>
    </w:p>
    <w:p w14:paraId="3D394473" w14:textId="77777777" w:rsidR="00C300D9" w:rsidRPr="002B1E42" w:rsidRDefault="00C300D9" w:rsidP="009B4BB6">
      <w:pPr>
        <w:keepNext/>
        <w:widowControl w:val="0"/>
        <w:spacing w:line="240" w:lineRule="auto"/>
        <w:rPr>
          <w:szCs w:val="22"/>
          <w:u w:val="single"/>
        </w:rPr>
      </w:pPr>
      <w:r w:rsidRPr="002B1E42">
        <w:rPr>
          <w:szCs w:val="22"/>
          <w:u w:val="single"/>
        </w:rPr>
        <w:t>Fototoksicitāte</w:t>
      </w:r>
    </w:p>
    <w:p w14:paraId="3D394474" w14:textId="77777777" w:rsidR="00C300D9" w:rsidRPr="005C000F" w:rsidRDefault="00570D37" w:rsidP="009B4BB6">
      <w:pPr>
        <w:widowControl w:val="0"/>
        <w:spacing w:line="240" w:lineRule="auto"/>
        <w:rPr>
          <w:szCs w:val="22"/>
        </w:rPr>
      </w:pPr>
      <w:r w:rsidRPr="002B1E42">
        <w:rPr>
          <w:szCs w:val="22"/>
        </w:rPr>
        <w:t xml:space="preserve">Jāizvairās no tiešas saules staru </w:t>
      </w:r>
      <w:r w:rsidRPr="005C000F">
        <w:rPr>
          <w:szCs w:val="22"/>
        </w:rPr>
        <w:t>iedarbības vai t</w:t>
      </w:r>
      <w:r w:rsidR="00561580" w:rsidRPr="005C000F">
        <w:rPr>
          <w:szCs w:val="22"/>
        </w:rPr>
        <w:t>ā</w:t>
      </w:r>
      <w:r w:rsidRPr="005C000F">
        <w:rPr>
          <w:szCs w:val="22"/>
        </w:rPr>
        <w:t xml:space="preserve"> jāsamazina </w:t>
      </w:r>
      <w:r w:rsidR="002C3F8A" w:rsidRPr="005C000F">
        <w:rPr>
          <w:szCs w:val="22"/>
        </w:rPr>
        <w:t xml:space="preserve">fototoksicitātes riska dēļ, kas ir saistīts ar imatinaba </w:t>
      </w:r>
      <w:r w:rsidRPr="005C000F">
        <w:rPr>
          <w:szCs w:val="22"/>
        </w:rPr>
        <w:t>lietošanu</w:t>
      </w:r>
      <w:r w:rsidR="002C3F8A" w:rsidRPr="005C000F">
        <w:rPr>
          <w:szCs w:val="22"/>
        </w:rPr>
        <w:t xml:space="preserve">. </w:t>
      </w:r>
      <w:r w:rsidRPr="005C000F">
        <w:rPr>
          <w:szCs w:val="22"/>
        </w:rPr>
        <w:t>Pacient</w:t>
      </w:r>
      <w:r w:rsidR="004C381F" w:rsidRPr="005C000F">
        <w:rPr>
          <w:szCs w:val="22"/>
        </w:rPr>
        <w:t>i</w:t>
      </w:r>
      <w:r w:rsidR="002C3F8A" w:rsidRPr="005C000F">
        <w:rPr>
          <w:szCs w:val="22"/>
        </w:rPr>
        <w:t xml:space="preserve"> ir jāinformē par </w:t>
      </w:r>
      <w:r w:rsidR="00AB58B9" w:rsidRPr="005C000F">
        <w:rPr>
          <w:szCs w:val="22"/>
        </w:rPr>
        <w:t xml:space="preserve">piesardzības </w:t>
      </w:r>
      <w:r w:rsidR="00E021A1" w:rsidRPr="005C000F">
        <w:rPr>
          <w:szCs w:val="22"/>
        </w:rPr>
        <w:t>pasākumiem</w:t>
      </w:r>
      <w:r w:rsidR="00162B69" w:rsidRPr="005C000F">
        <w:rPr>
          <w:szCs w:val="22"/>
        </w:rPr>
        <w:t>,</w:t>
      </w:r>
      <w:r w:rsidR="002C3F8A" w:rsidRPr="005C000F">
        <w:rPr>
          <w:szCs w:val="22"/>
        </w:rPr>
        <w:t xml:space="preserve"> </w:t>
      </w:r>
      <w:r w:rsidR="00561580" w:rsidRPr="005C000F">
        <w:rPr>
          <w:szCs w:val="22"/>
        </w:rPr>
        <w:t>tād</w:t>
      </w:r>
      <w:r w:rsidR="003E6698" w:rsidRPr="005C000F">
        <w:rPr>
          <w:szCs w:val="22"/>
        </w:rPr>
        <w:t>iem</w:t>
      </w:r>
      <w:r w:rsidR="00561580" w:rsidRPr="005C000F">
        <w:rPr>
          <w:szCs w:val="22"/>
        </w:rPr>
        <w:t xml:space="preserve"> kā</w:t>
      </w:r>
      <w:r w:rsidR="00162B69" w:rsidRPr="005C000F">
        <w:rPr>
          <w:szCs w:val="22"/>
        </w:rPr>
        <w:t xml:space="preserve"> aizsargājoša apģērba un sauļošanās krēma ar augstu saules aizsardzības faktoru (</w:t>
      </w:r>
      <w:r w:rsidR="00162B69" w:rsidRPr="005C000F">
        <w:rPr>
          <w:i/>
          <w:szCs w:val="22"/>
        </w:rPr>
        <w:t>SPF</w:t>
      </w:r>
      <w:r w:rsidR="00162B69" w:rsidRPr="005C000F">
        <w:rPr>
          <w:szCs w:val="22"/>
        </w:rPr>
        <w:t>) lietošanu.</w:t>
      </w:r>
    </w:p>
    <w:p w14:paraId="3D394475" w14:textId="77777777" w:rsidR="005117C7" w:rsidRPr="005C000F" w:rsidRDefault="005117C7" w:rsidP="009B4BB6">
      <w:pPr>
        <w:widowControl w:val="0"/>
        <w:tabs>
          <w:tab w:val="clear" w:pos="567"/>
        </w:tabs>
        <w:spacing w:line="240" w:lineRule="auto"/>
        <w:rPr>
          <w:color w:val="000000"/>
          <w:szCs w:val="22"/>
        </w:rPr>
      </w:pPr>
    </w:p>
    <w:p w14:paraId="3D394476" w14:textId="77777777" w:rsidR="003F703E" w:rsidRPr="00AC1BAD" w:rsidRDefault="003F703E" w:rsidP="009B4BB6">
      <w:pPr>
        <w:keepNext/>
        <w:widowControl w:val="0"/>
        <w:tabs>
          <w:tab w:val="clear" w:pos="567"/>
        </w:tabs>
        <w:spacing w:line="240" w:lineRule="auto"/>
        <w:rPr>
          <w:color w:val="000000"/>
          <w:szCs w:val="22"/>
          <w:u w:val="single"/>
        </w:rPr>
      </w:pPr>
      <w:r w:rsidRPr="00AC1BAD">
        <w:rPr>
          <w:color w:val="000000"/>
          <w:szCs w:val="22"/>
          <w:u w:val="single"/>
        </w:rPr>
        <w:t>Trombotiska mikroangiopātija</w:t>
      </w:r>
    </w:p>
    <w:p w14:paraId="3D394477" w14:textId="77777777" w:rsidR="003F703E" w:rsidRPr="005C000F" w:rsidRDefault="003F703E" w:rsidP="009B4BB6">
      <w:pPr>
        <w:widowControl w:val="0"/>
        <w:tabs>
          <w:tab w:val="clear" w:pos="567"/>
        </w:tabs>
        <w:spacing w:line="240" w:lineRule="auto"/>
        <w:rPr>
          <w:color w:val="000000"/>
          <w:szCs w:val="22"/>
        </w:rPr>
      </w:pPr>
      <w:r w:rsidRPr="005C000F">
        <w:rPr>
          <w:color w:val="000000"/>
          <w:szCs w:val="22"/>
        </w:rPr>
        <w:t>B</w:t>
      </w:r>
      <w:r w:rsidR="00652F8E" w:rsidRPr="005C000F">
        <w:rPr>
          <w:color w:val="000000"/>
          <w:szCs w:val="22"/>
        </w:rPr>
        <w:t>cr</w:t>
      </w:r>
      <w:r w:rsidRPr="005C000F">
        <w:rPr>
          <w:color w:val="000000"/>
          <w:szCs w:val="22"/>
        </w:rPr>
        <w:t>-A</w:t>
      </w:r>
      <w:r w:rsidR="00652F8E" w:rsidRPr="005C000F">
        <w:rPr>
          <w:color w:val="000000"/>
          <w:szCs w:val="22"/>
        </w:rPr>
        <w:t>bl</w:t>
      </w:r>
      <w:r w:rsidRPr="005C000F">
        <w:rPr>
          <w:color w:val="000000"/>
          <w:szCs w:val="22"/>
        </w:rPr>
        <w:t xml:space="preserve"> tirozīnkināzes inhibitoru (TKIs) lietošana saistīta ar trombotisku mikroangiopātiju (TMA), tajā skaitā individuāl</w:t>
      </w:r>
      <w:r w:rsidR="00A56255" w:rsidRPr="005C000F">
        <w:rPr>
          <w:color w:val="000000"/>
          <w:szCs w:val="22"/>
        </w:rPr>
        <w:t>u</w:t>
      </w:r>
      <w:r w:rsidRPr="005C000F">
        <w:rPr>
          <w:color w:val="000000"/>
          <w:szCs w:val="22"/>
        </w:rPr>
        <w:t xml:space="preserve"> </w:t>
      </w:r>
      <w:r w:rsidR="007C7BA0" w:rsidRPr="005C000F">
        <w:rPr>
          <w:color w:val="000000"/>
          <w:szCs w:val="22"/>
        </w:rPr>
        <w:t xml:space="preserve">gadījumu </w:t>
      </w:r>
      <w:r w:rsidRPr="005C000F">
        <w:rPr>
          <w:color w:val="000000"/>
          <w:szCs w:val="22"/>
        </w:rPr>
        <w:t>ziņojumiem par Glivec (skatīt 4.8. apakšpunktu). Ja pacientam, kurš lieto Glivec, rodas laborator</w:t>
      </w:r>
      <w:r w:rsidR="00E00F8C" w:rsidRPr="005C000F">
        <w:rPr>
          <w:color w:val="000000"/>
          <w:szCs w:val="22"/>
        </w:rPr>
        <w:t>atorisk</w:t>
      </w:r>
      <w:r w:rsidRPr="005C000F">
        <w:rPr>
          <w:color w:val="000000"/>
          <w:szCs w:val="22"/>
        </w:rPr>
        <w:t>as vai klīniskas atrades, kas sasitītas ar TMA, ārstēšana ir jāpārtrauc un rūpīgi j</w:t>
      </w:r>
      <w:r w:rsidR="00116C39" w:rsidRPr="005C000F">
        <w:rPr>
          <w:color w:val="000000"/>
          <w:szCs w:val="22"/>
        </w:rPr>
        <w:t>ā</w:t>
      </w:r>
      <w:r w:rsidRPr="005C000F">
        <w:rPr>
          <w:color w:val="000000"/>
          <w:szCs w:val="22"/>
        </w:rPr>
        <w:t>izvērtē TMA, tajā skaitā nosakot ADAMTS13 aktivitāti un anti-ADAMTS13 antivielas. Ja anti-ADAMTS-13 antivielu līmenis ir paaugstināts kombinācijā ar zemu ADAMTS 13 aktivitāti, ārstēšanu ar Glivec nedrīkst turpināt.</w:t>
      </w:r>
    </w:p>
    <w:p w14:paraId="3D394478" w14:textId="77777777" w:rsidR="003F703E" w:rsidRPr="005C000F" w:rsidRDefault="003F703E" w:rsidP="009B4BB6">
      <w:pPr>
        <w:widowControl w:val="0"/>
        <w:tabs>
          <w:tab w:val="clear" w:pos="567"/>
        </w:tabs>
        <w:spacing w:line="240" w:lineRule="auto"/>
        <w:rPr>
          <w:color w:val="000000"/>
          <w:szCs w:val="22"/>
        </w:rPr>
      </w:pPr>
    </w:p>
    <w:p w14:paraId="3D394479" w14:textId="77777777" w:rsidR="005117C7" w:rsidRPr="005C000F" w:rsidRDefault="005117C7" w:rsidP="009B4BB6">
      <w:pPr>
        <w:keepNext/>
        <w:widowControl w:val="0"/>
        <w:tabs>
          <w:tab w:val="clear" w:pos="567"/>
        </w:tabs>
        <w:spacing w:line="240" w:lineRule="auto"/>
        <w:rPr>
          <w:color w:val="000000"/>
          <w:szCs w:val="22"/>
          <w:u w:val="single"/>
        </w:rPr>
      </w:pPr>
      <w:r w:rsidRPr="005C000F">
        <w:rPr>
          <w:color w:val="000000"/>
          <w:szCs w:val="22"/>
          <w:u w:val="single"/>
        </w:rPr>
        <w:t>Laboratoriskie izmeklējumi</w:t>
      </w:r>
    </w:p>
    <w:p w14:paraId="3D39447A" w14:textId="77777777" w:rsidR="005117C7" w:rsidRPr="00CD729C" w:rsidRDefault="005117C7" w:rsidP="009B4BB6">
      <w:pPr>
        <w:widowControl w:val="0"/>
        <w:tabs>
          <w:tab w:val="clear" w:pos="567"/>
        </w:tabs>
        <w:spacing w:line="240" w:lineRule="auto"/>
        <w:rPr>
          <w:color w:val="000000"/>
          <w:szCs w:val="22"/>
        </w:rPr>
      </w:pPr>
      <w:r w:rsidRPr="005C000F">
        <w:rPr>
          <w:color w:val="000000"/>
          <w:szCs w:val="22"/>
        </w:rPr>
        <w:t>Glivec terapijas laikā regulāri jākontrolē pilna asinsaina. CML slimnieku ārstēšana ar Glivec ir saistīta ar neitropēniju un trombocitopēniju, tomēr</w:t>
      </w:r>
      <w:r w:rsidRPr="00CD729C">
        <w:rPr>
          <w:color w:val="000000"/>
          <w:szCs w:val="22"/>
        </w:rPr>
        <w:t xml:space="preserve"> šķiet, ka šīs citopēnijas ir saistītas ar ārstējamās slimības stadiju. Salīdzinot ar pacientiem, kam CML ir hroniskā fāzē, pacientiem CML akcelerācijas fāzē vai blastu krīzes apstākļos citopēniju novēro biežāk. Kā ieteikts </w:t>
      </w:r>
      <w:r w:rsidR="0065532B" w:rsidRPr="00CD729C">
        <w:rPr>
          <w:color w:val="000000"/>
          <w:szCs w:val="22"/>
        </w:rPr>
        <w:t>a</w:t>
      </w:r>
      <w:r w:rsidRPr="00CD729C">
        <w:rPr>
          <w:color w:val="000000"/>
          <w:szCs w:val="22"/>
        </w:rPr>
        <w:t>p</w:t>
      </w:r>
      <w:r w:rsidR="0065532B" w:rsidRPr="00CD729C">
        <w:rPr>
          <w:color w:val="000000"/>
          <w:szCs w:val="22"/>
        </w:rPr>
        <w:t>akšpunktā</w:t>
      </w:r>
      <w:r w:rsidRPr="00CD729C">
        <w:rPr>
          <w:color w:val="000000"/>
          <w:szCs w:val="22"/>
        </w:rPr>
        <w:t xml:space="preserve"> 4.2</w:t>
      </w:r>
      <w:r w:rsidR="00A031F4" w:rsidRPr="00CD729C">
        <w:rPr>
          <w:color w:val="000000"/>
          <w:szCs w:val="22"/>
        </w:rPr>
        <w:t>.</w:t>
      </w:r>
      <w:r w:rsidRPr="00CD729C">
        <w:rPr>
          <w:color w:val="000000"/>
          <w:szCs w:val="22"/>
        </w:rPr>
        <w:t>, Glivec terapiju ir iespējams pārtraukt vai samazināt preparāta devu.</w:t>
      </w:r>
    </w:p>
    <w:p w14:paraId="3D39447B" w14:textId="77777777" w:rsidR="005117C7" w:rsidRPr="00CD729C" w:rsidRDefault="005117C7" w:rsidP="009B4BB6">
      <w:pPr>
        <w:widowControl w:val="0"/>
        <w:tabs>
          <w:tab w:val="clear" w:pos="567"/>
        </w:tabs>
        <w:spacing w:line="240" w:lineRule="auto"/>
        <w:rPr>
          <w:color w:val="000000"/>
          <w:szCs w:val="22"/>
        </w:rPr>
      </w:pPr>
    </w:p>
    <w:p w14:paraId="3D39447C"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Pacientiem, kas saņem Glivec, regulāri jākontrolē aknu funkcija (transamināzes, bilirubīns un sārmainā fosfatāze).</w:t>
      </w:r>
    </w:p>
    <w:p w14:paraId="3D39447D" w14:textId="77777777" w:rsidR="005117C7" w:rsidRPr="00CD729C" w:rsidRDefault="005117C7" w:rsidP="009B4BB6">
      <w:pPr>
        <w:widowControl w:val="0"/>
        <w:tabs>
          <w:tab w:val="clear" w:pos="567"/>
        </w:tabs>
        <w:spacing w:line="240" w:lineRule="auto"/>
        <w:rPr>
          <w:color w:val="000000"/>
          <w:szCs w:val="22"/>
        </w:rPr>
      </w:pPr>
    </w:p>
    <w:p w14:paraId="3D39447E" w14:textId="77777777" w:rsidR="005117C7" w:rsidRPr="00CD729C" w:rsidRDefault="006333F1" w:rsidP="009B4BB6">
      <w:pPr>
        <w:pStyle w:val="EndnoteText"/>
        <w:widowControl w:val="0"/>
        <w:tabs>
          <w:tab w:val="clear" w:pos="567"/>
        </w:tabs>
        <w:rPr>
          <w:color w:val="000000"/>
        </w:rPr>
      </w:pPr>
      <w:r w:rsidRPr="00CD729C">
        <w:rPr>
          <w:color w:val="000000"/>
        </w:rPr>
        <w:t xml:space="preserve">Pacientiem ar nieru darbības traucējumiem imatiniba koncentrācija plazmā ir lielāka nekā pacientiem ar normālu nieru darbību, iespējams, paaugstināta alfa skābā glikoproteīna (AGP) (olbaltuma, kas saista imatinibu). </w:t>
      </w:r>
      <w:r w:rsidR="00B956CA" w:rsidRPr="00CD729C">
        <w:rPr>
          <w:color w:val="000000"/>
        </w:rPr>
        <w:t>Pacientiem ar nieru darbības traucējumiem jālieto minimālā sākuma deva. Pacietiem ar smagiem nieru darbības traucējumiem ārstēšanā jāievēro piesardzība. Devu var samazināt, ja rodas blakusparādības (skatīt 4.</w:t>
      </w:r>
      <w:r w:rsidR="00360965" w:rsidRPr="00CD729C">
        <w:rPr>
          <w:color w:val="000000"/>
        </w:rPr>
        <w:t>2</w:t>
      </w:r>
      <w:r w:rsidR="00A031F4" w:rsidRPr="00CD729C">
        <w:rPr>
          <w:color w:val="000000"/>
        </w:rPr>
        <w:t>.</w:t>
      </w:r>
      <w:r w:rsidR="00B956CA" w:rsidRPr="00CD729C">
        <w:rPr>
          <w:color w:val="000000"/>
        </w:rPr>
        <w:t xml:space="preserve"> un 5.2</w:t>
      </w:r>
      <w:r w:rsidR="00A031F4" w:rsidRPr="00CD729C">
        <w:rPr>
          <w:color w:val="000000"/>
        </w:rPr>
        <w:t>.</w:t>
      </w:r>
      <w:r w:rsidR="00552C22" w:rsidRPr="00CD729C">
        <w:rPr>
          <w:color w:val="000000"/>
          <w:szCs w:val="22"/>
        </w:rPr>
        <w:t> apakšpunktu</w:t>
      </w:r>
      <w:r w:rsidR="00B956CA" w:rsidRPr="00CD729C">
        <w:rPr>
          <w:color w:val="000000"/>
        </w:rPr>
        <w:t>).</w:t>
      </w:r>
    </w:p>
    <w:p w14:paraId="3D39447F" w14:textId="77777777" w:rsidR="00055209" w:rsidRDefault="00055209" w:rsidP="009B4BB6">
      <w:pPr>
        <w:pStyle w:val="EndnoteText"/>
        <w:widowControl w:val="0"/>
        <w:tabs>
          <w:tab w:val="clear" w:pos="567"/>
        </w:tabs>
        <w:rPr>
          <w:color w:val="000000"/>
          <w:szCs w:val="22"/>
        </w:rPr>
      </w:pPr>
    </w:p>
    <w:p w14:paraId="3D394480" w14:textId="77777777" w:rsidR="00EC50C3" w:rsidRDefault="00EC50C3" w:rsidP="009B4BB6">
      <w:pPr>
        <w:widowControl w:val="0"/>
        <w:spacing w:line="240" w:lineRule="auto"/>
      </w:pPr>
      <w:r>
        <w:t>Ilgtermiņa ārstēšana ar imatinibu var būt saistīta ar klīniski nozīmīgām nieru funkciju izmaiņām. Tādēļ nieru funkcijas ir jāizvērtē pirms terapijas ar imatinibu uzsākšanas un rūpīgi jākontrolē terapijas laikā, īpašu uzmanību veltot pacientiem ar nieru funkciju traucējumu riska faktoriem. Ja tiek novēroti nieru darbības trauc</w:t>
      </w:r>
      <w:r w:rsidR="00803783">
        <w:t>ējumi, jānozīmē atbilstoša</w:t>
      </w:r>
      <w:r>
        <w:t xml:space="preserve"> rīcība un ārstēšana</w:t>
      </w:r>
      <w:r w:rsidR="00803783">
        <w:t xml:space="preserve"> saskaņā ar standarta ārstēšanas vadlīnijām.</w:t>
      </w:r>
    </w:p>
    <w:p w14:paraId="3D394481" w14:textId="77777777" w:rsidR="00803783" w:rsidRPr="00DE4F96" w:rsidRDefault="00803783" w:rsidP="009B4BB6">
      <w:pPr>
        <w:widowControl w:val="0"/>
        <w:spacing w:line="240" w:lineRule="auto"/>
      </w:pPr>
    </w:p>
    <w:p w14:paraId="3D394482" w14:textId="77777777" w:rsidR="00055209" w:rsidRPr="00CC3621" w:rsidRDefault="00BF3DA7" w:rsidP="009B4BB6">
      <w:pPr>
        <w:pStyle w:val="TOC6"/>
        <w:rPr>
          <w:lang w:val="lv-LV"/>
        </w:rPr>
      </w:pPr>
      <w:r w:rsidRPr="00CC3621">
        <w:rPr>
          <w:lang w:val="lv-LV"/>
        </w:rPr>
        <w:t>Pediatriskā populācija</w:t>
      </w:r>
    </w:p>
    <w:p w14:paraId="3D394483" w14:textId="77777777" w:rsidR="00055209" w:rsidRPr="00CD729C" w:rsidRDefault="00CE6412" w:rsidP="009B4BB6">
      <w:pPr>
        <w:pStyle w:val="EndnoteText"/>
        <w:widowControl w:val="0"/>
        <w:tabs>
          <w:tab w:val="clear" w:pos="567"/>
        </w:tabs>
        <w:rPr>
          <w:color w:val="000000"/>
          <w:szCs w:val="22"/>
        </w:rPr>
      </w:pPr>
      <w:r w:rsidRPr="00CD729C">
        <w:rPr>
          <w:szCs w:val="22"/>
          <w:lang w:bidi="kn-IN"/>
        </w:rPr>
        <w:t>Saņemti ziņojumi par augšanas aizturi bērniem un pusaudžiem, kur</w:t>
      </w:r>
      <w:r w:rsidR="00747B36" w:rsidRPr="00CD729C">
        <w:rPr>
          <w:szCs w:val="22"/>
          <w:lang w:bidi="kn-IN"/>
        </w:rPr>
        <w:t xml:space="preserve">us ārstēja ar </w:t>
      </w:r>
      <w:r w:rsidRPr="00CD729C">
        <w:rPr>
          <w:szCs w:val="22"/>
          <w:lang w:bidi="kn-IN"/>
        </w:rPr>
        <w:t xml:space="preserve">imatinibu. </w:t>
      </w:r>
      <w:r w:rsidR="005A7064">
        <w:rPr>
          <w:szCs w:val="22"/>
          <w:lang w:bidi="kn-IN"/>
        </w:rPr>
        <w:t>Novērošanas pētījumā pedia</w:t>
      </w:r>
      <w:r w:rsidR="00D622C4">
        <w:rPr>
          <w:szCs w:val="22"/>
          <w:lang w:bidi="kn-IN"/>
        </w:rPr>
        <w:t>triskā populācijā ar CML pēc 12 </w:t>
      </w:r>
      <w:r w:rsidR="005A7064">
        <w:rPr>
          <w:szCs w:val="22"/>
          <w:lang w:bidi="kn-IN"/>
        </w:rPr>
        <w:t xml:space="preserve">un 24 ārstēšanas mēnešiem ziņoja par auguma standartnovirzes </w:t>
      </w:r>
      <w:r w:rsidR="000A5E78" w:rsidRPr="00F867B0">
        <w:rPr>
          <w:szCs w:val="22"/>
          <w:lang w:bidi="kn-IN"/>
        </w:rPr>
        <w:t>vērtības</w:t>
      </w:r>
      <w:r w:rsidR="005A7064">
        <w:rPr>
          <w:szCs w:val="22"/>
          <w:lang w:bidi="kn-IN"/>
        </w:rPr>
        <w:t xml:space="preserve"> mediānas </w:t>
      </w:r>
      <w:r w:rsidR="00A5279B">
        <w:rPr>
          <w:szCs w:val="22"/>
          <w:lang w:bidi="kn-IN"/>
        </w:rPr>
        <w:t>statistiski būtisku</w:t>
      </w:r>
      <w:r w:rsidR="005A7064">
        <w:rPr>
          <w:szCs w:val="22"/>
          <w:lang w:bidi="kn-IN"/>
        </w:rPr>
        <w:t xml:space="preserve"> samazināšanos (</w:t>
      </w:r>
      <w:r w:rsidR="00A5279B">
        <w:rPr>
          <w:szCs w:val="22"/>
          <w:lang w:bidi="kn-IN"/>
        </w:rPr>
        <w:t>bet klīniskā nozīme nav skaidra</w:t>
      </w:r>
      <w:r w:rsidR="005A7064">
        <w:rPr>
          <w:szCs w:val="22"/>
          <w:lang w:bidi="kn-IN"/>
        </w:rPr>
        <w:t>) divām mazām apakšgrupām neatkarīgi no pubertātes statusa un dzimuma. Ā</w:t>
      </w:r>
      <w:r w:rsidRPr="00CD729C">
        <w:rPr>
          <w:szCs w:val="22"/>
          <w:lang w:bidi="kn-IN"/>
        </w:rPr>
        <w:t xml:space="preserve">rstēšanas laikā ar imatinibu ieteicams </w:t>
      </w:r>
      <w:r w:rsidR="00747B36" w:rsidRPr="00CD729C">
        <w:rPr>
          <w:szCs w:val="22"/>
          <w:lang w:bidi="kn-IN"/>
        </w:rPr>
        <w:t xml:space="preserve">regulāri pārbaudīt bērna augumu </w:t>
      </w:r>
      <w:r w:rsidR="00055209" w:rsidRPr="00CD729C">
        <w:rPr>
          <w:szCs w:val="22"/>
        </w:rPr>
        <w:t>(s</w:t>
      </w:r>
      <w:r w:rsidRPr="00CD729C">
        <w:rPr>
          <w:szCs w:val="22"/>
        </w:rPr>
        <w:t xml:space="preserve">katīt </w:t>
      </w:r>
      <w:r w:rsidR="00055209" w:rsidRPr="00CD729C">
        <w:rPr>
          <w:szCs w:val="22"/>
        </w:rPr>
        <w:t>4.8</w:t>
      </w:r>
      <w:r w:rsidR="00A031F4" w:rsidRPr="00CD729C">
        <w:rPr>
          <w:szCs w:val="22"/>
        </w:rPr>
        <w:t>.</w:t>
      </w:r>
      <w:r w:rsidR="00552C22" w:rsidRPr="00CD729C">
        <w:rPr>
          <w:color w:val="000000"/>
          <w:szCs w:val="22"/>
        </w:rPr>
        <w:t> apakšpunktu</w:t>
      </w:r>
      <w:r w:rsidR="00055209" w:rsidRPr="00CD729C">
        <w:rPr>
          <w:szCs w:val="22"/>
        </w:rPr>
        <w:t>).</w:t>
      </w:r>
    </w:p>
    <w:p w14:paraId="3D394484" w14:textId="77777777" w:rsidR="005117C7" w:rsidRPr="00CD729C" w:rsidRDefault="005117C7" w:rsidP="009B4BB6">
      <w:pPr>
        <w:widowControl w:val="0"/>
        <w:tabs>
          <w:tab w:val="clear" w:pos="567"/>
        </w:tabs>
        <w:spacing w:line="240" w:lineRule="auto"/>
        <w:rPr>
          <w:color w:val="000000"/>
          <w:szCs w:val="22"/>
        </w:rPr>
      </w:pPr>
    </w:p>
    <w:p w14:paraId="3D394485" w14:textId="77777777" w:rsidR="005117C7" w:rsidRPr="00CD729C" w:rsidRDefault="005117C7" w:rsidP="009B4BB6">
      <w:pPr>
        <w:keepNext/>
        <w:widowControl w:val="0"/>
        <w:tabs>
          <w:tab w:val="clear" w:pos="567"/>
        </w:tabs>
        <w:spacing w:line="240" w:lineRule="auto"/>
        <w:ind w:left="567" w:hanging="567"/>
        <w:rPr>
          <w:b/>
          <w:color w:val="000000"/>
          <w:szCs w:val="22"/>
        </w:rPr>
      </w:pPr>
      <w:r w:rsidRPr="00CD729C">
        <w:rPr>
          <w:b/>
          <w:color w:val="000000"/>
          <w:szCs w:val="22"/>
        </w:rPr>
        <w:t>4.5</w:t>
      </w:r>
      <w:r w:rsidR="00A031F4" w:rsidRPr="00CD729C">
        <w:rPr>
          <w:b/>
          <w:color w:val="000000"/>
          <w:szCs w:val="22"/>
        </w:rPr>
        <w:t>.</w:t>
      </w:r>
      <w:r w:rsidRPr="00CD729C">
        <w:rPr>
          <w:b/>
          <w:color w:val="000000"/>
          <w:szCs w:val="22"/>
        </w:rPr>
        <w:tab/>
        <w:t>Mijiedarbība ar citām zālēm un citi mijiedarbības veidi</w:t>
      </w:r>
    </w:p>
    <w:p w14:paraId="3D394486" w14:textId="77777777" w:rsidR="005117C7" w:rsidRPr="00CD729C" w:rsidRDefault="005117C7" w:rsidP="009B4BB6">
      <w:pPr>
        <w:pStyle w:val="ParastaisTreknraksts"/>
        <w:keepNext/>
        <w:widowControl w:val="0"/>
        <w:rPr>
          <w:b w:val="0"/>
          <w:color w:val="000000"/>
          <w:szCs w:val="22"/>
        </w:rPr>
      </w:pPr>
    </w:p>
    <w:p w14:paraId="3D394487" w14:textId="77777777" w:rsidR="005117C7" w:rsidRPr="00CD729C" w:rsidRDefault="004F0F52" w:rsidP="009B4BB6">
      <w:pPr>
        <w:keepNext/>
        <w:widowControl w:val="0"/>
        <w:tabs>
          <w:tab w:val="clear" w:pos="567"/>
        </w:tabs>
        <w:spacing w:line="240" w:lineRule="auto"/>
        <w:ind w:left="567" w:hanging="567"/>
        <w:rPr>
          <w:color w:val="000000"/>
          <w:szCs w:val="22"/>
          <w:u w:val="single"/>
        </w:rPr>
      </w:pPr>
      <w:r w:rsidRPr="00CD729C">
        <w:rPr>
          <w:color w:val="000000"/>
          <w:szCs w:val="22"/>
          <w:u w:val="single"/>
        </w:rPr>
        <w:t>Aktīvās vielas</w:t>
      </w:r>
      <w:r w:rsidR="005117C7" w:rsidRPr="00CD729C">
        <w:rPr>
          <w:color w:val="000000"/>
          <w:szCs w:val="22"/>
          <w:u w:val="single"/>
        </w:rPr>
        <w:t xml:space="preserve">, kas var </w:t>
      </w:r>
      <w:r w:rsidR="005117C7" w:rsidRPr="00CD729C">
        <w:rPr>
          <w:b/>
          <w:color w:val="000000"/>
          <w:szCs w:val="22"/>
          <w:u w:val="single"/>
        </w:rPr>
        <w:t>paaugstināt</w:t>
      </w:r>
      <w:r w:rsidR="005117C7" w:rsidRPr="00CD729C">
        <w:rPr>
          <w:color w:val="000000"/>
          <w:szCs w:val="22"/>
          <w:u w:val="single"/>
        </w:rPr>
        <w:t xml:space="preserve"> imatiniba koncentrāciju plazmā</w:t>
      </w:r>
    </w:p>
    <w:p w14:paraId="3D394488"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Vielas, kas inhibē P450</w:t>
      </w:r>
      <w:r w:rsidR="005F78CA" w:rsidRPr="00CD729C">
        <w:rPr>
          <w:color w:val="000000"/>
          <w:szCs w:val="22"/>
        </w:rPr>
        <w:t> </w:t>
      </w:r>
      <w:r w:rsidRPr="00CD729C">
        <w:rPr>
          <w:color w:val="000000"/>
          <w:szCs w:val="22"/>
        </w:rPr>
        <w:t>izofermenta CYP3A4</w:t>
      </w:r>
      <w:r w:rsidR="005F78CA" w:rsidRPr="00CD729C">
        <w:rPr>
          <w:color w:val="000000"/>
          <w:szCs w:val="22"/>
        </w:rPr>
        <w:t> </w:t>
      </w:r>
      <w:r w:rsidRPr="00CD729C">
        <w:rPr>
          <w:color w:val="000000"/>
          <w:szCs w:val="22"/>
        </w:rPr>
        <w:t xml:space="preserve">aktivitāti (piemēram, </w:t>
      </w:r>
      <w:r w:rsidR="00015703" w:rsidRPr="00CD729C">
        <w:rPr>
          <w:color w:val="000000"/>
          <w:szCs w:val="22"/>
        </w:rPr>
        <w:t xml:space="preserve">proteāzes </w:t>
      </w:r>
      <w:r w:rsidR="008752AD" w:rsidRPr="00CD729C">
        <w:rPr>
          <w:color w:val="000000"/>
          <w:szCs w:val="22"/>
        </w:rPr>
        <w:t>inhibitori</w:t>
      </w:r>
      <w:r w:rsidR="00015703" w:rsidRPr="00CD729C">
        <w:rPr>
          <w:color w:val="000000"/>
          <w:szCs w:val="22"/>
        </w:rPr>
        <w:t>, piemēra</w:t>
      </w:r>
      <w:r w:rsidR="008752AD" w:rsidRPr="00CD729C">
        <w:rPr>
          <w:color w:val="000000"/>
          <w:szCs w:val="22"/>
        </w:rPr>
        <w:t>m</w:t>
      </w:r>
      <w:r w:rsidR="00015703" w:rsidRPr="00CD729C">
        <w:rPr>
          <w:color w:val="000000"/>
          <w:szCs w:val="22"/>
        </w:rPr>
        <w:t xml:space="preserve">, indinavīrs, lopinavīrs/ritonavīrs, ritonavīrs, sahinavīrs, telaprevīrs, nelfinavīrs, boceprevīrs; azola grupas pretsēnīšu līdzekļi, tai skaitā </w:t>
      </w:r>
      <w:r w:rsidRPr="00CD729C">
        <w:rPr>
          <w:color w:val="000000"/>
          <w:szCs w:val="22"/>
        </w:rPr>
        <w:t xml:space="preserve">ketokonazols, itrakonazols, </w:t>
      </w:r>
      <w:r w:rsidR="00015703" w:rsidRPr="00CD729C">
        <w:rPr>
          <w:color w:val="000000"/>
          <w:szCs w:val="22"/>
        </w:rPr>
        <w:t xml:space="preserve">posakonazols, vorikonazols; noteikti makrolīdu grupas līdzekļi, piemēram, </w:t>
      </w:r>
      <w:r w:rsidRPr="00CD729C">
        <w:rPr>
          <w:color w:val="000000"/>
          <w:szCs w:val="22"/>
        </w:rPr>
        <w:t>eritromicīns, klaritromicīns</w:t>
      </w:r>
      <w:r w:rsidR="00015703" w:rsidRPr="00CD729C">
        <w:t xml:space="preserve"> un </w:t>
      </w:r>
      <w:r w:rsidR="00015703" w:rsidRPr="00CD729C">
        <w:rPr>
          <w:color w:val="000000"/>
          <w:szCs w:val="22"/>
        </w:rPr>
        <w:t>telitromicīns</w:t>
      </w:r>
      <w:r w:rsidRPr="00CD729C">
        <w:rPr>
          <w:color w:val="000000"/>
          <w:szCs w:val="22"/>
        </w:rPr>
        <w:t>), var palēnināt imatiniba vielmaiņas procesus un paaugstināt tā koncentrāciju. Veseliem pētījumu objektiem gadījumā, ja imatinibu ievadīja vienlaicīgi ar vienu ketokonazola devu (CYP3A4</w:t>
      </w:r>
      <w:r w:rsidR="005F78CA" w:rsidRPr="00CD729C">
        <w:rPr>
          <w:color w:val="000000"/>
          <w:szCs w:val="22"/>
        </w:rPr>
        <w:t> </w:t>
      </w:r>
      <w:r w:rsidRPr="00CD729C">
        <w:rPr>
          <w:color w:val="000000"/>
          <w:szCs w:val="22"/>
        </w:rPr>
        <w:t>inhibitors), novēroja nozīmīgu preparāta iedarbības pastiprinājumu (vidējās C</w:t>
      </w:r>
      <w:r w:rsidRPr="00CD729C">
        <w:rPr>
          <w:color w:val="000000"/>
          <w:szCs w:val="22"/>
          <w:vertAlign w:val="subscript"/>
        </w:rPr>
        <w:t>max</w:t>
      </w:r>
      <w:r w:rsidRPr="00CD729C">
        <w:rPr>
          <w:color w:val="000000"/>
          <w:szCs w:val="22"/>
        </w:rPr>
        <w:t xml:space="preserve"> un AUC vērtības pieauga par attiecīgi 26% un 40%). Vienlaicīgi ordinējot Glivec un CYP3A4</w:t>
      </w:r>
      <w:r w:rsidR="005F78CA" w:rsidRPr="00CD729C">
        <w:rPr>
          <w:color w:val="000000"/>
          <w:szCs w:val="22"/>
        </w:rPr>
        <w:t> </w:t>
      </w:r>
      <w:r w:rsidRPr="00CD729C">
        <w:rPr>
          <w:color w:val="000000"/>
          <w:szCs w:val="22"/>
        </w:rPr>
        <w:t>grupas fermentu inhibitorus, ir jāievēro piesardzība.</w:t>
      </w:r>
    </w:p>
    <w:p w14:paraId="3D394489" w14:textId="77777777" w:rsidR="005117C7" w:rsidRPr="00CD729C" w:rsidRDefault="005117C7" w:rsidP="009B4BB6">
      <w:pPr>
        <w:widowControl w:val="0"/>
        <w:tabs>
          <w:tab w:val="clear" w:pos="567"/>
        </w:tabs>
        <w:spacing w:line="240" w:lineRule="auto"/>
        <w:rPr>
          <w:color w:val="000000"/>
          <w:szCs w:val="22"/>
        </w:rPr>
      </w:pPr>
    </w:p>
    <w:p w14:paraId="3D39448A" w14:textId="77777777" w:rsidR="005117C7" w:rsidRPr="00CD729C" w:rsidRDefault="004F0F52" w:rsidP="009B4BB6">
      <w:pPr>
        <w:keepNext/>
        <w:widowControl w:val="0"/>
        <w:tabs>
          <w:tab w:val="clear" w:pos="567"/>
        </w:tabs>
        <w:spacing w:line="240" w:lineRule="auto"/>
        <w:rPr>
          <w:color w:val="000000"/>
          <w:szCs w:val="22"/>
        </w:rPr>
      </w:pPr>
      <w:r w:rsidRPr="00CD729C">
        <w:rPr>
          <w:color w:val="000000"/>
          <w:szCs w:val="22"/>
          <w:u w:val="single"/>
        </w:rPr>
        <w:t>Aktīvās vielas</w:t>
      </w:r>
      <w:r w:rsidR="005117C7" w:rsidRPr="00CD729C">
        <w:rPr>
          <w:color w:val="000000"/>
          <w:szCs w:val="22"/>
          <w:u w:val="single"/>
        </w:rPr>
        <w:t xml:space="preserve">, kas var </w:t>
      </w:r>
      <w:r w:rsidR="005117C7" w:rsidRPr="00CD729C">
        <w:rPr>
          <w:b/>
          <w:color w:val="000000"/>
          <w:szCs w:val="22"/>
          <w:u w:val="single"/>
        </w:rPr>
        <w:t>samazināt</w:t>
      </w:r>
      <w:r w:rsidR="005117C7" w:rsidRPr="00CD729C">
        <w:rPr>
          <w:color w:val="000000"/>
          <w:szCs w:val="22"/>
          <w:u w:val="single"/>
        </w:rPr>
        <w:t xml:space="preserve"> imatiniba koncentrāciju plazmā</w:t>
      </w:r>
    </w:p>
    <w:p w14:paraId="3D39448B"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Vielas, kas inducē CYP3A4</w:t>
      </w:r>
      <w:r w:rsidR="005F78CA" w:rsidRPr="00CD729C">
        <w:rPr>
          <w:color w:val="000000"/>
          <w:szCs w:val="22"/>
        </w:rPr>
        <w:t> </w:t>
      </w:r>
      <w:r w:rsidRPr="00CD729C">
        <w:rPr>
          <w:color w:val="000000"/>
          <w:szCs w:val="22"/>
        </w:rPr>
        <w:t>aktivitāti (deksametazons, fenitoīns, karbamazepīns, rifampicīns, fenobarbitāls</w:t>
      </w:r>
      <w:r w:rsidR="000B43F8" w:rsidRPr="00CD729C">
        <w:rPr>
          <w:color w:val="000000"/>
          <w:szCs w:val="22"/>
        </w:rPr>
        <w:t>, fosfenitoīns, primidons</w:t>
      </w:r>
      <w:r w:rsidRPr="00CD729C">
        <w:rPr>
          <w:color w:val="000000"/>
          <w:szCs w:val="22"/>
        </w:rPr>
        <w:t xml:space="preserve"> vai </w:t>
      </w:r>
      <w:r w:rsidRPr="00CD729C">
        <w:rPr>
          <w:i/>
          <w:color w:val="000000"/>
          <w:szCs w:val="22"/>
        </w:rPr>
        <w:t xml:space="preserve">Hypericum perforatum, </w:t>
      </w:r>
      <w:r w:rsidRPr="00CD729C">
        <w:rPr>
          <w:color w:val="000000"/>
          <w:szCs w:val="22"/>
        </w:rPr>
        <w:t>zināmi kā asinszāles preparāti) var ievērojami vājināt Glivec iedarbību un, iespējams, paaugstināt terapeitiskas neveiksmes risku. Pēc iepriekšējas vairākkārtējas 600 mg lielu rifampicīna devu lietošanas, pēc kā sekoja viena 400 mg Glivec deva, salīdzinot ar lielumiem, kas novēroti, rifampicīnu nelietojot, C</w:t>
      </w:r>
      <w:r w:rsidRPr="00CD729C">
        <w:rPr>
          <w:color w:val="000000"/>
          <w:szCs w:val="22"/>
          <w:vertAlign w:val="subscript"/>
        </w:rPr>
        <w:t>max</w:t>
      </w:r>
      <w:r w:rsidRPr="00CD729C">
        <w:rPr>
          <w:color w:val="000000"/>
          <w:szCs w:val="22"/>
        </w:rPr>
        <w:t xml:space="preserve"> un AUC</w:t>
      </w:r>
      <w:r w:rsidRPr="00CD729C">
        <w:rPr>
          <w:color w:val="000000"/>
          <w:szCs w:val="22"/>
          <w:vertAlign w:val="subscript"/>
        </w:rPr>
        <w:t>(0-∞)</w:t>
      </w:r>
      <w:r w:rsidRPr="00CD729C">
        <w:rPr>
          <w:color w:val="000000"/>
          <w:szCs w:val="22"/>
        </w:rPr>
        <w:t xml:space="preserve"> samazinājās par vismaz attiecīgi 54% un 74%. </w:t>
      </w:r>
      <w:r w:rsidR="00EB4B95" w:rsidRPr="00CD729C">
        <w:rPr>
          <w:snapToGrid w:val="0"/>
          <w:color w:val="000000"/>
          <w:szCs w:val="22"/>
        </w:rPr>
        <w:t>Līdzīgi rezultāti tika novēroti pacientiem</w:t>
      </w:r>
      <w:r w:rsidR="005E577B" w:rsidRPr="00CD729C">
        <w:rPr>
          <w:snapToGrid w:val="0"/>
          <w:color w:val="000000"/>
          <w:szCs w:val="22"/>
        </w:rPr>
        <w:t xml:space="preserve"> ar </w:t>
      </w:r>
      <w:r w:rsidR="00EB4B95" w:rsidRPr="00CD729C">
        <w:rPr>
          <w:snapToGrid w:val="0"/>
          <w:color w:val="000000"/>
          <w:szCs w:val="22"/>
        </w:rPr>
        <w:t>ļaundabīg</w:t>
      </w:r>
      <w:r w:rsidR="005E577B" w:rsidRPr="00CD729C">
        <w:rPr>
          <w:snapToGrid w:val="0"/>
          <w:color w:val="000000"/>
          <w:szCs w:val="22"/>
        </w:rPr>
        <w:t>u</w:t>
      </w:r>
      <w:r w:rsidR="00EB4B95" w:rsidRPr="00CD729C">
        <w:rPr>
          <w:snapToGrid w:val="0"/>
          <w:color w:val="000000"/>
          <w:szCs w:val="22"/>
        </w:rPr>
        <w:t xml:space="preserve"> gliom</w:t>
      </w:r>
      <w:r w:rsidR="005E577B" w:rsidRPr="00CD729C">
        <w:rPr>
          <w:snapToGrid w:val="0"/>
          <w:color w:val="000000"/>
          <w:szCs w:val="22"/>
        </w:rPr>
        <w:t>u,</w:t>
      </w:r>
      <w:r w:rsidR="00EB4B95" w:rsidRPr="00CD729C">
        <w:rPr>
          <w:snapToGrid w:val="0"/>
          <w:color w:val="000000"/>
          <w:szCs w:val="22"/>
        </w:rPr>
        <w:t xml:space="preserve"> k</w:t>
      </w:r>
      <w:r w:rsidR="005E577B" w:rsidRPr="00CD729C">
        <w:rPr>
          <w:snapToGrid w:val="0"/>
          <w:color w:val="000000"/>
          <w:szCs w:val="22"/>
        </w:rPr>
        <w:t>uri</w:t>
      </w:r>
      <w:r w:rsidR="00EB4B95" w:rsidRPr="00CD729C">
        <w:rPr>
          <w:snapToGrid w:val="0"/>
          <w:color w:val="000000"/>
          <w:szCs w:val="22"/>
        </w:rPr>
        <w:t xml:space="preserve"> </w:t>
      </w:r>
      <w:r w:rsidR="005E577B" w:rsidRPr="00CD729C">
        <w:rPr>
          <w:snapToGrid w:val="0"/>
          <w:color w:val="000000"/>
          <w:szCs w:val="22"/>
        </w:rPr>
        <w:t xml:space="preserve">terapijas laikā ar </w:t>
      </w:r>
      <w:r w:rsidR="00EB4B95" w:rsidRPr="00CD729C">
        <w:rPr>
          <w:snapToGrid w:val="0"/>
          <w:color w:val="000000"/>
          <w:szCs w:val="22"/>
        </w:rPr>
        <w:t>Glivec</w:t>
      </w:r>
      <w:r w:rsidR="005E577B" w:rsidRPr="00CD729C">
        <w:rPr>
          <w:snapToGrid w:val="0"/>
          <w:color w:val="000000"/>
          <w:szCs w:val="22"/>
        </w:rPr>
        <w:t xml:space="preserve"> saņēma</w:t>
      </w:r>
      <w:r w:rsidR="00EB4B95" w:rsidRPr="00CD729C">
        <w:rPr>
          <w:snapToGrid w:val="0"/>
          <w:color w:val="000000"/>
          <w:szCs w:val="22"/>
        </w:rPr>
        <w:t xml:space="preserve"> enzīmu</w:t>
      </w:r>
      <w:r w:rsidR="00340055" w:rsidRPr="00CD729C">
        <w:rPr>
          <w:snapToGrid w:val="0"/>
          <w:color w:val="000000"/>
          <w:szCs w:val="22"/>
        </w:rPr>
        <w:t>s</w:t>
      </w:r>
      <w:r w:rsidR="00EB4B95" w:rsidRPr="00CD729C">
        <w:rPr>
          <w:snapToGrid w:val="0"/>
          <w:color w:val="000000"/>
          <w:szCs w:val="22"/>
        </w:rPr>
        <w:t xml:space="preserve"> inducējošu</w:t>
      </w:r>
      <w:r w:rsidR="00340055" w:rsidRPr="00CD729C">
        <w:rPr>
          <w:snapToGrid w:val="0"/>
          <w:color w:val="000000"/>
          <w:szCs w:val="22"/>
        </w:rPr>
        <w:t>s</w:t>
      </w:r>
      <w:r w:rsidR="00EB4B95" w:rsidRPr="00CD729C">
        <w:rPr>
          <w:snapToGrid w:val="0"/>
          <w:color w:val="000000"/>
          <w:szCs w:val="22"/>
        </w:rPr>
        <w:t xml:space="preserve"> pretepilepsijas līdzekļu</w:t>
      </w:r>
      <w:r w:rsidR="005E577B" w:rsidRPr="00CD729C">
        <w:rPr>
          <w:snapToGrid w:val="0"/>
          <w:color w:val="000000"/>
          <w:szCs w:val="22"/>
        </w:rPr>
        <w:t>s</w:t>
      </w:r>
      <w:r w:rsidR="00EB4B95" w:rsidRPr="00CD729C">
        <w:rPr>
          <w:snapToGrid w:val="0"/>
          <w:color w:val="000000"/>
          <w:szCs w:val="22"/>
        </w:rPr>
        <w:t xml:space="preserve"> (EIPEL), piemēram, karbamazepīn</w:t>
      </w:r>
      <w:r w:rsidR="005E577B" w:rsidRPr="00CD729C">
        <w:rPr>
          <w:snapToGrid w:val="0"/>
          <w:color w:val="000000"/>
          <w:szCs w:val="22"/>
        </w:rPr>
        <w:t>u</w:t>
      </w:r>
      <w:r w:rsidR="00EB4B95" w:rsidRPr="00CD729C">
        <w:rPr>
          <w:snapToGrid w:val="0"/>
          <w:color w:val="000000"/>
          <w:szCs w:val="22"/>
        </w:rPr>
        <w:t xml:space="preserve">, </w:t>
      </w:r>
      <w:r w:rsidR="00563C1C" w:rsidRPr="00CD729C">
        <w:rPr>
          <w:snapToGrid w:val="0"/>
          <w:color w:val="000000"/>
          <w:szCs w:val="22"/>
        </w:rPr>
        <w:t>okskarbazepīnu</w:t>
      </w:r>
      <w:r w:rsidR="005E577B" w:rsidRPr="00CD729C">
        <w:rPr>
          <w:snapToGrid w:val="0"/>
          <w:color w:val="000000"/>
          <w:szCs w:val="22"/>
        </w:rPr>
        <w:t xml:space="preserve"> un</w:t>
      </w:r>
      <w:r w:rsidR="00EB4B95" w:rsidRPr="00CD729C">
        <w:rPr>
          <w:snapToGrid w:val="0"/>
          <w:color w:val="000000"/>
          <w:szCs w:val="22"/>
        </w:rPr>
        <w:t xml:space="preserve"> fenitoīn</w:t>
      </w:r>
      <w:r w:rsidR="005E577B" w:rsidRPr="00CD729C">
        <w:rPr>
          <w:snapToGrid w:val="0"/>
          <w:color w:val="000000"/>
          <w:szCs w:val="22"/>
        </w:rPr>
        <w:t>u</w:t>
      </w:r>
      <w:r w:rsidR="00EB4B95" w:rsidRPr="00CD729C">
        <w:rPr>
          <w:snapToGrid w:val="0"/>
          <w:color w:val="000000"/>
          <w:szCs w:val="22"/>
        </w:rPr>
        <w:t xml:space="preserve">. Imatiniba plazmas AUC samazinājās par 73%, salīdzinot ar pacientiem, kas nelietoja EIPEL. </w:t>
      </w:r>
      <w:r w:rsidRPr="00CD729C">
        <w:rPr>
          <w:color w:val="000000"/>
          <w:szCs w:val="22"/>
        </w:rPr>
        <w:t>No vienlaicīgas imatiniba un rifampicīna vai citu spēcīgu CYP3A4</w:t>
      </w:r>
      <w:r w:rsidR="005F78CA" w:rsidRPr="00CD729C">
        <w:rPr>
          <w:color w:val="000000"/>
          <w:szCs w:val="22"/>
        </w:rPr>
        <w:t> </w:t>
      </w:r>
      <w:r w:rsidRPr="00CD729C">
        <w:rPr>
          <w:color w:val="000000"/>
          <w:szCs w:val="22"/>
        </w:rPr>
        <w:t>induktoru lietošanas ir jāizvairās.</w:t>
      </w:r>
    </w:p>
    <w:p w14:paraId="3D39448C" w14:textId="77777777" w:rsidR="005117C7" w:rsidRPr="00CD729C" w:rsidRDefault="005117C7" w:rsidP="009B4BB6">
      <w:pPr>
        <w:widowControl w:val="0"/>
        <w:tabs>
          <w:tab w:val="clear" w:pos="567"/>
        </w:tabs>
        <w:spacing w:line="240" w:lineRule="auto"/>
        <w:rPr>
          <w:color w:val="000000"/>
          <w:szCs w:val="22"/>
        </w:rPr>
      </w:pPr>
    </w:p>
    <w:p w14:paraId="3D39448D" w14:textId="77777777" w:rsidR="005117C7" w:rsidRPr="00CD729C" w:rsidRDefault="004F0F52" w:rsidP="009B4BB6">
      <w:pPr>
        <w:keepNext/>
        <w:widowControl w:val="0"/>
        <w:tabs>
          <w:tab w:val="clear" w:pos="567"/>
        </w:tabs>
        <w:spacing w:line="240" w:lineRule="auto"/>
        <w:rPr>
          <w:color w:val="000000"/>
          <w:szCs w:val="22"/>
        </w:rPr>
      </w:pPr>
      <w:r w:rsidRPr="00CD729C">
        <w:rPr>
          <w:b/>
          <w:color w:val="000000"/>
          <w:szCs w:val="22"/>
        </w:rPr>
        <w:t>Aktīvās vielas</w:t>
      </w:r>
      <w:r w:rsidR="005117C7" w:rsidRPr="00CD729C">
        <w:rPr>
          <w:b/>
          <w:color w:val="000000"/>
          <w:szCs w:val="22"/>
        </w:rPr>
        <w:t>, kuru koncentrāciju plazmā var mainīt Glivec</w:t>
      </w:r>
    </w:p>
    <w:p w14:paraId="3D39448E" w14:textId="77777777" w:rsidR="005117C7" w:rsidRPr="00CD729C" w:rsidRDefault="005117C7" w:rsidP="009B4BB6">
      <w:pPr>
        <w:pStyle w:val="Heading7"/>
        <w:keepNext w:val="0"/>
        <w:widowControl w:val="0"/>
        <w:spacing w:line="240" w:lineRule="auto"/>
        <w:jc w:val="left"/>
        <w:rPr>
          <w:i w:val="0"/>
          <w:color w:val="000000"/>
          <w:szCs w:val="22"/>
        </w:rPr>
      </w:pPr>
      <w:r w:rsidRPr="00CD729C">
        <w:rPr>
          <w:i w:val="0"/>
          <w:color w:val="000000"/>
          <w:szCs w:val="22"/>
        </w:rPr>
        <w:t>Imatinibs attiecīgi 2 un 3,5 reizes palielina simvastatīna (CYP3A4</w:t>
      </w:r>
      <w:r w:rsidR="005F78CA" w:rsidRPr="00CD729C">
        <w:rPr>
          <w:i w:val="0"/>
          <w:color w:val="000000"/>
          <w:szCs w:val="22"/>
        </w:rPr>
        <w:t> </w:t>
      </w:r>
      <w:r w:rsidRPr="00CD729C">
        <w:rPr>
          <w:i w:val="0"/>
          <w:color w:val="000000"/>
          <w:szCs w:val="22"/>
        </w:rPr>
        <w:t>substrāts) vidējo C</w:t>
      </w:r>
      <w:r w:rsidRPr="00CD729C">
        <w:rPr>
          <w:i w:val="0"/>
          <w:color w:val="000000"/>
          <w:szCs w:val="22"/>
          <w:vertAlign w:val="subscript"/>
        </w:rPr>
        <w:t>max</w:t>
      </w:r>
      <w:r w:rsidRPr="00CD729C">
        <w:rPr>
          <w:i w:val="0"/>
          <w:color w:val="000000"/>
          <w:szCs w:val="22"/>
        </w:rPr>
        <w:t xml:space="preserve"> un AUC, kas liecina, ka tas inhibē CYP3A4. Tādējādi, vienlaicīgi nozīmējot Glivec un CYP3A4</w:t>
      </w:r>
      <w:r w:rsidR="005F78CA" w:rsidRPr="00CD729C">
        <w:rPr>
          <w:i w:val="0"/>
          <w:color w:val="000000"/>
          <w:szCs w:val="22"/>
        </w:rPr>
        <w:t> </w:t>
      </w:r>
      <w:r w:rsidRPr="00CD729C">
        <w:rPr>
          <w:i w:val="0"/>
          <w:color w:val="000000"/>
          <w:szCs w:val="22"/>
        </w:rPr>
        <w:t>substrātus ar šauru terapeitisk</w:t>
      </w:r>
      <w:r w:rsidR="00AA3A81" w:rsidRPr="00CD729C">
        <w:rPr>
          <w:i w:val="0"/>
          <w:color w:val="000000"/>
          <w:szCs w:val="22"/>
        </w:rPr>
        <w:t>u indeksu</w:t>
      </w:r>
      <w:r w:rsidRPr="00CD729C">
        <w:rPr>
          <w:i w:val="0"/>
          <w:color w:val="000000"/>
          <w:szCs w:val="22"/>
        </w:rPr>
        <w:t xml:space="preserve"> (piemēram, ciklosporīn</w:t>
      </w:r>
      <w:r w:rsidR="00BB47FD" w:rsidRPr="00CD729C">
        <w:rPr>
          <w:i w:val="0"/>
          <w:color w:val="000000"/>
          <w:szCs w:val="22"/>
        </w:rPr>
        <w:t>u</w:t>
      </w:r>
      <w:r w:rsidR="00AB4F2C" w:rsidRPr="00CD729C">
        <w:rPr>
          <w:i w:val="0"/>
          <w:color w:val="000000"/>
          <w:szCs w:val="22"/>
        </w:rPr>
        <w:t>,</w:t>
      </w:r>
      <w:r w:rsidRPr="00CD729C">
        <w:rPr>
          <w:i w:val="0"/>
          <w:color w:val="000000"/>
          <w:szCs w:val="22"/>
        </w:rPr>
        <w:t xml:space="preserve"> pimozīdu</w:t>
      </w:r>
      <w:r w:rsidR="00AB4F2C" w:rsidRPr="00CD729C">
        <w:rPr>
          <w:i w:val="0"/>
          <w:color w:val="000000"/>
          <w:szCs w:val="22"/>
        </w:rPr>
        <w:t>, takrolimu, sirolimu, ergotamīnu, diergotamīnu, fentanilu, alfentanilu, terfenadīnu, bortezomibu, docetakselu un hinidīnu</w:t>
      </w:r>
      <w:r w:rsidRPr="00CD729C">
        <w:rPr>
          <w:i w:val="0"/>
          <w:color w:val="000000"/>
          <w:szCs w:val="22"/>
        </w:rPr>
        <w:t>), ieteicams ievērot piesardzību. Glivec var paaugstināt citu CYP3A4</w:t>
      </w:r>
      <w:r w:rsidR="005F78CA" w:rsidRPr="00CD729C">
        <w:rPr>
          <w:i w:val="0"/>
          <w:color w:val="000000"/>
          <w:szCs w:val="22"/>
        </w:rPr>
        <w:t> </w:t>
      </w:r>
      <w:r w:rsidRPr="00CD729C">
        <w:rPr>
          <w:i w:val="0"/>
          <w:color w:val="000000"/>
          <w:szCs w:val="22"/>
        </w:rPr>
        <w:t>metabolizēto zāļu koncentrāciju plazmā (t.i., triazol-benzodiazepīnus, dihidropiridīna grupas kalcija kanālu blokatorus, dažus HMG–CoA reduktāzes inhibitorus, t.i., statīnus u.c.)</w:t>
      </w:r>
      <w:r w:rsidR="00371589" w:rsidRPr="00CD729C">
        <w:rPr>
          <w:i w:val="0"/>
          <w:color w:val="000000"/>
          <w:szCs w:val="22"/>
        </w:rPr>
        <w:t>.</w:t>
      </w:r>
    </w:p>
    <w:p w14:paraId="3D39448F" w14:textId="77777777" w:rsidR="005117C7" w:rsidRPr="00CD729C" w:rsidRDefault="005117C7" w:rsidP="009B4BB6">
      <w:pPr>
        <w:widowControl w:val="0"/>
        <w:tabs>
          <w:tab w:val="clear" w:pos="567"/>
        </w:tabs>
        <w:spacing w:line="240" w:lineRule="auto"/>
        <w:rPr>
          <w:color w:val="000000"/>
          <w:szCs w:val="22"/>
        </w:rPr>
      </w:pPr>
    </w:p>
    <w:p w14:paraId="3D394490" w14:textId="77777777" w:rsidR="005117C7" w:rsidRPr="00CD729C" w:rsidRDefault="00AB4F2C" w:rsidP="009B4BB6">
      <w:pPr>
        <w:widowControl w:val="0"/>
        <w:tabs>
          <w:tab w:val="clear" w:pos="567"/>
        </w:tabs>
        <w:spacing w:line="240" w:lineRule="auto"/>
        <w:rPr>
          <w:color w:val="000000"/>
          <w:szCs w:val="22"/>
        </w:rPr>
      </w:pPr>
      <w:r w:rsidRPr="00CD729C">
        <w:rPr>
          <w:color w:val="000000"/>
          <w:szCs w:val="22"/>
        </w:rPr>
        <w:t>Tā kā ir zināms par pastāvošu paaugstināt</w:t>
      </w:r>
      <w:r w:rsidR="00396B93" w:rsidRPr="00CD729C">
        <w:rPr>
          <w:color w:val="000000"/>
          <w:szCs w:val="22"/>
        </w:rPr>
        <w:t>o</w:t>
      </w:r>
      <w:r w:rsidRPr="00CD729C">
        <w:rPr>
          <w:color w:val="000000"/>
          <w:szCs w:val="22"/>
        </w:rPr>
        <w:t xml:space="preserve"> asiņošanas risku sakarā ar imatin</w:t>
      </w:r>
      <w:r w:rsidR="00C54AED" w:rsidRPr="00CD729C">
        <w:rPr>
          <w:color w:val="000000"/>
          <w:szCs w:val="22"/>
        </w:rPr>
        <w:t>i</w:t>
      </w:r>
      <w:r w:rsidRPr="00CD729C">
        <w:rPr>
          <w:color w:val="000000"/>
          <w:szCs w:val="22"/>
        </w:rPr>
        <w:t xml:space="preserve">ba lietošanu (piemēram, </w:t>
      </w:r>
      <w:r w:rsidR="00C54AED" w:rsidRPr="00CD729C">
        <w:rPr>
          <w:color w:val="000000"/>
          <w:szCs w:val="22"/>
        </w:rPr>
        <w:t>hemorāģija</w:t>
      </w:r>
      <w:r w:rsidRPr="00CD729C">
        <w:rPr>
          <w:color w:val="000000"/>
          <w:szCs w:val="22"/>
        </w:rPr>
        <w:t>)</w:t>
      </w:r>
      <w:r w:rsidR="005117C7" w:rsidRPr="00CD729C">
        <w:rPr>
          <w:color w:val="000000"/>
          <w:szCs w:val="22"/>
        </w:rPr>
        <w:t>, pacientiem, kam nepieciešami antikoagulanti, ir jāievada mazmolekulārais vai standarta heparīns</w:t>
      </w:r>
      <w:r w:rsidRPr="00CD729C">
        <w:rPr>
          <w:color w:val="000000"/>
          <w:szCs w:val="22"/>
        </w:rPr>
        <w:t>, nevis kumarīna atvasinājum</w:t>
      </w:r>
      <w:r w:rsidR="00BA3EF1" w:rsidRPr="00CD729C">
        <w:rPr>
          <w:color w:val="000000"/>
          <w:szCs w:val="22"/>
        </w:rPr>
        <w:t>i</w:t>
      </w:r>
      <w:r w:rsidRPr="00CD729C">
        <w:rPr>
          <w:color w:val="000000"/>
          <w:szCs w:val="22"/>
        </w:rPr>
        <w:t>, piemēram, varfarīns</w:t>
      </w:r>
      <w:r w:rsidR="005117C7" w:rsidRPr="00CD729C">
        <w:rPr>
          <w:color w:val="000000"/>
          <w:szCs w:val="22"/>
        </w:rPr>
        <w:t>.</w:t>
      </w:r>
    </w:p>
    <w:p w14:paraId="3D394491" w14:textId="77777777" w:rsidR="005117C7" w:rsidRPr="00CD729C" w:rsidRDefault="005117C7" w:rsidP="009B4BB6">
      <w:pPr>
        <w:widowControl w:val="0"/>
        <w:tabs>
          <w:tab w:val="clear" w:pos="567"/>
        </w:tabs>
        <w:spacing w:line="240" w:lineRule="auto"/>
        <w:rPr>
          <w:color w:val="000000"/>
          <w:szCs w:val="22"/>
        </w:rPr>
      </w:pPr>
    </w:p>
    <w:p w14:paraId="3D394492" w14:textId="77777777" w:rsidR="008E72E2" w:rsidRPr="00CD729C" w:rsidRDefault="005117C7" w:rsidP="009B4BB6">
      <w:pPr>
        <w:widowControl w:val="0"/>
        <w:tabs>
          <w:tab w:val="clear" w:pos="567"/>
        </w:tabs>
        <w:spacing w:line="240" w:lineRule="auto"/>
        <w:rPr>
          <w:color w:val="000000"/>
          <w:szCs w:val="22"/>
        </w:rPr>
      </w:pPr>
      <w:r w:rsidRPr="00CD729C">
        <w:rPr>
          <w:i/>
          <w:color w:val="000000"/>
          <w:szCs w:val="22"/>
        </w:rPr>
        <w:t xml:space="preserve">In vitro </w:t>
      </w:r>
      <w:r w:rsidRPr="00CD729C">
        <w:rPr>
          <w:color w:val="000000"/>
          <w:szCs w:val="22"/>
        </w:rPr>
        <w:t>apstākļos Glivec koncentrācijas, kas ir tuvas tām, kas ietekmē CYP3A4</w:t>
      </w:r>
      <w:r w:rsidR="005F78CA" w:rsidRPr="00CD729C">
        <w:rPr>
          <w:color w:val="000000"/>
          <w:szCs w:val="22"/>
        </w:rPr>
        <w:t> </w:t>
      </w:r>
      <w:r w:rsidRPr="00CD729C">
        <w:rPr>
          <w:color w:val="000000"/>
          <w:szCs w:val="22"/>
        </w:rPr>
        <w:t>aktivitāti, inhibē citohroma P450</w:t>
      </w:r>
      <w:r w:rsidR="005F78CA" w:rsidRPr="00CD729C">
        <w:rPr>
          <w:color w:val="000000"/>
          <w:szCs w:val="22"/>
        </w:rPr>
        <w:t> </w:t>
      </w:r>
      <w:r w:rsidRPr="00CD729C">
        <w:rPr>
          <w:color w:val="000000"/>
          <w:szCs w:val="22"/>
        </w:rPr>
        <w:t xml:space="preserve">izofermentu CYP2D6. </w:t>
      </w:r>
      <w:r w:rsidR="00844FFB" w:rsidRPr="00CD729C">
        <w:rPr>
          <w:color w:val="000000"/>
          <w:szCs w:val="22"/>
        </w:rPr>
        <w:t>Lietojot imatinib</w:t>
      </w:r>
      <w:r w:rsidR="007C1FA9" w:rsidRPr="00CD729C">
        <w:rPr>
          <w:color w:val="000000"/>
          <w:szCs w:val="22"/>
        </w:rPr>
        <w:t>a</w:t>
      </w:r>
      <w:r w:rsidR="00844FFB" w:rsidRPr="00CD729C">
        <w:rPr>
          <w:color w:val="000000"/>
          <w:szCs w:val="22"/>
        </w:rPr>
        <w:t xml:space="preserve"> 400 mg dev</w:t>
      </w:r>
      <w:r w:rsidR="007C1FA9" w:rsidRPr="00CD729C">
        <w:rPr>
          <w:color w:val="000000"/>
          <w:szCs w:val="22"/>
        </w:rPr>
        <w:t>u</w:t>
      </w:r>
      <w:r w:rsidR="00844FFB" w:rsidRPr="00CD729C">
        <w:rPr>
          <w:color w:val="000000"/>
          <w:szCs w:val="22"/>
        </w:rPr>
        <w:t xml:space="preserve"> divas reizes dienā, tika novērots CYP2D6</w:t>
      </w:r>
      <w:r w:rsidR="005F78CA" w:rsidRPr="00CD729C">
        <w:rPr>
          <w:color w:val="000000"/>
          <w:szCs w:val="22"/>
        </w:rPr>
        <w:t> </w:t>
      </w:r>
      <w:r w:rsidR="00844FFB" w:rsidRPr="00CD729C">
        <w:rPr>
          <w:color w:val="000000"/>
          <w:szCs w:val="22"/>
        </w:rPr>
        <w:t>mediētā metoprolola metabolisma nomākums</w:t>
      </w:r>
      <w:r w:rsidR="000B43F8" w:rsidRPr="00CD729C">
        <w:rPr>
          <w:color w:val="000000"/>
          <w:szCs w:val="22"/>
        </w:rPr>
        <w:t xml:space="preserve">, </w:t>
      </w:r>
      <w:r w:rsidR="00844FFB" w:rsidRPr="00CD729C">
        <w:rPr>
          <w:color w:val="000000"/>
          <w:szCs w:val="22"/>
        </w:rPr>
        <w:t xml:space="preserve">kur </w:t>
      </w:r>
      <w:r w:rsidR="000B43F8" w:rsidRPr="00CD729C">
        <w:rPr>
          <w:color w:val="000000"/>
          <w:szCs w:val="22"/>
        </w:rPr>
        <w:t>metoprolol</w:t>
      </w:r>
      <w:r w:rsidR="00844FFB" w:rsidRPr="00CD729C">
        <w:rPr>
          <w:color w:val="000000"/>
          <w:szCs w:val="22"/>
        </w:rPr>
        <w:t>a</w:t>
      </w:r>
      <w:r w:rsidR="000B43F8" w:rsidRPr="00CD729C">
        <w:rPr>
          <w:color w:val="000000"/>
          <w:szCs w:val="22"/>
        </w:rPr>
        <w:t xml:space="preserve"> C</w:t>
      </w:r>
      <w:r w:rsidR="000B43F8" w:rsidRPr="00CD729C">
        <w:rPr>
          <w:color w:val="000000"/>
          <w:szCs w:val="22"/>
          <w:vertAlign w:val="subscript"/>
        </w:rPr>
        <w:t>max</w:t>
      </w:r>
      <w:r w:rsidR="000B43F8" w:rsidRPr="00CD729C">
        <w:rPr>
          <w:color w:val="000000"/>
          <w:szCs w:val="22"/>
        </w:rPr>
        <w:t xml:space="preserve"> </w:t>
      </w:r>
      <w:r w:rsidR="00844FFB" w:rsidRPr="00CD729C">
        <w:rPr>
          <w:color w:val="000000"/>
          <w:szCs w:val="22"/>
        </w:rPr>
        <w:t>un</w:t>
      </w:r>
      <w:r w:rsidR="007C1FA9" w:rsidRPr="00CD729C">
        <w:rPr>
          <w:color w:val="000000"/>
          <w:szCs w:val="22"/>
        </w:rPr>
        <w:t xml:space="preserve"> </w:t>
      </w:r>
      <w:r w:rsidR="000B43F8" w:rsidRPr="00CD729C">
        <w:rPr>
          <w:color w:val="000000"/>
          <w:szCs w:val="22"/>
        </w:rPr>
        <w:t xml:space="preserve">AUC </w:t>
      </w:r>
      <w:r w:rsidR="00844FFB" w:rsidRPr="00CD729C">
        <w:rPr>
          <w:color w:val="000000"/>
          <w:szCs w:val="22"/>
        </w:rPr>
        <w:t xml:space="preserve">paaugstinājās par aptuveni </w:t>
      </w:r>
      <w:r w:rsidR="000B43F8" w:rsidRPr="00CD729C">
        <w:rPr>
          <w:color w:val="000000"/>
          <w:szCs w:val="22"/>
        </w:rPr>
        <w:t>23% (90%</w:t>
      </w:r>
      <w:r w:rsidR="00835259" w:rsidRPr="00CD729C">
        <w:rPr>
          <w:color w:val="000000"/>
          <w:szCs w:val="22"/>
        </w:rPr>
        <w:t xml:space="preserve"> </w:t>
      </w:r>
      <w:r w:rsidR="0015632D" w:rsidRPr="00CD729C">
        <w:rPr>
          <w:color w:val="000000"/>
          <w:szCs w:val="22"/>
        </w:rPr>
        <w:t xml:space="preserve">TI </w:t>
      </w:r>
      <w:r w:rsidR="000B43F8" w:rsidRPr="00CD729C">
        <w:rPr>
          <w:color w:val="000000"/>
          <w:szCs w:val="22"/>
        </w:rPr>
        <w:t>[1</w:t>
      </w:r>
      <w:r w:rsidR="00844FFB" w:rsidRPr="00CD729C">
        <w:rPr>
          <w:color w:val="000000"/>
          <w:szCs w:val="22"/>
        </w:rPr>
        <w:t>,</w:t>
      </w:r>
      <w:r w:rsidR="000B43F8" w:rsidRPr="00CD729C">
        <w:rPr>
          <w:color w:val="000000"/>
          <w:szCs w:val="22"/>
        </w:rPr>
        <w:t>16</w:t>
      </w:r>
      <w:r w:rsidR="000B43F8" w:rsidRPr="00CD729C">
        <w:rPr>
          <w:color w:val="000000"/>
          <w:szCs w:val="22"/>
        </w:rPr>
        <w:noBreakHyphen/>
        <w:t>1</w:t>
      </w:r>
      <w:r w:rsidR="00844FFB" w:rsidRPr="00CD729C">
        <w:rPr>
          <w:color w:val="000000"/>
          <w:szCs w:val="22"/>
        </w:rPr>
        <w:t>,</w:t>
      </w:r>
      <w:r w:rsidR="000B43F8" w:rsidRPr="00CD729C">
        <w:rPr>
          <w:color w:val="000000"/>
          <w:szCs w:val="22"/>
        </w:rPr>
        <w:t>30]). D</w:t>
      </w:r>
      <w:r w:rsidR="001002C7" w:rsidRPr="00CD729C">
        <w:rPr>
          <w:color w:val="000000"/>
          <w:szCs w:val="22"/>
        </w:rPr>
        <w:t xml:space="preserve">evas pielāgošana nav nepieciešama, lietojot imatinibu kombinācijā ar </w:t>
      </w:r>
      <w:r w:rsidR="000B43F8" w:rsidRPr="00CD729C">
        <w:rPr>
          <w:color w:val="000000"/>
          <w:szCs w:val="22"/>
        </w:rPr>
        <w:t>CYP2D6</w:t>
      </w:r>
      <w:r w:rsidR="005F78CA" w:rsidRPr="00CD729C">
        <w:rPr>
          <w:color w:val="000000"/>
          <w:szCs w:val="22"/>
        </w:rPr>
        <w:t> </w:t>
      </w:r>
      <w:r w:rsidR="000B43F8" w:rsidRPr="00CD729C">
        <w:rPr>
          <w:color w:val="000000"/>
          <w:szCs w:val="22"/>
        </w:rPr>
        <w:t>substr</w:t>
      </w:r>
      <w:r w:rsidR="001002C7" w:rsidRPr="00CD729C">
        <w:rPr>
          <w:color w:val="000000"/>
          <w:szCs w:val="22"/>
        </w:rPr>
        <w:t>ātiem</w:t>
      </w:r>
      <w:r w:rsidR="000B43F8" w:rsidRPr="00CD729C">
        <w:rPr>
          <w:color w:val="000000"/>
          <w:szCs w:val="22"/>
        </w:rPr>
        <w:t xml:space="preserve">, </w:t>
      </w:r>
      <w:r w:rsidR="001002C7" w:rsidRPr="00CD729C">
        <w:rPr>
          <w:color w:val="000000"/>
          <w:szCs w:val="22"/>
        </w:rPr>
        <w:t xml:space="preserve">tomēr piesardzība jāievēro, lietojot </w:t>
      </w:r>
      <w:r w:rsidR="000B43F8" w:rsidRPr="00CD729C">
        <w:rPr>
          <w:color w:val="000000"/>
          <w:szCs w:val="22"/>
        </w:rPr>
        <w:t>CYP2D6</w:t>
      </w:r>
      <w:r w:rsidR="005F78CA" w:rsidRPr="00CD729C">
        <w:rPr>
          <w:color w:val="000000"/>
          <w:szCs w:val="22"/>
        </w:rPr>
        <w:t> </w:t>
      </w:r>
      <w:r w:rsidR="000B43F8" w:rsidRPr="00CD729C">
        <w:rPr>
          <w:color w:val="000000"/>
          <w:szCs w:val="22"/>
        </w:rPr>
        <w:t>substr</w:t>
      </w:r>
      <w:r w:rsidR="001002C7" w:rsidRPr="00CD729C">
        <w:rPr>
          <w:color w:val="000000"/>
          <w:szCs w:val="22"/>
        </w:rPr>
        <w:t>ātus ar šauru terapeitisk</w:t>
      </w:r>
      <w:r w:rsidR="007C1FA9" w:rsidRPr="00CD729C">
        <w:rPr>
          <w:color w:val="000000"/>
          <w:szCs w:val="22"/>
        </w:rPr>
        <w:t>ās</w:t>
      </w:r>
      <w:r w:rsidR="001002C7" w:rsidRPr="00CD729C">
        <w:rPr>
          <w:color w:val="000000"/>
          <w:szCs w:val="22"/>
        </w:rPr>
        <w:t xml:space="preserve"> </w:t>
      </w:r>
      <w:r w:rsidR="00F90EA4" w:rsidRPr="00CD729C">
        <w:rPr>
          <w:color w:val="000000"/>
          <w:szCs w:val="22"/>
        </w:rPr>
        <w:t>darbības platumu</w:t>
      </w:r>
      <w:r w:rsidR="001002C7" w:rsidRPr="00CD729C">
        <w:rPr>
          <w:color w:val="000000"/>
          <w:szCs w:val="22"/>
        </w:rPr>
        <w:t>, piemēram</w:t>
      </w:r>
      <w:r w:rsidR="00D05968" w:rsidRPr="00CD729C">
        <w:rPr>
          <w:color w:val="000000"/>
          <w:szCs w:val="22"/>
        </w:rPr>
        <w:t>,</w:t>
      </w:r>
      <w:r w:rsidR="001002C7" w:rsidRPr="00CD729C">
        <w:rPr>
          <w:color w:val="000000"/>
          <w:szCs w:val="22"/>
        </w:rPr>
        <w:t xml:space="preserve"> </w:t>
      </w:r>
      <w:r w:rsidR="000B43F8" w:rsidRPr="00CD729C">
        <w:rPr>
          <w:color w:val="000000"/>
          <w:szCs w:val="22"/>
        </w:rPr>
        <w:t>metoprolol</w:t>
      </w:r>
      <w:r w:rsidR="001002C7" w:rsidRPr="00CD729C">
        <w:rPr>
          <w:color w:val="000000"/>
          <w:szCs w:val="22"/>
        </w:rPr>
        <w:t>u</w:t>
      </w:r>
      <w:r w:rsidR="000B43F8" w:rsidRPr="00CD729C">
        <w:rPr>
          <w:color w:val="000000"/>
          <w:szCs w:val="22"/>
        </w:rPr>
        <w:t xml:space="preserve">. </w:t>
      </w:r>
      <w:r w:rsidR="007C1FA9" w:rsidRPr="00CD729C">
        <w:rPr>
          <w:color w:val="000000"/>
          <w:szCs w:val="22"/>
        </w:rPr>
        <w:t xml:space="preserve">Pacientiem, kuri lieto metoprololu, jāapsver iespēja veikt klīnisku </w:t>
      </w:r>
      <w:r w:rsidR="00340055" w:rsidRPr="00CD729C">
        <w:rPr>
          <w:color w:val="000000"/>
          <w:szCs w:val="22"/>
        </w:rPr>
        <w:t>uzraudzību</w:t>
      </w:r>
      <w:r w:rsidR="007C1FA9" w:rsidRPr="00CD729C">
        <w:rPr>
          <w:color w:val="000000"/>
          <w:szCs w:val="22"/>
        </w:rPr>
        <w:t>.</w:t>
      </w:r>
    </w:p>
    <w:p w14:paraId="3D394493" w14:textId="77777777" w:rsidR="008E72E2" w:rsidRPr="00CD729C" w:rsidRDefault="008E72E2" w:rsidP="009B4BB6">
      <w:pPr>
        <w:widowControl w:val="0"/>
        <w:tabs>
          <w:tab w:val="clear" w:pos="567"/>
        </w:tabs>
        <w:spacing w:line="240" w:lineRule="auto"/>
        <w:rPr>
          <w:color w:val="000000"/>
          <w:szCs w:val="22"/>
        </w:rPr>
      </w:pPr>
    </w:p>
    <w:p w14:paraId="3D394494" w14:textId="77777777" w:rsidR="008E72E2" w:rsidRPr="00CD729C" w:rsidRDefault="008E72E2" w:rsidP="009B4BB6">
      <w:pPr>
        <w:widowControl w:val="0"/>
        <w:tabs>
          <w:tab w:val="clear" w:pos="567"/>
        </w:tabs>
        <w:spacing w:line="240" w:lineRule="auto"/>
        <w:rPr>
          <w:color w:val="000000"/>
          <w:szCs w:val="22"/>
        </w:rPr>
      </w:pPr>
      <w:r w:rsidRPr="00CD729C">
        <w:rPr>
          <w:i/>
          <w:iCs/>
          <w:color w:val="000000"/>
          <w:szCs w:val="22"/>
        </w:rPr>
        <w:t>In vitro</w:t>
      </w:r>
      <w:r w:rsidRPr="00CD729C">
        <w:rPr>
          <w:color w:val="000000"/>
          <w:szCs w:val="22"/>
        </w:rPr>
        <w:t xml:space="preserve"> Glivec nomāc paracetamola O-glikuronidāciju </w:t>
      </w:r>
      <w:r w:rsidR="00D72848" w:rsidRPr="00CD729C">
        <w:rPr>
          <w:color w:val="000000"/>
          <w:szCs w:val="22"/>
        </w:rPr>
        <w:t xml:space="preserve">ar </w:t>
      </w:r>
      <w:r w:rsidRPr="00CD729C">
        <w:rPr>
          <w:color w:val="000000"/>
          <w:szCs w:val="22"/>
        </w:rPr>
        <w:t>Ki vērtīb</w:t>
      </w:r>
      <w:r w:rsidR="00D72848" w:rsidRPr="00CD729C">
        <w:rPr>
          <w:color w:val="000000"/>
          <w:szCs w:val="22"/>
        </w:rPr>
        <w:t>u</w:t>
      </w:r>
      <w:r w:rsidRPr="00CD729C">
        <w:rPr>
          <w:color w:val="000000"/>
          <w:szCs w:val="22"/>
        </w:rPr>
        <w:t xml:space="preserve"> 58,5 mikromol/l.</w:t>
      </w:r>
      <w:r w:rsidR="00D72848" w:rsidRPr="00CD729C">
        <w:rPr>
          <w:color w:val="000000"/>
          <w:szCs w:val="22"/>
        </w:rPr>
        <w:t xml:space="preserve"> Šī inhibīcija nav novērota </w:t>
      </w:r>
      <w:r w:rsidR="00D72848" w:rsidRPr="00CD729C">
        <w:rPr>
          <w:i/>
          <w:color w:val="000000"/>
          <w:szCs w:val="22"/>
        </w:rPr>
        <w:t>in vivo</w:t>
      </w:r>
      <w:r w:rsidR="00D72848" w:rsidRPr="00CD729C">
        <w:rPr>
          <w:color w:val="000000"/>
          <w:szCs w:val="22"/>
        </w:rPr>
        <w:t xml:space="preserve"> pēc </w:t>
      </w:r>
      <w:r w:rsidR="008E2635" w:rsidRPr="00CD729C">
        <w:rPr>
          <w:color w:val="000000"/>
          <w:szCs w:val="22"/>
        </w:rPr>
        <w:t xml:space="preserve">400 mg </w:t>
      </w:r>
      <w:r w:rsidR="00D72848" w:rsidRPr="00CD729C">
        <w:rPr>
          <w:color w:val="000000"/>
          <w:szCs w:val="22"/>
        </w:rPr>
        <w:t xml:space="preserve">Glivec un </w:t>
      </w:r>
      <w:r w:rsidR="008E2635" w:rsidRPr="00CD729C">
        <w:rPr>
          <w:color w:val="000000"/>
          <w:szCs w:val="22"/>
        </w:rPr>
        <w:t xml:space="preserve">1000 mg </w:t>
      </w:r>
      <w:r w:rsidR="00D72848" w:rsidRPr="00CD729C">
        <w:rPr>
          <w:color w:val="000000"/>
          <w:szCs w:val="22"/>
        </w:rPr>
        <w:t>paracetamola lietošanas. Lielāk</w:t>
      </w:r>
      <w:r w:rsidR="00E74B9B" w:rsidRPr="00CD729C">
        <w:rPr>
          <w:color w:val="000000"/>
          <w:szCs w:val="22"/>
        </w:rPr>
        <w:t>as</w:t>
      </w:r>
      <w:r w:rsidR="00D72848" w:rsidRPr="00CD729C">
        <w:rPr>
          <w:color w:val="000000"/>
          <w:szCs w:val="22"/>
        </w:rPr>
        <w:t xml:space="preserve"> Glivec un paracetamola dev</w:t>
      </w:r>
      <w:r w:rsidR="00E74B9B" w:rsidRPr="00CD729C">
        <w:rPr>
          <w:color w:val="000000"/>
          <w:szCs w:val="22"/>
        </w:rPr>
        <w:t>as</w:t>
      </w:r>
      <w:r w:rsidR="00D72848" w:rsidRPr="00CD729C">
        <w:rPr>
          <w:color w:val="000000"/>
          <w:szCs w:val="22"/>
        </w:rPr>
        <w:t xml:space="preserve"> nav pētīta</w:t>
      </w:r>
      <w:r w:rsidR="00E74B9B" w:rsidRPr="00CD729C">
        <w:rPr>
          <w:color w:val="000000"/>
          <w:szCs w:val="22"/>
        </w:rPr>
        <w:t>s</w:t>
      </w:r>
      <w:r w:rsidR="00D72848" w:rsidRPr="00CD729C">
        <w:rPr>
          <w:color w:val="000000"/>
          <w:szCs w:val="22"/>
        </w:rPr>
        <w:t>.</w:t>
      </w:r>
    </w:p>
    <w:p w14:paraId="3D394495" w14:textId="77777777" w:rsidR="008E72E2" w:rsidRPr="00CD729C" w:rsidRDefault="008E72E2" w:rsidP="009B4BB6">
      <w:pPr>
        <w:widowControl w:val="0"/>
        <w:tabs>
          <w:tab w:val="clear" w:pos="567"/>
        </w:tabs>
        <w:spacing w:line="240" w:lineRule="auto"/>
        <w:rPr>
          <w:color w:val="000000"/>
          <w:szCs w:val="22"/>
        </w:rPr>
      </w:pPr>
    </w:p>
    <w:p w14:paraId="3D394496" w14:textId="77777777" w:rsidR="008E72E2" w:rsidRPr="00CD729C" w:rsidRDefault="008E72E2" w:rsidP="009B4BB6">
      <w:pPr>
        <w:widowControl w:val="0"/>
        <w:tabs>
          <w:tab w:val="clear" w:pos="567"/>
        </w:tabs>
        <w:spacing w:line="240" w:lineRule="auto"/>
        <w:rPr>
          <w:color w:val="000000"/>
          <w:szCs w:val="22"/>
        </w:rPr>
      </w:pPr>
      <w:r w:rsidRPr="00CD729C">
        <w:rPr>
          <w:color w:val="000000"/>
          <w:szCs w:val="22"/>
        </w:rPr>
        <w:t xml:space="preserve">Tādēļ, lietojot </w:t>
      </w:r>
      <w:r w:rsidR="00D72848" w:rsidRPr="00CD729C">
        <w:rPr>
          <w:color w:val="000000"/>
          <w:szCs w:val="22"/>
        </w:rPr>
        <w:t xml:space="preserve">vienlaikus </w:t>
      </w:r>
      <w:r w:rsidRPr="00CD729C">
        <w:rPr>
          <w:color w:val="000000"/>
          <w:szCs w:val="22"/>
        </w:rPr>
        <w:t xml:space="preserve">Glivec </w:t>
      </w:r>
      <w:r w:rsidR="00D72848" w:rsidRPr="00CD729C">
        <w:rPr>
          <w:color w:val="000000"/>
          <w:szCs w:val="22"/>
        </w:rPr>
        <w:t xml:space="preserve">un </w:t>
      </w:r>
      <w:r w:rsidRPr="00CD729C">
        <w:rPr>
          <w:color w:val="000000"/>
          <w:szCs w:val="22"/>
        </w:rPr>
        <w:t>paracetamol</w:t>
      </w:r>
      <w:r w:rsidR="00D44C26" w:rsidRPr="00CD729C">
        <w:rPr>
          <w:color w:val="000000"/>
          <w:szCs w:val="22"/>
        </w:rPr>
        <w:t>u</w:t>
      </w:r>
      <w:r w:rsidR="00D72848" w:rsidRPr="00CD729C">
        <w:rPr>
          <w:color w:val="000000"/>
          <w:szCs w:val="22"/>
        </w:rPr>
        <w:t xml:space="preserve"> </w:t>
      </w:r>
      <w:r w:rsidR="00D44C26" w:rsidRPr="00CD729C">
        <w:rPr>
          <w:color w:val="000000"/>
          <w:szCs w:val="22"/>
        </w:rPr>
        <w:t xml:space="preserve">lielās </w:t>
      </w:r>
      <w:r w:rsidR="00D72848" w:rsidRPr="00CD729C">
        <w:rPr>
          <w:color w:val="000000"/>
          <w:szCs w:val="22"/>
        </w:rPr>
        <w:t>dev</w:t>
      </w:r>
      <w:r w:rsidR="00D44C26" w:rsidRPr="00CD729C">
        <w:rPr>
          <w:color w:val="000000"/>
          <w:szCs w:val="22"/>
        </w:rPr>
        <w:t>ā</w:t>
      </w:r>
      <w:r w:rsidR="00D72848" w:rsidRPr="00CD729C">
        <w:rPr>
          <w:color w:val="000000"/>
          <w:szCs w:val="22"/>
        </w:rPr>
        <w:t>s</w:t>
      </w:r>
      <w:r w:rsidRPr="00CD729C">
        <w:rPr>
          <w:color w:val="000000"/>
          <w:szCs w:val="22"/>
        </w:rPr>
        <w:t>, jāievēro piesardzība.</w:t>
      </w:r>
    </w:p>
    <w:p w14:paraId="3D394497" w14:textId="77777777" w:rsidR="008E72E2" w:rsidRPr="00CD729C" w:rsidRDefault="008E72E2" w:rsidP="009B4BB6">
      <w:pPr>
        <w:pStyle w:val="EndnoteText"/>
        <w:widowControl w:val="0"/>
        <w:tabs>
          <w:tab w:val="clear" w:pos="567"/>
        </w:tabs>
        <w:rPr>
          <w:color w:val="000000"/>
          <w:szCs w:val="22"/>
        </w:rPr>
      </w:pPr>
    </w:p>
    <w:p w14:paraId="3D394498" w14:textId="77777777" w:rsidR="00802CD5" w:rsidRPr="00CD729C" w:rsidRDefault="008E72E2" w:rsidP="009B4BB6">
      <w:pPr>
        <w:widowControl w:val="0"/>
        <w:tabs>
          <w:tab w:val="clear" w:pos="567"/>
        </w:tabs>
        <w:spacing w:line="240" w:lineRule="auto"/>
        <w:rPr>
          <w:color w:val="000000"/>
          <w:szCs w:val="22"/>
        </w:rPr>
      </w:pPr>
      <w:r w:rsidRPr="00CD729C">
        <w:rPr>
          <w:color w:val="000000"/>
          <w:szCs w:val="22"/>
        </w:rPr>
        <w:t>Pacientiem</w:t>
      </w:r>
      <w:r w:rsidR="00545A10" w:rsidRPr="00CD729C">
        <w:rPr>
          <w:color w:val="000000"/>
          <w:szCs w:val="22"/>
        </w:rPr>
        <w:t xml:space="preserve">, kam veikta tireoidektomija, un kas saņem levotiroksīna aizstājterapiju Glivec terapijas laikā, </w:t>
      </w:r>
      <w:r w:rsidR="00802CD5" w:rsidRPr="00CD729C">
        <w:rPr>
          <w:color w:val="000000"/>
          <w:szCs w:val="22"/>
        </w:rPr>
        <w:t>var pazemināties levotiroksīna līmenis asinīs (skatīt 4.4</w:t>
      </w:r>
      <w:r w:rsidR="00A031F4" w:rsidRPr="00CD729C">
        <w:rPr>
          <w:color w:val="000000"/>
          <w:szCs w:val="22"/>
        </w:rPr>
        <w:t>.</w:t>
      </w:r>
      <w:r w:rsidR="00552C22" w:rsidRPr="00CD729C">
        <w:rPr>
          <w:color w:val="000000"/>
          <w:szCs w:val="22"/>
        </w:rPr>
        <w:t> apakšpunktu</w:t>
      </w:r>
      <w:r w:rsidR="00802CD5" w:rsidRPr="00CD729C">
        <w:rPr>
          <w:color w:val="000000"/>
          <w:szCs w:val="22"/>
        </w:rPr>
        <w:t xml:space="preserve">). Tādēļ ieteicams </w:t>
      </w:r>
      <w:r w:rsidR="00F13FAC" w:rsidRPr="00CD729C">
        <w:rPr>
          <w:color w:val="000000"/>
          <w:szCs w:val="22"/>
        </w:rPr>
        <w:t>i</w:t>
      </w:r>
      <w:r w:rsidR="00802CD5" w:rsidRPr="00CD729C">
        <w:rPr>
          <w:color w:val="000000"/>
          <w:szCs w:val="22"/>
        </w:rPr>
        <w:t xml:space="preserve">evērot piesardzību. Tomēr novērotās mijiedarbības reakcijas mehānisms </w:t>
      </w:r>
      <w:r w:rsidR="005066E6" w:rsidRPr="00CD729C">
        <w:rPr>
          <w:color w:val="000000"/>
          <w:szCs w:val="22"/>
        </w:rPr>
        <w:t>pašreiz</w:t>
      </w:r>
      <w:r w:rsidR="00802CD5" w:rsidRPr="00CD729C">
        <w:rPr>
          <w:color w:val="000000"/>
          <w:szCs w:val="22"/>
        </w:rPr>
        <w:t xml:space="preserve"> nav noskaidrots.</w:t>
      </w:r>
    </w:p>
    <w:p w14:paraId="3D394499" w14:textId="77777777" w:rsidR="00863031" w:rsidRPr="00CD729C" w:rsidRDefault="00863031" w:rsidP="009B4BB6">
      <w:pPr>
        <w:pStyle w:val="EndnoteText"/>
        <w:widowControl w:val="0"/>
        <w:tabs>
          <w:tab w:val="clear" w:pos="567"/>
        </w:tabs>
        <w:rPr>
          <w:color w:val="000000"/>
          <w:szCs w:val="22"/>
        </w:rPr>
      </w:pPr>
    </w:p>
    <w:p w14:paraId="3D39449A" w14:textId="77777777" w:rsidR="00863031" w:rsidRPr="00CD729C" w:rsidRDefault="00863031" w:rsidP="009B4BB6">
      <w:pPr>
        <w:widowControl w:val="0"/>
        <w:spacing w:line="240" w:lineRule="auto"/>
        <w:rPr>
          <w:color w:val="000000"/>
          <w:szCs w:val="22"/>
        </w:rPr>
      </w:pPr>
      <w:r w:rsidRPr="00CD729C">
        <w:rPr>
          <w:color w:val="000000"/>
          <w:szCs w:val="22"/>
        </w:rPr>
        <w:t>Ir pieejama klīniskā pieredze par Glivec lietošanu kombinācijā ar ķīmijterapiju (skatīt 5.1</w:t>
      </w:r>
      <w:r w:rsidR="00A031F4" w:rsidRPr="00CD729C">
        <w:rPr>
          <w:color w:val="000000"/>
          <w:szCs w:val="22"/>
        </w:rPr>
        <w:t>.</w:t>
      </w:r>
      <w:r w:rsidR="00552C22" w:rsidRPr="00CD729C">
        <w:rPr>
          <w:color w:val="000000"/>
          <w:szCs w:val="22"/>
        </w:rPr>
        <w:t> apakšpunktu</w:t>
      </w:r>
      <w:r w:rsidRPr="00CD729C">
        <w:rPr>
          <w:color w:val="000000"/>
          <w:szCs w:val="22"/>
        </w:rPr>
        <w:t>) pacientiem ar Ph+ ALL, bet zāļu-zāļu mijiedarbība starp imatinibu un ķīmijterapijas režīmiem nav pilnībā noskaidrota. Iespējama imatiniba izraisīto blakusparādību, piemēram, hepatotoksicitātes, mielosupresijas un citu blakusparādību, pastiprināšanās, un saņemti ziņojumi, ka vienlaicīga lietošana kopā ar L-asparagināzi var tikt saistīta ar palielinātu hepatotoksicitāti (skatīt 4.8</w:t>
      </w:r>
      <w:r w:rsidR="00A031F4" w:rsidRPr="00CD729C">
        <w:rPr>
          <w:color w:val="000000"/>
          <w:szCs w:val="22"/>
        </w:rPr>
        <w:t>.</w:t>
      </w:r>
      <w:r w:rsidR="00552C22" w:rsidRPr="00CD729C">
        <w:rPr>
          <w:color w:val="000000"/>
          <w:szCs w:val="22"/>
        </w:rPr>
        <w:t> apakšpunktu</w:t>
      </w:r>
      <w:r w:rsidRPr="00CD729C">
        <w:rPr>
          <w:color w:val="000000"/>
          <w:szCs w:val="22"/>
        </w:rPr>
        <w:t>). Tādēļ lietojot Glivec kombinācijā jāievēro īpaša piesardzība.</w:t>
      </w:r>
    </w:p>
    <w:p w14:paraId="3D39449B" w14:textId="77777777" w:rsidR="005117C7" w:rsidRPr="00CD729C" w:rsidRDefault="005117C7" w:rsidP="009B4BB6">
      <w:pPr>
        <w:widowControl w:val="0"/>
        <w:tabs>
          <w:tab w:val="clear" w:pos="567"/>
        </w:tabs>
        <w:spacing w:line="240" w:lineRule="auto"/>
        <w:rPr>
          <w:color w:val="000000"/>
          <w:szCs w:val="22"/>
        </w:rPr>
      </w:pPr>
    </w:p>
    <w:p w14:paraId="3D39449C"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4.6</w:t>
      </w:r>
      <w:r w:rsidR="00A031F4" w:rsidRPr="00CD729C">
        <w:rPr>
          <w:b/>
          <w:color w:val="000000"/>
          <w:szCs w:val="22"/>
        </w:rPr>
        <w:t>.</w:t>
      </w:r>
      <w:r w:rsidRPr="00CD729C">
        <w:rPr>
          <w:b/>
          <w:color w:val="000000"/>
          <w:szCs w:val="22"/>
        </w:rPr>
        <w:tab/>
      </w:r>
      <w:r w:rsidR="0053790A" w:rsidRPr="00CD729C">
        <w:rPr>
          <w:b/>
          <w:color w:val="000000"/>
          <w:szCs w:val="22"/>
        </w:rPr>
        <w:t>Fertilitāte, g</w:t>
      </w:r>
      <w:r w:rsidRPr="00CD729C">
        <w:rPr>
          <w:b/>
          <w:color w:val="000000"/>
          <w:szCs w:val="22"/>
        </w:rPr>
        <w:t xml:space="preserve">rūtniecība un </w:t>
      </w:r>
      <w:r w:rsidR="00E268C3" w:rsidRPr="00CD729C">
        <w:rPr>
          <w:b/>
          <w:szCs w:val="22"/>
        </w:rPr>
        <w:t>barošana ar krūti</w:t>
      </w:r>
    </w:p>
    <w:p w14:paraId="3D39449D" w14:textId="77777777" w:rsidR="00E268C3" w:rsidRPr="00CD729C" w:rsidRDefault="00E268C3" w:rsidP="009B4BB6">
      <w:pPr>
        <w:keepNext/>
        <w:widowControl w:val="0"/>
        <w:tabs>
          <w:tab w:val="clear" w:pos="567"/>
        </w:tabs>
        <w:spacing w:line="240" w:lineRule="auto"/>
        <w:ind w:left="567" w:hanging="567"/>
        <w:rPr>
          <w:color w:val="000000"/>
          <w:szCs w:val="22"/>
        </w:rPr>
      </w:pPr>
    </w:p>
    <w:p w14:paraId="3D39449E" w14:textId="77777777" w:rsidR="005117C7" w:rsidRPr="00CD729C" w:rsidRDefault="00E268C3" w:rsidP="009B4BB6">
      <w:pPr>
        <w:keepNext/>
        <w:widowControl w:val="0"/>
        <w:tabs>
          <w:tab w:val="clear" w:pos="567"/>
        </w:tabs>
        <w:spacing w:line="240" w:lineRule="auto"/>
        <w:ind w:left="567" w:hanging="567"/>
        <w:rPr>
          <w:color w:val="000000"/>
          <w:szCs w:val="22"/>
          <w:u w:val="single"/>
        </w:rPr>
      </w:pPr>
      <w:r w:rsidRPr="00CD729C">
        <w:rPr>
          <w:color w:val="000000"/>
          <w:szCs w:val="22"/>
          <w:u w:val="single"/>
        </w:rPr>
        <w:t>Sievietes reproduktīvā vecumā</w:t>
      </w:r>
    </w:p>
    <w:p w14:paraId="3D39449F" w14:textId="77777777" w:rsidR="00E268C3" w:rsidRPr="00CD729C" w:rsidRDefault="00E268C3" w:rsidP="009B4BB6">
      <w:pPr>
        <w:widowControl w:val="0"/>
        <w:spacing w:line="240" w:lineRule="auto"/>
        <w:rPr>
          <w:color w:val="000000"/>
          <w:szCs w:val="22"/>
        </w:rPr>
      </w:pPr>
      <w:r w:rsidRPr="00CD729C">
        <w:rPr>
          <w:color w:val="000000"/>
          <w:szCs w:val="22"/>
        </w:rPr>
        <w:t xml:space="preserve">Sievietēm reproduktīvā vecumā ārstēšanās laikā </w:t>
      </w:r>
      <w:r w:rsidR="002707EF">
        <w:rPr>
          <w:color w:val="000000"/>
          <w:szCs w:val="22"/>
        </w:rPr>
        <w:t xml:space="preserve">un vismaz 15 dienas pēc ārstēšanas pārtraukšanas ar Glivec </w:t>
      </w:r>
      <w:r w:rsidRPr="00CD729C">
        <w:rPr>
          <w:color w:val="000000"/>
          <w:szCs w:val="22"/>
        </w:rPr>
        <w:t>jāiesaka izmantot efektīvu kontracepcijas metodi.</w:t>
      </w:r>
    </w:p>
    <w:p w14:paraId="3D3944A0" w14:textId="77777777" w:rsidR="00E268C3" w:rsidRPr="00CD729C" w:rsidRDefault="00E268C3" w:rsidP="009B4BB6">
      <w:pPr>
        <w:widowControl w:val="0"/>
        <w:tabs>
          <w:tab w:val="clear" w:pos="567"/>
        </w:tabs>
        <w:spacing w:line="240" w:lineRule="auto"/>
        <w:ind w:left="567" w:hanging="567"/>
        <w:rPr>
          <w:color w:val="000000"/>
          <w:szCs w:val="22"/>
        </w:rPr>
      </w:pPr>
    </w:p>
    <w:p w14:paraId="3D3944A1" w14:textId="77777777" w:rsidR="005117C7" w:rsidRPr="00CD729C" w:rsidRDefault="005117C7" w:rsidP="009B4BB6">
      <w:pPr>
        <w:keepNext/>
        <w:widowControl w:val="0"/>
        <w:tabs>
          <w:tab w:val="clear" w:pos="567"/>
        </w:tabs>
        <w:spacing w:line="240" w:lineRule="auto"/>
        <w:rPr>
          <w:color w:val="000000"/>
          <w:szCs w:val="22"/>
          <w:u w:val="single"/>
        </w:rPr>
      </w:pPr>
      <w:r w:rsidRPr="00CD729C">
        <w:rPr>
          <w:color w:val="000000"/>
          <w:szCs w:val="22"/>
          <w:u w:val="single"/>
        </w:rPr>
        <w:lastRenderedPageBreak/>
        <w:t>Grūtniecība</w:t>
      </w:r>
    </w:p>
    <w:p w14:paraId="3D3944A2" w14:textId="77777777" w:rsidR="00BF3DA7" w:rsidRPr="00CD729C" w:rsidRDefault="001B04A2" w:rsidP="009B4BB6">
      <w:pPr>
        <w:widowControl w:val="0"/>
        <w:spacing w:line="240" w:lineRule="auto"/>
        <w:rPr>
          <w:color w:val="000000"/>
          <w:szCs w:val="22"/>
        </w:rPr>
      </w:pPr>
      <w:r w:rsidRPr="00CD729C">
        <w:rPr>
          <w:color w:val="000000"/>
          <w:szCs w:val="22"/>
        </w:rPr>
        <w:t>Dati</w:t>
      </w:r>
      <w:r w:rsidR="005117C7" w:rsidRPr="00CD729C">
        <w:rPr>
          <w:color w:val="000000"/>
          <w:szCs w:val="22"/>
        </w:rPr>
        <w:t xml:space="preserve"> par imatiniba lietošanu grūtniecēm</w:t>
      </w:r>
      <w:r w:rsidRPr="00CD729C">
        <w:rPr>
          <w:color w:val="000000"/>
          <w:szCs w:val="22"/>
        </w:rPr>
        <w:t xml:space="preserve"> ir ierobežoti</w:t>
      </w:r>
      <w:r w:rsidR="005117C7" w:rsidRPr="00CD729C">
        <w:rPr>
          <w:color w:val="000000"/>
          <w:szCs w:val="22"/>
        </w:rPr>
        <w:t xml:space="preserve">. </w:t>
      </w:r>
      <w:r w:rsidR="007428DF">
        <w:rPr>
          <w:color w:val="000000"/>
          <w:szCs w:val="22"/>
        </w:rPr>
        <w:t xml:space="preserve">Pēcreģistrācijas periodā ir bijuši ziņojumi par spontāniem abortiem un iedzimtiem defektiem jaundzimušajiem sievietēm, kuras lietojušas Glivec. </w:t>
      </w:r>
      <w:r w:rsidR="00BF3DA7" w:rsidRPr="00CD729C">
        <w:rPr>
          <w:color w:val="000000"/>
          <w:szCs w:val="22"/>
        </w:rPr>
        <w:t>Tomēr p</w:t>
      </w:r>
      <w:r w:rsidR="005117C7" w:rsidRPr="00CD729C">
        <w:rPr>
          <w:color w:val="000000"/>
          <w:szCs w:val="22"/>
        </w:rPr>
        <w:t>ētījumi ar dzīvniekiem pierāda reproduktīvo toksicitāti (sk</w:t>
      </w:r>
      <w:r w:rsidR="00E16B34" w:rsidRPr="00CD729C">
        <w:rPr>
          <w:color w:val="000000"/>
          <w:szCs w:val="22"/>
        </w:rPr>
        <w:t xml:space="preserve">atīt </w:t>
      </w:r>
      <w:r w:rsidR="005117C7" w:rsidRPr="00CD729C">
        <w:rPr>
          <w:color w:val="000000"/>
          <w:szCs w:val="22"/>
        </w:rPr>
        <w:t>5.3</w:t>
      </w:r>
      <w:r w:rsidR="00A031F4" w:rsidRPr="00CD729C">
        <w:rPr>
          <w:color w:val="000000"/>
          <w:szCs w:val="22"/>
        </w:rPr>
        <w:t>.</w:t>
      </w:r>
      <w:r w:rsidR="00552C22" w:rsidRPr="00CD729C">
        <w:rPr>
          <w:color w:val="000000"/>
          <w:szCs w:val="22"/>
        </w:rPr>
        <w:t> apakšpunktu</w:t>
      </w:r>
      <w:r w:rsidR="005117C7" w:rsidRPr="00CD729C">
        <w:rPr>
          <w:color w:val="000000"/>
          <w:szCs w:val="22"/>
        </w:rPr>
        <w:t xml:space="preserve">). Potenciālais risks </w:t>
      </w:r>
      <w:r w:rsidR="004F0F52" w:rsidRPr="00CD729C">
        <w:rPr>
          <w:color w:val="000000"/>
          <w:szCs w:val="22"/>
        </w:rPr>
        <w:t xml:space="preserve">auglim </w:t>
      </w:r>
      <w:r w:rsidR="005117C7" w:rsidRPr="00CD729C">
        <w:rPr>
          <w:color w:val="000000"/>
          <w:szCs w:val="22"/>
        </w:rPr>
        <w:t xml:space="preserve">nav zināms. Glivec </w:t>
      </w:r>
      <w:r w:rsidR="004F0F52" w:rsidRPr="00CD729C">
        <w:rPr>
          <w:color w:val="000000"/>
          <w:szCs w:val="22"/>
        </w:rPr>
        <w:t>grūtniecības laikā nevajadzētu lietot, ja vien nav absolūta nepieciešamība</w:t>
      </w:r>
      <w:r w:rsidR="005117C7" w:rsidRPr="00CD729C">
        <w:rPr>
          <w:color w:val="000000"/>
          <w:szCs w:val="22"/>
        </w:rPr>
        <w:t>. Ja preparātu lieto grūtniecības laikā, paciente ir jāinformē par potenciālo risku auglim.</w:t>
      </w:r>
    </w:p>
    <w:p w14:paraId="3D3944A3" w14:textId="77777777" w:rsidR="00BF3DA7" w:rsidRPr="00CD729C" w:rsidRDefault="00BF3DA7" w:rsidP="009B4BB6">
      <w:pPr>
        <w:widowControl w:val="0"/>
        <w:spacing w:line="240" w:lineRule="auto"/>
        <w:rPr>
          <w:color w:val="000000"/>
          <w:szCs w:val="22"/>
        </w:rPr>
      </w:pPr>
    </w:p>
    <w:p w14:paraId="3D3944A4" w14:textId="77777777" w:rsidR="005117C7" w:rsidRPr="00CD729C" w:rsidRDefault="00E268C3" w:rsidP="009B4BB6">
      <w:pPr>
        <w:keepNext/>
        <w:widowControl w:val="0"/>
        <w:tabs>
          <w:tab w:val="clear" w:pos="567"/>
        </w:tabs>
        <w:spacing w:line="240" w:lineRule="auto"/>
        <w:rPr>
          <w:color w:val="000000"/>
          <w:szCs w:val="22"/>
          <w:u w:val="single"/>
        </w:rPr>
      </w:pPr>
      <w:r w:rsidRPr="00CD729C">
        <w:rPr>
          <w:u w:val="single"/>
        </w:rPr>
        <w:t>Barošana ar krūti</w:t>
      </w:r>
    </w:p>
    <w:p w14:paraId="3D3944A5" w14:textId="32B3D819" w:rsidR="00F673A4" w:rsidRPr="00CD729C" w:rsidRDefault="00FA1137" w:rsidP="009B4BB6">
      <w:pPr>
        <w:widowControl w:val="0"/>
        <w:tabs>
          <w:tab w:val="clear" w:pos="567"/>
        </w:tabs>
        <w:spacing w:line="240" w:lineRule="auto"/>
        <w:rPr>
          <w:color w:val="000000"/>
          <w:szCs w:val="22"/>
        </w:rPr>
      </w:pPr>
      <w:r w:rsidRPr="00CD729C">
        <w:rPr>
          <w:color w:val="000000"/>
          <w:szCs w:val="22"/>
        </w:rPr>
        <w:t>Informācija par imatiniba izdalīšanos ar cilvēka mātes pienu ir ierobežota. Pētījumos divām sievietēm, kuras baroja bērnu</w:t>
      </w:r>
      <w:r w:rsidR="00885724" w:rsidRPr="00CD729C">
        <w:rPr>
          <w:color w:val="000000"/>
          <w:szCs w:val="22"/>
        </w:rPr>
        <w:t>s</w:t>
      </w:r>
      <w:r w:rsidRPr="00CD729C">
        <w:rPr>
          <w:color w:val="000000"/>
          <w:szCs w:val="22"/>
        </w:rPr>
        <w:t xml:space="preserve"> ar krūti, </w:t>
      </w:r>
      <w:r w:rsidR="00C5056E" w:rsidRPr="00CD729C">
        <w:rPr>
          <w:color w:val="000000"/>
          <w:szCs w:val="22"/>
        </w:rPr>
        <w:t>konstatēts</w:t>
      </w:r>
      <w:r w:rsidRPr="00CD729C">
        <w:rPr>
          <w:color w:val="000000"/>
          <w:szCs w:val="22"/>
        </w:rPr>
        <w:t>, ka g</w:t>
      </w:r>
      <w:r w:rsidR="00F673A4" w:rsidRPr="00CD729C">
        <w:rPr>
          <w:color w:val="000000"/>
          <w:szCs w:val="22"/>
        </w:rPr>
        <w:t xml:space="preserve">an imatinibs, gan tā aktīvais metabolīts var izdalīties ar cilvēka mātes pienu. </w:t>
      </w:r>
      <w:r w:rsidRPr="00CD729C">
        <w:rPr>
          <w:color w:val="000000"/>
          <w:szCs w:val="22"/>
        </w:rPr>
        <w:t>Pētījumā viena</w:t>
      </w:r>
      <w:r w:rsidR="00600D1C" w:rsidRPr="00CD729C">
        <w:rPr>
          <w:color w:val="000000"/>
          <w:szCs w:val="22"/>
        </w:rPr>
        <w:t>i</w:t>
      </w:r>
      <w:r w:rsidRPr="00CD729C">
        <w:rPr>
          <w:color w:val="000000"/>
          <w:szCs w:val="22"/>
        </w:rPr>
        <w:t xml:space="preserve"> pacient</w:t>
      </w:r>
      <w:r w:rsidR="00600D1C" w:rsidRPr="00CD729C">
        <w:rPr>
          <w:color w:val="000000"/>
          <w:szCs w:val="22"/>
        </w:rPr>
        <w:t>ei</w:t>
      </w:r>
      <w:r w:rsidRPr="00CD729C">
        <w:rPr>
          <w:color w:val="000000"/>
          <w:szCs w:val="22"/>
        </w:rPr>
        <w:t xml:space="preserve"> n</w:t>
      </w:r>
      <w:r w:rsidR="00F673A4" w:rsidRPr="00CD729C">
        <w:rPr>
          <w:color w:val="000000"/>
          <w:szCs w:val="22"/>
        </w:rPr>
        <w:t>oteikts, ka attiecība starp imatiniba un tā metabolīta koncentrāciju mātes pienā un asinīs ir attiecīgi 0,5</w:t>
      </w:r>
      <w:r w:rsidR="005F78CA" w:rsidRPr="00CD729C">
        <w:rPr>
          <w:color w:val="000000"/>
          <w:szCs w:val="22"/>
        </w:rPr>
        <w:t> </w:t>
      </w:r>
      <w:r w:rsidR="00F673A4" w:rsidRPr="00CD729C">
        <w:rPr>
          <w:color w:val="000000"/>
          <w:szCs w:val="22"/>
        </w:rPr>
        <w:t xml:space="preserve">un 0,9, kas liecina, ka imatiniba metabolīts pārsvarā izdalās </w:t>
      </w:r>
      <w:r w:rsidR="00E05B71" w:rsidRPr="00CD729C">
        <w:rPr>
          <w:color w:val="000000"/>
          <w:szCs w:val="22"/>
        </w:rPr>
        <w:t xml:space="preserve">ar </w:t>
      </w:r>
      <w:r w:rsidR="00F673A4" w:rsidRPr="00CD729C">
        <w:rPr>
          <w:color w:val="000000"/>
          <w:szCs w:val="22"/>
        </w:rPr>
        <w:t>mātes pien</w:t>
      </w:r>
      <w:r w:rsidR="00E05B71" w:rsidRPr="00CD729C">
        <w:rPr>
          <w:color w:val="000000"/>
          <w:szCs w:val="22"/>
        </w:rPr>
        <w:t>u</w:t>
      </w:r>
      <w:r w:rsidR="00F673A4" w:rsidRPr="00CD729C">
        <w:rPr>
          <w:color w:val="000000"/>
          <w:szCs w:val="22"/>
        </w:rPr>
        <w:t xml:space="preserve">. </w:t>
      </w:r>
      <w:r w:rsidR="00C64C30" w:rsidRPr="00CD729C">
        <w:rPr>
          <w:color w:val="000000"/>
          <w:szCs w:val="22"/>
        </w:rPr>
        <w:t xml:space="preserve">Ņemot vērā imatiniba un tā metabolīta </w:t>
      </w:r>
      <w:r w:rsidR="00EF017E" w:rsidRPr="00CD729C">
        <w:rPr>
          <w:color w:val="000000"/>
          <w:szCs w:val="22"/>
        </w:rPr>
        <w:t xml:space="preserve">kopējo </w:t>
      </w:r>
      <w:r w:rsidR="00C64C30" w:rsidRPr="00CD729C">
        <w:rPr>
          <w:color w:val="000000"/>
          <w:szCs w:val="22"/>
        </w:rPr>
        <w:t>koncentrāciju un zīdaiņa dienā uzņemt</w:t>
      </w:r>
      <w:r w:rsidR="00E05B71" w:rsidRPr="00CD729C">
        <w:rPr>
          <w:color w:val="000000"/>
          <w:szCs w:val="22"/>
        </w:rPr>
        <w:t>o</w:t>
      </w:r>
      <w:r w:rsidR="00C64C30" w:rsidRPr="00CD729C">
        <w:rPr>
          <w:color w:val="000000"/>
          <w:szCs w:val="22"/>
        </w:rPr>
        <w:t xml:space="preserve"> </w:t>
      </w:r>
      <w:r w:rsidR="00EF017E" w:rsidRPr="00CD729C">
        <w:rPr>
          <w:color w:val="000000"/>
          <w:szCs w:val="22"/>
        </w:rPr>
        <w:t>maksimālo</w:t>
      </w:r>
      <w:r w:rsidR="00C64C30" w:rsidRPr="00CD729C">
        <w:rPr>
          <w:color w:val="000000"/>
          <w:szCs w:val="22"/>
        </w:rPr>
        <w:t xml:space="preserve"> piena daudzumu</w:t>
      </w:r>
      <w:r w:rsidR="00F673A4" w:rsidRPr="00CD729C">
        <w:rPr>
          <w:color w:val="000000"/>
          <w:szCs w:val="22"/>
        </w:rPr>
        <w:t xml:space="preserve">, </w:t>
      </w:r>
      <w:r w:rsidR="00C64C30" w:rsidRPr="00CD729C">
        <w:rPr>
          <w:color w:val="000000"/>
          <w:szCs w:val="22"/>
        </w:rPr>
        <w:t>sagaidāmā</w:t>
      </w:r>
      <w:r w:rsidR="00E05B71" w:rsidRPr="00CD729C">
        <w:rPr>
          <w:color w:val="000000"/>
          <w:szCs w:val="22"/>
        </w:rPr>
        <w:t xml:space="preserve"> zāļu</w:t>
      </w:r>
      <w:r w:rsidR="00C64C30" w:rsidRPr="00CD729C">
        <w:rPr>
          <w:color w:val="000000"/>
          <w:szCs w:val="22"/>
        </w:rPr>
        <w:t xml:space="preserve"> iedarbība būs zema </w:t>
      </w:r>
      <w:r w:rsidR="00F673A4" w:rsidRPr="00CD729C">
        <w:rPr>
          <w:color w:val="000000"/>
          <w:szCs w:val="22"/>
        </w:rPr>
        <w:t xml:space="preserve">(~10% </w:t>
      </w:r>
      <w:r w:rsidR="00C64C30" w:rsidRPr="00CD729C">
        <w:rPr>
          <w:color w:val="000000"/>
          <w:szCs w:val="22"/>
        </w:rPr>
        <w:t>terapeitiskās devas</w:t>
      </w:r>
      <w:r w:rsidR="00F673A4" w:rsidRPr="00CD729C">
        <w:rPr>
          <w:color w:val="000000"/>
          <w:szCs w:val="22"/>
        </w:rPr>
        <w:t xml:space="preserve">). </w:t>
      </w:r>
      <w:r w:rsidR="00EF017E" w:rsidRPr="00CD729C">
        <w:rPr>
          <w:color w:val="000000"/>
          <w:szCs w:val="22"/>
        </w:rPr>
        <w:t>Tomēr</w:t>
      </w:r>
      <w:r w:rsidR="00F673A4" w:rsidRPr="00CD729C">
        <w:rPr>
          <w:color w:val="000000"/>
          <w:szCs w:val="22"/>
        </w:rPr>
        <w:t xml:space="preserve">, </w:t>
      </w:r>
      <w:r w:rsidR="00BE1F1D" w:rsidRPr="00CD729C">
        <w:rPr>
          <w:color w:val="000000"/>
          <w:szCs w:val="22"/>
        </w:rPr>
        <w:t xml:space="preserve">tā kā nav zināma </w:t>
      </w:r>
      <w:r w:rsidR="00514BD0" w:rsidRPr="00CD729C">
        <w:rPr>
          <w:color w:val="000000"/>
          <w:szCs w:val="22"/>
        </w:rPr>
        <w:t xml:space="preserve">nelielu </w:t>
      </w:r>
      <w:r w:rsidR="00BE1F1D" w:rsidRPr="00CD729C">
        <w:rPr>
          <w:color w:val="000000"/>
          <w:szCs w:val="22"/>
        </w:rPr>
        <w:t>imatinib</w:t>
      </w:r>
      <w:r w:rsidR="00E05B71" w:rsidRPr="00CD729C">
        <w:rPr>
          <w:color w:val="000000"/>
          <w:szCs w:val="22"/>
        </w:rPr>
        <w:t>a</w:t>
      </w:r>
      <w:r w:rsidR="00BE1F1D" w:rsidRPr="00CD729C">
        <w:rPr>
          <w:color w:val="000000"/>
          <w:szCs w:val="22"/>
        </w:rPr>
        <w:t xml:space="preserve"> devu iedarbība zīdaiņiem</w:t>
      </w:r>
      <w:r w:rsidR="00F673A4" w:rsidRPr="00CD729C">
        <w:rPr>
          <w:color w:val="000000"/>
          <w:szCs w:val="22"/>
        </w:rPr>
        <w:t xml:space="preserve">, </w:t>
      </w:r>
      <w:r w:rsidR="00EF017E" w:rsidRPr="00CD729C">
        <w:rPr>
          <w:color w:val="000000"/>
          <w:szCs w:val="22"/>
        </w:rPr>
        <w:t>sievietēm</w:t>
      </w:r>
      <w:r w:rsidR="00E05B71" w:rsidRPr="00CD729C">
        <w:rPr>
          <w:color w:val="000000"/>
          <w:szCs w:val="22"/>
        </w:rPr>
        <w:t xml:space="preserve"> </w:t>
      </w:r>
      <w:r w:rsidR="00514BD0" w:rsidRPr="00CD729C">
        <w:rPr>
          <w:color w:val="000000"/>
          <w:szCs w:val="22"/>
        </w:rPr>
        <w:t>barot bērnu ar krūti</w:t>
      </w:r>
      <w:r w:rsidR="00EF017E" w:rsidRPr="00CD729C">
        <w:rPr>
          <w:color w:val="000000"/>
          <w:szCs w:val="22"/>
        </w:rPr>
        <w:t xml:space="preserve"> nav atļauts</w:t>
      </w:r>
      <w:r w:rsidR="002707EF">
        <w:rPr>
          <w:color w:val="000000"/>
          <w:szCs w:val="22"/>
        </w:rPr>
        <w:t xml:space="preserve"> </w:t>
      </w:r>
      <w:r w:rsidR="002707EF" w:rsidRPr="00CD729C">
        <w:rPr>
          <w:color w:val="000000"/>
          <w:szCs w:val="22"/>
        </w:rPr>
        <w:t xml:space="preserve">ārstēšanās laikā </w:t>
      </w:r>
      <w:r w:rsidR="002707EF">
        <w:rPr>
          <w:color w:val="000000"/>
          <w:szCs w:val="22"/>
        </w:rPr>
        <w:t>un vismaz 15 dienas pēc ārstēšanas pārtraukšanas ar Glivec</w:t>
      </w:r>
      <w:r w:rsidR="00F673A4" w:rsidRPr="00CD729C">
        <w:rPr>
          <w:color w:val="000000"/>
          <w:szCs w:val="22"/>
        </w:rPr>
        <w:t>.</w:t>
      </w:r>
    </w:p>
    <w:p w14:paraId="3D3944A6" w14:textId="77777777" w:rsidR="00BF3DA7" w:rsidRPr="00CD729C" w:rsidRDefault="00BF3DA7" w:rsidP="009B4BB6">
      <w:pPr>
        <w:widowControl w:val="0"/>
        <w:tabs>
          <w:tab w:val="clear" w:pos="567"/>
        </w:tabs>
        <w:spacing w:line="240" w:lineRule="auto"/>
        <w:rPr>
          <w:color w:val="000000"/>
          <w:szCs w:val="22"/>
        </w:rPr>
      </w:pPr>
    </w:p>
    <w:p w14:paraId="3D3944A7" w14:textId="77777777" w:rsidR="00BF3DA7" w:rsidRPr="00CD729C" w:rsidRDefault="00BF3DA7" w:rsidP="009B4BB6">
      <w:pPr>
        <w:keepNext/>
        <w:widowControl w:val="0"/>
        <w:tabs>
          <w:tab w:val="clear" w:pos="567"/>
        </w:tabs>
        <w:spacing w:line="240" w:lineRule="auto"/>
        <w:rPr>
          <w:color w:val="000000"/>
          <w:szCs w:val="22"/>
          <w:u w:val="single"/>
        </w:rPr>
      </w:pPr>
      <w:r w:rsidRPr="00CD729C">
        <w:rPr>
          <w:color w:val="000000"/>
          <w:szCs w:val="22"/>
          <w:u w:val="single"/>
        </w:rPr>
        <w:t>Fertilitāte</w:t>
      </w:r>
    </w:p>
    <w:p w14:paraId="3D3944A8" w14:textId="77777777" w:rsidR="00BF3DA7" w:rsidRPr="00CD729C" w:rsidRDefault="001B04A2" w:rsidP="009B4BB6">
      <w:pPr>
        <w:widowControl w:val="0"/>
        <w:tabs>
          <w:tab w:val="clear" w:pos="567"/>
        </w:tabs>
        <w:spacing w:line="240" w:lineRule="auto"/>
        <w:rPr>
          <w:color w:val="000000"/>
          <w:szCs w:val="22"/>
        </w:rPr>
      </w:pPr>
      <w:r w:rsidRPr="00CD729C">
        <w:rPr>
          <w:color w:val="000000"/>
          <w:szCs w:val="22"/>
        </w:rPr>
        <w:t>Preklīniskajos pētījumos nekonstatēja ietekmi uz vīriešu un sieviešu fertilitāti</w:t>
      </w:r>
      <w:r w:rsidR="002707EF">
        <w:rPr>
          <w:color w:val="000000"/>
          <w:szCs w:val="22"/>
        </w:rPr>
        <w:t xml:space="preserve">, </w:t>
      </w:r>
      <w:r w:rsidR="002707EF" w:rsidRPr="002707EF">
        <w:rPr>
          <w:color w:val="000000"/>
          <w:szCs w:val="22"/>
        </w:rPr>
        <w:t>kaut arī tika novērota ietekme uz reproduktīvajiem parametriem</w:t>
      </w:r>
      <w:r w:rsidRPr="00CD729C">
        <w:rPr>
          <w:color w:val="000000"/>
          <w:szCs w:val="22"/>
        </w:rPr>
        <w:t xml:space="preserve"> (skatīt 5.3</w:t>
      </w:r>
      <w:r w:rsidR="00A031F4" w:rsidRPr="00CD729C">
        <w:rPr>
          <w:color w:val="000000"/>
          <w:szCs w:val="22"/>
        </w:rPr>
        <w:t>.</w:t>
      </w:r>
      <w:r w:rsidR="00552C22" w:rsidRPr="00CD729C">
        <w:rPr>
          <w:color w:val="000000"/>
          <w:szCs w:val="22"/>
        </w:rPr>
        <w:t> apakšpunktu</w:t>
      </w:r>
      <w:r w:rsidRPr="00CD729C">
        <w:rPr>
          <w:color w:val="000000"/>
          <w:szCs w:val="22"/>
        </w:rPr>
        <w:t xml:space="preserve">). </w:t>
      </w:r>
      <w:r w:rsidR="00BF3DA7" w:rsidRPr="00CD729C">
        <w:rPr>
          <w:color w:val="000000"/>
          <w:szCs w:val="22"/>
        </w:rPr>
        <w:t xml:space="preserve">Nav veikti pētījumi ar </w:t>
      </w:r>
      <w:r w:rsidRPr="00CD729C">
        <w:rPr>
          <w:color w:val="000000"/>
          <w:szCs w:val="22"/>
        </w:rPr>
        <w:t>pacientiem</w:t>
      </w:r>
      <w:r w:rsidR="00BF3DA7" w:rsidRPr="00CD729C">
        <w:rPr>
          <w:color w:val="000000"/>
          <w:szCs w:val="22"/>
        </w:rPr>
        <w:t xml:space="preserve">, kuri saņēma Glivec, un nav izvērtēta tā ietekme uz fertilitāti un </w:t>
      </w:r>
      <w:r w:rsidR="000F40AC" w:rsidRPr="00CD729C">
        <w:rPr>
          <w:color w:val="000000"/>
          <w:szCs w:val="22"/>
        </w:rPr>
        <w:t>gameto</w:t>
      </w:r>
      <w:r w:rsidR="00BF3DA7" w:rsidRPr="00CD729C">
        <w:rPr>
          <w:color w:val="000000"/>
          <w:szCs w:val="22"/>
        </w:rPr>
        <w:t xml:space="preserve">ģenēzi. Ārstēšanas laikā ar Glivec </w:t>
      </w:r>
      <w:r w:rsidR="000F40AC" w:rsidRPr="00CD729C">
        <w:rPr>
          <w:color w:val="000000"/>
          <w:szCs w:val="22"/>
        </w:rPr>
        <w:t>pacientiem</w:t>
      </w:r>
      <w:r w:rsidR="00BF3DA7" w:rsidRPr="00CD729C">
        <w:rPr>
          <w:color w:val="000000"/>
          <w:szCs w:val="22"/>
        </w:rPr>
        <w:t>, kuriem ir bažas par savu fertilitāti, jākonsultējas ar savu ārstu.</w:t>
      </w:r>
    </w:p>
    <w:p w14:paraId="3D3944A9" w14:textId="77777777" w:rsidR="001B04A2" w:rsidRPr="00CD729C" w:rsidRDefault="001B04A2" w:rsidP="009B4BB6">
      <w:pPr>
        <w:widowControl w:val="0"/>
        <w:tabs>
          <w:tab w:val="clear" w:pos="567"/>
        </w:tabs>
        <w:spacing w:line="240" w:lineRule="auto"/>
        <w:rPr>
          <w:color w:val="000000"/>
          <w:szCs w:val="22"/>
        </w:rPr>
      </w:pPr>
    </w:p>
    <w:p w14:paraId="3D3944AA"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4.7</w:t>
      </w:r>
      <w:r w:rsidR="00A031F4" w:rsidRPr="00CD729C">
        <w:rPr>
          <w:b/>
          <w:color w:val="000000"/>
          <w:szCs w:val="22"/>
        </w:rPr>
        <w:t>.</w:t>
      </w:r>
      <w:r w:rsidRPr="00CD729C">
        <w:rPr>
          <w:b/>
          <w:color w:val="000000"/>
          <w:szCs w:val="22"/>
        </w:rPr>
        <w:tab/>
        <w:t>Ietekme uz spēju vadīt transportlīdzekļus un apkalpot mehānismus</w:t>
      </w:r>
    </w:p>
    <w:p w14:paraId="3D3944AB"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4AC" w14:textId="77777777" w:rsidR="005117C7" w:rsidRPr="00CD729C" w:rsidRDefault="00035210" w:rsidP="009B4BB6">
      <w:pPr>
        <w:widowControl w:val="0"/>
        <w:tabs>
          <w:tab w:val="clear" w:pos="567"/>
        </w:tabs>
        <w:spacing w:line="240" w:lineRule="auto"/>
        <w:rPr>
          <w:color w:val="000000"/>
          <w:szCs w:val="22"/>
        </w:rPr>
      </w:pPr>
      <w:r w:rsidRPr="00CD729C">
        <w:rPr>
          <w:color w:val="000000"/>
        </w:rPr>
        <w:t>P</w:t>
      </w:r>
      <w:r w:rsidR="005117C7" w:rsidRPr="00CD729C">
        <w:rPr>
          <w:color w:val="000000"/>
          <w:szCs w:val="22"/>
        </w:rPr>
        <w:t>acienti ir jābrīdina, ka imatiniba terapijas laikā tiem ir iespējamas nevēlamas blakusparādības, piemēram, reiboņi</w:t>
      </w:r>
      <w:r w:rsidR="00BF3DA7" w:rsidRPr="00CD729C">
        <w:rPr>
          <w:color w:val="000000"/>
          <w:szCs w:val="22"/>
        </w:rPr>
        <w:t>,</w:t>
      </w:r>
      <w:r w:rsidR="005117C7" w:rsidRPr="00CD729C">
        <w:rPr>
          <w:color w:val="000000"/>
          <w:szCs w:val="22"/>
        </w:rPr>
        <w:t xml:space="preserve"> neskaidra redze</w:t>
      </w:r>
      <w:r w:rsidR="00BF3DA7" w:rsidRPr="00CD729C">
        <w:rPr>
          <w:color w:val="000000"/>
          <w:szCs w:val="22"/>
        </w:rPr>
        <w:t xml:space="preserve"> vai miegainība</w:t>
      </w:r>
      <w:r w:rsidR="005117C7" w:rsidRPr="00CD729C">
        <w:rPr>
          <w:color w:val="000000"/>
          <w:szCs w:val="22"/>
        </w:rPr>
        <w:t>. Tādējādi, vadot transportlīdzekļus un apkalpojot mehānismus, ir ieteicams ievērot piesardzību.</w:t>
      </w:r>
    </w:p>
    <w:p w14:paraId="3D3944AD" w14:textId="77777777" w:rsidR="005117C7" w:rsidRPr="00CD729C" w:rsidRDefault="005117C7" w:rsidP="009B4BB6">
      <w:pPr>
        <w:widowControl w:val="0"/>
        <w:tabs>
          <w:tab w:val="clear" w:pos="567"/>
        </w:tabs>
        <w:spacing w:line="240" w:lineRule="auto"/>
        <w:ind w:left="567" w:hanging="567"/>
        <w:rPr>
          <w:color w:val="000000"/>
          <w:szCs w:val="22"/>
        </w:rPr>
      </w:pPr>
    </w:p>
    <w:p w14:paraId="3D3944AE" w14:textId="77777777" w:rsidR="005117C7" w:rsidRPr="00CD729C" w:rsidRDefault="005117C7" w:rsidP="009B4BB6">
      <w:pPr>
        <w:keepNext/>
        <w:widowControl w:val="0"/>
        <w:tabs>
          <w:tab w:val="clear" w:pos="567"/>
        </w:tabs>
        <w:spacing w:line="240" w:lineRule="auto"/>
        <w:ind w:left="567" w:hanging="567"/>
        <w:rPr>
          <w:b/>
          <w:color w:val="000000"/>
          <w:szCs w:val="22"/>
        </w:rPr>
      </w:pPr>
      <w:r w:rsidRPr="00CD729C">
        <w:rPr>
          <w:b/>
          <w:color w:val="000000"/>
          <w:szCs w:val="22"/>
        </w:rPr>
        <w:t>4.8</w:t>
      </w:r>
      <w:r w:rsidR="00A031F4" w:rsidRPr="00CD729C">
        <w:rPr>
          <w:b/>
          <w:color w:val="000000"/>
          <w:szCs w:val="22"/>
        </w:rPr>
        <w:t>.</w:t>
      </w:r>
      <w:r w:rsidRPr="00CD729C">
        <w:rPr>
          <w:b/>
          <w:color w:val="000000"/>
          <w:szCs w:val="22"/>
        </w:rPr>
        <w:tab/>
        <w:t>Nevēlamās blakusparādības</w:t>
      </w:r>
    </w:p>
    <w:p w14:paraId="3D3944AF"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4B0"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Pacientiem ar ļaundabīg</w:t>
      </w:r>
      <w:r w:rsidR="00863031" w:rsidRPr="00CD729C">
        <w:rPr>
          <w:color w:val="000000"/>
          <w:szCs w:val="22"/>
        </w:rPr>
        <w:t>ām</w:t>
      </w:r>
      <w:r w:rsidRPr="00CD729C">
        <w:rPr>
          <w:color w:val="000000"/>
          <w:szCs w:val="22"/>
        </w:rPr>
        <w:t xml:space="preserve"> </w:t>
      </w:r>
      <w:r w:rsidR="00863031" w:rsidRPr="00CD729C">
        <w:rPr>
          <w:color w:val="000000"/>
          <w:szCs w:val="22"/>
        </w:rPr>
        <w:t xml:space="preserve">slimībām </w:t>
      </w:r>
      <w:r w:rsidRPr="00CD729C">
        <w:rPr>
          <w:color w:val="000000"/>
          <w:szCs w:val="22"/>
        </w:rPr>
        <w:t>ir iespējami dažādi neskaidras izcelsmes stāvokļi, kas var izraisīt nevēlamas blakusparādības, ko, sakarā blakusslimību simptomu dažādību, slimības progresiju un dažādu zāļu vienlaicīgu lietošanu, ir grūti novērtēt.</w:t>
      </w:r>
    </w:p>
    <w:p w14:paraId="3D3944B1" w14:textId="77777777" w:rsidR="005117C7" w:rsidRPr="00CD729C" w:rsidRDefault="005117C7" w:rsidP="009B4BB6">
      <w:pPr>
        <w:widowControl w:val="0"/>
        <w:tabs>
          <w:tab w:val="clear" w:pos="567"/>
        </w:tabs>
        <w:spacing w:line="240" w:lineRule="auto"/>
        <w:rPr>
          <w:color w:val="000000"/>
          <w:szCs w:val="22"/>
        </w:rPr>
      </w:pPr>
    </w:p>
    <w:p w14:paraId="3D3944B2"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CML klīnisko pētījumu laikā sakarā ar to izraisītām nevēlamām blakusparādībām zāļu lietošana tika pārtraukta 2</w:t>
      </w:r>
      <w:r w:rsidR="00ED7B76" w:rsidRPr="00CD729C">
        <w:rPr>
          <w:color w:val="000000"/>
          <w:szCs w:val="22"/>
        </w:rPr>
        <w:t>,4</w:t>
      </w:r>
      <w:r w:rsidRPr="00CD729C">
        <w:rPr>
          <w:color w:val="000000"/>
          <w:szCs w:val="22"/>
        </w:rPr>
        <w:t>% pacientu ar pirmreizēju diagno</w:t>
      </w:r>
      <w:r w:rsidR="00661C52" w:rsidRPr="00CD729C">
        <w:rPr>
          <w:color w:val="000000"/>
          <w:szCs w:val="22"/>
        </w:rPr>
        <w:t>z</w:t>
      </w:r>
      <w:r w:rsidRPr="00CD729C">
        <w:rPr>
          <w:color w:val="000000"/>
          <w:szCs w:val="22"/>
        </w:rPr>
        <w:t>i, 4% pacientu slimības vēlīnajā hroniskajā fāzē pēc neveiksmīgi izmantotas interferona terapijas, 4% pacientu akcelerācijas fāzē pēc neveiksmīgi izmantotas interferona terapijas un 5% pacientu blastu krīzes apstākļos pēc neveiksmīgi izmantotas interferona terapijas. GIST pētījumu laikā sakarā ar šo zāļu izraisītām nevēlamām blakusparādībām terapija tika pārtraukta 4% pacientu.</w:t>
      </w:r>
    </w:p>
    <w:p w14:paraId="3D3944B3" w14:textId="77777777" w:rsidR="005117C7" w:rsidRPr="00CD729C" w:rsidRDefault="005117C7" w:rsidP="009B4BB6">
      <w:pPr>
        <w:widowControl w:val="0"/>
        <w:tabs>
          <w:tab w:val="clear" w:pos="567"/>
        </w:tabs>
        <w:spacing w:line="240" w:lineRule="auto"/>
        <w:rPr>
          <w:color w:val="000000"/>
          <w:szCs w:val="22"/>
        </w:rPr>
      </w:pPr>
    </w:p>
    <w:p w14:paraId="3D3944B4" w14:textId="77777777" w:rsidR="005117C7" w:rsidRPr="00CD729C" w:rsidRDefault="00863031" w:rsidP="009B4BB6">
      <w:pPr>
        <w:widowControl w:val="0"/>
        <w:tabs>
          <w:tab w:val="clear" w:pos="567"/>
        </w:tabs>
        <w:spacing w:line="240" w:lineRule="auto"/>
        <w:rPr>
          <w:color w:val="000000"/>
          <w:szCs w:val="22"/>
        </w:rPr>
      </w:pPr>
      <w:r w:rsidRPr="00CD729C">
        <w:rPr>
          <w:color w:val="000000"/>
          <w:szCs w:val="22"/>
        </w:rPr>
        <w:t xml:space="preserve">Visu indikāciju gadījumā </w:t>
      </w:r>
      <w:r w:rsidR="005117C7" w:rsidRPr="00CD729C">
        <w:rPr>
          <w:color w:val="000000"/>
          <w:szCs w:val="22"/>
        </w:rPr>
        <w:t xml:space="preserve">novērotās nevēlamās blakusparādības, neskaitot divus izņēmumus, ir līdzīgas. Salīdzinot ar GIST slimniekiem, </w:t>
      </w:r>
      <w:r w:rsidR="00DD2211" w:rsidRPr="00CD729C">
        <w:rPr>
          <w:color w:val="000000"/>
          <w:szCs w:val="22"/>
        </w:rPr>
        <w:t>CML gadījumā</w:t>
      </w:r>
      <w:r w:rsidR="005117C7" w:rsidRPr="00CD729C">
        <w:rPr>
          <w:color w:val="000000"/>
          <w:szCs w:val="22"/>
        </w:rPr>
        <w:t xml:space="preserve"> biežāk novēro kaulu smadzeņu darbības nomākumu, kas, iespējams, ir saistīts ar blakusslimību. </w:t>
      </w:r>
      <w:r w:rsidR="00563C1C" w:rsidRPr="00CD729C">
        <w:rPr>
          <w:color w:val="000000"/>
          <w:szCs w:val="22"/>
        </w:rPr>
        <w:t>Klīniskā pētījumā slimniekiem ar nerezecējamu un/vai metastazējušu GIST, 7 (5%)</w:t>
      </w:r>
      <w:r w:rsidR="005117C7" w:rsidRPr="00CD729C">
        <w:rPr>
          <w:color w:val="000000"/>
          <w:szCs w:val="22"/>
        </w:rPr>
        <w:t xml:space="preserve"> pacientiem novēroja 3 vai 4 smaguma pakāpes (pēc CTC terminoloģijas) asiņošanu kuņģa – zarnu traktā (3 pacientiem), 3 pacientiem – intratumorālu asiņošanu, un 1 pacientam – vienlaicīgi abas parādības. Audzēji kuņģa – zarnu traktā var būt vieta, kur novēro kuņģa – zarnu trakta asiņošanu (sk</w:t>
      </w:r>
      <w:r w:rsidR="00A64570" w:rsidRPr="00CD729C">
        <w:rPr>
          <w:color w:val="000000"/>
          <w:szCs w:val="22"/>
        </w:rPr>
        <w:t>atīt</w:t>
      </w:r>
      <w:r w:rsidR="005117C7" w:rsidRPr="00CD729C">
        <w:rPr>
          <w:color w:val="000000"/>
          <w:szCs w:val="22"/>
        </w:rPr>
        <w:t xml:space="preserve"> 4.4</w:t>
      </w:r>
      <w:r w:rsidR="00A031F4" w:rsidRPr="00CD729C">
        <w:rPr>
          <w:color w:val="000000"/>
          <w:szCs w:val="22"/>
        </w:rPr>
        <w:t>.</w:t>
      </w:r>
      <w:r w:rsidR="00552C22" w:rsidRPr="00CD729C">
        <w:rPr>
          <w:color w:val="000000"/>
          <w:szCs w:val="22"/>
        </w:rPr>
        <w:t> apakšpunktu</w:t>
      </w:r>
      <w:r w:rsidR="005117C7" w:rsidRPr="00CD729C">
        <w:rPr>
          <w:color w:val="000000"/>
          <w:szCs w:val="22"/>
        </w:rPr>
        <w:t>). Kuņģa – zarnu trakta asiņošana dažkārt var būt smaga vai nāvējoša. Visbiežāk (</w:t>
      </w:r>
      <w:r w:rsidR="005117C7" w:rsidRPr="00CD729C">
        <w:rPr>
          <w:color w:val="000000"/>
          <w:szCs w:val="22"/>
        </w:rPr>
        <w:sym w:font="Symbol" w:char="F0B3"/>
      </w:r>
      <w:r w:rsidR="005117C7" w:rsidRPr="00CD729C">
        <w:rPr>
          <w:color w:val="000000"/>
          <w:szCs w:val="22"/>
        </w:rPr>
        <w:t xml:space="preserve">10% gadījumu), abos gadījumos aprakstītās, ar šo zāļu lietošanu saistītās nevēlamās blakusparādības ir izpaudušās kā viegls nelabums, vemšana, </w:t>
      </w:r>
      <w:r w:rsidR="005066E6" w:rsidRPr="00CD729C">
        <w:rPr>
          <w:color w:val="000000"/>
          <w:szCs w:val="22"/>
        </w:rPr>
        <w:t>caureja</w:t>
      </w:r>
      <w:r w:rsidR="005117C7" w:rsidRPr="00CD729C">
        <w:rPr>
          <w:color w:val="000000"/>
          <w:szCs w:val="22"/>
        </w:rPr>
        <w:t>, sāpes vēderā, vājums, muskuļu sāpes un krampji, kā arī izsitumi. Visu pētījumu laikā bieži novēroja virspusējas tūskas, galvenokārt – virs acu dobumiem un ekstremitāšu apakšējā daļā. Tomēr šīs tūskas reti ir bijušas smagas. Tās iespējams ārstēt, izmantojot diurētiskos preparātus, uzturošus pasākumus vai arī samazinot Glivec devu.</w:t>
      </w:r>
    </w:p>
    <w:p w14:paraId="3D3944B5" w14:textId="77777777" w:rsidR="00863031" w:rsidRPr="00CD729C" w:rsidRDefault="00863031" w:rsidP="009B4BB6">
      <w:pPr>
        <w:widowControl w:val="0"/>
        <w:tabs>
          <w:tab w:val="clear" w:pos="567"/>
        </w:tabs>
        <w:spacing w:line="240" w:lineRule="auto"/>
        <w:rPr>
          <w:color w:val="000000"/>
          <w:szCs w:val="22"/>
        </w:rPr>
      </w:pPr>
    </w:p>
    <w:p w14:paraId="3D3944B6" w14:textId="77777777" w:rsidR="00863031" w:rsidRPr="00CD729C" w:rsidRDefault="00863031" w:rsidP="009B4BB6">
      <w:pPr>
        <w:widowControl w:val="0"/>
        <w:tabs>
          <w:tab w:val="clear" w:pos="567"/>
        </w:tabs>
        <w:spacing w:line="240" w:lineRule="auto"/>
        <w:rPr>
          <w:color w:val="000000"/>
          <w:szCs w:val="22"/>
        </w:rPr>
      </w:pPr>
      <w:r w:rsidRPr="00CD729C">
        <w:rPr>
          <w:color w:val="000000"/>
          <w:szCs w:val="22"/>
        </w:rPr>
        <w:t xml:space="preserve">Pacientiem ar Ph+ ALL, imatinibu kombinējot ar lielu ķīmijterapijas devu shēmām, var novērot </w:t>
      </w:r>
      <w:r w:rsidRPr="00CD729C">
        <w:rPr>
          <w:color w:val="000000"/>
          <w:szCs w:val="22"/>
        </w:rPr>
        <w:lastRenderedPageBreak/>
        <w:t>pārejošu aknu toksicitāti transamināžu paaugstināšanās un hiperbilirubinēmijas veidā.</w:t>
      </w:r>
      <w:r w:rsidR="007C0B3A" w:rsidRPr="00CD729C">
        <w:rPr>
          <w:color w:val="000000"/>
          <w:szCs w:val="22"/>
        </w:rPr>
        <w:t xml:space="preserve"> </w:t>
      </w:r>
      <w:r w:rsidR="00026B36" w:rsidRPr="00CD729C">
        <w:rPr>
          <w:color w:val="000000"/>
          <w:szCs w:val="22"/>
        </w:rPr>
        <w:t>Ņemot vērā</w:t>
      </w:r>
      <w:r w:rsidR="00C53447" w:rsidRPr="00CD729C">
        <w:rPr>
          <w:color w:val="000000"/>
          <w:szCs w:val="22"/>
        </w:rPr>
        <w:t xml:space="preserve"> ierobežoto</w:t>
      </w:r>
      <w:r w:rsidR="00026B36" w:rsidRPr="00CD729C">
        <w:rPr>
          <w:color w:val="000000"/>
          <w:szCs w:val="22"/>
        </w:rPr>
        <w:t xml:space="preserve"> drošuma datu datubāz</w:t>
      </w:r>
      <w:r w:rsidR="00C53447" w:rsidRPr="00CD729C">
        <w:rPr>
          <w:color w:val="000000"/>
          <w:szCs w:val="22"/>
        </w:rPr>
        <w:t>i</w:t>
      </w:r>
      <w:r w:rsidR="00026B36" w:rsidRPr="00CD729C">
        <w:rPr>
          <w:color w:val="000000"/>
          <w:szCs w:val="22"/>
        </w:rPr>
        <w:t xml:space="preserve">, līdz šīm brīdim saņemtie </w:t>
      </w:r>
      <w:r w:rsidR="00C53447" w:rsidRPr="00CD729C">
        <w:rPr>
          <w:color w:val="000000"/>
          <w:szCs w:val="22"/>
        </w:rPr>
        <w:t>z</w:t>
      </w:r>
      <w:r w:rsidR="00026B36" w:rsidRPr="00CD729C">
        <w:rPr>
          <w:color w:val="000000"/>
          <w:szCs w:val="22"/>
        </w:rPr>
        <w:t>iņojumi par nevēlamajām blakusparādībām bērniem atbilst š</w:t>
      </w:r>
      <w:r w:rsidR="00C53447" w:rsidRPr="00CD729C">
        <w:rPr>
          <w:color w:val="000000"/>
          <w:szCs w:val="22"/>
        </w:rPr>
        <w:t xml:space="preserve">ī </w:t>
      </w:r>
      <w:r w:rsidR="00026B36" w:rsidRPr="00CD729C">
        <w:rPr>
          <w:color w:val="000000"/>
          <w:szCs w:val="22"/>
        </w:rPr>
        <w:t>brī</w:t>
      </w:r>
      <w:r w:rsidR="00C53447" w:rsidRPr="00CD729C">
        <w:rPr>
          <w:color w:val="000000"/>
          <w:szCs w:val="22"/>
        </w:rPr>
        <w:t>ža</w:t>
      </w:r>
      <w:r w:rsidR="00026B36" w:rsidRPr="00CD729C">
        <w:rPr>
          <w:color w:val="000000"/>
          <w:szCs w:val="22"/>
        </w:rPr>
        <w:t xml:space="preserve"> zināmajam drošuma profilam pieaugušajiem ar Ph+ ALL. </w:t>
      </w:r>
      <w:r w:rsidR="0026037C" w:rsidRPr="00CD729C">
        <w:rPr>
          <w:color w:val="000000"/>
          <w:szCs w:val="22"/>
        </w:rPr>
        <w:t>Droš</w:t>
      </w:r>
      <w:r w:rsidR="00AC671F" w:rsidRPr="00CD729C">
        <w:rPr>
          <w:color w:val="000000"/>
          <w:szCs w:val="22"/>
        </w:rPr>
        <w:t>uma</w:t>
      </w:r>
      <w:r w:rsidR="0026037C" w:rsidRPr="00CD729C">
        <w:rPr>
          <w:color w:val="000000"/>
          <w:szCs w:val="22"/>
        </w:rPr>
        <w:t xml:space="preserve"> datu bāze bērniem ar Ph+ALL ir ļoti ierobežota, tomēr nav identificēti jauni drošuma riski.</w:t>
      </w:r>
    </w:p>
    <w:p w14:paraId="3D3944B7" w14:textId="77777777" w:rsidR="005117C7" w:rsidRPr="00CD729C" w:rsidRDefault="005117C7" w:rsidP="009B4BB6">
      <w:pPr>
        <w:widowControl w:val="0"/>
        <w:tabs>
          <w:tab w:val="clear" w:pos="567"/>
        </w:tabs>
        <w:spacing w:line="240" w:lineRule="auto"/>
        <w:rPr>
          <w:color w:val="000000"/>
          <w:szCs w:val="22"/>
        </w:rPr>
      </w:pPr>
    </w:p>
    <w:p w14:paraId="3D3944B8"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 xml:space="preserve">Jaukta tipa nevēlamām blakusparādībām, kas izpaužas kā, piemēram, pleiras eksudāts, ascīts, plaušu tūska un straujš svara pieaugums ar virspusēju tūsku vai bez tās, ir iespējams piešķirt kopīgu apzīmējumu “šķidruma aizture”. Parasti šīs reakcijas iespējams ārstēt, uz laiku atliekot Glivec lietošanu un izmantojot diurētiskos līdzekļus un </w:t>
      </w:r>
      <w:r w:rsidR="005257FF" w:rsidRPr="00CD729C">
        <w:rPr>
          <w:color w:val="000000"/>
          <w:szCs w:val="22"/>
        </w:rPr>
        <w:t xml:space="preserve">citus </w:t>
      </w:r>
      <w:r w:rsidRPr="00CD729C">
        <w:rPr>
          <w:color w:val="000000"/>
          <w:szCs w:val="22"/>
        </w:rPr>
        <w:t>piemērotus uzturošas aprūpes pasākumus. Tomēr atsevišķos gadījumos var būt smagas vai dzīvībai bīstamas, un dažiem pacientiem blastu krīzes apstākļos un kompleksu klīnisku eksudatīvu pleirītu, sastrēguma sirds mazspēju un nieru mazspēju anamnēzē, ir iestājusies nāve. Klīniskajos pētījumos, kuros iesaistīti bērni, īpaši nozīmīgi dati, kas attiecas uz preparāta lietošanas droš</w:t>
      </w:r>
      <w:r w:rsidR="00743B0B">
        <w:rPr>
          <w:color w:val="000000"/>
          <w:szCs w:val="22"/>
        </w:rPr>
        <w:t>um</w:t>
      </w:r>
      <w:r w:rsidRPr="00CD729C">
        <w:rPr>
          <w:color w:val="000000"/>
          <w:szCs w:val="22"/>
        </w:rPr>
        <w:t>u, nav konstatēti.</w:t>
      </w:r>
    </w:p>
    <w:p w14:paraId="3D3944B9" w14:textId="77777777" w:rsidR="005117C7" w:rsidRPr="00CD729C" w:rsidRDefault="005117C7" w:rsidP="009B4BB6">
      <w:pPr>
        <w:widowControl w:val="0"/>
        <w:tabs>
          <w:tab w:val="clear" w:pos="567"/>
        </w:tabs>
        <w:spacing w:line="240" w:lineRule="auto"/>
        <w:rPr>
          <w:color w:val="000000"/>
          <w:szCs w:val="22"/>
        </w:rPr>
      </w:pPr>
    </w:p>
    <w:p w14:paraId="3D3944BA" w14:textId="77777777" w:rsidR="005117C7" w:rsidRPr="00CD729C" w:rsidRDefault="005117C7" w:rsidP="009B4BB6">
      <w:pPr>
        <w:keepNext/>
        <w:widowControl w:val="0"/>
        <w:tabs>
          <w:tab w:val="clear" w:pos="567"/>
        </w:tabs>
        <w:spacing w:line="240" w:lineRule="auto"/>
        <w:rPr>
          <w:b/>
          <w:color w:val="000000"/>
          <w:szCs w:val="22"/>
        </w:rPr>
      </w:pPr>
      <w:r w:rsidRPr="00CD729C">
        <w:rPr>
          <w:b/>
          <w:color w:val="000000"/>
          <w:szCs w:val="22"/>
        </w:rPr>
        <w:t>Nevēlamās blakusparādības</w:t>
      </w:r>
    </w:p>
    <w:p w14:paraId="3D3944BB"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 xml:space="preserve">Nevēlamās blakusparādības, kas aprakstītas biežāk kā tikai atsevišķos gadījumos ir uzskaitītas turpmāk. Tās ir sistematizētas pēc orgānu sistēmas un biežuma. </w:t>
      </w:r>
      <w:r w:rsidR="00396ED3" w:rsidRPr="00CD729C">
        <w:rPr>
          <w:color w:val="000000"/>
          <w:szCs w:val="22"/>
        </w:rPr>
        <w:t xml:space="preserve">Uzskaitītām blakusparādībām rašanās biežums </w:t>
      </w:r>
      <w:r w:rsidRPr="00CD729C">
        <w:rPr>
          <w:color w:val="000000"/>
          <w:szCs w:val="22"/>
        </w:rPr>
        <w:t xml:space="preserve">definēts sekojoši: </w:t>
      </w:r>
      <w:r w:rsidR="001563A9" w:rsidRPr="00CD729C">
        <w:rPr>
          <w:color w:val="000000"/>
          <w:szCs w:val="22"/>
        </w:rPr>
        <w:t>ļ</w:t>
      </w:r>
      <w:r w:rsidRPr="00CD729C">
        <w:rPr>
          <w:color w:val="000000"/>
          <w:szCs w:val="22"/>
        </w:rPr>
        <w:t>oti bieži (</w:t>
      </w:r>
      <w:r w:rsidR="00396ED3" w:rsidRPr="00CD729C">
        <w:rPr>
          <w:szCs w:val="22"/>
        </w:rPr>
        <w:t>≥</w:t>
      </w:r>
      <w:r w:rsidRPr="00CD729C">
        <w:rPr>
          <w:color w:val="000000"/>
          <w:szCs w:val="22"/>
        </w:rPr>
        <w:t>1/10), bieži (</w:t>
      </w:r>
      <w:r w:rsidR="00396ED3" w:rsidRPr="00CD729C">
        <w:rPr>
          <w:szCs w:val="22"/>
        </w:rPr>
        <w:t>≥</w:t>
      </w:r>
      <w:r w:rsidRPr="00CD729C">
        <w:rPr>
          <w:color w:val="000000"/>
          <w:szCs w:val="22"/>
        </w:rPr>
        <w:t>1/100</w:t>
      </w:r>
      <w:r w:rsidR="00396ED3" w:rsidRPr="00CD729C">
        <w:rPr>
          <w:color w:val="000000"/>
          <w:szCs w:val="22"/>
        </w:rPr>
        <w:t xml:space="preserve"> līdz</w:t>
      </w:r>
      <w:r w:rsidRPr="00CD729C">
        <w:rPr>
          <w:color w:val="000000"/>
          <w:szCs w:val="22"/>
        </w:rPr>
        <w:t xml:space="preserve"> </w:t>
      </w:r>
      <w:r w:rsidR="00396ED3" w:rsidRPr="00CD729C">
        <w:rPr>
          <w:color w:val="000000"/>
          <w:szCs w:val="22"/>
        </w:rPr>
        <w:t>&lt;</w:t>
      </w:r>
      <w:r w:rsidRPr="00CD729C">
        <w:rPr>
          <w:color w:val="000000"/>
          <w:szCs w:val="22"/>
        </w:rPr>
        <w:t>1/10), retāk (</w:t>
      </w:r>
      <w:r w:rsidR="00396ED3" w:rsidRPr="00CD729C">
        <w:rPr>
          <w:szCs w:val="22"/>
        </w:rPr>
        <w:t>≥</w:t>
      </w:r>
      <w:r w:rsidRPr="00CD729C">
        <w:rPr>
          <w:color w:val="000000"/>
          <w:szCs w:val="22"/>
        </w:rPr>
        <w:t>1/1 000</w:t>
      </w:r>
      <w:r w:rsidR="00396ED3" w:rsidRPr="00CD729C">
        <w:rPr>
          <w:color w:val="000000"/>
          <w:szCs w:val="22"/>
        </w:rPr>
        <w:t xml:space="preserve"> līdz</w:t>
      </w:r>
      <w:r w:rsidRPr="00CD729C">
        <w:rPr>
          <w:color w:val="000000"/>
          <w:szCs w:val="22"/>
        </w:rPr>
        <w:t xml:space="preserve"> </w:t>
      </w:r>
      <w:r w:rsidR="00396ED3" w:rsidRPr="00CD729C">
        <w:rPr>
          <w:color w:val="000000"/>
          <w:szCs w:val="22"/>
        </w:rPr>
        <w:t>&lt;</w:t>
      </w:r>
      <w:r w:rsidRPr="00CD729C">
        <w:rPr>
          <w:color w:val="000000"/>
          <w:szCs w:val="22"/>
        </w:rPr>
        <w:t xml:space="preserve">1/100), reti </w:t>
      </w:r>
      <w:r w:rsidR="00396ED3" w:rsidRPr="00CD729C">
        <w:rPr>
          <w:color w:val="000000"/>
          <w:szCs w:val="22"/>
        </w:rPr>
        <w:t>(</w:t>
      </w:r>
      <w:r w:rsidR="00396ED3" w:rsidRPr="00CD729C">
        <w:rPr>
          <w:szCs w:val="22"/>
        </w:rPr>
        <w:t>≥1/10 000 līdz &lt;</w:t>
      </w:r>
      <w:r w:rsidRPr="00CD729C">
        <w:rPr>
          <w:color w:val="000000"/>
          <w:szCs w:val="22"/>
        </w:rPr>
        <w:t>1/1 000)</w:t>
      </w:r>
      <w:r w:rsidR="00396ED3" w:rsidRPr="00CD729C">
        <w:rPr>
          <w:color w:val="000000"/>
          <w:szCs w:val="22"/>
        </w:rPr>
        <w:t>,</w:t>
      </w:r>
      <w:r w:rsidR="00396ED3" w:rsidRPr="00CD729C">
        <w:rPr>
          <w:szCs w:val="22"/>
        </w:rPr>
        <w:t xml:space="preserve"> ļoti reti (&lt;1/10 000)</w:t>
      </w:r>
      <w:r w:rsidR="00D54999" w:rsidRPr="00CD729C">
        <w:rPr>
          <w:color w:val="000000"/>
          <w:szCs w:val="22"/>
        </w:rPr>
        <w:t xml:space="preserve">, </w:t>
      </w:r>
      <w:r w:rsidR="00D54999" w:rsidRPr="00CD729C">
        <w:rPr>
          <w:bCs/>
          <w:color w:val="000000"/>
        </w:rPr>
        <w:t>n</w:t>
      </w:r>
      <w:r w:rsidR="00E21ABA" w:rsidRPr="00CD729C">
        <w:rPr>
          <w:bCs/>
          <w:color w:val="000000"/>
        </w:rPr>
        <w:t xml:space="preserve">av </w:t>
      </w:r>
      <w:r w:rsidR="00D54999" w:rsidRPr="00CD729C">
        <w:rPr>
          <w:bCs/>
          <w:color w:val="000000"/>
        </w:rPr>
        <w:t>zināmi (nevar noteikt pēc pieejamiem datiem)</w:t>
      </w:r>
      <w:r w:rsidRPr="00CD729C">
        <w:rPr>
          <w:color w:val="000000"/>
          <w:szCs w:val="22"/>
        </w:rPr>
        <w:t>.</w:t>
      </w:r>
    </w:p>
    <w:p w14:paraId="3D3944BC" w14:textId="77777777" w:rsidR="005117C7" w:rsidRPr="00CD729C" w:rsidRDefault="005117C7" w:rsidP="009B4BB6">
      <w:pPr>
        <w:widowControl w:val="0"/>
        <w:tabs>
          <w:tab w:val="clear" w:pos="567"/>
        </w:tabs>
        <w:spacing w:line="240" w:lineRule="auto"/>
        <w:rPr>
          <w:color w:val="000000"/>
          <w:szCs w:val="22"/>
        </w:rPr>
      </w:pPr>
    </w:p>
    <w:p w14:paraId="3D3944BD" w14:textId="77777777" w:rsidR="008C0CD0" w:rsidRPr="00CD729C" w:rsidRDefault="008C0CD0" w:rsidP="009B4BB6">
      <w:pPr>
        <w:widowControl w:val="0"/>
        <w:tabs>
          <w:tab w:val="clear" w:pos="567"/>
        </w:tabs>
        <w:spacing w:line="240" w:lineRule="auto"/>
        <w:rPr>
          <w:color w:val="000000"/>
          <w:szCs w:val="22"/>
        </w:rPr>
      </w:pPr>
      <w:r w:rsidRPr="00CD729C">
        <w:rPr>
          <w:color w:val="000000"/>
        </w:rPr>
        <w:t xml:space="preserve">Katrā sastopamības biežuma grupā nevēlamās blakusparādības sakārtotas </w:t>
      </w:r>
      <w:r w:rsidR="00EE1B86" w:rsidRPr="00CD729C">
        <w:rPr>
          <w:color w:val="000000"/>
        </w:rPr>
        <w:t xml:space="preserve">pēc to sastopamības </w:t>
      </w:r>
      <w:r w:rsidR="00EE1B86" w:rsidRPr="00CD729C">
        <w:rPr>
          <w:color w:val="000000"/>
          <w:szCs w:val="22"/>
        </w:rPr>
        <w:t>biežuma, biežākās vispirms.</w:t>
      </w:r>
    </w:p>
    <w:p w14:paraId="3D3944BE" w14:textId="77777777" w:rsidR="00826EE9" w:rsidRPr="00CD729C" w:rsidRDefault="00826EE9" w:rsidP="009B4BB6">
      <w:pPr>
        <w:widowControl w:val="0"/>
        <w:spacing w:line="240" w:lineRule="auto"/>
        <w:rPr>
          <w:color w:val="000000"/>
          <w:szCs w:val="24"/>
          <w:lang w:eastAsia="ja-JP"/>
        </w:rPr>
      </w:pPr>
    </w:p>
    <w:p w14:paraId="3D3944BF" w14:textId="77777777" w:rsidR="00826EE9" w:rsidRPr="00CD729C" w:rsidRDefault="00535746" w:rsidP="009B4BB6">
      <w:pPr>
        <w:widowControl w:val="0"/>
        <w:spacing w:line="240" w:lineRule="auto"/>
        <w:rPr>
          <w:color w:val="000000"/>
        </w:rPr>
      </w:pPr>
      <w:r w:rsidRPr="00CD729C">
        <w:rPr>
          <w:color w:val="000000"/>
          <w:szCs w:val="22"/>
          <w:lang w:eastAsia="ja-JP"/>
        </w:rPr>
        <w:t xml:space="preserve">Tabulā Nr. 1 </w:t>
      </w:r>
      <w:r w:rsidR="009C54AF" w:rsidRPr="00CD729C">
        <w:rPr>
          <w:color w:val="000000"/>
          <w:szCs w:val="22"/>
          <w:lang w:eastAsia="ja-JP"/>
        </w:rPr>
        <w:t xml:space="preserve">ir </w:t>
      </w:r>
      <w:r w:rsidRPr="00CD729C">
        <w:rPr>
          <w:color w:val="000000"/>
          <w:szCs w:val="22"/>
          <w:lang w:eastAsia="ja-JP"/>
        </w:rPr>
        <w:t>minēt</w:t>
      </w:r>
      <w:r w:rsidR="009C54AF" w:rsidRPr="00CD729C">
        <w:rPr>
          <w:color w:val="000000"/>
          <w:szCs w:val="22"/>
          <w:lang w:eastAsia="ja-JP"/>
        </w:rPr>
        <w:t>a</w:t>
      </w:r>
      <w:r w:rsidRPr="00CD729C">
        <w:rPr>
          <w:color w:val="000000"/>
          <w:szCs w:val="22"/>
          <w:lang w:eastAsia="ja-JP"/>
        </w:rPr>
        <w:t>s blakusparādības un to biežums.</w:t>
      </w:r>
    </w:p>
    <w:p w14:paraId="3D3944C0" w14:textId="77777777" w:rsidR="00826EE9" w:rsidRPr="00CD729C" w:rsidRDefault="00826EE9" w:rsidP="009B4BB6">
      <w:pPr>
        <w:widowControl w:val="0"/>
        <w:spacing w:line="240" w:lineRule="auto"/>
        <w:rPr>
          <w:color w:val="000000"/>
        </w:rPr>
      </w:pPr>
    </w:p>
    <w:p w14:paraId="3D3944C1" w14:textId="77777777" w:rsidR="00FE53FA" w:rsidRPr="00CD729C" w:rsidRDefault="00FE53FA" w:rsidP="009B4BB6">
      <w:pPr>
        <w:keepNext/>
        <w:widowControl w:val="0"/>
        <w:tabs>
          <w:tab w:val="clear" w:pos="567"/>
          <w:tab w:val="left" w:pos="1134"/>
        </w:tabs>
        <w:spacing w:line="240" w:lineRule="auto"/>
        <w:rPr>
          <w:b/>
          <w:color w:val="000000"/>
        </w:rPr>
      </w:pPr>
      <w:r w:rsidRPr="00CD729C">
        <w:rPr>
          <w:b/>
          <w:color w:val="000000"/>
        </w:rPr>
        <w:t>Tabula Nr. 1</w:t>
      </w:r>
      <w:r w:rsidRPr="00CD729C">
        <w:rPr>
          <w:b/>
          <w:color w:val="000000"/>
        </w:rPr>
        <w:tab/>
      </w:r>
      <w:r w:rsidR="009C54AF" w:rsidRPr="00CD729C">
        <w:rPr>
          <w:b/>
          <w:color w:val="000000"/>
          <w:szCs w:val="22"/>
        </w:rPr>
        <w:t>Tabulā apkopotās nevēlamās b</w:t>
      </w:r>
      <w:r w:rsidRPr="00CD729C">
        <w:rPr>
          <w:b/>
          <w:color w:val="000000"/>
          <w:szCs w:val="22"/>
        </w:rPr>
        <w:t>lakusparādības</w:t>
      </w:r>
    </w:p>
    <w:p w14:paraId="3D3944C2" w14:textId="77777777" w:rsidR="00FE53FA" w:rsidRPr="00CD729C" w:rsidRDefault="00FE53FA" w:rsidP="009B4BB6">
      <w:pPr>
        <w:keepNext/>
        <w:widowControl w:val="0"/>
        <w:spacing w:line="240" w:lineRule="auto"/>
        <w:rPr>
          <w:color w:val="000000"/>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FE53FA" w:rsidRPr="00CD729C" w14:paraId="3D3944C4" w14:textId="77777777" w:rsidTr="009B4BB6">
        <w:trPr>
          <w:cantSplit/>
        </w:trPr>
        <w:tc>
          <w:tcPr>
            <w:tcW w:w="9322" w:type="dxa"/>
            <w:gridSpan w:val="2"/>
          </w:tcPr>
          <w:p w14:paraId="3D3944C3" w14:textId="77777777" w:rsidR="00FE53FA" w:rsidRPr="00CD729C" w:rsidRDefault="00FE53FA" w:rsidP="009B4BB6">
            <w:pPr>
              <w:keepNext/>
              <w:widowControl w:val="0"/>
              <w:spacing w:line="240" w:lineRule="auto"/>
              <w:rPr>
                <w:b/>
                <w:bCs/>
                <w:color w:val="000000"/>
                <w:szCs w:val="22"/>
              </w:rPr>
            </w:pPr>
            <w:r w:rsidRPr="00CD729C">
              <w:rPr>
                <w:b/>
                <w:bCs/>
                <w:szCs w:val="22"/>
              </w:rPr>
              <w:t>Infekcijas un infestācijas</w:t>
            </w:r>
          </w:p>
        </w:tc>
      </w:tr>
      <w:tr w:rsidR="00FE53FA" w:rsidRPr="00CD729C" w14:paraId="3D3944C7" w14:textId="77777777" w:rsidTr="009B4BB6">
        <w:trPr>
          <w:cantSplit/>
        </w:trPr>
        <w:tc>
          <w:tcPr>
            <w:tcW w:w="2235" w:type="dxa"/>
          </w:tcPr>
          <w:p w14:paraId="3D3944C5" w14:textId="77777777" w:rsidR="00FE53FA" w:rsidRPr="00CD729C" w:rsidRDefault="00FE53FA" w:rsidP="009B4BB6">
            <w:pPr>
              <w:keepNext/>
              <w:widowControl w:val="0"/>
              <w:spacing w:line="240" w:lineRule="auto"/>
              <w:rPr>
                <w:i/>
                <w:color w:val="000000"/>
                <w:szCs w:val="22"/>
              </w:rPr>
            </w:pPr>
            <w:r w:rsidRPr="00CD729C">
              <w:rPr>
                <w:i/>
                <w:color w:val="000000"/>
                <w:szCs w:val="22"/>
              </w:rPr>
              <w:t>Retāk</w:t>
            </w:r>
          </w:p>
        </w:tc>
        <w:tc>
          <w:tcPr>
            <w:tcW w:w="7087" w:type="dxa"/>
          </w:tcPr>
          <w:p w14:paraId="3D3944C6" w14:textId="77777777" w:rsidR="00FE53FA" w:rsidRPr="00CD729C" w:rsidRDefault="00FE53FA" w:rsidP="009B4BB6">
            <w:pPr>
              <w:keepNext/>
              <w:widowControl w:val="0"/>
              <w:spacing w:line="240" w:lineRule="auto"/>
              <w:rPr>
                <w:color w:val="000000"/>
                <w:szCs w:val="22"/>
              </w:rPr>
            </w:pPr>
            <w:r w:rsidRPr="00CD729C">
              <w:rPr>
                <w:i/>
                <w:color w:val="000000"/>
                <w:szCs w:val="22"/>
              </w:rPr>
              <w:t>Herpes zoster</w:t>
            </w:r>
            <w:r w:rsidRPr="00CD729C">
              <w:rPr>
                <w:color w:val="000000"/>
                <w:szCs w:val="22"/>
              </w:rPr>
              <w:t xml:space="preserve">, </w:t>
            </w:r>
            <w:r w:rsidRPr="00CD729C">
              <w:rPr>
                <w:i/>
                <w:color w:val="000000"/>
                <w:szCs w:val="22"/>
              </w:rPr>
              <w:t>herpes simplex</w:t>
            </w:r>
            <w:r w:rsidRPr="00CD729C">
              <w:rPr>
                <w:color w:val="000000"/>
                <w:szCs w:val="22"/>
              </w:rPr>
              <w:t>, nazofaringīts, pneimonija</w:t>
            </w:r>
            <w:r w:rsidR="001E4662" w:rsidRPr="00CD729C">
              <w:rPr>
                <w:color w:val="000000"/>
                <w:szCs w:val="22"/>
                <w:vertAlign w:val="superscript"/>
              </w:rPr>
              <w:t>1</w:t>
            </w:r>
            <w:r w:rsidRPr="00CD729C">
              <w:rPr>
                <w:color w:val="000000"/>
                <w:szCs w:val="22"/>
              </w:rPr>
              <w:t>, sinusīts, celulīts, augšējo elpošanas ceļu infekcija, gripa, urīnceļu infekcija, gastroenterīts, sepse</w:t>
            </w:r>
          </w:p>
        </w:tc>
      </w:tr>
      <w:tr w:rsidR="00FE53FA" w:rsidRPr="00CD729C" w14:paraId="3D3944CA" w14:textId="77777777" w:rsidTr="009B4BB6">
        <w:trPr>
          <w:cantSplit/>
        </w:trPr>
        <w:tc>
          <w:tcPr>
            <w:tcW w:w="2235" w:type="dxa"/>
          </w:tcPr>
          <w:p w14:paraId="3D3944C8" w14:textId="77777777" w:rsidR="00FE53FA" w:rsidRPr="00CD729C" w:rsidRDefault="00FE53FA" w:rsidP="009B4BB6">
            <w:pPr>
              <w:keepNext/>
              <w:widowControl w:val="0"/>
              <w:spacing w:line="240" w:lineRule="auto"/>
              <w:rPr>
                <w:i/>
                <w:color w:val="000000"/>
                <w:szCs w:val="22"/>
              </w:rPr>
            </w:pPr>
            <w:r w:rsidRPr="00CD729C">
              <w:rPr>
                <w:i/>
                <w:color w:val="000000"/>
                <w:szCs w:val="22"/>
              </w:rPr>
              <w:t>Reti</w:t>
            </w:r>
          </w:p>
        </w:tc>
        <w:tc>
          <w:tcPr>
            <w:tcW w:w="7087" w:type="dxa"/>
          </w:tcPr>
          <w:p w14:paraId="3D3944C9" w14:textId="77777777" w:rsidR="00FE53FA" w:rsidRPr="00CD729C" w:rsidRDefault="00FE53FA" w:rsidP="009B4BB6">
            <w:pPr>
              <w:keepNext/>
              <w:widowControl w:val="0"/>
              <w:spacing w:line="240" w:lineRule="auto"/>
              <w:rPr>
                <w:color w:val="000000"/>
                <w:szCs w:val="22"/>
              </w:rPr>
            </w:pPr>
            <w:r w:rsidRPr="00CD729C">
              <w:rPr>
                <w:color w:val="000000"/>
                <w:szCs w:val="22"/>
              </w:rPr>
              <w:t>Sēnīšu infekcija</w:t>
            </w:r>
          </w:p>
        </w:tc>
      </w:tr>
      <w:tr w:rsidR="00DB74ED" w:rsidRPr="00CD729C" w14:paraId="3D3944CD" w14:textId="77777777" w:rsidTr="009B4BB6">
        <w:trPr>
          <w:cantSplit/>
        </w:trPr>
        <w:tc>
          <w:tcPr>
            <w:tcW w:w="2235" w:type="dxa"/>
          </w:tcPr>
          <w:p w14:paraId="3D3944CB" w14:textId="77777777" w:rsidR="00DB74ED" w:rsidRPr="00CD729C" w:rsidRDefault="00DB74ED" w:rsidP="009B4BB6">
            <w:pPr>
              <w:keepNext/>
              <w:widowControl w:val="0"/>
              <w:spacing w:line="240" w:lineRule="auto"/>
              <w:rPr>
                <w:i/>
                <w:color w:val="000000"/>
                <w:szCs w:val="22"/>
              </w:rPr>
            </w:pPr>
            <w:r>
              <w:rPr>
                <w:i/>
                <w:color w:val="000000"/>
                <w:szCs w:val="22"/>
              </w:rPr>
              <w:t>Nav zināmi</w:t>
            </w:r>
          </w:p>
        </w:tc>
        <w:tc>
          <w:tcPr>
            <w:tcW w:w="7087" w:type="dxa"/>
          </w:tcPr>
          <w:p w14:paraId="3D3944CC" w14:textId="77777777" w:rsidR="00DB74ED" w:rsidRPr="00CD729C" w:rsidRDefault="00DB74ED" w:rsidP="009B4BB6">
            <w:pPr>
              <w:keepNext/>
              <w:widowControl w:val="0"/>
              <w:spacing w:line="240" w:lineRule="auto"/>
              <w:rPr>
                <w:color w:val="000000"/>
                <w:szCs w:val="22"/>
              </w:rPr>
            </w:pPr>
            <w:r>
              <w:rPr>
                <w:color w:val="000000"/>
                <w:szCs w:val="22"/>
              </w:rPr>
              <w:t>B hepatīta reaktivācija</w:t>
            </w:r>
            <w:r w:rsidRPr="00CD729C">
              <w:rPr>
                <w:color w:val="000000"/>
                <w:szCs w:val="22"/>
              </w:rPr>
              <w:t>*</w:t>
            </w:r>
          </w:p>
        </w:tc>
      </w:tr>
      <w:tr w:rsidR="009466B7" w:rsidRPr="00CD729C" w14:paraId="3D3944CF" w14:textId="77777777" w:rsidTr="009B4BB6">
        <w:trPr>
          <w:cantSplit/>
        </w:trPr>
        <w:tc>
          <w:tcPr>
            <w:tcW w:w="9322" w:type="dxa"/>
            <w:gridSpan w:val="2"/>
          </w:tcPr>
          <w:p w14:paraId="3D3944CE" w14:textId="77777777" w:rsidR="009466B7" w:rsidRPr="00CD729C" w:rsidRDefault="009466B7" w:rsidP="009B4BB6">
            <w:pPr>
              <w:keepNext/>
              <w:widowControl w:val="0"/>
              <w:spacing w:line="240" w:lineRule="auto"/>
              <w:rPr>
                <w:b/>
                <w:color w:val="000000"/>
                <w:szCs w:val="22"/>
              </w:rPr>
            </w:pPr>
            <w:r w:rsidRPr="00CD729C">
              <w:rPr>
                <w:b/>
                <w:color w:val="000000"/>
                <w:szCs w:val="22"/>
              </w:rPr>
              <w:t>Labdabīgi, ļaundabīgi un neprecizēti audzēji (ieskaitot cistas un polipus)</w:t>
            </w:r>
          </w:p>
        </w:tc>
      </w:tr>
      <w:tr w:rsidR="009466B7" w:rsidRPr="00CD729C" w14:paraId="3D3944D2" w14:textId="77777777" w:rsidTr="009B4BB6">
        <w:trPr>
          <w:cantSplit/>
        </w:trPr>
        <w:tc>
          <w:tcPr>
            <w:tcW w:w="2235" w:type="dxa"/>
          </w:tcPr>
          <w:p w14:paraId="3D3944D0" w14:textId="77777777" w:rsidR="009466B7" w:rsidRPr="00CD729C" w:rsidRDefault="009466B7" w:rsidP="009B4BB6">
            <w:pPr>
              <w:keepNext/>
              <w:widowControl w:val="0"/>
              <w:spacing w:line="240" w:lineRule="auto"/>
              <w:rPr>
                <w:i/>
                <w:color w:val="000000"/>
                <w:szCs w:val="22"/>
              </w:rPr>
            </w:pPr>
            <w:r w:rsidRPr="00CD729C">
              <w:rPr>
                <w:i/>
                <w:color w:val="000000"/>
                <w:szCs w:val="22"/>
              </w:rPr>
              <w:t>Reti</w:t>
            </w:r>
          </w:p>
        </w:tc>
        <w:tc>
          <w:tcPr>
            <w:tcW w:w="7087" w:type="dxa"/>
          </w:tcPr>
          <w:p w14:paraId="3D3944D1" w14:textId="77777777" w:rsidR="009466B7" w:rsidRPr="00CD729C" w:rsidRDefault="00CF71A7" w:rsidP="009B4BB6">
            <w:pPr>
              <w:keepNext/>
              <w:widowControl w:val="0"/>
              <w:spacing w:line="240" w:lineRule="auto"/>
              <w:rPr>
                <w:color w:val="000000"/>
                <w:szCs w:val="22"/>
              </w:rPr>
            </w:pPr>
            <w:r w:rsidRPr="00CD729C">
              <w:rPr>
                <w:color w:val="000000"/>
                <w:szCs w:val="22"/>
              </w:rPr>
              <w:t>Audzēja sabrukšanas sindroms</w:t>
            </w:r>
          </w:p>
        </w:tc>
      </w:tr>
      <w:tr w:rsidR="00E63C12" w:rsidRPr="00CD729C" w14:paraId="3D3944D5" w14:textId="77777777" w:rsidTr="009B4BB6">
        <w:trPr>
          <w:cantSplit/>
        </w:trPr>
        <w:tc>
          <w:tcPr>
            <w:tcW w:w="2235" w:type="dxa"/>
          </w:tcPr>
          <w:p w14:paraId="3D3944D3" w14:textId="77777777" w:rsidR="00E63C12" w:rsidRPr="00CD729C" w:rsidRDefault="00E63C12" w:rsidP="009B4BB6">
            <w:pPr>
              <w:widowControl w:val="0"/>
              <w:spacing w:line="240" w:lineRule="auto"/>
              <w:rPr>
                <w:i/>
                <w:color w:val="000000"/>
                <w:szCs w:val="22"/>
              </w:rPr>
            </w:pPr>
            <w:r w:rsidRPr="00CD729C">
              <w:rPr>
                <w:i/>
                <w:color w:val="000000"/>
                <w:szCs w:val="22"/>
              </w:rPr>
              <w:t>Nav zināmi</w:t>
            </w:r>
          </w:p>
        </w:tc>
        <w:tc>
          <w:tcPr>
            <w:tcW w:w="7087" w:type="dxa"/>
          </w:tcPr>
          <w:p w14:paraId="3D3944D4" w14:textId="77777777" w:rsidR="00E63C12" w:rsidRPr="00CD729C" w:rsidRDefault="00E63C12" w:rsidP="009B4BB6">
            <w:pPr>
              <w:widowControl w:val="0"/>
              <w:spacing w:line="240" w:lineRule="auto"/>
              <w:rPr>
                <w:color w:val="000000"/>
                <w:szCs w:val="22"/>
              </w:rPr>
            </w:pPr>
            <w:r w:rsidRPr="00CD729C">
              <w:rPr>
                <w:color w:val="000000"/>
                <w:szCs w:val="22"/>
              </w:rPr>
              <w:t>Audzēja asiņošana/audzēja nekroze*</w:t>
            </w:r>
          </w:p>
        </w:tc>
      </w:tr>
      <w:tr w:rsidR="00D242B9" w:rsidRPr="00CD729C" w14:paraId="3D3944D7" w14:textId="77777777" w:rsidTr="009B4BB6">
        <w:trPr>
          <w:cantSplit/>
        </w:trPr>
        <w:tc>
          <w:tcPr>
            <w:tcW w:w="9322" w:type="dxa"/>
            <w:gridSpan w:val="2"/>
          </w:tcPr>
          <w:p w14:paraId="3D3944D6" w14:textId="77777777" w:rsidR="00D242B9" w:rsidRPr="00CD729C" w:rsidRDefault="00D242B9" w:rsidP="009B4BB6">
            <w:pPr>
              <w:keepNext/>
              <w:widowControl w:val="0"/>
              <w:spacing w:line="240" w:lineRule="auto"/>
              <w:rPr>
                <w:color w:val="000000"/>
                <w:szCs w:val="22"/>
              </w:rPr>
            </w:pPr>
            <w:r w:rsidRPr="00CD729C">
              <w:rPr>
                <w:b/>
                <w:bCs/>
                <w:color w:val="000000"/>
                <w:szCs w:val="22"/>
              </w:rPr>
              <w:t>Imūnās sistēmas traucējumi</w:t>
            </w:r>
          </w:p>
        </w:tc>
      </w:tr>
      <w:tr w:rsidR="00D242B9" w:rsidRPr="00CD729C" w14:paraId="3D3944DA" w14:textId="77777777" w:rsidTr="009B4BB6">
        <w:trPr>
          <w:cantSplit/>
        </w:trPr>
        <w:tc>
          <w:tcPr>
            <w:tcW w:w="2235" w:type="dxa"/>
          </w:tcPr>
          <w:p w14:paraId="3D3944D8" w14:textId="77777777" w:rsidR="00D242B9" w:rsidRPr="00CD729C" w:rsidRDefault="00D242B9" w:rsidP="009B4BB6">
            <w:pPr>
              <w:widowControl w:val="0"/>
              <w:spacing w:line="240" w:lineRule="auto"/>
              <w:rPr>
                <w:i/>
                <w:color w:val="000000"/>
                <w:szCs w:val="22"/>
              </w:rPr>
            </w:pPr>
            <w:r w:rsidRPr="00CD729C">
              <w:rPr>
                <w:i/>
                <w:color w:val="000000"/>
                <w:szCs w:val="22"/>
              </w:rPr>
              <w:t>Nav zināmi</w:t>
            </w:r>
          </w:p>
        </w:tc>
        <w:tc>
          <w:tcPr>
            <w:tcW w:w="7087" w:type="dxa"/>
          </w:tcPr>
          <w:p w14:paraId="3D3944D9" w14:textId="77777777" w:rsidR="00D242B9" w:rsidRPr="00CD729C" w:rsidRDefault="00D242B9" w:rsidP="009B4BB6">
            <w:pPr>
              <w:widowControl w:val="0"/>
              <w:spacing w:line="240" w:lineRule="auto"/>
              <w:rPr>
                <w:color w:val="000000"/>
                <w:szCs w:val="22"/>
              </w:rPr>
            </w:pPr>
            <w:r w:rsidRPr="00CD729C">
              <w:rPr>
                <w:color w:val="000000"/>
                <w:szCs w:val="22"/>
              </w:rPr>
              <w:t>Anafilaktiskais šoks</w:t>
            </w:r>
            <w:r w:rsidR="005719AE" w:rsidRPr="00CD729C">
              <w:rPr>
                <w:color w:val="000000"/>
                <w:szCs w:val="22"/>
              </w:rPr>
              <w:t>*</w:t>
            </w:r>
          </w:p>
        </w:tc>
      </w:tr>
      <w:tr w:rsidR="00D242B9" w:rsidRPr="00CD729C" w14:paraId="3D3944DC" w14:textId="77777777" w:rsidTr="009B4BB6">
        <w:trPr>
          <w:cantSplit/>
        </w:trPr>
        <w:tc>
          <w:tcPr>
            <w:tcW w:w="9322" w:type="dxa"/>
            <w:gridSpan w:val="2"/>
          </w:tcPr>
          <w:p w14:paraId="3D3944DB" w14:textId="77777777" w:rsidR="00D242B9" w:rsidRPr="00CD729C" w:rsidRDefault="00D242B9" w:rsidP="009B4BB6">
            <w:pPr>
              <w:keepNext/>
              <w:widowControl w:val="0"/>
              <w:spacing w:line="240" w:lineRule="auto"/>
              <w:rPr>
                <w:color w:val="000000"/>
              </w:rPr>
            </w:pPr>
            <w:r w:rsidRPr="00CD729C">
              <w:rPr>
                <w:b/>
                <w:color w:val="000000"/>
                <w:szCs w:val="22"/>
              </w:rPr>
              <w:t>Asins un limfātiskās sistēmas traucējumi</w:t>
            </w:r>
          </w:p>
        </w:tc>
      </w:tr>
      <w:tr w:rsidR="00D242B9" w:rsidRPr="00CD729C" w14:paraId="3D3944DF" w14:textId="77777777" w:rsidTr="009B4BB6">
        <w:trPr>
          <w:cantSplit/>
        </w:trPr>
        <w:tc>
          <w:tcPr>
            <w:tcW w:w="2235" w:type="dxa"/>
          </w:tcPr>
          <w:p w14:paraId="3D3944DD" w14:textId="77777777" w:rsidR="00D242B9" w:rsidRPr="00CD729C" w:rsidRDefault="00D242B9" w:rsidP="009B4BB6">
            <w:pPr>
              <w:keepNext/>
              <w:widowControl w:val="0"/>
              <w:spacing w:line="240" w:lineRule="auto"/>
              <w:rPr>
                <w:color w:val="000000"/>
              </w:rPr>
            </w:pPr>
            <w:r w:rsidRPr="00CD729C">
              <w:rPr>
                <w:i/>
                <w:color w:val="000000"/>
                <w:szCs w:val="22"/>
              </w:rPr>
              <w:t>Ļoti bieži</w:t>
            </w:r>
          </w:p>
        </w:tc>
        <w:tc>
          <w:tcPr>
            <w:tcW w:w="7087" w:type="dxa"/>
          </w:tcPr>
          <w:p w14:paraId="3D3944DE" w14:textId="77777777" w:rsidR="00D242B9" w:rsidRPr="00CD729C" w:rsidRDefault="00D242B9" w:rsidP="009B4BB6">
            <w:pPr>
              <w:keepNext/>
              <w:widowControl w:val="0"/>
              <w:spacing w:line="240" w:lineRule="auto"/>
              <w:rPr>
                <w:color w:val="000000"/>
              </w:rPr>
            </w:pPr>
            <w:r w:rsidRPr="00CD729C">
              <w:rPr>
                <w:color w:val="000000"/>
                <w:szCs w:val="22"/>
              </w:rPr>
              <w:t>Neitropēnija, trombocitopēnija, anēmija</w:t>
            </w:r>
          </w:p>
        </w:tc>
      </w:tr>
      <w:tr w:rsidR="00D242B9" w:rsidRPr="00CD729C" w14:paraId="3D3944E2" w14:textId="77777777" w:rsidTr="009B4BB6">
        <w:trPr>
          <w:cantSplit/>
        </w:trPr>
        <w:tc>
          <w:tcPr>
            <w:tcW w:w="2235" w:type="dxa"/>
          </w:tcPr>
          <w:p w14:paraId="3D3944E0" w14:textId="77777777" w:rsidR="00D242B9" w:rsidRPr="00CD729C" w:rsidRDefault="00D242B9" w:rsidP="009B4BB6">
            <w:pPr>
              <w:keepNext/>
              <w:widowControl w:val="0"/>
              <w:spacing w:line="240" w:lineRule="auto"/>
              <w:rPr>
                <w:color w:val="000000"/>
              </w:rPr>
            </w:pPr>
            <w:r w:rsidRPr="00CD729C">
              <w:rPr>
                <w:i/>
                <w:color w:val="000000"/>
                <w:szCs w:val="22"/>
              </w:rPr>
              <w:t>Bieži</w:t>
            </w:r>
          </w:p>
        </w:tc>
        <w:tc>
          <w:tcPr>
            <w:tcW w:w="7087" w:type="dxa"/>
          </w:tcPr>
          <w:p w14:paraId="3D3944E1" w14:textId="77777777" w:rsidR="00D242B9" w:rsidRPr="00CD729C" w:rsidRDefault="00D242B9" w:rsidP="009B4BB6">
            <w:pPr>
              <w:keepNext/>
              <w:widowControl w:val="0"/>
              <w:spacing w:line="240" w:lineRule="auto"/>
              <w:rPr>
                <w:color w:val="000000"/>
              </w:rPr>
            </w:pPr>
            <w:r w:rsidRPr="00CD729C">
              <w:rPr>
                <w:color w:val="000000"/>
                <w:szCs w:val="22"/>
              </w:rPr>
              <w:t>Pancitopēnija, febrila neitropēnija</w:t>
            </w:r>
          </w:p>
        </w:tc>
      </w:tr>
      <w:tr w:rsidR="00D242B9" w:rsidRPr="00CD729C" w14:paraId="3D3944E5" w14:textId="77777777" w:rsidTr="009B4BB6">
        <w:trPr>
          <w:cantSplit/>
        </w:trPr>
        <w:tc>
          <w:tcPr>
            <w:tcW w:w="2235" w:type="dxa"/>
          </w:tcPr>
          <w:p w14:paraId="3D3944E3" w14:textId="77777777" w:rsidR="00D242B9" w:rsidRPr="00CD729C" w:rsidRDefault="00D242B9" w:rsidP="009B4BB6">
            <w:pPr>
              <w:keepNext/>
              <w:widowControl w:val="0"/>
              <w:spacing w:line="240" w:lineRule="auto"/>
              <w:rPr>
                <w:color w:val="000000"/>
              </w:rPr>
            </w:pPr>
            <w:r w:rsidRPr="00CD729C">
              <w:rPr>
                <w:i/>
                <w:color w:val="000000"/>
                <w:szCs w:val="22"/>
              </w:rPr>
              <w:t>Retāk</w:t>
            </w:r>
          </w:p>
        </w:tc>
        <w:tc>
          <w:tcPr>
            <w:tcW w:w="7087" w:type="dxa"/>
          </w:tcPr>
          <w:p w14:paraId="3D3944E4" w14:textId="77777777" w:rsidR="00D242B9" w:rsidRPr="00CD729C" w:rsidRDefault="00D242B9" w:rsidP="009B4BB6">
            <w:pPr>
              <w:keepNext/>
              <w:widowControl w:val="0"/>
              <w:spacing w:line="240" w:lineRule="auto"/>
              <w:rPr>
                <w:color w:val="000000"/>
              </w:rPr>
            </w:pPr>
            <w:r w:rsidRPr="00CD729C">
              <w:rPr>
                <w:color w:val="000000"/>
                <w:szCs w:val="22"/>
              </w:rPr>
              <w:t>Trombocitēmija, limfopēnija, kaulu smadzeņu nomākums, eozinofilija, limfadenopātija</w:t>
            </w:r>
          </w:p>
        </w:tc>
      </w:tr>
      <w:tr w:rsidR="00D242B9" w:rsidRPr="00CD729C" w14:paraId="3D3944E8" w14:textId="77777777" w:rsidTr="009B4BB6">
        <w:trPr>
          <w:cantSplit/>
        </w:trPr>
        <w:tc>
          <w:tcPr>
            <w:tcW w:w="2235" w:type="dxa"/>
          </w:tcPr>
          <w:p w14:paraId="3D3944E6" w14:textId="77777777" w:rsidR="00D242B9" w:rsidRPr="00CD729C" w:rsidRDefault="00D242B9" w:rsidP="009B4BB6">
            <w:pPr>
              <w:widowControl w:val="0"/>
              <w:spacing w:line="240" w:lineRule="auto"/>
              <w:rPr>
                <w:i/>
                <w:color w:val="000000"/>
              </w:rPr>
            </w:pPr>
            <w:r w:rsidRPr="00CD729C">
              <w:rPr>
                <w:i/>
                <w:color w:val="000000"/>
                <w:szCs w:val="22"/>
              </w:rPr>
              <w:t>Reti</w:t>
            </w:r>
          </w:p>
        </w:tc>
        <w:tc>
          <w:tcPr>
            <w:tcW w:w="7087" w:type="dxa"/>
          </w:tcPr>
          <w:p w14:paraId="3D3944E7" w14:textId="77777777" w:rsidR="00D242B9" w:rsidRPr="00CD729C" w:rsidRDefault="00D242B9" w:rsidP="009B4BB6">
            <w:pPr>
              <w:widowControl w:val="0"/>
              <w:spacing w:line="240" w:lineRule="auto"/>
              <w:rPr>
                <w:color w:val="000000"/>
              </w:rPr>
            </w:pPr>
            <w:r w:rsidRPr="00CD729C">
              <w:rPr>
                <w:color w:val="000000"/>
                <w:szCs w:val="22"/>
              </w:rPr>
              <w:t>Hemolītiska anēmija</w:t>
            </w:r>
            <w:r w:rsidR="003F703E">
              <w:rPr>
                <w:color w:val="000000"/>
                <w:szCs w:val="22"/>
              </w:rPr>
              <w:t>, trombotiska mikroangiopātija</w:t>
            </w:r>
          </w:p>
        </w:tc>
      </w:tr>
      <w:tr w:rsidR="00D242B9" w:rsidRPr="00CD729C" w14:paraId="3D3944EA" w14:textId="77777777" w:rsidTr="009B4BB6">
        <w:trPr>
          <w:cantSplit/>
        </w:trPr>
        <w:tc>
          <w:tcPr>
            <w:tcW w:w="9322" w:type="dxa"/>
            <w:gridSpan w:val="2"/>
          </w:tcPr>
          <w:p w14:paraId="3D3944E9" w14:textId="77777777" w:rsidR="00D242B9" w:rsidRPr="00CD729C" w:rsidRDefault="00D242B9" w:rsidP="009B4BB6">
            <w:pPr>
              <w:keepNext/>
              <w:widowControl w:val="0"/>
              <w:spacing w:line="240" w:lineRule="auto"/>
              <w:rPr>
                <w:color w:val="000000"/>
                <w:szCs w:val="22"/>
              </w:rPr>
            </w:pPr>
            <w:r w:rsidRPr="00CD729C">
              <w:rPr>
                <w:b/>
                <w:bCs/>
                <w:szCs w:val="22"/>
              </w:rPr>
              <w:t>Vielmaiņas un uztures traucējumi</w:t>
            </w:r>
          </w:p>
        </w:tc>
      </w:tr>
      <w:tr w:rsidR="00D242B9" w:rsidRPr="00CD729C" w14:paraId="3D3944ED" w14:textId="77777777" w:rsidTr="009B4BB6">
        <w:trPr>
          <w:cantSplit/>
        </w:trPr>
        <w:tc>
          <w:tcPr>
            <w:tcW w:w="2235" w:type="dxa"/>
          </w:tcPr>
          <w:p w14:paraId="3D3944EB" w14:textId="77777777" w:rsidR="00D242B9" w:rsidRPr="00CD729C" w:rsidRDefault="00D242B9" w:rsidP="009B4BB6">
            <w:pPr>
              <w:keepNext/>
              <w:widowControl w:val="0"/>
              <w:spacing w:line="240" w:lineRule="auto"/>
              <w:rPr>
                <w:i/>
                <w:color w:val="000000"/>
                <w:szCs w:val="22"/>
              </w:rPr>
            </w:pPr>
            <w:r w:rsidRPr="00CD729C">
              <w:rPr>
                <w:i/>
                <w:color w:val="000000"/>
                <w:szCs w:val="22"/>
              </w:rPr>
              <w:t>Bieži</w:t>
            </w:r>
          </w:p>
        </w:tc>
        <w:tc>
          <w:tcPr>
            <w:tcW w:w="7087" w:type="dxa"/>
          </w:tcPr>
          <w:p w14:paraId="3D3944EC" w14:textId="77777777" w:rsidR="00D242B9" w:rsidRPr="00CD729C" w:rsidRDefault="00D242B9" w:rsidP="009B4BB6">
            <w:pPr>
              <w:keepNext/>
              <w:widowControl w:val="0"/>
              <w:spacing w:line="240" w:lineRule="auto"/>
              <w:rPr>
                <w:color w:val="000000"/>
                <w:szCs w:val="22"/>
              </w:rPr>
            </w:pPr>
            <w:r w:rsidRPr="00CD729C">
              <w:rPr>
                <w:color w:val="000000"/>
                <w:szCs w:val="22"/>
              </w:rPr>
              <w:t>Anoreksija</w:t>
            </w:r>
          </w:p>
        </w:tc>
      </w:tr>
      <w:tr w:rsidR="00D242B9" w:rsidRPr="00CD729C" w14:paraId="3D3944F0" w14:textId="77777777" w:rsidTr="009B4BB6">
        <w:trPr>
          <w:cantSplit/>
        </w:trPr>
        <w:tc>
          <w:tcPr>
            <w:tcW w:w="2235" w:type="dxa"/>
          </w:tcPr>
          <w:p w14:paraId="3D3944EE" w14:textId="77777777" w:rsidR="00D242B9" w:rsidRPr="00CD729C" w:rsidRDefault="00D242B9" w:rsidP="009B4BB6">
            <w:pPr>
              <w:keepNext/>
              <w:widowControl w:val="0"/>
              <w:spacing w:line="240" w:lineRule="auto"/>
              <w:rPr>
                <w:i/>
                <w:color w:val="000000"/>
                <w:szCs w:val="22"/>
              </w:rPr>
            </w:pPr>
            <w:r w:rsidRPr="00CD729C">
              <w:rPr>
                <w:i/>
                <w:color w:val="000000"/>
                <w:szCs w:val="22"/>
              </w:rPr>
              <w:t>Retāk</w:t>
            </w:r>
          </w:p>
        </w:tc>
        <w:tc>
          <w:tcPr>
            <w:tcW w:w="7087" w:type="dxa"/>
          </w:tcPr>
          <w:p w14:paraId="3D3944EF" w14:textId="77777777" w:rsidR="00D242B9" w:rsidRPr="00CD729C" w:rsidRDefault="00D242B9" w:rsidP="009B4BB6">
            <w:pPr>
              <w:keepNext/>
              <w:widowControl w:val="0"/>
              <w:spacing w:line="240" w:lineRule="auto"/>
              <w:rPr>
                <w:color w:val="000000"/>
                <w:szCs w:val="22"/>
              </w:rPr>
            </w:pPr>
            <w:r w:rsidRPr="00CD729C">
              <w:rPr>
                <w:color w:val="000000"/>
                <w:szCs w:val="22"/>
              </w:rPr>
              <w:t>Hipokaliēmija, pastiprināta ēstgriba, hipofosfatēmija, samazināta ēstgriba, dehidratācija, podagra, hiperurikēmija, hiperkalciēmija, hiperglikēmija, hiponatriēmija</w:t>
            </w:r>
          </w:p>
        </w:tc>
      </w:tr>
      <w:tr w:rsidR="00D242B9" w:rsidRPr="00CD729C" w14:paraId="3D3944F3" w14:textId="77777777" w:rsidTr="009B4BB6">
        <w:trPr>
          <w:cantSplit/>
        </w:trPr>
        <w:tc>
          <w:tcPr>
            <w:tcW w:w="2235" w:type="dxa"/>
          </w:tcPr>
          <w:p w14:paraId="3D3944F1" w14:textId="77777777" w:rsidR="00D242B9" w:rsidRPr="00CD729C" w:rsidRDefault="00D242B9" w:rsidP="009B4BB6">
            <w:pPr>
              <w:widowControl w:val="0"/>
              <w:spacing w:line="240" w:lineRule="auto"/>
              <w:rPr>
                <w:i/>
                <w:color w:val="000000"/>
                <w:szCs w:val="22"/>
              </w:rPr>
            </w:pPr>
            <w:r w:rsidRPr="00CD729C">
              <w:rPr>
                <w:i/>
                <w:color w:val="000000"/>
                <w:szCs w:val="22"/>
              </w:rPr>
              <w:t>Reti</w:t>
            </w:r>
          </w:p>
        </w:tc>
        <w:tc>
          <w:tcPr>
            <w:tcW w:w="7087" w:type="dxa"/>
          </w:tcPr>
          <w:p w14:paraId="3D3944F2" w14:textId="77777777" w:rsidR="00D242B9" w:rsidRPr="00CD729C" w:rsidRDefault="00D242B9" w:rsidP="009B4BB6">
            <w:pPr>
              <w:widowControl w:val="0"/>
              <w:spacing w:line="240" w:lineRule="auto"/>
              <w:rPr>
                <w:color w:val="000000"/>
                <w:szCs w:val="22"/>
              </w:rPr>
            </w:pPr>
            <w:r w:rsidRPr="00CD729C">
              <w:rPr>
                <w:color w:val="000000"/>
                <w:szCs w:val="22"/>
              </w:rPr>
              <w:t>Hiperkaliēmija, hipomagniēmija</w:t>
            </w:r>
          </w:p>
        </w:tc>
      </w:tr>
      <w:tr w:rsidR="00D242B9" w:rsidRPr="00CD729C" w14:paraId="3D3944F5" w14:textId="77777777" w:rsidTr="009B4BB6">
        <w:trPr>
          <w:cantSplit/>
        </w:trPr>
        <w:tc>
          <w:tcPr>
            <w:tcW w:w="9322" w:type="dxa"/>
            <w:gridSpan w:val="2"/>
          </w:tcPr>
          <w:p w14:paraId="3D3944F4" w14:textId="77777777" w:rsidR="00D242B9" w:rsidRPr="00CD729C" w:rsidRDefault="00D242B9" w:rsidP="009B4BB6">
            <w:pPr>
              <w:keepNext/>
              <w:widowControl w:val="0"/>
              <w:spacing w:line="240" w:lineRule="auto"/>
              <w:rPr>
                <w:color w:val="000000"/>
                <w:szCs w:val="22"/>
              </w:rPr>
            </w:pPr>
            <w:r w:rsidRPr="00CD729C">
              <w:rPr>
                <w:b/>
                <w:bCs/>
                <w:szCs w:val="22"/>
              </w:rPr>
              <w:t>Psihiskie traucējumi</w:t>
            </w:r>
          </w:p>
        </w:tc>
      </w:tr>
      <w:tr w:rsidR="00D242B9" w:rsidRPr="00CD729C" w14:paraId="3D3944F8" w14:textId="77777777" w:rsidTr="009B4BB6">
        <w:trPr>
          <w:cantSplit/>
        </w:trPr>
        <w:tc>
          <w:tcPr>
            <w:tcW w:w="2235" w:type="dxa"/>
          </w:tcPr>
          <w:p w14:paraId="3D3944F6" w14:textId="77777777" w:rsidR="00D242B9" w:rsidRPr="00CD729C" w:rsidRDefault="00D242B9" w:rsidP="009B4BB6">
            <w:pPr>
              <w:keepNext/>
              <w:widowControl w:val="0"/>
              <w:spacing w:line="240" w:lineRule="auto"/>
              <w:rPr>
                <w:i/>
                <w:color w:val="000000"/>
                <w:szCs w:val="22"/>
              </w:rPr>
            </w:pPr>
            <w:r w:rsidRPr="00CD729C">
              <w:rPr>
                <w:i/>
                <w:color w:val="000000"/>
                <w:szCs w:val="22"/>
              </w:rPr>
              <w:t>Bieži</w:t>
            </w:r>
          </w:p>
        </w:tc>
        <w:tc>
          <w:tcPr>
            <w:tcW w:w="7087" w:type="dxa"/>
          </w:tcPr>
          <w:p w14:paraId="3D3944F7" w14:textId="77777777" w:rsidR="00D242B9" w:rsidRPr="00CD729C" w:rsidRDefault="00D242B9" w:rsidP="009B4BB6">
            <w:pPr>
              <w:keepNext/>
              <w:widowControl w:val="0"/>
              <w:spacing w:line="240" w:lineRule="auto"/>
              <w:rPr>
                <w:color w:val="000000"/>
                <w:szCs w:val="22"/>
              </w:rPr>
            </w:pPr>
            <w:r w:rsidRPr="00CD729C">
              <w:rPr>
                <w:color w:val="000000"/>
                <w:szCs w:val="22"/>
              </w:rPr>
              <w:t>Bezmiegs</w:t>
            </w:r>
          </w:p>
        </w:tc>
      </w:tr>
      <w:tr w:rsidR="00D242B9" w:rsidRPr="00CD729C" w14:paraId="3D3944FB" w14:textId="77777777" w:rsidTr="009B4BB6">
        <w:trPr>
          <w:cantSplit/>
        </w:trPr>
        <w:tc>
          <w:tcPr>
            <w:tcW w:w="2235" w:type="dxa"/>
          </w:tcPr>
          <w:p w14:paraId="3D3944F9" w14:textId="77777777" w:rsidR="00D242B9" w:rsidRPr="00CD729C" w:rsidRDefault="00D242B9" w:rsidP="009B4BB6">
            <w:pPr>
              <w:keepNext/>
              <w:widowControl w:val="0"/>
              <w:spacing w:line="240" w:lineRule="auto"/>
              <w:rPr>
                <w:i/>
                <w:color w:val="000000"/>
                <w:szCs w:val="22"/>
              </w:rPr>
            </w:pPr>
            <w:r w:rsidRPr="00CD729C">
              <w:rPr>
                <w:i/>
                <w:color w:val="000000"/>
                <w:szCs w:val="22"/>
              </w:rPr>
              <w:t>Retāk</w:t>
            </w:r>
          </w:p>
        </w:tc>
        <w:tc>
          <w:tcPr>
            <w:tcW w:w="7087" w:type="dxa"/>
          </w:tcPr>
          <w:p w14:paraId="3D3944FA" w14:textId="77777777" w:rsidR="00D242B9" w:rsidRPr="00CD729C" w:rsidRDefault="00D242B9" w:rsidP="009B4BB6">
            <w:pPr>
              <w:keepNext/>
              <w:widowControl w:val="0"/>
              <w:spacing w:line="240" w:lineRule="auto"/>
              <w:rPr>
                <w:color w:val="000000"/>
                <w:szCs w:val="22"/>
              </w:rPr>
            </w:pPr>
            <w:r w:rsidRPr="00CD729C">
              <w:rPr>
                <w:color w:val="000000"/>
                <w:szCs w:val="22"/>
              </w:rPr>
              <w:t>Depresija, pavājināta dzimumtieksme, trauksme</w:t>
            </w:r>
          </w:p>
        </w:tc>
      </w:tr>
      <w:tr w:rsidR="00D242B9" w:rsidRPr="00CD729C" w14:paraId="3D3944FE" w14:textId="77777777" w:rsidTr="009B4BB6">
        <w:trPr>
          <w:cantSplit/>
        </w:trPr>
        <w:tc>
          <w:tcPr>
            <w:tcW w:w="2235" w:type="dxa"/>
          </w:tcPr>
          <w:p w14:paraId="3D3944FC" w14:textId="77777777" w:rsidR="00D242B9" w:rsidRPr="00CD729C" w:rsidRDefault="00D242B9" w:rsidP="009B4BB6">
            <w:pPr>
              <w:widowControl w:val="0"/>
              <w:spacing w:line="240" w:lineRule="auto"/>
              <w:rPr>
                <w:i/>
                <w:color w:val="000000"/>
                <w:szCs w:val="22"/>
              </w:rPr>
            </w:pPr>
            <w:r w:rsidRPr="00CD729C">
              <w:rPr>
                <w:i/>
                <w:color w:val="000000"/>
                <w:szCs w:val="22"/>
              </w:rPr>
              <w:t>Reti</w:t>
            </w:r>
          </w:p>
        </w:tc>
        <w:tc>
          <w:tcPr>
            <w:tcW w:w="7087" w:type="dxa"/>
          </w:tcPr>
          <w:p w14:paraId="3D3944FD" w14:textId="77777777" w:rsidR="00D242B9" w:rsidRPr="00CD729C" w:rsidRDefault="00D242B9" w:rsidP="009B4BB6">
            <w:pPr>
              <w:widowControl w:val="0"/>
              <w:spacing w:line="240" w:lineRule="auto"/>
              <w:rPr>
                <w:color w:val="000000"/>
                <w:szCs w:val="22"/>
              </w:rPr>
            </w:pPr>
            <w:r w:rsidRPr="00CD729C">
              <w:rPr>
                <w:color w:val="000000"/>
                <w:szCs w:val="22"/>
              </w:rPr>
              <w:t>Apjukuma stāvoklis</w:t>
            </w:r>
          </w:p>
        </w:tc>
      </w:tr>
      <w:tr w:rsidR="00D242B9" w:rsidRPr="00CD729C" w14:paraId="3D394500" w14:textId="77777777" w:rsidTr="009B4BB6">
        <w:trPr>
          <w:cantSplit/>
        </w:trPr>
        <w:tc>
          <w:tcPr>
            <w:tcW w:w="9322" w:type="dxa"/>
            <w:gridSpan w:val="2"/>
          </w:tcPr>
          <w:p w14:paraId="3D3944FF" w14:textId="77777777" w:rsidR="00D242B9" w:rsidRPr="00CD729C" w:rsidRDefault="00D242B9" w:rsidP="009B4BB6">
            <w:pPr>
              <w:keepNext/>
              <w:widowControl w:val="0"/>
              <w:spacing w:line="240" w:lineRule="auto"/>
              <w:rPr>
                <w:color w:val="000000"/>
              </w:rPr>
            </w:pPr>
            <w:r w:rsidRPr="00CD729C">
              <w:rPr>
                <w:b/>
                <w:color w:val="000000"/>
                <w:szCs w:val="22"/>
              </w:rPr>
              <w:lastRenderedPageBreak/>
              <w:t>Nervu sistēmas traucējumi</w:t>
            </w:r>
          </w:p>
        </w:tc>
      </w:tr>
      <w:tr w:rsidR="00D242B9" w:rsidRPr="00CD729C" w14:paraId="3D394503" w14:textId="77777777" w:rsidTr="009B4BB6">
        <w:trPr>
          <w:cantSplit/>
        </w:trPr>
        <w:tc>
          <w:tcPr>
            <w:tcW w:w="2235" w:type="dxa"/>
          </w:tcPr>
          <w:p w14:paraId="3D394501" w14:textId="77777777" w:rsidR="00D242B9" w:rsidRPr="00CD729C" w:rsidRDefault="00D242B9" w:rsidP="009B4BB6">
            <w:pPr>
              <w:keepNext/>
              <w:widowControl w:val="0"/>
              <w:spacing w:line="240" w:lineRule="auto"/>
              <w:rPr>
                <w:color w:val="000000"/>
              </w:rPr>
            </w:pPr>
            <w:r w:rsidRPr="00CD729C">
              <w:rPr>
                <w:i/>
                <w:color w:val="000000"/>
                <w:szCs w:val="22"/>
              </w:rPr>
              <w:t>Ļoti bieži</w:t>
            </w:r>
          </w:p>
        </w:tc>
        <w:tc>
          <w:tcPr>
            <w:tcW w:w="7087" w:type="dxa"/>
          </w:tcPr>
          <w:p w14:paraId="3D394502" w14:textId="77777777" w:rsidR="00D242B9" w:rsidRPr="00CD729C" w:rsidRDefault="00D242B9" w:rsidP="009B4BB6">
            <w:pPr>
              <w:keepNext/>
              <w:widowControl w:val="0"/>
              <w:spacing w:line="240" w:lineRule="auto"/>
              <w:rPr>
                <w:color w:val="000000"/>
              </w:rPr>
            </w:pPr>
            <w:r w:rsidRPr="00CD729C">
              <w:rPr>
                <w:color w:val="000000"/>
                <w:szCs w:val="22"/>
              </w:rPr>
              <w:t>Galvassāpes</w:t>
            </w:r>
            <w:r w:rsidRPr="00CD729C">
              <w:rPr>
                <w:color w:val="000000"/>
                <w:szCs w:val="22"/>
                <w:vertAlign w:val="superscript"/>
              </w:rPr>
              <w:t>2</w:t>
            </w:r>
          </w:p>
        </w:tc>
      </w:tr>
      <w:tr w:rsidR="00D242B9" w:rsidRPr="00CD729C" w14:paraId="3D394506" w14:textId="77777777" w:rsidTr="009B4BB6">
        <w:trPr>
          <w:cantSplit/>
        </w:trPr>
        <w:tc>
          <w:tcPr>
            <w:tcW w:w="2235" w:type="dxa"/>
          </w:tcPr>
          <w:p w14:paraId="3D394504" w14:textId="77777777" w:rsidR="00D242B9" w:rsidRPr="00CD729C" w:rsidRDefault="00D242B9" w:rsidP="009B4BB6">
            <w:pPr>
              <w:keepNext/>
              <w:widowControl w:val="0"/>
              <w:spacing w:line="240" w:lineRule="auto"/>
              <w:rPr>
                <w:color w:val="000000"/>
              </w:rPr>
            </w:pPr>
            <w:r w:rsidRPr="00CD729C">
              <w:rPr>
                <w:i/>
                <w:color w:val="000000"/>
                <w:szCs w:val="22"/>
              </w:rPr>
              <w:t>Bieži</w:t>
            </w:r>
          </w:p>
        </w:tc>
        <w:tc>
          <w:tcPr>
            <w:tcW w:w="7087" w:type="dxa"/>
          </w:tcPr>
          <w:p w14:paraId="3D394505" w14:textId="77777777" w:rsidR="00D242B9" w:rsidRPr="00CD729C" w:rsidRDefault="00D242B9" w:rsidP="009B4BB6">
            <w:pPr>
              <w:keepNext/>
              <w:widowControl w:val="0"/>
              <w:spacing w:line="240" w:lineRule="auto"/>
              <w:rPr>
                <w:color w:val="000000"/>
                <w:szCs w:val="22"/>
              </w:rPr>
            </w:pPr>
            <w:r w:rsidRPr="00CD729C">
              <w:rPr>
                <w:color w:val="000000"/>
                <w:szCs w:val="22"/>
              </w:rPr>
              <w:t>Reibonis, parestēzija, garšas sajūtas izmaiņas, jušanas traucējumi</w:t>
            </w:r>
          </w:p>
        </w:tc>
      </w:tr>
      <w:tr w:rsidR="00D242B9" w:rsidRPr="00CD729C" w14:paraId="3D394509" w14:textId="77777777" w:rsidTr="009B4BB6">
        <w:trPr>
          <w:cantSplit/>
        </w:trPr>
        <w:tc>
          <w:tcPr>
            <w:tcW w:w="2235" w:type="dxa"/>
          </w:tcPr>
          <w:p w14:paraId="3D394507" w14:textId="77777777" w:rsidR="00D242B9" w:rsidRPr="00CD729C" w:rsidRDefault="00D242B9" w:rsidP="009B4BB6">
            <w:pPr>
              <w:keepNext/>
              <w:widowControl w:val="0"/>
              <w:spacing w:line="240" w:lineRule="auto"/>
              <w:rPr>
                <w:color w:val="000000"/>
              </w:rPr>
            </w:pPr>
            <w:r w:rsidRPr="00CD729C">
              <w:rPr>
                <w:i/>
                <w:color w:val="000000"/>
                <w:szCs w:val="22"/>
              </w:rPr>
              <w:t>Retāk</w:t>
            </w:r>
          </w:p>
        </w:tc>
        <w:tc>
          <w:tcPr>
            <w:tcW w:w="7087" w:type="dxa"/>
          </w:tcPr>
          <w:p w14:paraId="3D394508" w14:textId="77777777" w:rsidR="00D242B9" w:rsidRPr="00CD729C" w:rsidRDefault="00D242B9" w:rsidP="009B4BB6">
            <w:pPr>
              <w:keepNext/>
              <w:widowControl w:val="0"/>
              <w:spacing w:line="240" w:lineRule="auto"/>
              <w:rPr>
                <w:color w:val="000000"/>
              </w:rPr>
            </w:pPr>
            <w:r w:rsidRPr="00CD729C">
              <w:rPr>
                <w:color w:val="000000"/>
                <w:szCs w:val="22"/>
              </w:rPr>
              <w:t>Migrēna, miegainība, sinkope, perifēra neiropātija, atmiņas traucējumi, sēžas nerva iekaisums, nemierīgo kāju sindroms, trīce, asinsizplūdums smadzenēs</w:t>
            </w:r>
          </w:p>
        </w:tc>
      </w:tr>
      <w:tr w:rsidR="00D242B9" w:rsidRPr="00CD729C" w14:paraId="3D39450C" w14:textId="77777777" w:rsidTr="009B4BB6">
        <w:trPr>
          <w:cantSplit/>
        </w:trPr>
        <w:tc>
          <w:tcPr>
            <w:tcW w:w="2235" w:type="dxa"/>
          </w:tcPr>
          <w:p w14:paraId="3D39450A" w14:textId="77777777" w:rsidR="00D242B9" w:rsidRPr="00CD729C" w:rsidRDefault="00D242B9" w:rsidP="009B4BB6">
            <w:pPr>
              <w:keepNext/>
              <w:widowControl w:val="0"/>
              <w:spacing w:line="240" w:lineRule="auto"/>
              <w:rPr>
                <w:color w:val="000000"/>
              </w:rPr>
            </w:pPr>
            <w:r w:rsidRPr="00CD729C">
              <w:rPr>
                <w:i/>
                <w:color w:val="000000"/>
                <w:szCs w:val="22"/>
              </w:rPr>
              <w:t>Reti</w:t>
            </w:r>
          </w:p>
        </w:tc>
        <w:tc>
          <w:tcPr>
            <w:tcW w:w="7087" w:type="dxa"/>
          </w:tcPr>
          <w:p w14:paraId="3D39450B" w14:textId="77777777" w:rsidR="00D242B9" w:rsidRPr="00CD729C" w:rsidRDefault="00D242B9" w:rsidP="009B4BB6">
            <w:pPr>
              <w:keepNext/>
              <w:widowControl w:val="0"/>
              <w:spacing w:line="240" w:lineRule="auto"/>
              <w:rPr>
                <w:color w:val="000000"/>
                <w:szCs w:val="22"/>
              </w:rPr>
            </w:pPr>
            <w:r w:rsidRPr="00CD729C">
              <w:rPr>
                <w:color w:val="000000"/>
                <w:szCs w:val="22"/>
              </w:rPr>
              <w:t>Paaugstināts intrakraniālais spiediens, krampji, redzes nerva iekaisums</w:t>
            </w:r>
          </w:p>
        </w:tc>
      </w:tr>
      <w:tr w:rsidR="00D242B9" w:rsidRPr="00CD729C" w14:paraId="3D39450F" w14:textId="77777777" w:rsidTr="009B4BB6">
        <w:trPr>
          <w:cantSplit/>
        </w:trPr>
        <w:tc>
          <w:tcPr>
            <w:tcW w:w="2235" w:type="dxa"/>
          </w:tcPr>
          <w:p w14:paraId="3D39450D" w14:textId="77777777" w:rsidR="00D242B9" w:rsidRPr="00CD729C" w:rsidRDefault="00D242B9" w:rsidP="009B4BB6">
            <w:pPr>
              <w:widowControl w:val="0"/>
              <w:spacing w:line="240" w:lineRule="auto"/>
              <w:rPr>
                <w:i/>
                <w:color w:val="000000"/>
                <w:szCs w:val="22"/>
              </w:rPr>
            </w:pPr>
            <w:r w:rsidRPr="00CD729C">
              <w:rPr>
                <w:i/>
                <w:color w:val="000000"/>
                <w:szCs w:val="22"/>
              </w:rPr>
              <w:t>Nav zināmi</w:t>
            </w:r>
          </w:p>
        </w:tc>
        <w:tc>
          <w:tcPr>
            <w:tcW w:w="7087" w:type="dxa"/>
          </w:tcPr>
          <w:p w14:paraId="3D39450E" w14:textId="77777777" w:rsidR="00D242B9" w:rsidRPr="00CD729C" w:rsidRDefault="005719AE" w:rsidP="009B4BB6">
            <w:pPr>
              <w:widowControl w:val="0"/>
              <w:spacing w:line="240" w:lineRule="auto"/>
              <w:rPr>
                <w:color w:val="000000"/>
                <w:szCs w:val="22"/>
              </w:rPr>
            </w:pPr>
            <w:r w:rsidRPr="00CD729C">
              <w:rPr>
                <w:color w:val="000000"/>
                <w:szCs w:val="22"/>
              </w:rPr>
              <w:t>Smadzeņu tūska*</w:t>
            </w:r>
          </w:p>
        </w:tc>
      </w:tr>
      <w:tr w:rsidR="00D242B9" w:rsidRPr="00CD729C" w14:paraId="3D394511" w14:textId="77777777" w:rsidTr="009B4BB6">
        <w:trPr>
          <w:cantSplit/>
        </w:trPr>
        <w:tc>
          <w:tcPr>
            <w:tcW w:w="9322" w:type="dxa"/>
            <w:gridSpan w:val="2"/>
          </w:tcPr>
          <w:p w14:paraId="3D394510" w14:textId="77777777" w:rsidR="00D242B9" w:rsidRPr="00CD729C" w:rsidRDefault="00D242B9" w:rsidP="009B4BB6">
            <w:pPr>
              <w:keepNext/>
              <w:widowControl w:val="0"/>
              <w:spacing w:line="240" w:lineRule="auto"/>
              <w:rPr>
                <w:color w:val="000000"/>
              </w:rPr>
            </w:pPr>
            <w:r w:rsidRPr="00CD729C">
              <w:rPr>
                <w:b/>
                <w:color w:val="000000"/>
                <w:szCs w:val="22"/>
              </w:rPr>
              <w:t>Acu bojājumi</w:t>
            </w:r>
          </w:p>
        </w:tc>
      </w:tr>
      <w:tr w:rsidR="00D242B9" w:rsidRPr="00CD729C" w14:paraId="3D394514" w14:textId="77777777" w:rsidTr="009B4BB6">
        <w:trPr>
          <w:cantSplit/>
        </w:trPr>
        <w:tc>
          <w:tcPr>
            <w:tcW w:w="2235" w:type="dxa"/>
          </w:tcPr>
          <w:p w14:paraId="3D394512" w14:textId="77777777" w:rsidR="00D242B9" w:rsidRPr="00CD729C" w:rsidRDefault="00D242B9" w:rsidP="009B4BB6">
            <w:pPr>
              <w:keepNext/>
              <w:widowControl w:val="0"/>
              <w:spacing w:line="240" w:lineRule="auto"/>
              <w:rPr>
                <w:color w:val="000000"/>
              </w:rPr>
            </w:pPr>
            <w:r w:rsidRPr="00CD729C">
              <w:rPr>
                <w:i/>
                <w:color w:val="000000"/>
                <w:szCs w:val="22"/>
              </w:rPr>
              <w:t>Bieži</w:t>
            </w:r>
          </w:p>
        </w:tc>
        <w:tc>
          <w:tcPr>
            <w:tcW w:w="7087" w:type="dxa"/>
          </w:tcPr>
          <w:p w14:paraId="3D394513" w14:textId="77777777" w:rsidR="00D242B9" w:rsidRPr="00CD729C" w:rsidRDefault="00D242B9" w:rsidP="009B4BB6">
            <w:pPr>
              <w:keepNext/>
              <w:widowControl w:val="0"/>
              <w:spacing w:line="240" w:lineRule="auto"/>
              <w:rPr>
                <w:color w:val="000000"/>
              </w:rPr>
            </w:pPr>
            <w:r w:rsidRPr="00CD729C">
              <w:rPr>
                <w:color w:val="000000"/>
                <w:szCs w:val="22"/>
              </w:rPr>
              <w:t>Plakstiņu pietūkums, pastiprināta asarošana, konjunktīvas asiņošana, konjunktivīts, sausas acis, neskaidra redze</w:t>
            </w:r>
          </w:p>
        </w:tc>
      </w:tr>
      <w:tr w:rsidR="00D242B9" w:rsidRPr="00CD729C" w14:paraId="3D394517" w14:textId="77777777" w:rsidTr="009B4BB6">
        <w:trPr>
          <w:cantSplit/>
        </w:trPr>
        <w:tc>
          <w:tcPr>
            <w:tcW w:w="2235" w:type="dxa"/>
          </w:tcPr>
          <w:p w14:paraId="3D394515" w14:textId="77777777" w:rsidR="00D242B9" w:rsidRPr="00CD729C" w:rsidRDefault="00D242B9" w:rsidP="009B4BB6">
            <w:pPr>
              <w:keepNext/>
              <w:widowControl w:val="0"/>
              <w:spacing w:line="240" w:lineRule="auto"/>
              <w:rPr>
                <w:color w:val="000000"/>
              </w:rPr>
            </w:pPr>
            <w:r w:rsidRPr="00CD729C">
              <w:rPr>
                <w:i/>
                <w:color w:val="000000"/>
                <w:szCs w:val="22"/>
              </w:rPr>
              <w:t>Retāk</w:t>
            </w:r>
          </w:p>
        </w:tc>
        <w:tc>
          <w:tcPr>
            <w:tcW w:w="7087" w:type="dxa"/>
          </w:tcPr>
          <w:p w14:paraId="3D394516" w14:textId="77777777" w:rsidR="00D242B9" w:rsidRPr="00CD729C" w:rsidRDefault="00D242B9" w:rsidP="009B4BB6">
            <w:pPr>
              <w:keepNext/>
              <w:widowControl w:val="0"/>
              <w:spacing w:line="240" w:lineRule="auto"/>
              <w:rPr>
                <w:color w:val="000000"/>
              </w:rPr>
            </w:pPr>
            <w:r w:rsidRPr="00CD729C">
              <w:rPr>
                <w:color w:val="000000"/>
                <w:szCs w:val="22"/>
              </w:rPr>
              <w:t>Acu kairinājums, sāpes acīs, orbītas tūska, sklēras asiņošana, tīklenes asiņošana, blefarīts, makulāra tūska</w:t>
            </w:r>
          </w:p>
        </w:tc>
      </w:tr>
      <w:tr w:rsidR="00D242B9" w:rsidRPr="00CD729C" w14:paraId="3D39451A" w14:textId="77777777" w:rsidTr="009B4BB6">
        <w:trPr>
          <w:cantSplit/>
        </w:trPr>
        <w:tc>
          <w:tcPr>
            <w:tcW w:w="2235" w:type="dxa"/>
          </w:tcPr>
          <w:p w14:paraId="3D394518" w14:textId="77777777" w:rsidR="00D242B9" w:rsidRPr="00CD729C" w:rsidRDefault="00D242B9" w:rsidP="009B4BB6">
            <w:pPr>
              <w:keepNext/>
              <w:widowControl w:val="0"/>
              <w:spacing w:line="240" w:lineRule="auto"/>
              <w:rPr>
                <w:color w:val="000000"/>
              </w:rPr>
            </w:pPr>
            <w:r w:rsidRPr="00CD729C">
              <w:rPr>
                <w:i/>
                <w:color w:val="000000"/>
                <w:szCs w:val="22"/>
              </w:rPr>
              <w:t>Reti</w:t>
            </w:r>
          </w:p>
        </w:tc>
        <w:tc>
          <w:tcPr>
            <w:tcW w:w="7087" w:type="dxa"/>
          </w:tcPr>
          <w:p w14:paraId="3D394519" w14:textId="77777777" w:rsidR="00D242B9" w:rsidRPr="00CD729C" w:rsidRDefault="00D242B9" w:rsidP="009B4BB6">
            <w:pPr>
              <w:keepNext/>
              <w:widowControl w:val="0"/>
              <w:spacing w:line="240" w:lineRule="auto"/>
              <w:rPr>
                <w:color w:val="000000"/>
              </w:rPr>
            </w:pPr>
            <w:r w:rsidRPr="00CD729C">
              <w:rPr>
                <w:color w:val="000000"/>
                <w:szCs w:val="22"/>
              </w:rPr>
              <w:t>Katarakta, glaukoma, papillas tūska</w:t>
            </w:r>
          </w:p>
        </w:tc>
      </w:tr>
      <w:tr w:rsidR="00D242B9" w:rsidRPr="00CD729C" w14:paraId="3D39451D" w14:textId="77777777" w:rsidTr="009B4BB6">
        <w:trPr>
          <w:cantSplit/>
        </w:trPr>
        <w:tc>
          <w:tcPr>
            <w:tcW w:w="2235" w:type="dxa"/>
          </w:tcPr>
          <w:p w14:paraId="3D39451B" w14:textId="77777777" w:rsidR="00D242B9" w:rsidRPr="00CD729C" w:rsidRDefault="00D242B9" w:rsidP="009B4BB6">
            <w:pPr>
              <w:widowControl w:val="0"/>
              <w:spacing w:line="240" w:lineRule="auto"/>
              <w:rPr>
                <w:i/>
                <w:color w:val="000000"/>
                <w:szCs w:val="22"/>
              </w:rPr>
            </w:pPr>
            <w:r w:rsidRPr="00CD729C">
              <w:rPr>
                <w:i/>
                <w:color w:val="000000"/>
                <w:szCs w:val="22"/>
              </w:rPr>
              <w:t>Nav zināmi</w:t>
            </w:r>
          </w:p>
        </w:tc>
        <w:tc>
          <w:tcPr>
            <w:tcW w:w="7087" w:type="dxa"/>
          </w:tcPr>
          <w:p w14:paraId="3D39451C" w14:textId="77777777" w:rsidR="00D242B9" w:rsidRPr="00CD729C" w:rsidRDefault="005719AE" w:rsidP="009B4BB6">
            <w:pPr>
              <w:widowControl w:val="0"/>
              <w:spacing w:line="240" w:lineRule="auto"/>
              <w:rPr>
                <w:color w:val="000000"/>
                <w:szCs w:val="22"/>
              </w:rPr>
            </w:pPr>
            <w:r w:rsidRPr="00CD729C">
              <w:rPr>
                <w:color w:val="000000"/>
                <w:szCs w:val="22"/>
              </w:rPr>
              <w:t>Stiklveida ķermeņa asiņošana*</w:t>
            </w:r>
          </w:p>
        </w:tc>
      </w:tr>
      <w:tr w:rsidR="00D242B9" w:rsidRPr="00CD729C" w14:paraId="3D39451F" w14:textId="77777777" w:rsidTr="009B4BB6">
        <w:trPr>
          <w:cantSplit/>
        </w:trPr>
        <w:tc>
          <w:tcPr>
            <w:tcW w:w="9322" w:type="dxa"/>
            <w:gridSpan w:val="2"/>
          </w:tcPr>
          <w:p w14:paraId="3D39451E" w14:textId="77777777" w:rsidR="00D242B9" w:rsidRPr="00CD729C" w:rsidRDefault="00D242B9" w:rsidP="009B4BB6">
            <w:pPr>
              <w:keepNext/>
              <w:widowControl w:val="0"/>
              <w:spacing w:line="240" w:lineRule="auto"/>
              <w:rPr>
                <w:color w:val="000000"/>
              </w:rPr>
            </w:pPr>
            <w:r w:rsidRPr="00CD729C">
              <w:rPr>
                <w:b/>
                <w:color w:val="000000"/>
                <w:szCs w:val="22"/>
              </w:rPr>
              <w:t>Ausu un labirinta bojājumi</w:t>
            </w:r>
          </w:p>
        </w:tc>
      </w:tr>
      <w:tr w:rsidR="00D242B9" w:rsidRPr="00CD729C" w14:paraId="3D394522" w14:textId="77777777" w:rsidTr="009B4BB6">
        <w:trPr>
          <w:cantSplit/>
        </w:trPr>
        <w:tc>
          <w:tcPr>
            <w:tcW w:w="2235" w:type="dxa"/>
          </w:tcPr>
          <w:p w14:paraId="3D394520" w14:textId="77777777" w:rsidR="00D242B9" w:rsidRPr="00CD729C" w:rsidRDefault="00D242B9" w:rsidP="009B4BB6">
            <w:pPr>
              <w:widowControl w:val="0"/>
              <w:spacing w:line="240" w:lineRule="auto"/>
              <w:rPr>
                <w:color w:val="000000"/>
              </w:rPr>
            </w:pPr>
            <w:r w:rsidRPr="00CD729C">
              <w:rPr>
                <w:i/>
                <w:color w:val="000000"/>
                <w:szCs w:val="22"/>
              </w:rPr>
              <w:t>Retāk</w:t>
            </w:r>
          </w:p>
        </w:tc>
        <w:tc>
          <w:tcPr>
            <w:tcW w:w="7087" w:type="dxa"/>
          </w:tcPr>
          <w:p w14:paraId="3D394521" w14:textId="77777777" w:rsidR="00D242B9" w:rsidRPr="00CD729C" w:rsidRDefault="00D242B9" w:rsidP="009B4BB6">
            <w:pPr>
              <w:widowControl w:val="0"/>
              <w:spacing w:line="240" w:lineRule="auto"/>
              <w:rPr>
                <w:color w:val="000000"/>
              </w:rPr>
            </w:pPr>
            <w:r w:rsidRPr="00CD729C">
              <w:rPr>
                <w:i/>
                <w:color w:val="000000"/>
                <w:szCs w:val="22"/>
              </w:rPr>
              <w:t>Vertigo</w:t>
            </w:r>
            <w:r w:rsidRPr="00CD729C">
              <w:rPr>
                <w:color w:val="000000"/>
                <w:szCs w:val="22"/>
              </w:rPr>
              <w:t>, troksnis ausīs, dzirdes zudums</w:t>
            </w:r>
          </w:p>
        </w:tc>
      </w:tr>
      <w:tr w:rsidR="00D242B9" w:rsidRPr="00CD729C" w14:paraId="3D394524" w14:textId="77777777" w:rsidTr="009B4BB6">
        <w:trPr>
          <w:cantSplit/>
        </w:trPr>
        <w:tc>
          <w:tcPr>
            <w:tcW w:w="9322" w:type="dxa"/>
            <w:gridSpan w:val="2"/>
          </w:tcPr>
          <w:p w14:paraId="3D394523" w14:textId="77777777" w:rsidR="00D242B9" w:rsidRPr="00CD729C" w:rsidRDefault="00D242B9" w:rsidP="009B4BB6">
            <w:pPr>
              <w:keepNext/>
              <w:widowControl w:val="0"/>
              <w:spacing w:line="240" w:lineRule="auto"/>
              <w:rPr>
                <w:b/>
                <w:bCs/>
                <w:i/>
                <w:color w:val="000000"/>
                <w:szCs w:val="22"/>
              </w:rPr>
            </w:pPr>
            <w:r w:rsidRPr="00CD729C">
              <w:rPr>
                <w:b/>
                <w:bCs/>
                <w:szCs w:val="22"/>
              </w:rPr>
              <w:t>Sirds funkcijas traucējumi</w:t>
            </w:r>
          </w:p>
        </w:tc>
      </w:tr>
      <w:tr w:rsidR="00D242B9" w:rsidRPr="00CD729C" w14:paraId="3D394527" w14:textId="77777777" w:rsidTr="009B4BB6">
        <w:trPr>
          <w:cantSplit/>
        </w:trPr>
        <w:tc>
          <w:tcPr>
            <w:tcW w:w="2235" w:type="dxa"/>
          </w:tcPr>
          <w:p w14:paraId="3D394525" w14:textId="77777777" w:rsidR="00D242B9" w:rsidRPr="00CD729C" w:rsidRDefault="00D242B9" w:rsidP="009B4BB6">
            <w:pPr>
              <w:keepNext/>
              <w:widowControl w:val="0"/>
              <w:spacing w:line="240" w:lineRule="auto"/>
              <w:rPr>
                <w:i/>
                <w:color w:val="000000"/>
                <w:szCs w:val="22"/>
              </w:rPr>
            </w:pPr>
            <w:r w:rsidRPr="00CD729C">
              <w:rPr>
                <w:i/>
                <w:color w:val="000000"/>
                <w:szCs w:val="22"/>
              </w:rPr>
              <w:t>Retāk</w:t>
            </w:r>
          </w:p>
        </w:tc>
        <w:tc>
          <w:tcPr>
            <w:tcW w:w="7087" w:type="dxa"/>
          </w:tcPr>
          <w:p w14:paraId="3D394526" w14:textId="77777777" w:rsidR="00D242B9" w:rsidRPr="00CD729C" w:rsidRDefault="00D242B9" w:rsidP="009B4BB6">
            <w:pPr>
              <w:keepNext/>
              <w:widowControl w:val="0"/>
              <w:spacing w:line="240" w:lineRule="auto"/>
              <w:rPr>
                <w:i/>
                <w:color w:val="000000"/>
                <w:szCs w:val="22"/>
              </w:rPr>
            </w:pPr>
            <w:r w:rsidRPr="00CD729C">
              <w:rPr>
                <w:color w:val="000000"/>
                <w:szCs w:val="22"/>
              </w:rPr>
              <w:t>Sirdsklauves, tahikardija, sastrēguma sirds mazspēja</w:t>
            </w:r>
            <w:r w:rsidRPr="00CD729C">
              <w:rPr>
                <w:color w:val="000000"/>
                <w:szCs w:val="22"/>
                <w:vertAlign w:val="superscript"/>
              </w:rPr>
              <w:t>3</w:t>
            </w:r>
            <w:r w:rsidRPr="00CD729C">
              <w:rPr>
                <w:color w:val="000000"/>
                <w:szCs w:val="22"/>
              </w:rPr>
              <w:t>, plaušu tūska</w:t>
            </w:r>
          </w:p>
        </w:tc>
      </w:tr>
      <w:tr w:rsidR="00D242B9" w:rsidRPr="00CD729C" w14:paraId="3D39452A" w14:textId="77777777" w:rsidTr="009B4BB6">
        <w:trPr>
          <w:cantSplit/>
        </w:trPr>
        <w:tc>
          <w:tcPr>
            <w:tcW w:w="2235" w:type="dxa"/>
          </w:tcPr>
          <w:p w14:paraId="3D394528" w14:textId="77777777" w:rsidR="00D242B9" w:rsidRPr="00CD729C" w:rsidRDefault="00D242B9" w:rsidP="009B4BB6">
            <w:pPr>
              <w:keepNext/>
              <w:widowControl w:val="0"/>
              <w:spacing w:line="240" w:lineRule="auto"/>
              <w:rPr>
                <w:i/>
                <w:color w:val="000000"/>
                <w:szCs w:val="22"/>
              </w:rPr>
            </w:pPr>
            <w:r w:rsidRPr="00CD729C">
              <w:rPr>
                <w:i/>
                <w:color w:val="000000"/>
                <w:szCs w:val="22"/>
              </w:rPr>
              <w:t>Reti</w:t>
            </w:r>
          </w:p>
        </w:tc>
        <w:tc>
          <w:tcPr>
            <w:tcW w:w="7087" w:type="dxa"/>
          </w:tcPr>
          <w:p w14:paraId="3D394529" w14:textId="77777777" w:rsidR="00D242B9" w:rsidRPr="00CD729C" w:rsidRDefault="00D242B9" w:rsidP="009B4BB6">
            <w:pPr>
              <w:keepNext/>
              <w:widowControl w:val="0"/>
              <w:spacing w:line="240" w:lineRule="auto"/>
              <w:rPr>
                <w:i/>
                <w:color w:val="000000"/>
                <w:szCs w:val="22"/>
              </w:rPr>
            </w:pPr>
            <w:r w:rsidRPr="00CD729C">
              <w:rPr>
                <w:color w:val="000000"/>
                <w:szCs w:val="22"/>
              </w:rPr>
              <w:t>Aritmija, priekškambaru mirdzēšana, sirds apstāšanās, miokarda infarkts, stenokardija, izsvīdums perikardā</w:t>
            </w:r>
          </w:p>
        </w:tc>
      </w:tr>
      <w:tr w:rsidR="00D242B9" w:rsidRPr="00CD729C" w14:paraId="3D39452D" w14:textId="77777777" w:rsidTr="009B4BB6">
        <w:trPr>
          <w:cantSplit/>
        </w:trPr>
        <w:tc>
          <w:tcPr>
            <w:tcW w:w="2235" w:type="dxa"/>
          </w:tcPr>
          <w:p w14:paraId="3D39452B" w14:textId="77777777" w:rsidR="00D242B9" w:rsidRPr="00CD729C" w:rsidRDefault="00D242B9" w:rsidP="009B4BB6">
            <w:pPr>
              <w:widowControl w:val="0"/>
              <w:spacing w:line="240" w:lineRule="auto"/>
              <w:rPr>
                <w:i/>
                <w:color w:val="000000"/>
                <w:szCs w:val="22"/>
              </w:rPr>
            </w:pPr>
            <w:r w:rsidRPr="00CD729C">
              <w:rPr>
                <w:i/>
                <w:color w:val="000000"/>
                <w:szCs w:val="22"/>
              </w:rPr>
              <w:t>Nav zināmi</w:t>
            </w:r>
          </w:p>
        </w:tc>
        <w:tc>
          <w:tcPr>
            <w:tcW w:w="7087" w:type="dxa"/>
          </w:tcPr>
          <w:p w14:paraId="3D39452C" w14:textId="77777777" w:rsidR="00D242B9" w:rsidRPr="00CD729C" w:rsidRDefault="005719AE" w:rsidP="009B4BB6">
            <w:pPr>
              <w:widowControl w:val="0"/>
              <w:spacing w:line="240" w:lineRule="auto"/>
              <w:rPr>
                <w:color w:val="000000"/>
                <w:szCs w:val="22"/>
              </w:rPr>
            </w:pPr>
            <w:r w:rsidRPr="00CD729C">
              <w:rPr>
                <w:color w:val="000000"/>
                <w:szCs w:val="22"/>
              </w:rPr>
              <w:t>Perikardīts*, sirds tamponāde*</w:t>
            </w:r>
          </w:p>
        </w:tc>
      </w:tr>
      <w:tr w:rsidR="00D242B9" w:rsidRPr="00CD729C" w14:paraId="3D39452F" w14:textId="77777777" w:rsidTr="009B4BB6">
        <w:trPr>
          <w:cantSplit/>
        </w:trPr>
        <w:tc>
          <w:tcPr>
            <w:tcW w:w="9322" w:type="dxa"/>
            <w:gridSpan w:val="2"/>
          </w:tcPr>
          <w:p w14:paraId="3D39452E" w14:textId="77777777" w:rsidR="00D242B9" w:rsidRPr="00CD729C" w:rsidRDefault="00D242B9" w:rsidP="009B4BB6">
            <w:pPr>
              <w:keepNext/>
              <w:widowControl w:val="0"/>
              <w:spacing w:line="240" w:lineRule="auto"/>
              <w:rPr>
                <w:b/>
                <w:bCs/>
                <w:i/>
                <w:color w:val="000000"/>
                <w:szCs w:val="22"/>
              </w:rPr>
            </w:pPr>
            <w:r w:rsidRPr="00CD729C">
              <w:rPr>
                <w:b/>
                <w:bCs/>
                <w:szCs w:val="22"/>
              </w:rPr>
              <w:t>Asinsvadu sistēmas traucējumi</w:t>
            </w:r>
            <w:r w:rsidRPr="00CD729C">
              <w:rPr>
                <w:b/>
                <w:color w:val="000000"/>
                <w:szCs w:val="22"/>
                <w:vertAlign w:val="superscript"/>
              </w:rPr>
              <w:t>4</w:t>
            </w:r>
          </w:p>
        </w:tc>
      </w:tr>
      <w:tr w:rsidR="00D242B9" w:rsidRPr="00CD729C" w14:paraId="3D394532" w14:textId="77777777" w:rsidTr="009B4BB6">
        <w:trPr>
          <w:cantSplit/>
        </w:trPr>
        <w:tc>
          <w:tcPr>
            <w:tcW w:w="2235" w:type="dxa"/>
          </w:tcPr>
          <w:p w14:paraId="3D394530" w14:textId="77777777" w:rsidR="00D242B9" w:rsidRPr="00CD729C" w:rsidRDefault="00D242B9" w:rsidP="009B4BB6">
            <w:pPr>
              <w:keepNext/>
              <w:widowControl w:val="0"/>
              <w:spacing w:line="240" w:lineRule="auto"/>
              <w:rPr>
                <w:i/>
                <w:color w:val="000000"/>
                <w:szCs w:val="22"/>
              </w:rPr>
            </w:pPr>
            <w:r w:rsidRPr="00CD729C">
              <w:rPr>
                <w:i/>
                <w:color w:val="000000"/>
                <w:szCs w:val="22"/>
              </w:rPr>
              <w:t>Bieži</w:t>
            </w:r>
          </w:p>
        </w:tc>
        <w:tc>
          <w:tcPr>
            <w:tcW w:w="7087" w:type="dxa"/>
          </w:tcPr>
          <w:p w14:paraId="3D394531" w14:textId="77777777" w:rsidR="00D242B9" w:rsidRPr="00CD729C" w:rsidRDefault="00D242B9" w:rsidP="009B4BB6">
            <w:pPr>
              <w:keepNext/>
              <w:widowControl w:val="0"/>
              <w:spacing w:line="240" w:lineRule="auto"/>
              <w:rPr>
                <w:i/>
                <w:color w:val="000000"/>
                <w:szCs w:val="22"/>
              </w:rPr>
            </w:pPr>
            <w:r w:rsidRPr="00CD729C">
              <w:rPr>
                <w:color w:val="000000"/>
                <w:szCs w:val="22"/>
              </w:rPr>
              <w:t>Pietvīkums, asiņošana</w:t>
            </w:r>
          </w:p>
        </w:tc>
      </w:tr>
      <w:tr w:rsidR="00D242B9" w:rsidRPr="00CD729C" w14:paraId="3D394535" w14:textId="77777777" w:rsidTr="009B4BB6">
        <w:trPr>
          <w:cantSplit/>
        </w:trPr>
        <w:tc>
          <w:tcPr>
            <w:tcW w:w="2235" w:type="dxa"/>
          </w:tcPr>
          <w:p w14:paraId="3D394533" w14:textId="77777777" w:rsidR="00D242B9" w:rsidRPr="00CD729C" w:rsidRDefault="00D242B9" w:rsidP="009B4BB6">
            <w:pPr>
              <w:keepNext/>
              <w:widowControl w:val="0"/>
              <w:spacing w:line="240" w:lineRule="auto"/>
              <w:rPr>
                <w:i/>
                <w:color w:val="000000"/>
                <w:szCs w:val="22"/>
              </w:rPr>
            </w:pPr>
            <w:r w:rsidRPr="00CD729C">
              <w:rPr>
                <w:i/>
                <w:color w:val="000000"/>
                <w:szCs w:val="22"/>
              </w:rPr>
              <w:t>Retāk</w:t>
            </w:r>
          </w:p>
        </w:tc>
        <w:tc>
          <w:tcPr>
            <w:tcW w:w="7087" w:type="dxa"/>
          </w:tcPr>
          <w:p w14:paraId="3D394534" w14:textId="77777777" w:rsidR="00D242B9" w:rsidRPr="00CD729C" w:rsidRDefault="00D242B9" w:rsidP="009B4BB6">
            <w:pPr>
              <w:keepNext/>
              <w:widowControl w:val="0"/>
              <w:spacing w:line="240" w:lineRule="auto"/>
              <w:rPr>
                <w:i/>
                <w:color w:val="000000"/>
                <w:szCs w:val="22"/>
              </w:rPr>
            </w:pPr>
            <w:r w:rsidRPr="00CD729C">
              <w:rPr>
                <w:color w:val="000000"/>
                <w:szCs w:val="22"/>
              </w:rPr>
              <w:t>Hipertensija, hematoma, subdurāla hematoma, perifēro ķermeņa daļu salšanas sajūta, hipotensija, Reino sindroms</w:t>
            </w:r>
          </w:p>
        </w:tc>
      </w:tr>
      <w:tr w:rsidR="00D242B9" w:rsidRPr="00CD729C" w14:paraId="3D394538" w14:textId="77777777" w:rsidTr="009B4BB6">
        <w:trPr>
          <w:cantSplit/>
        </w:trPr>
        <w:tc>
          <w:tcPr>
            <w:tcW w:w="2235" w:type="dxa"/>
          </w:tcPr>
          <w:p w14:paraId="3D394536" w14:textId="77777777" w:rsidR="00D242B9" w:rsidRPr="00CD729C" w:rsidRDefault="00D242B9" w:rsidP="009B4BB6">
            <w:pPr>
              <w:widowControl w:val="0"/>
              <w:spacing w:line="240" w:lineRule="auto"/>
              <w:rPr>
                <w:i/>
                <w:color w:val="000000"/>
                <w:szCs w:val="22"/>
              </w:rPr>
            </w:pPr>
            <w:r w:rsidRPr="00CD729C">
              <w:rPr>
                <w:i/>
                <w:color w:val="000000"/>
                <w:szCs w:val="22"/>
              </w:rPr>
              <w:t>Nav zināmi</w:t>
            </w:r>
          </w:p>
        </w:tc>
        <w:tc>
          <w:tcPr>
            <w:tcW w:w="7087" w:type="dxa"/>
          </w:tcPr>
          <w:p w14:paraId="3D394537" w14:textId="77777777" w:rsidR="00D242B9" w:rsidRPr="00CD729C" w:rsidRDefault="005719AE" w:rsidP="009B4BB6">
            <w:pPr>
              <w:widowControl w:val="0"/>
              <w:spacing w:line="240" w:lineRule="auto"/>
              <w:rPr>
                <w:color w:val="000000"/>
                <w:szCs w:val="22"/>
              </w:rPr>
            </w:pPr>
            <w:r w:rsidRPr="00CD729C">
              <w:rPr>
                <w:color w:val="000000"/>
                <w:szCs w:val="22"/>
              </w:rPr>
              <w:t>Tromboze/embolija*</w:t>
            </w:r>
          </w:p>
        </w:tc>
      </w:tr>
      <w:tr w:rsidR="00D242B9" w:rsidRPr="00CD729C" w14:paraId="3D39453A" w14:textId="77777777" w:rsidTr="009B4BB6">
        <w:trPr>
          <w:cantSplit/>
        </w:trPr>
        <w:tc>
          <w:tcPr>
            <w:tcW w:w="9322" w:type="dxa"/>
            <w:gridSpan w:val="2"/>
          </w:tcPr>
          <w:p w14:paraId="3D394539" w14:textId="77777777" w:rsidR="00D242B9" w:rsidRPr="00CD729C" w:rsidRDefault="00D242B9" w:rsidP="009B4BB6">
            <w:pPr>
              <w:keepNext/>
              <w:widowControl w:val="0"/>
              <w:spacing w:line="240" w:lineRule="auto"/>
              <w:rPr>
                <w:color w:val="000000"/>
                <w:szCs w:val="22"/>
              </w:rPr>
            </w:pPr>
            <w:r w:rsidRPr="00CD729C">
              <w:rPr>
                <w:b/>
                <w:color w:val="000000"/>
                <w:szCs w:val="22"/>
              </w:rPr>
              <w:t>Elpošanas sistēmas traucējumi, krūšu kurvja un videnes slimības</w:t>
            </w:r>
          </w:p>
        </w:tc>
      </w:tr>
      <w:tr w:rsidR="00D242B9" w:rsidRPr="00CD729C" w14:paraId="3D39453D" w14:textId="77777777" w:rsidTr="009B4BB6">
        <w:trPr>
          <w:cantSplit/>
        </w:trPr>
        <w:tc>
          <w:tcPr>
            <w:tcW w:w="2235" w:type="dxa"/>
          </w:tcPr>
          <w:p w14:paraId="3D39453B" w14:textId="77777777" w:rsidR="00D242B9" w:rsidRPr="00CD729C" w:rsidRDefault="00D242B9" w:rsidP="009B4BB6">
            <w:pPr>
              <w:keepNext/>
              <w:widowControl w:val="0"/>
              <w:spacing w:line="240" w:lineRule="auto"/>
              <w:rPr>
                <w:color w:val="000000"/>
              </w:rPr>
            </w:pPr>
            <w:r w:rsidRPr="00CD729C">
              <w:rPr>
                <w:i/>
                <w:color w:val="000000"/>
                <w:szCs w:val="22"/>
              </w:rPr>
              <w:t>Bieži</w:t>
            </w:r>
          </w:p>
        </w:tc>
        <w:tc>
          <w:tcPr>
            <w:tcW w:w="7087" w:type="dxa"/>
          </w:tcPr>
          <w:p w14:paraId="3D39453C" w14:textId="77777777" w:rsidR="00D242B9" w:rsidRPr="00CD729C" w:rsidRDefault="00D242B9" w:rsidP="009B4BB6">
            <w:pPr>
              <w:keepNext/>
              <w:widowControl w:val="0"/>
              <w:spacing w:line="240" w:lineRule="auto"/>
              <w:rPr>
                <w:color w:val="000000"/>
              </w:rPr>
            </w:pPr>
            <w:r w:rsidRPr="00CD729C">
              <w:rPr>
                <w:color w:val="000000"/>
                <w:szCs w:val="22"/>
              </w:rPr>
              <w:t>Aizdusa, deguna asiņošana, klepus</w:t>
            </w:r>
          </w:p>
        </w:tc>
      </w:tr>
      <w:tr w:rsidR="00D242B9" w:rsidRPr="00CD729C" w14:paraId="3D394540" w14:textId="77777777" w:rsidTr="009B4BB6">
        <w:trPr>
          <w:cantSplit/>
        </w:trPr>
        <w:tc>
          <w:tcPr>
            <w:tcW w:w="2235" w:type="dxa"/>
          </w:tcPr>
          <w:p w14:paraId="3D39453E" w14:textId="77777777" w:rsidR="00D242B9" w:rsidRPr="00CD729C" w:rsidRDefault="00D242B9" w:rsidP="009B4BB6">
            <w:pPr>
              <w:keepNext/>
              <w:widowControl w:val="0"/>
              <w:spacing w:line="240" w:lineRule="auto"/>
              <w:rPr>
                <w:color w:val="000000"/>
              </w:rPr>
            </w:pPr>
            <w:r w:rsidRPr="00CD729C">
              <w:rPr>
                <w:i/>
                <w:color w:val="000000"/>
                <w:szCs w:val="22"/>
              </w:rPr>
              <w:t>Retāk</w:t>
            </w:r>
          </w:p>
        </w:tc>
        <w:tc>
          <w:tcPr>
            <w:tcW w:w="7087" w:type="dxa"/>
          </w:tcPr>
          <w:p w14:paraId="3D39453F" w14:textId="77777777" w:rsidR="00D242B9" w:rsidRPr="00CD729C" w:rsidRDefault="00D242B9" w:rsidP="009B4BB6">
            <w:pPr>
              <w:keepNext/>
              <w:widowControl w:val="0"/>
              <w:spacing w:line="240" w:lineRule="auto"/>
              <w:rPr>
                <w:color w:val="000000"/>
              </w:rPr>
            </w:pPr>
            <w:r w:rsidRPr="00CD729C">
              <w:rPr>
                <w:color w:val="000000"/>
                <w:szCs w:val="22"/>
              </w:rPr>
              <w:t>Izsvīdums pleirā</w:t>
            </w:r>
            <w:r w:rsidRPr="00CD729C">
              <w:rPr>
                <w:color w:val="000000"/>
                <w:szCs w:val="22"/>
                <w:vertAlign w:val="superscript"/>
              </w:rPr>
              <w:t>5</w:t>
            </w:r>
            <w:r w:rsidRPr="00CD729C">
              <w:rPr>
                <w:color w:val="000000"/>
                <w:szCs w:val="22"/>
              </w:rPr>
              <w:t>, sāpes rīklē un balsenē, faringīts</w:t>
            </w:r>
          </w:p>
        </w:tc>
      </w:tr>
      <w:tr w:rsidR="00D242B9" w:rsidRPr="00CD729C" w14:paraId="3D394543" w14:textId="77777777" w:rsidTr="009B4BB6">
        <w:trPr>
          <w:cantSplit/>
        </w:trPr>
        <w:tc>
          <w:tcPr>
            <w:tcW w:w="2235" w:type="dxa"/>
          </w:tcPr>
          <w:p w14:paraId="3D394541" w14:textId="77777777" w:rsidR="00D242B9" w:rsidRPr="00CD729C" w:rsidRDefault="00D242B9" w:rsidP="009B4BB6">
            <w:pPr>
              <w:keepNext/>
              <w:widowControl w:val="0"/>
              <w:spacing w:line="240" w:lineRule="auto"/>
              <w:rPr>
                <w:color w:val="000000"/>
              </w:rPr>
            </w:pPr>
            <w:r w:rsidRPr="00CD729C">
              <w:rPr>
                <w:i/>
                <w:color w:val="000000"/>
                <w:szCs w:val="22"/>
              </w:rPr>
              <w:t>Reti</w:t>
            </w:r>
          </w:p>
        </w:tc>
        <w:tc>
          <w:tcPr>
            <w:tcW w:w="7087" w:type="dxa"/>
          </w:tcPr>
          <w:p w14:paraId="3D394542" w14:textId="77777777" w:rsidR="00D242B9" w:rsidRPr="00CD729C" w:rsidRDefault="00D242B9" w:rsidP="009B4BB6">
            <w:pPr>
              <w:keepNext/>
              <w:widowControl w:val="0"/>
              <w:spacing w:line="240" w:lineRule="auto"/>
              <w:rPr>
                <w:color w:val="000000"/>
              </w:rPr>
            </w:pPr>
            <w:r w:rsidRPr="00CD729C">
              <w:rPr>
                <w:color w:val="000000"/>
                <w:szCs w:val="22"/>
              </w:rPr>
              <w:t>Pleiras sāpes, plaušu fibroze, pulmonāla hipertensija, plaušu asiņošana</w:t>
            </w:r>
          </w:p>
        </w:tc>
      </w:tr>
      <w:tr w:rsidR="005719AE" w:rsidRPr="00CD729C" w14:paraId="3D394546" w14:textId="77777777" w:rsidTr="009B4BB6">
        <w:trPr>
          <w:cantSplit/>
        </w:trPr>
        <w:tc>
          <w:tcPr>
            <w:tcW w:w="2235" w:type="dxa"/>
          </w:tcPr>
          <w:p w14:paraId="3D394544" w14:textId="77777777" w:rsidR="005719AE" w:rsidRPr="00CD729C" w:rsidRDefault="005719AE" w:rsidP="009B4BB6">
            <w:pPr>
              <w:widowControl w:val="0"/>
              <w:spacing w:line="240" w:lineRule="auto"/>
              <w:rPr>
                <w:i/>
                <w:color w:val="000000"/>
                <w:szCs w:val="22"/>
              </w:rPr>
            </w:pPr>
            <w:r w:rsidRPr="00CD729C">
              <w:rPr>
                <w:i/>
                <w:color w:val="000000"/>
                <w:szCs w:val="22"/>
              </w:rPr>
              <w:t>Nav zināmi</w:t>
            </w:r>
          </w:p>
        </w:tc>
        <w:tc>
          <w:tcPr>
            <w:tcW w:w="7087" w:type="dxa"/>
          </w:tcPr>
          <w:p w14:paraId="3D394545" w14:textId="77777777" w:rsidR="005719AE" w:rsidRPr="00CD729C" w:rsidRDefault="005719AE" w:rsidP="009B4BB6">
            <w:pPr>
              <w:widowControl w:val="0"/>
              <w:spacing w:line="240" w:lineRule="auto"/>
              <w:rPr>
                <w:color w:val="000000"/>
                <w:szCs w:val="22"/>
              </w:rPr>
            </w:pPr>
            <w:r w:rsidRPr="00CD729C">
              <w:rPr>
                <w:color w:val="000000"/>
                <w:szCs w:val="22"/>
              </w:rPr>
              <w:t xml:space="preserve">Akūta elpošanas </w:t>
            </w:r>
            <w:r w:rsidR="00967D99" w:rsidRPr="00CD729C">
              <w:rPr>
                <w:color w:val="000000"/>
                <w:szCs w:val="22"/>
              </w:rPr>
              <w:t>mazspēja</w:t>
            </w:r>
            <w:r w:rsidR="00FB6FCC">
              <w:rPr>
                <w:color w:val="000000"/>
                <w:szCs w:val="22"/>
                <w:vertAlign w:val="superscript"/>
              </w:rPr>
              <w:t>11</w:t>
            </w:r>
            <w:r w:rsidR="00341FA1" w:rsidRPr="00CD729C">
              <w:rPr>
                <w:color w:val="000000"/>
                <w:szCs w:val="22"/>
              </w:rPr>
              <w:t>*</w:t>
            </w:r>
            <w:r w:rsidRPr="00CD729C">
              <w:rPr>
                <w:color w:val="000000"/>
                <w:szCs w:val="22"/>
              </w:rPr>
              <w:t>, intersticiāla plaušu slimība*</w:t>
            </w:r>
          </w:p>
        </w:tc>
      </w:tr>
      <w:tr w:rsidR="00D242B9" w:rsidRPr="00CD729C" w14:paraId="3D394548" w14:textId="77777777" w:rsidTr="009B4BB6">
        <w:trPr>
          <w:cantSplit/>
        </w:trPr>
        <w:tc>
          <w:tcPr>
            <w:tcW w:w="9322" w:type="dxa"/>
            <w:gridSpan w:val="2"/>
          </w:tcPr>
          <w:p w14:paraId="3D394547" w14:textId="77777777" w:rsidR="00D242B9" w:rsidRPr="00CD729C" w:rsidRDefault="00D242B9" w:rsidP="009B4BB6">
            <w:pPr>
              <w:keepNext/>
              <w:widowControl w:val="0"/>
              <w:spacing w:line="240" w:lineRule="auto"/>
              <w:rPr>
                <w:color w:val="000000"/>
              </w:rPr>
            </w:pPr>
            <w:r w:rsidRPr="00CD729C">
              <w:rPr>
                <w:b/>
                <w:color w:val="000000"/>
                <w:szCs w:val="22"/>
              </w:rPr>
              <w:t>Kuņģa-zarnu trakta traucējumi</w:t>
            </w:r>
          </w:p>
        </w:tc>
      </w:tr>
      <w:tr w:rsidR="00D242B9" w:rsidRPr="00CD729C" w14:paraId="3D39454B" w14:textId="77777777" w:rsidTr="009B4BB6">
        <w:trPr>
          <w:cantSplit/>
        </w:trPr>
        <w:tc>
          <w:tcPr>
            <w:tcW w:w="2235" w:type="dxa"/>
          </w:tcPr>
          <w:p w14:paraId="3D394549" w14:textId="77777777" w:rsidR="00D242B9" w:rsidRPr="00CD729C" w:rsidRDefault="00D242B9" w:rsidP="009B4BB6">
            <w:pPr>
              <w:keepNext/>
              <w:widowControl w:val="0"/>
              <w:spacing w:line="240" w:lineRule="auto"/>
              <w:rPr>
                <w:color w:val="000000"/>
              </w:rPr>
            </w:pPr>
            <w:r w:rsidRPr="00CD729C">
              <w:rPr>
                <w:i/>
                <w:color w:val="000000"/>
                <w:szCs w:val="22"/>
              </w:rPr>
              <w:t>Ļoti bieži</w:t>
            </w:r>
          </w:p>
        </w:tc>
        <w:tc>
          <w:tcPr>
            <w:tcW w:w="7087" w:type="dxa"/>
          </w:tcPr>
          <w:p w14:paraId="3D39454A" w14:textId="77777777" w:rsidR="00D242B9" w:rsidRPr="00CD729C" w:rsidRDefault="00D242B9" w:rsidP="009B4BB6">
            <w:pPr>
              <w:keepNext/>
              <w:widowControl w:val="0"/>
              <w:spacing w:line="240" w:lineRule="auto"/>
              <w:rPr>
                <w:color w:val="000000"/>
              </w:rPr>
            </w:pPr>
            <w:r w:rsidRPr="00CD729C">
              <w:rPr>
                <w:color w:val="000000"/>
                <w:szCs w:val="22"/>
              </w:rPr>
              <w:t>Slikta dūša, caureja, vemšana, dispepsija, sāpes vēderā</w:t>
            </w:r>
            <w:r w:rsidRPr="00CD729C">
              <w:rPr>
                <w:color w:val="000000"/>
                <w:szCs w:val="22"/>
                <w:vertAlign w:val="superscript"/>
              </w:rPr>
              <w:t>6</w:t>
            </w:r>
          </w:p>
        </w:tc>
      </w:tr>
      <w:tr w:rsidR="00D242B9" w:rsidRPr="00CD729C" w14:paraId="3D39454E" w14:textId="77777777" w:rsidTr="009B4BB6">
        <w:trPr>
          <w:cantSplit/>
        </w:trPr>
        <w:tc>
          <w:tcPr>
            <w:tcW w:w="2235" w:type="dxa"/>
          </w:tcPr>
          <w:p w14:paraId="3D39454C" w14:textId="77777777" w:rsidR="00D242B9" w:rsidRPr="00CD729C" w:rsidRDefault="00D242B9" w:rsidP="009B4BB6">
            <w:pPr>
              <w:keepNext/>
              <w:widowControl w:val="0"/>
              <w:spacing w:line="240" w:lineRule="auto"/>
              <w:rPr>
                <w:color w:val="000000"/>
              </w:rPr>
            </w:pPr>
            <w:r w:rsidRPr="00CD729C">
              <w:rPr>
                <w:i/>
                <w:color w:val="000000"/>
                <w:szCs w:val="22"/>
              </w:rPr>
              <w:t>Bieži</w:t>
            </w:r>
          </w:p>
        </w:tc>
        <w:tc>
          <w:tcPr>
            <w:tcW w:w="7087" w:type="dxa"/>
          </w:tcPr>
          <w:p w14:paraId="3D39454D" w14:textId="77777777" w:rsidR="00D242B9" w:rsidRPr="00CD729C" w:rsidRDefault="00D242B9" w:rsidP="009B4BB6">
            <w:pPr>
              <w:keepNext/>
              <w:widowControl w:val="0"/>
              <w:spacing w:line="240" w:lineRule="auto"/>
              <w:rPr>
                <w:color w:val="000000"/>
              </w:rPr>
            </w:pPr>
            <w:r w:rsidRPr="00CD729C">
              <w:rPr>
                <w:color w:val="000000"/>
                <w:szCs w:val="22"/>
              </w:rPr>
              <w:t>Meteorisms, nepatīkama sajūta vēderā, gastroezofageāls atvilnis, aizcietējums, sausa mute, gastrīts</w:t>
            </w:r>
          </w:p>
        </w:tc>
      </w:tr>
      <w:tr w:rsidR="00D242B9" w:rsidRPr="00CD729C" w14:paraId="3D394551" w14:textId="77777777" w:rsidTr="009B4BB6">
        <w:trPr>
          <w:cantSplit/>
        </w:trPr>
        <w:tc>
          <w:tcPr>
            <w:tcW w:w="2235" w:type="dxa"/>
          </w:tcPr>
          <w:p w14:paraId="3D39454F" w14:textId="77777777" w:rsidR="00D242B9" w:rsidRPr="00CD729C" w:rsidRDefault="00D242B9" w:rsidP="009B4BB6">
            <w:pPr>
              <w:keepNext/>
              <w:widowControl w:val="0"/>
              <w:spacing w:line="240" w:lineRule="auto"/>
              <w:rPr>
                <w:color w:val="000000"/>
              </w:rPr>
            </w:pPr>
            <w:r w:rsidRPr="00CD729C">
              <w:rPr>
                <w:i/>
                <w:color w:val="000000"/>
                <w:szCs w:val="22"/>
              </w:rPr>
              <w:t>Retāk</w:t>
            </w:r>
          </w:p>
        </w:tc>
        <w:tc>
          <w:tcPr>
            <w:tcW w:w="7087" w:type="dxa"/>
          </w:tcPr>
          <w:p w14:paraId="3D394550" w14:textId="77777777" w:rsidR="00D242B9" w:rsidRPr="00CD729C" w:rsidRDefault="00D242B9" w:rsidP="009B4BB6">
            <w:pPr>
              <w:keepNext/>
              <w:widowControl w:val="0"/>
              <w:spacing w:line="240" w:lineRule="auto"/>
              <w:rPr>
                <w:color w:val="000000"/>
              </w:rPr>
            </w:pPr>
            <w:r w:rsidRPr="00CD729C">
              <w:rPr>
                <w:color w:val="000000"/>
                <w:szCs w:val="22"/>
              </w:rPr>
              <w:t>Stomatīts, čūlas mutes dobumā, kuņģa-zarnu trakta asiņošana</w:t>
            </w:r>
            <w:r w:rsidRPr="00CD729C">
              <w:rPr>
                <w:color w:val="000000"/>
                <w:szCs w:val="22"/>
                <w:vertAlign w:val="superscript"/>
              </w:rPr>
              <w:t>7</w:t>
            </w:r>
            <w:r w:rsidRPr="00CD729C">
              <w:rPr>
                <w:color w:val="000000"/>
                <w:szCs w:val="22"/>
              </w:rPr>
              <w:t>, atraugas, melēna, ezofagīts, ascīts, kuņģa čūla, vemšana ar asinīm, heilīts, disfāgija, pankreatīts</w:t>
            </w:r>
          </w:p>
        </w:tc>
      </w:tr>
      <w:tr w:rsidR="00D242B9" w:rsidRPr="00CD729C" w14:paraId="3D394554" w14:textId="77777777" w:rsidTr="009B4BB6">
        <w:trPr>
          <w:cantSplit/>
        </w:trPr>
        <w:tc>
          <w:tcPr>
            <w:tcW w:w="2235" w:type="dxa"/>
          </w:tcPr>
          <w:p w14:paraId="3D394552" w14:textId="77777777" w:rsidR="00D242B9" w:rsidRPr="00CD729C" w:rsidRDefault="00D242B9" w:rsidP="009B4BB6">
            <w:pPr>
              <w:keepNext/>
              <w:widowControl w:val="0"/>
              <w:spacing w:line="240" w:lineRule="auto"/>
              <w:rPr>
                <w:color w:val="000000"/>
              </w:rPr>
            </w:pPr>
            <w:r w:rsidRPr="00CD729C">
              <w:rPr>
                <w:i/>
                <w:color w:val="000000"/>
                <w:szCs w:val="22"/>
              </w:rPr>
              <w:t>Reti</w:t>
            </w:r>
          </w:p>
        </w:tc>
        <w:tc>
          <w:tcPr>
            <w:tcW w:w="7087" w:type="dxa"/>
          </w:tcPr>
          <w:p w14:paraId="3D394553" w14:textId="77777777" w:rsidR="00D242B9" w:rsidRPr="00CD729C" w:rsidRDefault="00D242B9" w:rsidP="009B4BB6">
            <w:pPr>
              <w:keepNext/>
              <w:widowControl w:val="0"/>
              <w:spacing w:line="240" w:lineRule="auto"/>
              <w:rPr>
                <w:snapToGrid w:val="0"/>
                <w:color w:val="000000"/>
                <w:szCs w:val="22"/>
              </w:rPr>
            </w:pPr>
            <w:r w:rsidRPr="00CD729C">
              <w:rPr>
                <w:color w:val="000000"/>
                <w:szCs w:val="22"/>
              </w:rPr>
              <w:t xml:space="preserve">Kolīts, </w:t>
            </w:r>
            <w:r w:rsidRPr="00CD729C">
              <w:rPr>
                <w:snapToGrid w:val="0"/>
                <w:color w:val="000000"/>
                <w:szCs w:val="22"/>
              </w:rPr>
              <w:t>ileuss, zarnu iekaisīga slimība</w:t>
            </w:r>
          </w:p>
        </w:tc>
      </w:tr>
      <w:tr w:rsidR="005719AE" w:rsidRPr="00CD729C" w14:paraId="3D394557" w14:textId="77777777" w:rsidTr="009B4BB6">
        <w:trPr>
          <w:cantSplit/>
        </w:trPr>
        <w:tc>
          <w:tcPr>
            <w:tcW w:w="2235" w:type="dxa"/>
          </w:tcPr>
          <w:p w14:paraId="3D394555" w14:textId="77777777" w:rsidR="005719AE" w:rsidRPr="00CD729C" w:rsidRDefault="005719AE" w:rsidP="009B4BB6">
            <w:pPr>
              <w:widowControl w:val="0"/>
              <w:spacing w:line="240" w:lineRule="auto"/>
              <w:rPr>
                <w:i/>
                <w:color w:val="000000"/>
                <w:szCs w:val="22"/>
              </w:rPr>
            </w:pPr>
            <w:r w:rsidRPr="00CD729C">
              <w:rPr>
                <w:i/>
                <w:color w:val="000000"/>
                <w:szCs w:val="22"/>
              </w:rPr>
              <w:t>Nav zināmi</w:t>
            </w:r>
          </w:p>
        </w:tc>
        <w:tc>
          <w:tcPr>
            <w:tcW w:w="7087" w:type="dxa"/>
          </w:tcPr>
          <w:p w14:paraId="3D394556" w14:textId="77777777" w:rsidR="005719AE" w:rsidRPr="00CD729C" w:rsidRDefault="005719AE" w:rsidP="009B4BB6">
            <w:pPr>
              <w:widowControl w:val="0"/>
              <w:spacing w:line="240" w:lineRule="auto"/>
              <w:rPr>
                <w:color w:val="000000"/>
                <w:szCs w:val="22"/>
              </w:rPr>
            </w:pPr>
            <w:r w:rsidRPr="00CD729C">
              <w:rPr>
                <w:color w:val="000000"/>
                <w:szCs w:val="22"/>
              </w:rPr>
              <w:t>Ileuss/zarnu nosprostojums</w:t>
            </w:r>
            <w:r w:rsidR="00E63C12" w:rsidRPr="00CD729C">
              <w:rPr>
                <w:color w:val="000000"/>
                <w:szCs w:val="22"/>
              </w:rPr>
              <w:t>*</w:t>
            </w:r>
            <w:r w:rsidRPr="00CD729C">
              <w:rPr>
                <w:color w:val="000000"/>
                <w:szCs w:val="22"/>
              </w:rPr>
              <w:t>, kuņģa-zarnu trakta perforācija*, divertikulīts*, kuņģa antrālā vaskulārā ektāzija (GAVE)*</w:t>
            </w:r>
          </w:p>
        </w:tc>
      </w:tr>
      <w:tr w:rsidR="005719AE" w:rsidRPr="00CD729C" w14:paraId="3D394559" w14:textId="77777777" w:rsidTr="009B4BB6">
        <w:trPr>
          <w:cantSplit/>
        </w:trPr>
        <w:tc>
          <w:tcPr>
            <w:tcW w:w="9322" w:type="dxa"/>
            <w:gridSpan w:val="2"/>
          </w:tcPr>
          <w:p w14:paraId="3D394558" w14:textId="77777777" w:rsidR="005719AE" w:rsidRPr="00CD729C" w:rsidRDefault="005719AE" w:rsidP="009B4BB6">
            <w:pPr>
              <w:keepNext/>
              <w:widowControl w:val="0"/>
              <w:spacing w:line="240" w:lineRule="auto"/>
              <w:rPr>
                <w:b/>
                <w:bCs/>
                <w:color w:val="000000"/>
                <w:szCs w:val="22"/>
              </w:rPr>
            </w:pPr>
            <w:r w:rsidRPr="00CD729C">
              <w:rPr>
                <w:b/>
                <w:bCs/>
                <w:szCs w:val="22"/>
              </w:rPr>
              <w:t>Aknu un/vai žults izvades sistēmas traucējumi</w:t>
            </w:r>
          </w:p>
        </w:tc>
      </w:tr>
      <w:tr w:rsidR="005719AE" w:rsidRPr="00CD729C" w14:paraId="3D39455C" w14:textId="77777777" w:rsidTr="009B4BB6">
        <w:trPr>
          <w:cantSplit/>
        </w:trPr>
        <w:tc>
          <w:tcPr>
            <w:tcW w:w="2235" w:type="dxa"/>
          </w:tcPr>
          <w:p w14:paraId="3D39455A" w14:textId="77777777" w:rsidR="005719AE" w:rsidRPr="00CD729C" w:rsidRDefault="005719AE" w:rsidP="009B4BB6">
            <w:pPr>
              <w:keepNext/>
              <w:widowControl w:val="0"/>
              <w:spacing w:line="240" w:lineRule="auto"/>
              <w:rPr>
                <w:i/>
                <w:color w:val="000000"/>
                <w:szCs w:val="22"/>
              </w:rPr>
            </w:pPr>
            <w:r w:rsidRPr="00CD729C">
              <w:rPr>
                <w:i/>
                <w:color w:val="000000"/>
                <w:szCs w:val="22"/>
              </w:rPr>
              <w:t>Bieži</w:t>
            </w:r>
          </w:p>
        </w:tc>
        <w:tc>
          <w:tcPr>
            <w:tcW w:w="7087" w:type="dxa"/>
          </w:tcPr>
          <w:p w14:paraId="3D39455B" w14:textId="77777777" w:rsidR="005719AE" w:rsidRPr="00CD729C" w:rsidRDefault="005719AE" w:rsidP="009B4BB6">
            <w:pPr>
              <w:keepNext/>
              <w:widowControl w:val="0"/>
              <w:spacing w:line="240" w:lineRule="auto"/>
              <w:rPr>
                <w:color w:val="000000"/>
                <w:szCs w:val="22"/>
              </w:rPr>
            </w:pPr>
            <w:r w:rsidRPr="00CD729C">
              <w:rPr>
                <w:color w:val="000000"/>
                <w:szCs w:val="22"/>
              </w:rPr>
              <w:t>Paaugstināts aknu enzīmu līmenis</w:t>
            </w:r>
          </w:p>
        </w:tc>
      </w:tr>
      <w:tr w:rsidR="005719AE" w:rsidRPr="00CD729C" w14:paraId="3D39455F" w14:textId="77777777" w:rsidTr="009B4BB6">
        <w:trPr>
          <w:cantSplit/>
        </w:trPr>
        <w:tc>
          <w:tcPr>
            <w:tcW w:w="2235" w:type="dxa"/>
          </w:tcPr>
          <w:p w14:paraId="3D39455D" w14:textId="77777777" w:rsidR="005719AE" w:rsidRPr="00CD729C" w:rsidRDefault="005719AE" w:rsidP="009B4BB6">
            <w:pPr>
              <w:keepNext/>
              <w:widowControl w:val="0"/>
              <w:spacing w:line="240" w:lineRule="auto"/>
              <w:rPr>
                <w:i/>
                <w:color w:val="000000"/>
                <w:szCs w:val="22"/>
              </w:rPr>
            </w:pPr>
            <w:r w:rsidRPr="00CD729C">
              <w:rPr>
                <w:i/>
                <w:color w:val="000000"/>
                <w:szCs w:val="22"/>
              </w:rPr>
              <w:t>Retāk</w:t>
            </w:r>
          </w:p>
        </w:tc>
        <w:tc>
          <w:tcPr>
            <w:tcW w:w="7087" w:type="dxa"/>
          </w:tcPr>
          <w:p w14:paraId="3D39455E" w14:textId="77777777" w:rsidR="005719AE" w:rsidRPr="00CD729C" w:rsidRDefault="005719AE" w:rsidP="009B4BB6">
            <w:pPr>
              <w:keepNext/>
              <w:widowControl w:val="0"/>
              <w:spacing w:line="240" w:lineRule="auto"/>
              <w:rPr>
                <w:color w:val="000000"/>
                <w:szCs w:val="22"/>
              </w:rPr>
            </w:pPr>
            <w:r w:rsidRPr="00CD729C">
              <w:rPr>
                <w:color w:val="000000"/>
                <w:szCs w:val="22"/>
              </w:rPr>
              <w:t>Hiperbilirubinēmija, hepatīts, dzelte</w:t>
            </w:r>
          </w:p>
        </w:tc>
      </w:tr>
      <w:tr w:rsidR="005719AE" w:rsidRPr="00CD729C" w14:paraId="3D394562" w14:textId="77777777" w:rsidTr="009B4BB6">
        <w:trPr>
          <w:cantSplit/>
        </w:trPr>
        <w:tc>
          <w:tcPr>
            <w:tcW w:w="2235" w:type="dxa"/>
          </w:tcPr>
          <w:p w14:paraId="3D394560" w14:textId="77777777" w:rsidR="005719AE" w:rsidRPr="00CD729C" w:rsidRDefault="005719AE" w:rsidP="009B4BB6">
            <w:pPr>
              <w:widowControl w:val="0"/>
              <w:spacing w:line="240" w:lineRule="auto"/>
              <w:rPr>
                <w:i/>
                <w:color w:val="000000"/>
                <w:szCs w:val="22"/>
              </w:rPr>
            </w:pPr>
            <w:r w:rsidRPr="00CD729C">
              <w:rPr>
                <w:i/>
                <w:color w:val="000000"/>
                <w:szCs w:val="22"/>
              </w:rPr>
              <w:t>Reti</w:t>
            </w:r>
          </w:p>
        </w:tc>
        <w:tc>
          <w:tcPr>
            <w:tcW w:w="7087" w:type="dxa"/>
          </w:tcPr>
          <w:p w14:paraId="3D394561" w14:textId="77777777" w:rsidR="005719AE" w:rsidRPr="00CD729C" w:rsidRDefault="005719AE" w:rsidP="009B4BB6">
            <w:pPr>
              <w:widowControl w:val="0"/>
              <w:spacing w:line="240" w:lineRule="auto"/>
              <w:rPr>
                <w:color w:val="000000"/>
                <w:szCs w:val="22"/>
              </w:rPr>
            </w:pPr>
            <w:r w:rsidRPr="00CD729C">
              <w:rPr>
                <w:color w:val="000000"/>
                <w:szCs w:val="22"/>
              </w:rPr>
              <w:t>Aknu mazspēja</w:t>
            </w:r>
            <w:r w:rsidRPr="00CD729C">
              <w:rPr>
                <w:color w:val="000000"/>
                <w:szCs w:val="22"/>
                <w:vertAlign w:val="superscript"/>
              </w:rPr>
              <w:t>8</w:t>
            </w:r>
            <w:r w:rsidRPr="00CD729C">
              <w:rPr>
                <w:color w:val="000000"/>
                <w:szCs w:val="22"/>
              </w:rPr>
              <w:t>, aknu nekroze</w:t>
            </w:r>
          </w:p>
        </w:tc>
      </w:tr>
      <w:tr w:rsidR="005719AE" w:rsidRPr="00CD729C" w14:paraId="3D394564" w14:textId="77777777" w:rsidTr="009B4BB6">
        <w:trPr>
          <w:cantSplit/>
        </w:trPr>
        <w:tc>
          <w:tcPr>
            <w:tcW w:w="9322" w:type="dxa"/>
            <w:gridSpan w:val="2"/>
          </w:tcPr>
          <w:p w14:paraId="3D394563" w14:textId="77777777" w:rsidR="005719AE" w:rsidRPr="00CD729C" w:rsidRDefault="005719AE" w:rsidP="009B4BB6">
            <w:pPr>
              <w:keepNext/>
              <w:widowControl w:val="0"/>
              <w:spacing w:line="240" w:lineRule="auto"/>
              <w:rPr>
                <w:color w:val="000000"/>
              </w:rPr>
            </w:pPr>
            <w:r w:rsidRPr="00CD729C">
              <w:rPr>
                <w:b/>
                <w:color w:val="000000"/>
                <w:szCs w:val="22"/>
              </w:rPr>
              <w:lastRenderedPageBreak/>
              <w:t>Ādas un zemādas audu bojājumi</w:t>
            </w:r>
          </w:p>
        </w:tc>
      </w:tr>
      <w:tr w:rsidR="005719AE" w:rsidRPr="00CD729C" w14:paraId="3D394567" w14:textId="77777777" w:rsidTr="009B4BB6">
        <w:trPr>
          <w:cantSplit/>
        </w:trPr>
        <w:tc>
          <w:tcPr>
            <w:tcW w:w="2235" w:type="dxa"/>
          </w:tcPr>
          <w:p w14:paraId="3D394565" w14:textId="77777777" w:rsidR="005719AE" w:rsidRPr="00CD729C" w:rsidRDefault="005719AE" w:rsidP="009B4BB6">
            <w:pPr>
              <w:keepNext/>
              <w:widowControl w:val="0"/>
              <w:spacing w:line="240" w:lineRule="auto"/>
              <w:rPr>
                <w:color w:val="000000"/>
              </w:rPr>
            </w:pPr>
            <w:r w:rsidRPr="00CD729C">
              <w:rPr>
                <w:i/>
                <w:color w:val="000000"/>
                <w:szCs w:val="22"/>
              </w:rPr>
              <w:t>Ļoti bieži</w:t>
            </w:r>
          </w:p>
        </w:tc>
        <w:tc>
          <w:tcPr>
            <w:tcW w:w="7087" w:type="dxa"/>
          </w:tcPr>
          <w:p w14:paraId="3D394566" w14:textId="77777777" w:rsidR="005719AE" w:rsidRPr="00CD729C" w:rsidRDefault="005719AE" w:rsidP="009B4BB6">
            <w:pPr>
              <w:keepNext/>
              <w:widowControl w:val="0"/>
              <w:spacing w:line="240" w:lineRule="auto"/>
              <w:rPr>
                <w:color w:val="000000"/>
              </w:rPr>
            </w:pPr>
            <w:r w:rsidRPr="00CD729C">
              <w:rPr>
                <w:color w:val="000000"/>
                <w:szCs w:val="22"/>
              </w:rPr>
              <w:t>Periorbitāla tūska, dermatīts/ekzēma/izsitumi</w:t>
            </w:r>
          </w:p>
        </w:tc>
      </w:tr>
      <w:tr w:rsidR="005719AE" w:rsidRPr="00CD729C" w14:paraId="3D39456A" w14:textId="77777777" w:rsidTr="009B4BB6">
        <w:trPr>
          <w:cantSplit/>
        </w:trPr>
        <w:tc>
          <w:tcPr>
            <w:tcW w:w="2235" w:type="dxa"/>
          </w:tcPr>
          <w:p w14:paraId="3D394568" w14:textId="77777777" w:rsidR="005719AE" w:rsidRPr="00CD729C" w:rsidRDefault="005719AE" w:rsidP="009B4BB6">
            <w:pPr>
              <w:keepNext/>
              <w:widowControl w:val="0"/>
              <w:spacing w:line="240" w:lineRule="auto"/>
              <w:rPr>
                <w:color w:val="000000"/>
              </w:rPr>
            </w:pPr>
            <w:r w:rsidRPr="00CD729C">
              <w:rPr>
                <w:i/>
                <w:color w:val="000000"/>
                <w:szCs w:val="22"/>
              </w:rPr>
              <w:t>Bieži</w:t>
            </w:r>
          </w:p>
        </w:tc>
        <w:tc>
          <w:tcPr>
            <w:tcW w:w="7087" w:type="dxa"/>
          </w:tcPr>
          <w:p w14:paraId="3D394569" w14:textId="77777777" w:rsidR="005719AE" w:rsidRPr="00CD729C" w:rsidRDefault="005719AE" w:rsidP="009B4BB6">
            <w:pPr>
              <w:keepNext/>
              <w:widowControl w:val="0"/>
              <w:spacing w:line="240" w:lineRule="auto"/>
              <w:rPr>
                <w:color w:val="000000"/>
              </w:rPr>
            </w:pPr>
            <w:r w:rsidRPr="00CD729C">
              <w:rPr>
                <w:color w:val="000000"/>
                <w:szCs w:val="22"/>
              </w:rPr>
              <w:t>Nieze, sejas tūska, sausa āda, eritēma, alopēcija, svīšana naktī, fotosensibilizācijas reakcija</w:t>
            </w:r>
          </w:p>
        </w:tc>
      </w:tr>
      <w:tr w:rsidR="005719AE" w:rsidRPr="00CD729C" w14:paraId="3D39456D" w14:textId="77777777" w:rsidTr="009B4BB6">
        <w:trPr>
          <w:cantSplit/>
        </w:trPr>
        <w:tc>
          <w:tcPr>
            <w:tcW w:w="2235" w:type="dxa"/>
          </w:tcPr>
          <w:p w14:paraId="3D39456B" w14:textId="77777777" w:rsidR="005719AE" w:rsidRPr="00CD729C" w:rsidRDefault="005719AE" w:rsidP="009B4BB6">
            <w:pPr>
              <w:keepNext/>
              <w:widowControl w:val="0"/>
              <w:spacing w:line="240" w:lineRule="auto"/>
              <w:rPr>
                <w:color w:val="000000"/>
              </w:rPr>
            </w:pPr>
            <w:r w:rsidRPr="00CD729C">
              <w:rPr>
                <w:i/>
                <w:color w:val="000000"/>
                <w:szCs w:val="22"/>
              </w:rPr>
              <w:t>Retāk</w:t>
            </w:r>
          </w:p>
        </w:tc>
        <w:tc>
          <w:tcPr>
            <w:tcW w:w="7087" w:type="dxa"/>
          </w:tcPr>
          <w:p w14:paraId="3D39456C" w14:textId="77777777" w:rsidR="005719AE" w:rsidRPr="00CD729C" w:rsidRDefault="005719AE" w:rsidP="009B4BB6">
            <w:pPr>
              <w:keepNext/>
              <w:widowControl w:val="0"/>
              <w:spacing w:line="240" w:lineRule="auto"/>
              <w:rPr>
                <w:color w:val="000000"/>
                <w:szCs w:val="22"/>
              </w:rPr>
            </w:pPr>
            <w:r w:rsidRPr="00CD729C">
              <w:rPr>
                <w:color w:val="000000"/>
                <w:szCs w:val="22"/>
              </w:rPr>
              <w:t>Pustulāri izsitumi, kontūzija, pastiprināta svīšana, nātrene, ekhimozes, palielināta zilumu veidošanās tendence, hipotrihoze, ādas hipopigmentācija, eksfoliatīvs dermatīts, onihoklāze, folikulīts, petehijas, psoriāze, purpura, ādas hiperpigmentācija, bullozi izsitumi</w:t>
            </w:r>
          </w:p>
        </w:tc>
      </w:tr>
      <w:tr w:rsidR="005719AE" w:rsidRPr="00CD729C" w14:paraId="3D394570" w14:textId="77777777" w:rsidTr="009B4BB6">
        <w:trPr>
          <w:cantSplit/>
        </w:trPr>
        <w:tc>
          <w:tcPr>
            <w:tcW w:w="2235" w:type="dxa"/>
          </w:tcPr>
          <w:p w14:paraId="3D39456E" w14:textId="77777777" w:rsidR="005719AE" w:rsidRPr="00CD729C" w:rsidRDefault="005719AE" w:rsidP="009B4BB6">
            <w:pPr>
              <w:keepNext/>
              <w:widowControl w:val="0"/>
              <w:spacing w:line="240" w:lineRule="auto"/>
              <w:rPr>
                <w:color w:val="000000"/>
              </w:rPr>
            </w:pPr>
            <w:r w:rsidRPr="00CD729C">
              <w:rPr>
                <w:i/>
                <w:color w:val="000000"/>
                <w:szCs w:val="22"/>
              </w:rPr>
              <w:t>Reti</w:t>
            </w:r>
          </w:p>
        </w:tc>
        <w:tc>
          <w:tcPr>
            <w:tcW w:w="7087" w:type="dxa"/>
          </w:tcPr>
          <w:p w14:paraId="3D39456F" w14:textId="77777777" w:rsidR="005719AE" w:rsidRPr="00CD729C" w:rsidRDefault="005719AE" w:rsidP="009B4BB6">
            <w:pPr>
              <w:keepNext/>
              <w:widowControl w:val="0"/>
              <w:spacing w:line="240" w:lineRule="auto"/>
              <w:rPr>
                <w:color w:val="000000"/>
                <w:szCs w:val="22"/>
              </w:rPr>
            </w:pPr>
            <w:r w:rsidRPr="00CD729C">
              <w:rPr>
                <w:color w:val="000000"/>
                <w:szCs w:val="22"/>
              </w:rPr>
              <w:t xml:space="preserve">Akūta febrila neitrofila dermatoze (Svīta sindroms), nagu krāsas izmaiņas, angioneirotiska tūska, vezikulāri izsitumi, </w:t>
            </w:r>
            <w:r w:rsidRPr="00CD729C">
              <w:rPr>
                <w:i/>
                <w:iCs/>
                <w:color w:val="000000"/>
                <w:szCs w:val="22"/>
              </w:rPr>
              <w:t>erythema</w:t>
            </w:r>
            <w:r w:rsidRPr="00CD729C">
              <w:rPr>
                <w:color w:val="000000"/>
                <w:szCs w:val="22"/>
              </w:rPr>
              <w:t xml:space="preserve"> </w:t>
            </w:r>
            <w:r w:rsidRPr="00CD729C">
              <w:rPr>
                <w:i/>
                <w:iCs/>
                <w:color w:val="000000"/>
                <w:szCs w:val="22"/>
              </w:rPr>
              <w:t>multiforme</w:t>
            </w:r>
            <w:r w:rsidRPr="00CD729C">
              <w:rPr>
                <w:color w:val="000000"/>
                <w:szCs w:val="22"/>
              </w:rPr>
              <w:t>, leikocitoklastisks vaskulīts, Stīvensa-Džonsona sindroms, akūta ģeneralizēta eksantematoza pustuloze (AĢEP)</w:t>
            </w:r>
          </w:p>
        </w:tc>
      </w:tr>
      <w:tr w:rsidR="005719AE" w:rsidRPr="00CD729C" w14:paraId="3D394573" w14:textId="77777777" w:rsidTr="009B4BB6">
        <w:trPr>
          <w:cantSplit/>
        </w:trPr>
        <w:tc>
          <w:tcPr>
            <w:tcW w:w="2235" w:type="dxa"/>
          </w:tcPr>
          <w:p w14:paraId="3D394571" w14:textId="77777777" w:rsidR="005719AE" w:rsidRPr="00CD729C" w:rsidRDefault="005719AE" w:rsidP="009B4BB6">
            <w:pPr>
              <w:widowControl w:val="0"/>
              <w:spacing w:line="240" w:lineRule="auto"/>
              <w:rPr>
                <w:i/>
                <w:color w:val="000000"/>
                <w:szCs w:val="22"/>
              </w:rPr>
            </w:pPr>
            <w:r w:rsidRPr="00CD729C">
              <w:rPr>
                <w:i/>
                <w:color w:val="000000"/>
                <w:szCs w:val="22"/>
              </w:rPr>
              <w:t>Nav zināmi</w:t>
            </w:r>
          </w:p>
        </w:tc>
        <w:tc>
          <w:tcPr>
            <w:tcW w:w="7087" w:type="dxa"/>
          </w:tcPr>
          <w:p w14:paraId="3D394572" w14:textId="77777777" w:rsidR="005719AE" w:rsidRPr="00CD729C" w:rsidRDefault="005719AE" w:rsidP="009B4BB6">
            <w:pPr>
              <w:widowControl w:val="0"/>
              <w:spacing w:line="240" w:lineRule="auto"/>
              <w:rPr>
                <w:color w:val="000000"/>
                <w:szCs w:val="22"/>
              </w:rPr>
            </w:pPr>
            <w:r w:rsidRPr="00CD729C">
              <w:rPr>
                <w:szCs w:val="22"/>
              </w:rPr>
              <w:t>Ķīmijterapijas inducēts palmāri-plantārais eritrodizestēzijas sindroms</w:t>
            </w:r>
            <w:r w:rsidRPr="00CD729C">
              <w:rPr>
                <w:color w:val="000000"/>
                <w:szCs w:val="22"/>
              </w:rPr>
              <w:t>*</w:t>
            </w:r>
            <w:r w:rsidRPr="00CD729C">
              <w:rPr>
                <w:szCs w:val="22"/>
              </w:rPr>
              <w:t>, lihenoīdā keratoze</w:t>
            </w:r>
            <w:r w:rsidRPr="00CD729C">
              <w:rPr>
                <w:color w:val="000000"/>
                <w:szCs w:val="22"/>
              </w:rPr>
              <w:t>*</w:t>
            </w:r>
            <w:r w:rsidRPr="00CD729C">
              <w:rPr>
                <w:szCs w:val="22"/>
              </w:rPr>
              <w:t xml:space="preserve">, </w:t>
            </w:r>
            <w:r w:rsidRPr="00CD729C">
              <w:rPr>
                <w:i/>
                <w:szCs w:val="22"/>
              </w:rPr>
              <w:t>lichen planus</w:t>
            </w:r>
            <w:r w:rsidRPr="00CD729C">
              <w:rPr>
                <w:color w:val="000000"/>
                <w:szCs w:val="22"/>
              </w:rPr>
              <w:t>*</w:t>
            </w:r>
            <w:r w:rsidRPr="00CD729C">
              <w:rPr>
                <w:szCs w:val="22"/>
              </w:rPr>
              <w:t>, toksiska epiderm</w:t>
            </w:r>
            <w:r w:rsidR="00F42338" w:rsidRPr="00CD729C">
              <w:rPr>
                <w:szCs w:val="22"/>
              </w:rPr>
              <w:t>as</w:t>
            </w:r>
            <w:r w:rsidRPr="00CD729C">
              <w:rPr>
                <w:szCs w:val="22"/>
              </w:rPr>
              <w:t xml:space="preserve"> nekrolīze</w:t>
            </w:r>
            <w:r w:rsidRPr="00CD729C">
              <w:rPr>
                <w:color w:val="000000"/>
                <w:szCs w:val="22"/>
              </w:rPr>
              <w:t>*</w:t>
            </w:r>
            <w:r w:rsidRPr="00CD729C">
              <w:rPr>
                <w:szCs w:val="22"/>
              </w:rPr>
              <w:t>, zāļu izraisīti izsitumi ar eozinofīliju un sistēmiskiem simptomiem (</w:t>
            </w:r>
            <w:r w:rsidRPr="00CD729C">
              <w:rPr>
                <w:i/>
                <w:szCs w:val="22"/>
              </w:rPr>
              <w:t>Drug Rash with Eosinophilia and Systemic Symptoms</w:t>
            </w:r>
            <w:r w:rsidRPr="00CD729C">
              <w:rPr>
                <w:szCs w:val="22"/>
              </w:rPr>
              <w:t xml:space="preserve"> – DRESS)</w:t>
            </w:r>
            <w:r w:rsidRPr="00CD729C">
              <w:rPr>
                <w:color w:val="000000"/>
                <w:szCs w:val="22"/>
              </w:rPr>
              <w:t>*</w:t>
            </w:r>
            <w:r w:rsidR="007A0E98">
              <w:rPr>
                <w:color w:val="000000"/>
                <w:szCs w:val="22"/>
              </w:rPr>
              <w:t>, pseidoporfīrija</w:t>
            </w:r>
            <w:r w:rsidR="007A0E98" w:rsidRPr="00CD729C">
              <w:rPr>
                <w:color w:val="000000"/>
                <w:szCs w:val="22"/>
              </w:rPr>
              <w:t>*</w:t>
            </w:r>
          </w:p>
        </w:tc>
      </w:tr>
      <w:tr w:rsidR="005719AE" w:rsidRPr="00CD729C" w14:paraId="3D394575" w14:textId="77777777" w:rsidTr="009B4BB6">
        <w:trPr>
          <w:cantSplit/>
        </w:trPr>
        <w:tc>
          <w:tcPr>
            <w:tcW w:w="9322" w:type="dxa"/>
            <w:gridSpan w:val="2"/>
          </w:tcPr>
          <w:p w14:paraId="3D394574" w14:textId="77777777" w:rsidR="005719AE" w:rsidRPr="00CD729C" w:rsidRDefault="005719AE" w:rsidP="009B4BB6">
            <w:pPr>
              <w:keepNext/>
              <w:widowControl w:val="0"/>
              <w:spacing w:line="240" w:lineRule="auto"/>
              <w:rPr>
                <w:color w:val="000000"/>
                <w:szCs w:val="22"/>
              </w:rPr>
            </w:pPr>
            <w:r w:rsidRPr="00CD729C">
              <w:rPr>
                <w:b/>
                <w:color w:val="000000"/>
                <w:szCs w:val="22"/>
              </w:rPr>
              <w:t>Skeleta-muskuļu un saistaudu sistēmas bojājumi</w:t>
            </w:r>
          </w:p>
        </w:tc>
      </w:tr>
      <w:tr w:rsidR="005719AE" w:rsidRPr="00CD729C" w14:paraId="3D394578" w14:textId="77777777" w:rsidTr="009B4BB6">
        <w:trPr>
          <w:cantSplit/>
        </w:trPr>
        <w:tc>
          <w:tcPr>
            <w:tcW w:w="2235" w:type="dxa"/>
          </w:tcPr>
          <w:p w14:paraId="3D394576" w14:textId="77777777" w:rsidR="005719AE" w:rsidRPr="00CD729C" w:rsidRDefault="005719AE" w:rsidP="009B4BB6">
            <w:pPr>
              <w:keepNext/>
              <w:widowControl w:val="0"/>
              <w:spacing w:line="240" w:lineRule="auto"/>
              <w:rPr>
                <w:i/>
                <w:color w:val="000000"/>
                <w:szCs w:val="22"/>
              </w:rPr>
            </w:pPr>
            <w:r w:rsidRPr="00CD729C">
              <w:rPr>
                <w:i/>
                <w:color w:val="000000"/>
                <w:szCs w:val="22"/>
              </w:rPr>
              <w:t>Ļoti bieži</w:t>
            </w:r>
          </w:p>
        </w:tc>
        <w:tc>
          <w:tcPr>
            <w:tcW w:w="7087" w:type="dxa"/>
          </w:tcPr>
          <w:p w14:paraId="3D394577" w14:textId="77777777" w:rsidR="005719AE" w:rsidRPr="00CD729C" w:rsidRDefault="005719AE" w:rsidP="009B4BB6">
            <w:pPr>
              <w:keepNext/>
              <w:widowControl w:val="0"/>
              <w:spacing w:line="240" w:lineRule="auto"/>
              <w:rPr>
                <w:color w:val="000000"/>
                <w:szCs w:val="22"/>
              </w:rPr>
            </w:pPr>
            <w:r w:rsidRPr="00CD729C">
              <w:rPr>
                <w:color w:val="000000"/>
                <w:szCs w:val="22"/>
              </w:rPr>
              <w:t>Muskuļu spazmas un krampji, muskuļu un kaulu sāpes, arī mialģija</w:t>
            </w:r>
            <w:r w:rsidR="00FB6FCC" w:rsidRPr="00CD729C">
              <w:rPr>
                <w:color w:val="000000"/>
                <w:szCs w:val="22"/>
                <w:vertAlign w:val="superscript"/>
              </w:rPr>
              <w:t>9</w:t>
            </w:r>
            <w:r w:rsidRPr="00CD729C">
              <w:rPr>
                <w:color w:val="000000"/>
                <w:szCs w:val="22"/>
              </w:rPr>
              <w:t>, artralģija, kaulu sāpes</w:t>
            </w:r>
            <w:r w:rsidR="00FB6FCC">
              <w:rPr>
                <w:color w:val="000000"/>
                <w:szCs w:val="22"/>
                <w:vertAlign w:val="superscript"/>
              </w:rPr>
              <w:t>10</w:t>
            </w:r>
          </w:p>
        </w:tc>
      </w:tr>
      <w:tr w:rsidR="005719AE" w:rsidRPr="00CD729C" w14:paraId="3D39457B" w14:textId="77777777" w:rsidTr="009B4BB6">
        <w:trPr>
          <w:cantSplit/>
        </w:trPr>
        <w:tc>
          <w:tcPr>
            <w:tcW w:w="2235" w:type="dxa"/>
          </w:tcPr>
          <w:p w14:paraId="3D394579" w14:textId="77777777" w:rsidR="005719AE" w:rsidRPr="00CD729C" w:rsidRDefault="005719AE" w:rsidP="009B4BB6">
            <w:pPr>
              <w:keepNext/>
              <w:widowControl w:val="0"/>
              <w:spacing w:line="240" w:lineRule="auto"/>
              <w:rPr>
                <w:i/>
                <w:color w:val="000000"/>
                <w:szCs w:val="22"/>
              </w:rPr>
            </w:pPr>
            <w:r w:rsidRPr="00CD729C">
              <w:rPr>
                <w:i/>
                <w:color w:val="000000"/>
                <w:szCs w:val="22"/>
              </w:rPr>
              <w:t>Bieži</w:t>
            </w:r>
          </w:p>
        </w:tc>
        <w:tc>
          <w:tcPr>
            <w:tcW w:w="7087" w:type="dxa"/>
          </w:tcPr>
          <w:p w14:paraId="3D39457A" w14:textId="77777777" w:rsidR="005719AE" w:rsidRPr="00CD729C" w:rsidRDefault="005719AE" w:rsidP="009B4BB6">
            <w:pPr>
              <w:keepNext/>
              <w:widowControl w:val="0"/>
              <w:spacing w:line="240" w:lineRule="auto"/>
              <w:rPr>
                <w:color w:val="000000"/>
                <w:szCs w:val="22"/>
              </w:rPr>
            </w:pPr>
            <w:r w:rsidRPr="00CD729C">
              <w:rPr>
                <w:color w:val="000000"/>
                <w:szCs w:val="22"/>
              </w:rPr>
              <w:t>Locītavu pietūkums</w:t>
            </w:r>
          </w:p>
        </w:tc>
      </w:tr>
      <w:tr w:rsidR="005719AE" w:rsidRPr="00CD729C" w14:paraId="3D39457E" w14:textId="77777777" w:rsidTr="009B4BB6">
        <w:trPr>
          <w:cantSplit/>
        </w:trPr>
        <w:tc>
          <w:tcPr>
            <w:tcW w:w="2235" w:type="dxa"/>
          </w:tcPr>
          <w:p w14:paraId="3D39457C" w14:textId="77777777" w:rsidR="005719AE" w:rsidRPr="00CD729C" w:rsidRDefault="005719AE" w:rsidP="009B4BB6">
            <w:pPr>
              <w:keepNext/>
              <w:widowControl w:val="0"/>
              <w:spacing w:line="240" w:lineRule="auto"/>
              <w:rPr>
                <w:i/>
                <w:color w:val="000000"/>
                <w:szCs w:val="22"/>
              </w:rPr>
            </w:pPr>
            <w:r w:rsidRPr="00CD729C">
              <w:rPr>
                <w:i/>
                <w:color w:val="000000"/>
                <w:szCs w:val="22"/>
              </w:rPr>
              <w:t>Retāk</w:t>
            </w:r>
          </w:p>
        </w:tc>
        <w:tc>
          <w:tcPr>
            <w:tcW w:w="7087" w:type="dxa"/>
          </w:tcPr>
          <w:p w14:paraId="3D39457D" w14:textId="77777777" w:rsidR="005719AE" w:rsidRPr="00CD729C" w:rsidRDefault="005719AE" w:rsidP="009B4BB6">
            <w:pPr>
              <w:keepNext/>
              <w:widowControl w:val="0"/>
              <w:spacing w:line="240" w:lineRule="auto"/>
              <w:rPr>
                <w:color w:val="000000"/>
                <w:szCs w:val="22"/>
              </w:rPr>
            </w:pPr>
            <w:r w:rsidRPr="00CD729C">
              <w:rPr>
                <w:color w:val="000000"/>
                <w:szCs w:val="22"/>
              </w:rPr>
              <w:t>Locītavu un muskuļu stīvums</w:t>
            </w:r>
          </w:p>
        </w:tc>
      </w:tr>
      <w:tr w:rsidR="005719AE" w:rsidRPr="00CD729C" w14:paraId="3D394581" w14:textId="77777777" w:rsidTr="009B4BB6">
        <w:trPr>
          <w:cantSplit/>
        </w:trPr>
        <w:tc>
          <w:tcPr>
            <w:tcW w:w="2235" w:type="dxa"/>
          </w:tcPr>
          <w:p w14:paraId="3D39457F" w14:textId="77777777" w:rsidR="005719AE" w:rsidRPr="00CD729C" w:rsidRDefault="005719AE" w:rsidP="009B4BB6">
            <w:pPr>
              <w:keepNext/>
              <w:widowControl w:val="0"/>
              <w:spacing w:line="240" w:lineRule="auto"/>
              <w:rPr>
                <w:i/>
                <w:color w:val="000000"/>
                <w:szCs w:val="22"/>
              </w:rPr>
            </w:pPr>
            <w:r w:rsidRPr="00CD729C">
              <w:rPr>
                <w:i/>
                <w:color w:val="000000"/>
                <w:szCs w:val="22"/>
              </w:rPr>
              <w:t>Reti</w:t>
            </w:r>
          </w:p>
        </w:tc>
        <w:tc>
          <w:tcPr>
            <w:tcW w:w="7087" w:type="dxa"/>
          </w:tcPr>
          <w:p w14:paraId="3D394580" w14:textId="77777777" w:rsidR="005719AE" w:rsidRPr="00CD729C" w:rsidRDefault="005719AE" w:rsidP="009B4BB6">
            <w:pPr>
              <w:keepNext/>
              <w:widowControl w:val="0"/>
              <w:spacing w:line="240" w:lineRule="auto"/>
              <w:rPr>
                <w:color w:val="000000"/>
                <w:szCs w:val="22"/>
              </w:rPr>
            </w:pPr>
            <w:r w:rsidRPr="00CD729C">
              <w:rPr>
                <w:bCs/>
                <w:color w:val="000000"/>
                <w:szCs w:val="22"/>
              </w:rPr>
              <w:t>Muskuļu vājums, artrīts, rabdomiolīze/miopātija</w:t>
            </w:r>
          </w:p>
        </w:tc>
      </w:tr>
      <w:tr w:rsidR="005719AE" w:rsidRPr="00CD729C" w14:paraId="3D394584" w14:textId="77777777" w:rsidTr="009B4BB6">
        <w:trPr>
          <w:cantSplit/>
        </w:trPr>
        <w:tc>
          <w:tcPr>
            <w:tcW w:w="2235" w:type="dxa"/>
          </w:tcPr>
          <w:p w14:paraId="3D394582" w14:textId="77777777" w:rsidR="005719AE" w:rsidRPr="00CD729C" w:rsidRDefault="005719AE" w:rsidP="009B4BB6">
            <w:pPr>
              <w:widowControl w:val="0"/>
              <w:spacing w:line="240" w:lineRule="auto"/>
              <w:rPr>
                <w:i/>
                <w:color w:val="000000"/>
                <w:szCs w:val="22"/>
              </w:rPr>
            </w:pPr>
            <w:r w:rsidRPr="00CD729C">
              <w:rPr>
                <w:i/>
                <w:color w:val="000000"/>
                <w:szCs w:val="22"/>
              </w:rPr>
              <w:t>Nav zināmi</w:t>
            </w:r>
          </w:p>
        </w:tc>
        <w:tc>
          <w:tcPr>
            <w:tcW w:w="7087" w:type="dxa"/>
          </w:tcPr>
          <w:p w14:paraId="3D394583" w14:textId="77777777" w:rsidR="005719AE" w:rsidRPr="00CD729C" w:rsidRDefault="005719AE" w:rsidP="009B4BB6">
            <w:pPr>
              <w:widowControl w:val="0"/>
              <w:spacing w:line="240" w:lineRule="auto"/>
              <w:rPr>
                <w:bCs/>
                <w:color w:val="000000"/>
                <w:szCs w:val="22"/>
              </w:rPr>
            </w:pPr>
            <w:r w:rsidRPr="00CD729C">
              <w:rPr>
                <w:color w:val="000000"/>
                <w:szCs w:val="22"/>
              </w:rPr>
              <w:t>Avaskulāra nekroze/gūžas nekroze*, augšanas aizture bērniem*</w:t>
            </w:r>
          </w:p>
        </w:tc>
      </w:tr>
      <w:tr w:rsidR="005719AE" w:rsidRPr="00CD729C" w14:paraId="3D394586" w14:textId="77777777" w:rsidTr="009B4BB6">
        <w:trPr>
          <w:cantSplit/>
        </w:trPr>
        <w:tc>
          <w:tcPr>
            <w:tcW w:w="9322" w:type="dxa"/>
            <w:gridSpan w:val="2"/>
          </w:tcPr>
          <w:p w14:paraId="3D394585" w14:textId="77777777" w:rsidR="005719AE" w:rsidRPr="00CD729C" w:rsidRDefault="005719AE" w:rsidP="009B4BB6">
            <w:pPr>
              <w:keepNext/>
              <w:widowControl w:val="0"/>
              <w:spacing w:line="240" w:lineRule="auto"/>
              <w:rPr>
                <w:b/>
                <w:bCs/>
                <w:color w:val="000000"/>
                <w:szCs w:val="22"/>
              </w:rPr>
            </w:pPr>
            <w:r w:rsidRPr="00CD729C">
              <w:rPr>
                <w:b/>
                <w:bCs/>
                <w:szCs w:val="22"/>
              </w:rPr>
              <w:t>Nieru un urīnizvades sistēmas traucējumi</w:t>
            </w:r>
          </w:p>
        </w:tc>
      </w:tr>
      <w:tr w:rsidR="005719AE" w:rsidRPr="00CD729C" w14:paraId="3D394589" w14:textId="77777777" w:rsidTr="009B4BB6">
        <w:trPr>
          <w:cantSplit/>
        </w:trPr>
        <w:tc>
          <w:tcPr>
            <w:tcW w:w="2235" w:type="dxa"/>
          </w:tcPr>
          <w:p w14:paraId="3D394587" w14:textId="77777777" w:rsidR="005719AE" w:rsidRPr="00CD729C" w:rsidRDefault="005719AE" w:rsidP="009B4BB6">
            <w:pPr>
              <w:keepNext/>
              <w:widowControl w:val="0"/>
              <w:spacing w:line="240" w:lineRule="auto"/>
              <w:rPr>
                <w:i/>
                <w:color w:val="000000"/>
                <w:szCs w:val="22"/>
              </w:rPr>
            </w:pPr>
            <w:r w:rsidRPr="00CD729C">
              <w:rPr>
                <w:i/>
                <w:color w:val="000000"/>
                <w:szCs w:val="22"/>
              </w:rPr>
              <w:t>Retāk</w:t>
            </w:r>
          </w:p>
        </w:tc>
        <w:tc>
          <w:tcPr>
            <w:tcW w:w="7087" w:type="dxa"/>
          </w:tcPr>
          <w:p w14:paraId="3D394588" w14:textId="77777777" w:rsidR="005719AE" w:rsidRPr="00CD729C" w:rsidRDefault="005719AE" w:rsidP="009B4BB6">
            <w:pPr>
              <w:keepNext/>
              <w:widowControl w:val="0"/>
              <w:spacing w:line="240" w:lineRule="auto"/>
              <w:rPr>
                <w:bCs/>
                <w:color w:val="000000"/>
                <w:szCs w:val="22"/>
              </w:rPr>
            </w:pPr>
            <w:r w:rsidRPr="00CD729C">
              <w:rPr>
                <w:color w:val="000000"/>
                <w:szCs w:val="22"/>
              </w:rPr>
              <w:t>Nieru sāpes, hematūrija, akūta nieru mazspēja, palielināts urinēšanas biežums</w:t>
            </w:r>
          </w:p>
        </w:tc>
      </w:tr>
      <w:tr w:rsidR="00803783" w:rsidRPr="00CD729C" w14:paraId="3D39458C" w14:textId="77777777" w:rsidTr="009B4BB6">
        <w:trPr>
          <w:cantSplit/>
        </w:trPr>
        <w:tc>
          <w:tcPr>
            <w:tcW w:w="2235" w:type="dxa"/>
          </w:tcPr>
          <w:p w14:paraId="3D39458A" w14:textId="77777777" w:rsidR="00803783" w:rsidRPr="00CD729C" w:rsidRDefault="00803783" w:rsidP="009B4BB6">
            <w:pPr>
              <w:widowControl w:val="0"/>
              <w:spacing w:line="240" w:lineRule="auto"/>
              <w:rPr>
                <w:i/>
                <w:color w:val="000000"/>
                <w:szCs w:val="22"/>
              </w:rPr>
            </w:pPr>
            <w:r>
              <w:rPr>
                <w:i/>
                <w:color w:val="000000"/>
                <w:szCs w:val="22"/>
              </w:rPr>
              <w:t>Nav zināmi</w:t>
            </w:r>
          </w:p>
        </w:tc>
        <w:tc>
          <w:tcPr>
            <w:tcW w:w="7087" w:type="dxa"/>
          </w:tcPr>
          <w:p w14:paraId="3D39458B" w14:textId="77777777" w:rsidR="00803783" w:rsidRPr="00CD729C" w:rsidRDefault="00803783" w:rsidP="009B4BB6">
            <w:pPr>
              <w:widowControl w:val="0"/>
              <w:spacing w:line="240" w:lineRule="auto"/>
              <w:rPr>
                <w:color w:val="000000"/>
                <w:szCs w:val="22"/>
              </w:rPr>
            </w:pPr>
            <w:r>
              <w:rPr>
                <w:color w:val="000000"/>
                <w:szCs w:val="22"/>
              </w:rPr>
              <w:t>Hroniska nieru mazspēja</w:t>
            </w:r>
          </w:p>
        </w:tc>
      </w:tr>
      <w:tr w:rsidR="005719AE" w:rsidRPr="00CD729C" w14:paraId="3D39458E" w14:textId="77777777" w:rsidTr="009B4BB6">
        <w:trPr>
          <w:cantSplit/>
        </w:trPr>
        <w:tc>
          <w:tcPr>
            <w:tcW w:w="9322" w:type="dxa"/>
            <w:gridSpan w:val="2"/>
          </w:tcPr>
          <w:p w14:paraId="3D39458D" w14:textId="77777777" w:rsidR="005719AE" w:rsidRPr="00CD729C" w:rsidRDefault="005719AE" w:rsidP="009B4BB6">
            <w:pPr>
              <w:keepNext/>
              <w:widowControl w:val="0"/>
              <w:spacing w:line="240" w:lineRule="auto"/>
              <w:rPr>
                <w:b/>
                <w:bCs/>
                <w:color w:val="000000"/>
                <w:szCs w:val="22"/>
              </w:rPr>
            </w:pPr>
            <w:r w:rsidRPr="00CD729C">
              <w:rPr>
                <w:b/>
                <w:bCs/>
                <w:szCs w:val="22"/>
              </w:rPr>
              <w:t>Reproduktīvās sistēmas traucējumi un krūts slimības</w:t>
            </w:r>
          </w:p>
        </w:tc>
      </w:tr>
      <w:tr w:rsidR="005719AE" w:rsidRPr="00CD729C" w14:paraId="3D394591" w14:textId="77777777" w:rsidTr="009B4BB6">
        <w:trPr>
          <w:cantSplit/>
        </w:trPr>
        <w:tc>
          <w:tcPr>
            <w:tcW w:w="2235" w:type="dxa"/>
          </w:tcPr>
          <w:p w14:paraId="3D39458F" w14:textId="77777777" w:rsidR="005719AE" w:rsidRPr="00CD729C" w:rsidRDefault="005719AE" w:rsidP="009B4BB6">
            <w:pPr>
              <w:keepNext/>
              <w:widowControl w:val="0"/>
              <w:spacing w:line="240" w:lineRule="auto"/>
              <w:rPr>
                <w:i/>
                <w:color w:val="000000"/>
                <w:szCs w:val="22"/>
              </w:rPr>
            </w:pPr>
            <w:r w:rsidRPr="00CD729C">
              <w:rPr>
                <w:i/>
                <w:color w:val="000000"/>
                <w:szCs w:val="22"/>
              </w:rPr>
              <w:t>Retāk</w:t>
            </w:r>
          </w:p>
        </w:tc>
        <w:tc>
          <w:tcPr>
            <w:tcW w:w="7087" w:type="dxa"/>
          </w:tcPr>
          <w:p w14:paraId="3D394590" w14:textId="77777777" w:rsidR="005719AE" w:rsidRPr="00CD729C" w:rsidRDefault="005719AE" w:rsidP="009B4BB6">
            <w:pPr>
              <w:keepNext/>
              <w:widowControl w:val="0"/>
              <w:spacing w:line="240" w:lineRule="auto"/>
              <w:rPr>
                <w:bCs/>
                <w:color w:val="000000"/>
                <w:szCs w:val="22"/>
              </w:rPr>
            </w:pPr>
            <w:r w:rsidRPr="00CD729C">
              <w:rPr>
                <w:color w:val="000000"/>
                <w:szCs w:val="22"/>
              </w:rPr>
              <w:t>Ginekomastija, erektilā disfunkcija, menorāģija, neregulāras menstruācijas, seksuāla disfunkcija, sāpes krūšu galos, krūšu dziedzeru palielināšanās, sēklinieku maisiņu tūska</w:t>
            </w:r>
          </w:p>
        </w:tc>
      </w:tr>
      <w:tr w:rsidR="005719AE" w:rsidRPr="00CD729C" w14:paraId="3D394594" w14:textId="77777777" w:rsidTr="009B4BB6">
        <w:trPr>
          <w:cantSplit/>
        </w:trPr>
        <w:tc>
          <w:tcPr>
            <w:tcW w:w="2235" w:type="dxa"/>
          </w:tcPr>
          <w:p w14:paraId="3D394592" w14:textId="77777777" w:rsidR="005719AE" w:rsidRPr="00CD729C" w:rsidRDefault="005719AE" w:rsidP="009B4BB6">
            <w:pPr>
              <w:widowControl w:val="0"/>
              <w:spacing w:line="240" w:lineRule="auto"/>
              <w:rPr>
                <w:i/>
                <w:color w:val="000000"/>
                <w:szCs w:val="22"/>
              </w:rPr>
            </w:pPr>
            <w:r w:rsidRPr="00CD729C">
              <w:rPr>
                <w:i/>
                <w:color w:val="000000"/>
                <w:szCs w:val="22"/>
              </w:rPr>
              <w:t>Reti</w:t>
            </w:r>
          </w:p>
        </w:tc>
        <w:tc>
          <w:tcPr>
            <w:tcW w:w="7087" w:type="dxa"/>
          </w:tcPr>
          <w:p w14:paraId="3D394593" w14:textId="77777777" w:rsidR="005719AE" w:rsidRPr="00CD729C" w:rsidRDefault="005719AE" w:rsidP="009B4BB6">
            <w:pPr>
              <w:widowControl w:val="0"/>
              <w:spacing w:line="240" w:lineRule="auto"/>
              <w:rPr>
                <w:bCs/>
                <w:color w:val="000000"/>
                <w:szCs w:val="22"/>
              </w:rPr>
            </w:pPr>
            <w:r w:rsidRPr="00CD729C">
              <w:rPr>
                <w:color w:val="000000"/>
                <w:szCs w:val="22"/>
              </w:rPr>
              <w:t>Hemorāģisks dzeltenais ķermenis/hemorāģiska olnīcu cista</w:t>
            </w:r>
          </w:p>
        </w:tc>
      </w:tr>
      <w:tr w:rsidR="005719AE" w:rsidRPr="00CD729C" w14:paraId="3D394596" w14:textId="77777777" w:rsidTr="009B4BB6">
        <w:trPr>
          <w:cantSplit/>
        </w:trPr>
        <w:tc>
          <w:tcPr>
            <w:tcW w:w="9322" w:type="dxa"/>
            <w:gridSpan w:val="2"/>
          </w:tcPr>
          <w:p w14:paraId="3D394595" w14:textId="77777777" w:rsidR="005719AE" w:rsidRPr="00CD729C" w:rsidRDefault="005719AE" w:rsidP="009B4BB6">
            <w:pPr>
              <w:keepNext/>
              <w:widowControl w:val="0"/>
              <w:spacing w:line="240" w:lineRule="auto"/>
              <w:rPr>
                <w:color w:val="000000"/>
                <w:szCs w:val="22"/>
              </w:rPr>
            </w:pPr>
            <w:r w:rsidRPr="00CD729C">
              <w:rPr>
                <w:b/>
                <w:color w:val="000000"/>
                <w:szCs w:val="22"/>
              </w:rPr>
              <w:t>Vispārēji traucējumi un reakcijas ievadīšanas vietā</w:t>
            </w:r>
          </w:p>
        </w:tc>
      </w:tr>
      <w:tr w:rsidR="005719AE" w:rsidRPr="00CD729C" w14:paraId="3D394599" w14:textId="77777777" w:rsidTr="009B4BB6">
        <w:trPr>
          <w:cantSplit/>
        </w:trPr>
        <w:tc>
          <w:tcPr>
            <w:tcW w:w="2235" w:type="dxa"/>
          </w:tcPr>
          <w:p w14:paraId="3D394597" w14:textId="77777777" w:rsidR="005719AE" w:rsidRPr="00CD729C" w:rsidRDefault="005719AE" w:rsidP="009B4BB6">
            <w:pPr>
              <w:keepNext/>
              <w:widowControl w:val="0"/>
              <w:spacing w:line="240" w:lineRule="auto"/>
              <w:rPr>
                <w:i/>
                <w:color w:val="000000"/>
                <w:szCs w:val="22"/>
              </w:rPr>
            </w:pPr>
            <w:r w:rsidRPr="00CD729C">
              <w:rPr>
                <w:i/>
                <w:color w:val="000000"/>
                <w:szCs w:val="22"/>
              </w:rPr>
              <w:t>Ļoti bieži</w:t>
            </w:r>
          </w:p>
        </w:tc>
        <w:tc>
          <w:tcPr>
            <w:tcW w:w="7087" w:type="dxa"/>
          </w:tcPr>
          <w:p w14:paraId="3D394598" w14:textId="77777777" w:rsidR="005719AE" w:rsidRPr="00CD729C" w:rsidRDefault="005719AE" w:rsidP="009B4BB6">
            <w:pPr>
              <w:keepNext/>
              <w:widowControl w:val="0"/>
              <w:spacing w:line="240" w:lineRule="auto"/>
              <w:rPr>
                <w:color w:val="000000"/>
                <w:szCs w:val="22"/>
              </w:rPr>
            </w:pPr>
            <w:r w:rsidRPr="00CD729C">
              <w:rPr>
                <w:color w:val="000000"/>
                <w:szCs w:val="22"/>
              </w:rPr>
              <w:t>Šķidruma aizture un tūska, nogurums</w:t>
            </w:r>
          </w:p>
        </w:tc>
      </w:tr>
      <w:tr w:rsidR="005719AE" w:rsidRPr="00CD729C" w14:paraId="3D39459C" w14:textId="77777777" w:rsidTr="009B4BB6">
        <w:trPr>
          <w:cantSplit/>
        </w:trPr>
        <w:tc>
          <w:tcPr>
            <w:tcW w:w="2235" w:type="dxa"/>
          </w:tcPr>
          <w:p w14:paraId="3D39459A" w14:textId="77777777" w:rsidR="005719AE" w:rsidRPr="00CD729C" w:rsidRDefault="005719AE" w:rsidP="009B4BB6">
            <w:pPr>
              <w:keepNext/>
              <w:widowControl w:val="0"/>
              <w:spacing w:line="240" w:lineRule="auto"/>
              <w:rPr>
                <w:i/>
                <w:color w:val="000000"/>
                <w:szCs w:val="22"/>
              </w:rPr>
            </w:pPr>
            <w:r w:rsidRPr="00CD729C">
              <w:rPr>
                <w:i/>
                <w:color w:val="000000"/>
                <w:szCs w:val="22"/>
              </w:rPr>
              <w:t>Bieži</w:t>
            </w:r>
          </w:p>
        </w:tc>
        <w:tc>
          <w:tcPr>
            <w:tcW w:w="7087" w:type="dxa"/>
          </w:tcPr>
          <w:p w14:paraId="3D39459B" w14:textId="77777777" w:rsidR="005719AE" w:rsidRPr="00CD729C" w:rsidRDefault="005719AE" w:rsidP="009B4BB6">
            <w:pPr>
              <w:keepNext/>
              <w:widowControl w:val="0"/>
              <w:spacing w:line="240" w:lineRule="auto"/>
              <w:rPr>
                <w:color w:val="000000"/>
                <w:szCs w:val="22"/>
              </w:rPr>
            </w:pPr>
            <w:r w:rsidRPr="00CD729C">
              <w:rPr>
                <w:color w:val="000000"/>
                <w:szCs w:val="22"/>
              </w:rPr>
              <w:t>Vājums, paaugstināta ķermeņa temperatūra, anasarka, vēsuma sajūta, drebuļi</w:t>
            </w:r>
          </w:p>
        </w:tc>
      </w:tr>
      <w:tr w:rsidR="005719AE" w:rsidRPr="00CD729C" w14:paraId="3D39459F" w14:textId="77777777" w:rsidTr="009B4BB6">
        <w:trPr>
          <w:cantSplit/>
        </w:trPr>
        <w:tc>
          <w:tcPr>
            <w:tcW w:w="2235" w:type="dxa"/>
          </w:tcPr>
          <w:p w14:paraId="3D39459D" w14:textId="77777777" w:rsidR="005719AE" w:rsidRPr="00CD729C" w:rsidRDefault="005719AE" w:rsidP="009B4BB6">
            <w:pPr>
              <w:widowControl w:val="0"/>
              <w:spacing w:line="240" w:lineRule="auto"/>
              <w:rPr>
                <w:i/>
                <w:color w:val="000000"/>
                <w:szCs w:val="22"/>
              </w:rPr>
            </w:pPr>
            <w:r w:rsidRPr="00CD729C">
              <w:rPr>
                <w:i/>
                <w:color w:val="000000"/>
                <w:szCs w:val="22"/>
              </w:rPr>
              <w:t>Retāk</w:t>
            </w:r>
          </w:p>
        </w:tc>
        <w:tc>
          <w:tcPr>
            <w:tcW w:w="7087" w:type="dxa"/>
          </w:tcPr>
          <w:p w14:paraId="3D39459E" w14:textId="77777777" w:rsidR="005719AE" w:rsidRPr="00CD729C" w:rsidRDefault="005719AE" w:rsidP="009B4BB6">
            <w:pPr>
              <w:widowControl w:val="0"/>
              <w:spacing w:line="240" w:lineRule="auto"/>
              <w:rPr>
                <w:color w:val="000000"/>
                <w:szCs w:val="22"/>
              </w:rPr>
            </w:pPr>
            <w:r w:rsidRPr="00CD729C">
              <w:rPr>
                <w:color w:val="000000"/>
                <w:szCs w:val="22"/>
              </w:rPr>
              <w:t>Sāpes krūtīs, savārgums</w:t>
            </w:r>
          </w:p>
        </w:tc>
      </w:tr>
      <w:tr w:rsidR="005719AE" w:rsidRPr="00CD729C" w14:paraId="3D3945A1" w14:textId="77777777" w:rsidTr="009B4BB6">
        <w:trPr>
          <w:cantSplit/>
        </w:trPr>
        <w:tc>
          <w:tcPr>
            <w:tcW w:w="9322" w:type="dxa"/>
            <w:gridSpan w:val="2"/>
          </w:tcPr>
          <w:p w14:paraId="3D3945A0" w14:textId="77777777" w:rsidR="005719AE" w:rsidRPr="00CD729C" w:rsidRDefault="005719AE" w:rsidP="009B4BB6">
            <w:pPr>
              <w:keepNext/>
              <w:widowControl w:val="0"/>
              <w:spacing w:line="240" w:lineRule="auto"/>
              <w:rPr>
                <w:b/>
                <w:bCs/>
                <w:color w:val="000000"/>
                <w:szCs w:val="22"/>
              </w:rPr>
            </w:pPr>
            <w:r w:rsidRPr="00CD729C">
              <w:rPr>
                <w:b/>
                <w:bCs/>
                <w:szCs w:val="22"/>
              </w:rPr>
              <w:lastRenderedPageBreak/>
              <w:t>Izmeklējumi</w:t>
            </w:r>
          </w:p>
        </w:tc>
      </w:tr>
      <w:tr w:rsidR="005719AE" w:rsidRPr="00CD729C" w14:paraId="3D3945A4" w14:textId="77777777" w:rsidTr="009B4BB6">
        <w:trPr>
          <w:cantSplit/>
        </w:trPr>
        <w:tc>
          <w:tcPr>
            <w:tcW w:w="2235" w:type="dxa"/>
          </w:tcPr>
          <w:p w14:paraId="3D3945A2" w14:textId="77777777" w:rsidR="005719AE" w:rsidRPr="00CD729C" w:rsidRDefault="005719AE" w:rsidP="009B4BB6">
            <w:pPr>
              <w:keepNext/>
              <w:widowControl w:val="0"/>
              <w:spacing w:line="240" w:lineRule="auto"/>
              <w:rPr>
                <w:i/>
                <w:color w:val="000000"/>
                <w:szCs w:val="22"/>
              </w:rPr>
            </w:pPr>
            <w:r w:rsidRPr="00CD729C">
              <w:rPr>
                <w:i/>
                <w:color w:val="000000"/>
                <w:szCs w:val="22"/>
              </w:rPr>
              <w:t>Ļoti bieži</w:t>
            </w:r>
          </w:p>
        </w:tc>
        <w:tc>
          <w:tcPr>
            <w:tcW w:w="7087" w:type="dxa"/>
          </w:tcPr>
          <w:p w14:paraId="3D3945A3" w14:textId="77777777" w:rsidR="005719AE" w:rsidRPr="00CD729C" w:rsidRDefault="005719AE" w:rsidP="009B4BB6">
            <w:pPr>
              <w:keepNext/>
              <w:widowControl w:val="0"/>
              <w:spacing w:line="240" w:lineRule="auto"/>
              <w:rPr>
                <w:color w:val="000000"/>
                <w:szCs w:val="22"/>
              </w:rPr>
            </w:pPr>
            <w:r w:rsidRPr="00CD729C">
              <w:rPr>
                <w:color w:val="000000"/>
                <w:szCs w:val="22"/>
              </w:rPr>
              <w:t>Ķermeņa masas palielināšanās</w:t>
            </w:r>
          </w:p>
        </w:tc>
      </w:tr>
      <w:tr w:rsidR="005719AE" w:rsidRPr="00CD729C" w14:paraId="3D3945A7" w14:textId="77777777" w:rsidTr="009B4BB6">
        <w:trPr>
          <w:cantSplit/>
        </w:trPr>
        <w:tc>
          <w:tcPr>
            <w:tcW w:w="2235" w:type="dxa"/>
          </w:tcPr>
          <w:p w14:paraId="3D3945A5" w14:textId="77777777" w:rsidR="005719AE" w:rsidRPr="00CD729C" w:rsidRDefault="005719AE" w:rsidP="009B4BB6">
            <w:pPr>
              <w:keepNext/>
              <w:widowControl w:val="0"/>
              <w:spacing w:line="240" w:lineRule="auto"/>
              <w:rPr>
                <w:i/>
                <w:color w:val="000000"/>
                <w:szCs w:val="22"/>
              </w:rPr>
            </w:pPr>
            <w:r w:rsidRPr="00CD729C">
              <w:rPr>
                <w:i/>
                <w:color w:val="000000"/>
                <w:szCs w:val="22"/>
              </w:rPr>
              <w:t>Bieži</w:t>
            </w:r>
          </w:p>
        </w:tc>
        <w:tc>
          <w:tcPr>
            <w:tcW w:w="7087" w:type="dxa"/>
          </w:tcPr>
          <w:p w14:paraId="3D3945A6" w14:textId="77777777" w:rsidR="005719AE" w:rsidRPr="00CD729C" w:rsidRDefault="005719AE" w:rsidP="009B4BB6">
            <w:pPr>
              <w:keepNext/>
              <w:widowControl w:val="0"/>
              <w:spacing w:line="240" w:lineRule="auto"/>
              <w:rPr>
                <w:color w:val="000000"/>
                <w:szCs w:val="22"/>
              </w:rPr>
            </w:pPr>
            <w:r w:rsidRPr="00CD729C">
              <w:rPr>
                <w:color w:val="000000"/>
                <w:szCs w:val="22"/>
              </w:rPr>
              <w:t>Ķermeņa masas samazināšanās</w:t>
            </w:r>
          </w:p>
        </w:tc>
      </w:tr>
      <w:tr w:rsidR="005719AE" w:rsidRPr="00CD729C" w14:paraId="3D3945AA" w14:textId="77777777" w:rsidTr="009B4BB6">
        <w:trPr>
          <w:cantSplit/>
        </w:trPr>
        <w:tc>
          <w:tcPr>
            <w:tcW w:w="2235" w:type="dxa"/>
          </w:tcPr>
          <w:p w14:paraId="3D3945A8" w14:textId="77777777" w:rsidR="005719AE" w:rsidRPr="00CD729C" w:rsidRDefault="005719AE" w:rsidP="009B4BB6">
            <w:pPr>
              <w:keepNext/>
              <w:widowControl w:val="0"/>
              <w:spacing w:line="240" w:lineRule="auto"/>
              <w:rPr>
                <w:i/>
                <w:color w:val="000000"/>
                <w:szCs w:val="22"/>
              </w:rPr>
            </w:pPr>
            <w:r w:rsidRPr="00CD729C">
              <w:rPr>
                <w:i/>
                <w:color w:val="000000"/>
                <w:szCs w:val="22"/>
              </w:rPr>
              <w:t>Retāk</w:t>
            </w:r>
          </w:p>
        </w:tc>
        <w:tc>
          <w:tcPr>
            <w:tcW w:w="7087" w:type="dxa"/>
          </w:tcPr>
          <w:p w14:paraId="3D3945A9" w14:textId="77777777" w:rsidR="005719AE" w:rsidRPr="00CD729C" w:rsidRDefault="005719AE" w:rsidP="009B4BB6">
            <w:pPr>
              <w:keepNext/>
              <w:widowControl w:val="0"/>
              <w:spacing w:line="240" w:lineRule="auto"/>
              <w:rPr>
                <w:color w:val="000000"/>
                <w:szCs w:val="22"/>
              </w:rPr>
            </w:pPr>
            <w:r w:rsidRPr="00CD729C">
              <w:rPr>
                <w:color w:val="000000"/>
                <w:szCs w:val="22"/>
              </w:rPr>
              <w:t>Kreatinīna līmeņa paaugstināšanās asinīs, kreatīnfosfokināzes līmeņa paaugstināšanās asinīs, laktātdehidrogenāzes līmeņa paaugstināšanās asinīs, sārmainās fosfotāzes līmeņa paaugstināšanās asinīs</w:t>
            </w:r>
          </w:p>
        </w:tc>
      </w:tr>
      <w:tr w:rsidR="005719AE" w:rsidRPr="00CD729C" w14:paraId="3D3945AD" w14:textId="77777777" w:rsidTr="009B4BB6">
        <w:trPr>
          <w:cantSplit/>
        </w:trPr>
        <w:tc>
          <w:tcPr>
            <w:tcW w:w="2235" w:type="dxa"/>
          </w:tcPr>
          <w:p w14:paraId="3D3945AB" w14:textId="77777777" w:rsidR="005719AE" w:rsidRPr="00CD729C" w:rsidRDefault="005719AE" w:rsidP="009B4BB6">
            <w:pPr>
              <w:keepNext/>
              <w:keepLines/>
              <w:widowControl w:val="0"/>
              <w:spacing w:line="240" w:lineRule="auto"/>
              <w:rPr>
                <w:i/>
                <w:color w:val="000000"/>
                <w:szCs w:val="22"/>
              </w:rPr>
            </w:pPr>
            <w:r w:rsidRPr="00CD729C">
              <w:rPr>
                <w:i/>
                <w:color w:val="000000"/>
                <w:szCs w:val="22"/>
              </w:rPr>
              <w:t>Reti</w:t>
            </w:r>
          </w:p>
        </w:tc>
        <w:tc>
          <w:tcPr>
            <w:tcW w:w="7087" w:type="dxa"/>
          </w:tcPr>
          <w:p w14:paraId="3D3945AC" w14:textId="77777777" w:rsidR="005719AE" w:rsidRPr="00CD729C" w:rsidRDefault="005719AE" w:rsidP="009B4BB6">
            <w:pPr>
              <w:keepNext/>
              <w:keepLines/>
              <w:widowControl w:val="0"/>
              <w:spacing w:line="240" w:lineRule="auto"/>
              <w:rPr>
                <w:color w:val="000000"/>
                <w:szCs w:val="22"/>
              </w:rPr>
            </w:pPr>
            <w:r w:rsidRPr="00CD729C">
              <w:rPr>
                <w:color w:val="000000"/>
                <w:szCs w:val="22"/>
              </w:rPr>
              <w:t>Amilāzes līmeņa paaugstināšanās asinīs</w:t>
            </w:r>
          </w:p>
        </w:tc>
      </w:tr>
    </w:tbl>
    <w:p w14:paraId="3D3945AE" w14:textId="77777777" w:rsidR="00FE53FA" w:rsidRPr="00CD729C" w:rsidRDefault="00FE53FA" w:rsidP="009B4BB6">
      <w:pPr>
        <w:keepNext/>
        <w:keepLines/>
        <w:widowControl w:val="0"/>
        <w:spacing w:line="240" w:lineRule="auto"/>
        <w:rPr>
          <w:color w:val="000000"/>
          <w:szCs w:val="22"/>
        </w:rPr>
      </w:pPr>
    </w:p>
    <w:p w14:paraId="3D3945AF" w14:textId="77777777" w:rsidR="005719AE" w:rsidRPr="00CD729C" w:rsidRDefault="005719AE" w:rsidP="009B4BB6">
      <w:pPr>
        <w:keepNext/>
        <w:keepLines/>
        <w:widowControl w:val="0"/>
        <w:tabs>
          <w:tab w:val="clear" w:pos="567"/>
        </w:tabs>
        <w:spacing w:line="240" w:lineRule="auto"/>
        <w:ind w:left="567" w:hanging="567"/>
        <w:rPr>
          <w:color w:val="000000"/>
          <w:szCs w:val="22"/>
        </w:rPr>
      </w:pPr>
      <w:r w:rsidRPr="00CD729C">
        <w:rPr>
          <w:color w:val="000000"/>
          <w:szCs w:val="22"/>
        </w:rPr>
        <w:t>*</w:t>
      </w:r>
      <w:r w:rsidRPr="00CD729C">
        <w:rPr>
          <w:color w:val="000000"/>
          <w:szCs w:val="22"/>
        </w:rPr>
        <w:tab/>
        <w:t xml:space="preserve">Par šī tipa reakcijām ziņots galvenokārt </w:t>
      </w:r>
      <w:r w:rsidR="009E0183" w:rsidRPr="00CD729C">
        <w:rPr>
          <w:color w:val="000000"/>
          <w:szCs w:val="22"/>
        </w:rPr>
        <w:t>Glivec pēcreģistrācijas pieredzes laikā. Tie ietver spontānos gadījumu ziņo</w:t>
      </w:r>
      <w:r w:rsidR="007D3F06" w:rsidRPr="00CD729C">
        <w:rPr>
          <w:color w:val="000000"/>
          <w:szCs w:val="22"/>
        </w:rPr>
        <w:t xml:space="preserve">jumus, kā arī </w:t>
      </w:r>
      <w:r w:rsidR="009E0183" w:rsidRPr="00CD729C">
        <w:rPr>
          <w:color w:val="000000"/>
          <w:szCs w:val="22"/>
        </w:rPr>
        <w:t>notiekošaj</w:t>
      </w:r>
      <w:r w:rsidR="002902CA" w:rsidRPr="00CD729C">
        <w:rPr>
          <w:color w:val="000000"/>
          <w:szCs w:val="22"/>
        </w:rPr>
        <w:t>os</w:t>
      </w:r>
      <w:r w:rsidR="009E0183" w:rsidRPr="00CD729C">
        <w:rPr>
          <w:color w:val="000000"/>
          <w:szCs w:val="22"/>
        </w:rPr>
        <w:t xml:space="preserve"> pētījum</w:t>
      </w:r>
      <w:r w:rsidR="002902CA" w:rsidRPr="00CD729C">
        <w:rPr>
          <w:color w:val="000000"/>
          <w:szCs w:val="22"/>
        </w:rPr>
        <w:t>os</w:t>
      </w:r>
      <w:r w:rsidR="009E0183" w:rsidRPr="00CD729C">
        <w:rPr>
          <w:color w:val="000000"/>
          <w:szCs w:val="22"/>
        </w:rPr>
        <w:t>, paplašinātas pieejamības programmā</w:t>
      </w:r>
      <w:r w:rsidR="002902CA" w:rsidRPr="00CD729C">
        <w:rPr>
          <w:color w:val="000000"/>
          <w:szCs w:val="22"/>
        </w:rPr>
        <w:t>s</w:t>
      </w:r>
      <w:r w:rsidR="009E0183" w:rsidRPr="00CD729C">
        <w:rPr>
          <w:color w:val="000000"/>
          <w:szCs w:val="22"/>
        </w:rPr>
        <w:t>, klīniskās farmakoloģijas pētījum</w:t>
      </w:r>
      <w:r w:rsidR="002902CA" w:rsidRPr="00CD729C">
        <w:rPr>
          <w:color w:val="000000"/>
          <w:szCs w:val="22"/>
        </w:rPr>
        <w:t>os</w:t>
      </w:r>
      <w:r w:rsidR="009E0183" w:rsidRPr="00CD729C">
        <w:rPr>
          <w:color w:val="000000"/>
          <w:szCs w:val="22"/>
        </w:rPr>
        <w:t xml:space="preserve"> un </w:t>
      </w:r>
      <w:r w:rsidR="002902CA" w:rsidRPr="00CD729C">
        <w:rPr>
          <w:color w:val="000000"/>
          <w:szCs w:val="22"/>
        </w:rPr>
        <w:t xml:space="preserve">neapstiprinātu indikāciju </w:t>
      </w:r>
      <w:r w:rsidR="009E0183" w:rsidRPr="00CD729C">
        <w:rPr>
          <w:color w:val="000000"/>
          <w:szCs w:val="22"/>
        </w:rPr>
        <w:t>zinātniskaj</w:t>
      </w:r>
      <w:r w:rsidR="002902CA" w:rsidRPr="00CD729C">
        <w:rPr>
          <w:color w:val="000000"/>
          <w:szCs w:val="22"/>
        </w:rPr>
        <w:t>os</w:t>
      </w:r>
      <w:r w:rsidR="009E0183" w:rsidRPr="00CD729C">
        <w:rPr>
          <w:color w:val="000000"/>
          <w:szCs w:val="22"/>
        </w:rPr>
        <w:t xml:space="preserve"> pētījum</w:t>
      </w:r>
      <w:r w:rsidR="002902CA" w:rsidRPr="00CD729C">
        <w:rPr>
          <w:color w:val="000000"/>
          <w:szCs w:val="22"/>
        </w:rPr>
        <w:t xml:space="preserve">os novērotās </w:t>
      </w:r>
      <w:r w:rsidR="00754868" w:rsidRPr="00CD729C">
        <w:rPr>
          <w:color w:val="000000"/>
          <w:szCs w:val="22"/>
        </w:rPr>
        <w:t>nopietnās</w:t>
      </w:r>
      <w:r w:rsidR="002902CA" w:rsidRPr="00CD729C">
        <w:rPr>
          <w:color w:val="000000"/>
          <w:szCs w:val="22"/>
        </w:rPr>
        <w:t xml:space="preserve"> blakusparādības</w:t>
      </w:r>
      <w:r w:rsidR="009E0183" w:rsidRPr="00CD729C">
        <w:rPr>
          <w:color w:val="000000"/>
          <w:szCs w:val="22"/>
        </w:rPr>
        <w:t xml:space="preserve">. Tā </w:t>
      </w:r>
      <w:r w:rsidR="007D3F06" w:rsidRPr="00CD729C">
        <w:rPr>
          <w:color w:val="000000"/>
          <w:szCs w:val="22"/>
        </w:rPr>
        <w:t>kā</w:t>
      </w:r>
      <w:r w:rsidR="009E0183" w:rsidRPr="00CD729C">
        <w:rPr>
          <w:color w:val="000000"/>
          <w:szCs w:val="22"/>
        </w:rPr>
        <w:t xml:space="preserve"> par šīm blakusparādībām ziņots nenoteikta </w:t>
      </w:r>
      <w:r w:rsidR="00BA797D" w:rsidRPr="00CD729C">
        <w:rPr>
          <w:color w:val="000000"/>
          <w:szCs w:val="22"/>
        </w:rPr>
        <w:t>lieluma populācijā</w:t>
      </w:r>
      <w:r w:rsidR="009E0183" w:rsidRPr="00CD729C">
        <w:rPr>
          <w:color w:val="000000"/>
          <w:szCs w:val="22"/>
        </w:rPr>
        <w:t xml:space="preserve">, nav iespējams vienmēr noteikt to biežumu vai cēloņsakarību ar imatiniba </w:t>
      </w:r>
      <w:r w:rsidR="00BA797D" w:rsidRPr="00CD729C">
        <w:rPr>
          <w:color w:val="000000"/>
          <w:szCs w:val="22"/>
        </w:rPr>
        <w:t>iedarbību</w:t>
      </w:r>
      <w:r w:rsidR="009E0183" w:rsidRPr="00CD729C">
        <w:rPr>
          <w:color w:val="000000"/>
          <w:szCs w:val="22"/>
        </w:rPr>
        <w:t>.</w:t>
      </w:r>
    </w:p>
    <w:p w14:paraId="3D3945B0" w14:textId="77777777" w:rsidR="00826EE9" w:rsidRPr="00CD729C" w:rsidRDefault="00826EE9" w:rsidP="009B4BB6">
      <w:pPr>
        <w:keepNext/>
        <w:keepLines/>
        <w:widowControl w:val="0"/>
        <w:tabs>
          <w:tab w:val="clear" w:pos="567"/>
        </w:tabs>
        <w:spacing w:line="240" w:lineRule="auto"/>
        <w:ind w:left="567" w:hanging="567"/>
        <w:rPr>
          <w:color w:val="000000"/>
          <w:szCs w:val="22"/>
        </w:rPr>
      </w:pPr>
      <w:r w:rsidRPr="00CD729C">
        <w:rPr>
          <w:color w:val="000000"/>
          <w:szCs w:val="22"/>
        </w:rPr>
        <w:t>1</w:t>
      </w:r>
      <w:r w:rsidRPr="00CD729C">
        <w:rPr>
          <w:color w:val="000000"/>
          <w:szCs w:val="22"/>
        </w:rPr>
        <w:tab/>
      </w:r>
      <w:r w:rsidR="001E4662" w:rsidRPr="00CD729C">
        <w:rPr>
          <w:color w:val="000000"/>
          <w:szCs w:val="22"/>
        </w:rPr>
        <w:t>Par pneimoniju visbiežāk ziņots pacientiem ar transformētu CML un pacientiem ar GIST.</w:t>
      </w:r>
    </w:p>
    <w:p w14:paraId="3D3945B1" w14:textId="77777777" w:rsidR="00826EE9" w:rsidRPr="00CD729C" w:rsidRDefault="00826EE9" w:rsidP="009B4BB6">
      <w:pPr>
        <w:keepNext/>
        <w:keepLines/>
        <w:widowControl w:val="0"/>
        <w:tabs>
          <w:tab w:val="clear" w:pos="567"/>
        </w:tabs>
        <w:spacing w:line="240" w:lineRule="auto"/>
        <w:ind w:left="567" w:hanging="567"/>
        <w:rPr>
          <w:color w:val="000000"/>
          <w:szCs w:val="22"/>
        </w:rPr>
      </w:pPr>
      <w:r w:rsidRPr="00CD729C">
        <w:rPr>
          <w:color w:val="000000"/>
          <w:szCs w:val="22"/>
        </w:rPr>
        <w:t>2</w:t>
      </w:r>
      <w:r w:rsidRPr="00CD729C">
        <w:rPr>
          <w:color w:val="000000"/>
          <w:szCs w:val="22"/>
        </w:rPr>
        <w:tab/>
      </w:r>
      <w:r w:rsidR="00E50672" w:rsidRPr="00CD729C">
        <w:rPr>
          <w:color w:val="000000"/>
          <w:szCs w:val="22"/>
        </w:rPr>
        <w:t xml:space="preserve">Galvassāpes visbiežāk </w:t>
      </w:r>
      <w:r w:rsidR="003E37B8" w:rsidRPr="00CD729C">
        <w:rPr>
          <w:color w:val="000000"/>
          <w:szCs w:val="22"/>
        </w:rPr>
        <w:t>novērotas</w:t>
      </w:r>
      <w:r w:rsidR="00E50672" w:rsidRPr="00CD729C">
        <w:rPr>
          <w:color w:val="000000"/>
          <w:szCs w:val="22"/>
        </w:rPr>
        <w:t xml:space="preserve"> pacientiem ar GIST.</w:t>
      </w:r>
    </w:p>
    <w:p w14:paraId="3D3945B2" w14:textId="77777777" w:rsidR="00826EE9" w:rsidRPr="00CD729C" w:rsidRDefault="00826EE9" w:rsidP="009B4BB6">
      <w:pPr>
        <w:keepNext/>
        <w:keepLines/>
        <w:widowControl w:val="0"/>
        <w:tabs>
          <w:tab w:val="clear" w:pos="567"/>
        </w:tabs>
        <w:spacing w:line="240" w:lineRule="auto"/>
        <w:ind w:left="567" w:hanging="567"/>
        <w:rPr>
          <w:color w:val="000000"/>
          <w:szCs w:val="22"/>
        </w:rPr>
      </w:pPr>
      <w:r w:rsidRPr="00CD729C">
        <w:rPr>
          <w:color w:val="000000"/>
          <w:szCs w:val="22"/>
        </w:rPr>
        <w:t>3</w:t>
      </w:r>
      <w:r w:rsidRPr="00CD729C">
        <w:rPr>
          <w:color w:val="000000"/>
          <w:szCs w:val="22"/>
        </w:rPr>
        <w:tab/>
      </w:r>
      <w:r w:rsidR="001E4662" w:rsidRPr="00CD729C">
        <w:rPr>
          <w:color w:val="000000"/>
          <w:szCs w:val="22"/>
        </w:rPr>
        <w:t>Pamatojoties uz datiem par pacientgadiem, sirdsdarbības traucējumus, tostarp sastrēguma sirds mazspēju pacientiem ar transformētu CML novēroja biežāk nekā pacientiem ar hronisku CML.</w:t>
      </w:r>
    </w:p>
    <w:p w14:paraId="3D3945B3" w14:textId="77777777" w:rsidR="001E4662" w:rsidRPr="00CD729C" w:rsidRDefault="00826EE9" w:rsidP="009B4BB6">
      <w:pPr>
        <w:keepNext/>
        <w:keepLines/>
        <w:widowControl w:val="0"/>
        <w:tabs>
          <w:tab w:val="clear" w:pos="567"/>
        </w:tabs>
        <w:spacing w:line="240" w:lineRule="auto"/>
        <w:ind w:left="567" w:hanging="567"/>
        <w:rPr>
          <w:color w:val="000000"/>
          <w:szCs w:val="22"/>
        </w:rPr>
      </w:pPr>
      <w:r w:rsidRPr="00CD729C">
        <w:rPr>
          <w:color w:val="000000"/>
          <w:szCs w:val="22"/>
        </w:rPr>
        <w:t>4</w:t>
      </w:r>
      <w:r w:rsidRPr="00CD729C">
        <w:rPr>
          <w:color w:val="000000"/>
          <w:szCs w:val="22"/>
        </w:rPr>
        <w:tab/>
      </w:r>
      <w:r w:rsidR="001E4662" w:rsidRPr="00CD729C">
        <w:rPr>
          <w:color w:val="000000"/>
          <w:szCs w:val="22"/>
        </w:rPr>
        <w:t>Pietvīkumu visbiežāk novēroja pacientiem ar GIST, un asiņošanu (hematomu, hemorāģiju) visbiežāk novēroja pacientiem ar GIST un transformētu CML (CML-AP un CML-BC).</w:t>
      </w:r>
    </w:p>
    <w:p w14:paraId="3D3945B4" w14:textId="77777777" w:rsidR="00826EE9" w:rsidRPr="00CD729C" w:rsidRDefault="001E4662" w:rsidP="009B4BB6">
      <w:pPr>
        <w:keepNext/>
        <w:keepLines/>
        <w:widowControl w:val="0"/>
        <w:tabs>
          <w:tab w:val="clear" w:pos="567"/>
        </w:tabs>
        <w:spacing w:line="240" w:lineRule="auto"/>
        <w:ind w:left="567" w:hanging="567"/>
        <w:rPr>
          <w:color w:val="000000"/>
          <w:szCs w:val="22"/>
        </w:rPr>
      </w:pPr>
      <w:r w:rsidRPr="00CD729C">
        <w:rPr>
          <w:color w:val="000000"/>
          <w:szCs w:val="22"/>
        </w:rPr>
        <w:t>5</w:t>
      </w:r>
      <w:r w:rsidRPr="00CD729C">
        <w:rPr>
          <w:color w:val="000000"/>
          <w:szCs w:val="22"/>
        </w:rPr>
        <w:tab/>
        <w:t>Par izsvīdumu pleirā biežāk ziņots pacientiem ar GIST un pacientiem ar transformētu CML (CML-AP un CML-BC) nekā pacientiem ar hronisku CML.</w:t>
      </w:r>
    </w:p>
    <w:p w14:paraId="3D3945B5" w14:textId="77777777" w:rsidR="00826EE9" w:rsidRPr="00CD729C" w:rsidRDefault="00826EE9" w:rsidP="009B4BB6">
      <w:pPr>
        <w:keepNext/>
        <w:keepLines/>
        <w:widowControl w:val="0"/>
        <w:tabs>
          <w:tab w:val="clear" w:pos="567"/>
        </w:tabs>
        <w:spacing w:line="240" w:lineRule="auto"/>
        <w:ind w:left="567" w:hanging="567"/>
        <w:rPr>
          <w:color w:val="000000"/>
          <w:szCs w:val="22"/>
        </w:rPr>
      </w:pPr>
      <w:r w:rsidRPr="00CD729C">
        <w:rPr>
          <w:color w:val="000000"/>
          <w:szCs w:val="22"/>
        </w:rPr>
        <w:t>6</w:t>
      </w:r>
      <w:r w:rsidR="001E4662" w:rsidRPr="00CD729C">
        <w:rPr>
          <w:color w:val="000000"/>
          <w:szCs w:val="22"/>
        </w:rPr>
        <w:t>+7</w:t>
      </w:r>
      <w:r w:rsidRPr="00CD729C">
        <w:rPr>
          <w:color w:val="000000"/>
          <w:szCs w:val="22"/>
        </w:rPr>
        <w:tab/>
      </w:r>
      <w:r w:rsidR="001E4662" w:rsidRPr="00CD729C">
        <w:rPr>
          <w:color w:val="000000"/>
          <w:szCs w:val="22"/>
        </w:rPr>
        <w:t>Sāpes vēderā un kuņģa-zarnu trakta asiņošana visbiežāk novērota pacientiem ar GIST.</w:t>
      </w:r>
    </w:p>
    <w:p w14:paraId="3D3945B6" w14:textId="77777777" w:rsidR="00826EE9" w:rsidRDefault="00826EE9" w:rsidP="009B4BB6">
      <w:pPr>
        <w:keepNext/>
        <w:keepLines/>
        <w:widowControl w:val="0"/>
        <w:tabs>
          <w:tab w:val="clear" w:pos="567"/>
        </w:tabs>
        <w:spacing w:line="240" w:lineRule="auto"/>
        <w:ind w:left="567" w:hanging="567"/>
        <w:rPr>
          <w:color w:val="000000"/>
          <w:szCs w:val="22"/>
        </w:rPr>
      </w:pPr>
      <w:r w:rsidRPr="00CD729C">
        <w:rPr>
          <w:color w:val="000000"/>
          <w:szCs w:val="22"/>
        </w:rPr>
        <w:t>8</w:t>
      </w:r>
      <w:r w:rsidRPr="00CD729C">
        <w:rPr>
          <w:color w:val="000000"/>
          <w:szCs w:val="22"/>
        </w:rPr>
        <w:tab/>
      </w:r>
      <w:r w:rsidR="001E4662" w:rsidRPr="00CD729C">
        <w:rPr>
          <w:color w:val="000000"/>
          <w:szCs w:val="22"/>
        </w:rPr>
        <w:t>Ziņots par dažiem letāliem aknu mazspējas un aknu nekrozes gadījumiem.</w:t>
      </w:r>
    </w:p>
    <w:p w14:paraId="3D3945B7" w14:textId="77777777" w:rsidR="00FB6FCC" w:rsidRPr="00CD729C" w:rsidRDefault="00FB6FCC" w:rsidP="009B4BB6">
      <w:pPr>
        <w:keepNext/>
        <w:keepLines/>
        <w:widowControl w:val="0"/>
        <w:tabs>
          <w:tab w:val="clear" w:pos="567"/>
        </w:tabs>
        <w:spacing w:line="240" w:lineRule="auto"/>
        <w:ind w:left="567" w:hanging="567"/>
        <w:rPr>
          <w:color w:val="000000"/>
          <w:szCs w:val="22"/>
        </w:rPr>
      </w:pPr>
      <w:r>
        <w:rPr>
          <w:color w:val="000000"/>
          <w:szCs w:val="22"/>
        </w:rPr>
        <w:t>9</w:t>
      </w:r>
      <w:r>
        <w:rPr>
          <w:color w:val="000000"/>
          <w:szCs w:val="22"/>
        </w:rPr>
        <w:tab/>
      </w:r>
      <w:r w:rsidRPr="00CD729C">
        <w:rPr>
          <w:color w:val="000000"/>
          <w:szCs w:val="22"/>
        </w:rPr>
        <w:t>Muskuļu un kaulu sāpes</w:t>
      </w:r>
      <w:r>
        <w:rPr>
          <w:color w:val="000000"/>
          <w:szCs w:val="22"/>
        </w:rPr>
        <w:t xml:space="preserve"> ārstēšanas laikā ar imatinibu</w:t>
      </w:r>
      <w:r w:rsidR="001545DB">
        <w:rPr>
          <w:color w:val="000000"/>
          <w:szCs w:val="22"/>
        </w:rPr>
        <w:t xml:space="preserve"> vai pēc ārstēšanas pārtraukšanas novēroja pēcreģistrācijas periodā.</w:t>
      </w:r>
    </w:p>
    <w:p w14:paraId="3D3945B8" w14:textId="77777777" w:rsidR="00826EE9" w:rsidRPr="00CD729C" w:rsidRDefault="001545DB" w:rsidP="009B4BB6">
      <w:pPr>
        <w:keepNext/>
        <w:keepLines/>
        <w:widowControl w:val="0"/>
        <w:tabs>
          <w:tab w:val="clear" w:pos="567"/>
        </w:tabs>
        <w:spacing w:line="240" w:lineRule="auto"/>
        <w:ind w:left="567" w:hanging="567"/>
        <w:rPr>
          <w:color w:val="000000"/>
          <w:szCs w:val="22"/>
        </w:rPr>
      </w:pPr>
      <w:r>
        <w:rPr>
          <w:color w:val="000000"/>
          <w:szCs w:val="22"/>
        </w:rPr>
        <w:t>10</w:t>
      </w:r>
      <w:r w:rsidR="00826EE9" w:rsidRPr="00CD729C">
        <w:rPr>
          <w:color w:val="000000"/>
          <w:szCs w:val="22"/>
        </w:rPr>
        <w:tab/>
      </w:r>
      <w:r w:rsidR="001E4662" w:rsidRPr="00CD729C">
        <w:rPr>
          <w:color w:val="000000"/>
          <w:szCs w:val="22"/>
        </w:rPr>
        <w:t>Muskuļu un kaulu sāpes un traucējumi pacientiem ar CML novēroti biežāk nekā pacientiem ar GIST.</w:t>
      </w:r>
    </w:p>
    <w:p w14:paraId="3D3945B9" w14:textId="77777777" w:rsidR="00826EE9" w:rsidRPr="00CD729C" w:rsidRDefault="009E0183" w:rsidP="009B4BB6">
      <w:pPr>
        <w:keepLines/>
        <w:widowControl w:val="0"/>
        <w:tabs>
          <w:tab w:val="clear" w:pos="567"/>
        </w:tabs>
        <w:spacing w:line="240" w:lineRule="auto"/>
        <w:ind w:left="567" w:hanging="567"/>
        <w:rPr>
          <w:color w:val="000000"/>
          <w:szCs w:val="22"/>
        </w:rPr>
      </w:pPr>
      <w:r w:rsidRPr="00CD729C">
        <w:rPr>
          <w:color w:val="000000"/>
          <w:szCs w:val="22"/>
        </w:rPr>
        <w:t>1</w:t>
      </w:r>
      <w:r w:rsidR="001545DB">
        <w:rPr>
          <w:color w:val="000000"/>
          <w:szCs w:val="22"/>
        </w:rPr>
        <w:t>1</w:t>
      </w:r>
      <w:r w:rsidRPr="00CD729C">
        <w:rPr>
          <w:color w:val="000000"/>
          <w:szCs w:val="22"/>
        </w:rPr>
        <w:tab/>
        <w:t>Ziņots par letāliem gadījumiem pacientiem ar progresējošu slimību, smag</w:t>
      </w:r>
      <w:r w:rsidR="0038400D" w:rsidRPr="00CD729C">
        <w:rPr>
          <w:color w:val="000000"/>
          <w:szCs w:val="22"/>
        </w:rPr>
        <w:t>ām</w:t>
      </w:r>
      <w:r w:rsidRPr="00CD729C">
        <w:rPr>
          <w:color w:val="000000"/>
          <w:szCs w:val="22"/>
        </w:rPr>
        <w:t xml:space="preserve"> infekcij</w:t>
      </w:r>
      <w:r w:rsidR="0038400D" w:rsidRPr="00CD729C">
        <w:rPr>
          <w:color w:val="000000"/>
          <w:szCs w:val="22"/>
        </w:rPr>
        <w:t>ām</w:t>
      </w:r>
      <w:r w:rsidRPr="00CD729C">
        <w:rPr>
          <w:color w:val="000000"/>
          <w:szCs w:val="22"/>
        </w:rPr>
        <w:t>, smagu neitropēniju un citiem nopietniem vienlaikus pastāvošiem stāvokļiem.</w:t>
      </w:r>
    </w:p>
    <w:p w14:paraId="3D3945BA" w14:textId="77777777" w:rsidR="00295920" w:rsidRPr="00CD729C" w:rsidRDefault="00295920" w:rsidP="009B4BB6">
      <w:pPr>
        <w:widowControl w:val="0"/>
        <w:tabs>
          <w:tab w:val="clear" w:pos="567"/>
        </w:tabs>
        <w:spacing w:line="240" w:lineRule="auto"/>
        <w:rPr>
          <w:color w:val="000000"/>
          <w:szCs w:val="22"/>
        </w:rPr>
      </w:pPr>
    </w:p>
    <w:p w14:paraId="3D3945BB" w14:textId="77777777" w:rsidR="005117C7" w:rsidRPr="00CD729C" w:rsidRDefault="005117C7" w:rsidP="009B4BB6">
      <w:pPr>
        <w:keepNext/>
        <w:widowControl w:val="0"/>
        <w:tabs>
          <w:tab w:val="clear" w:pos="567"/>
        </w:tabs>
        <w:spacing w:line="240" w:lineRule="auto"/>
        <w:rPr>
          <w:color w:val="000000"/>
          <w:szCs w:val="22"/>
          <w:u w:val="single"/>
        </w:rPr>
      </w:pPr>
      <w:r w:rsidRPr="00CD729C">
        <w:rPr>
          <w:color w:val="000000"/>
          <w:szCs w:val="22"/>
          <w:u w:val="single"/>
        </w:rPr>
        <w:t>Laboratorisko izmeklējumu rezultātu patoloģijas</w:t>
      </w:r>
    </w:p>
    <w:p w14:paraId="3D3945BC" w14:textId="77777777" w:rsidR="005117C7" w:rsidRPr="00CD729C" w:rsidRDefault="005117C7" w:rsidP="009B4BB6">
      <w:pPr>
        <w:pStyle w:val="Heading6"/>
        <w:widowControl w:val="0"/>
        <w:tabs>
          <w:tab w:val="clear" w:pos="-720"/>
          <w:tab w:val="clear" w:pos="567"/>
          <w:tab w:val="clear" w:pos="4536"/>
        </w:tabs>
        <w:suppressAutoHyphens w:val="0"/>
        <w:spacing w:line="240" w:lineRule="auto"/>
        <w:rPr>
          <w:color w:val="000000"/>
          <w:szCs w:val="22"/>
        </w:rPr>
      </w:pPr>
      <w:r w:rsidRPr="00CD729C">
        <w:rPr>
          <w:color w:val="000000"/>
          <w:szCs w:val="22"/>
        </w:rPr>
        <w:t>Hematoloģija</w:t>
      </w:r>
    </w:p>
    <w:p w14:paraId="3D3945BD"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 xml:space="preserve">CML gadījumā visos pētījumos ir konstatētas citopēnijas, jo īpaši – neitropēnija un trombocitopēnija. Lietojot lielas preparāta devas </w:t>
      </w:r>
      <w:r w:rsidRPr="00CD729C">
        <w:rPr>
          <w:color w:val="000000"/>
          <w:szCs w:val="22"/>
        </w:rPr>
        <w:sym w:font="Symbol" w:char="F0B3"/>
      </w:r>
      <w:r w:rsidRPr="00CD729C">
        <w:rPr>
          <w:color w:val="000000"/>
          <w:szCs w:val="22"/>
        </w:rPr>
        <w:t>750 mg (I fāzes pētījuma laikā), parādību novēro biežāk, tomēr citopēniju biežums ir arī viennozīmīgi atkarīgs no slimības stadijas. 3. vai 4. smaguma pakāpes neitropēniju (ANC &lt;1,0 x 10</w:t>
      </w:r>
      <w:r w:rsidRPr="00CD729C">
        <w:rPr>
          <w:color w:val="000000"/>
          <w:szCs w:val="22"/>
          <w:vertAlign w:val="superscript"/>
        </w:rPr>
        <w:t>9</w:t>
      </w:r>
      <w:r w:rsidRPr="00CD729C">
        <w:rPr>
          <w:color w:val="000000"/>
          <w:szCs w:val="22"/>
        </w:rPr>
        <w:t>/l) un trombocitopēniju (trombocītu daudzums &lt;50 x 10</w:t>
      </w:r>
      <w:r w:rsidRPr="00CD729C">
        <w:rPr>
          <w:color w:val="000000"/>
          <w:szCs w:val="22"/>
          <w:vertAlign w:val="superscript"/>
        </w:rPr>
        <w:t>9</w:t>
      </w:r>
      <w:r w:rsidRPr="00CD729C">
        <w:rPr>
          <w:color w:val="000000"/>
          <w:szCs w:val="22"/>
        </w:rPr>
        <w:t>/l) pacientiem ar blastu krīzi vai slimības akcelerācijas fāzē, salīdzinot ar pacientiem, kam nesen diagnosticēta CML hroniskā fāzē (</w:t>
      </w:r>
      <w:r w:rsidR="00997128" w:rsidRPr="00CD729C">
        <w:rPr>
          <w:color w:val="000000"/>
          <w:szCs w:val="22"/>
        </w:rPr>
        <w:t>16,7</w:t>
      </w:r>
      <w:r w:rsidRPr="00CD729C">
        <w:rPr>
          <w:color w:val="000000"/>
          <w:szCs w:val="22"/>
        </w:rPr>
        <w:t>% novēro neitropēniju un 8,</w:t>
      </w:r>
      <w:r w:rsidR="00997128" w:rsidRPr="00CD729C">
        <w:rPr>
          <w:color w:val="000000"/>
          <w:szCs w:val="22"/>
        </w:rPr>
        <w:t>9</w:t>
      </w:r>
      <w:r w:rsidRPr="00CD729C">
        <w:rPr>
          <w:color w:val="000000"/>
          <w:szCs w:val="22"/>
        </w:rPr>
        <w:t>% - trombocitopēniju), novēro 4 un 6 reizes biežāk (59% līdz 64% un 44% līdz 63% novēro attiecīgi neitropēniju un trombocitopēniju). Pacientiem, kam nesen diagnosticēta CML hroniskā fāzē, 4 smaguma pakāpes neitropēniju (ANC &lt;0,5 x 10</w:t>
      </w:r>
      <w:r w:rsidRPr="00CD729C">
        <w:rPr>
          <w:color w:val="000000"/>
          <w:szCs w:val="22"/>
          <w:vertAlign w:val="superscript"/>
        </w:rPr>
        <w:t>9</w:t>
      </w:r>
      <w:r w:rsidRPr="00CD729C">
        <w:rPr>
          <w:color w:val="000000"/>
          <w:szCs w:val="22"/>
        </w:rPr>
        <w:t>/l) un trombocitopēniju (trombocītu daudzums &lt;10 x 10</w:t>
      </w:r>
      <w:r w:rsidRPr="00CD729C">
        <w:rPr>
          <w:color w:val="000000"/>
          <w:szCs w:val="22"/>
          <w:vertAlign w:val="superscript"/>
        </w:rPr>
        <w:t>9</w:t>
      </w:r>
      <w:r w:rsidRPr="00CD729C">
        <w:rPr>
          <w:color w:val="000000"/>
          <w:szCs w:val="22"/>
        </w:rPr>
        <w:t>/l) novēro attiecīgi 3</w:t>
      </w:r>
      <w:r w:rsidR="00997128" w:rsidRPr="00CD729C">
        <w:rPr>
          <w:color w:val="000000"/>
          <w:szCs w:val="22"/>
        </w:rPr>
        <w:t>,6</w:t>
      </w:r>
      <w:r w:rsidRPr="00CD729C">
        <w:rPr>
          <w:color w:val="000000"/>
          <w:szCs w:val="22"/>
        </w:rPr>
        <w:t>% un &lt;1% pacientu. Laika vidējais intervāls starp neitropēnijas un trombocitopēnijas epizodēm ir attiecīgi robežās no 2 līdz 3 un 3 līdz 4 nedēļām. Šīs parādības parasti ir iespējams ārstēt, vai nu samazinot preparāta devu, vai Glivec lietošanu pārtraucot. Retos gadījumos ir nepieciešams terapiju izbeigt pilnīgi.</w:t>
      </w:r>
      <w:r w:rsidR="000E6FF4" w:rsidRPr="00CD729C">
        <w:rPr>
          <w:color w:val="000000"/>
          <w:szCs w:val="22"/>
        </w:rPr>
        <w:t xml:space="preserve"> Pediatrijas pacientiem ar CML visbiežāk novērotās toksicitātes parādības bija 3. vai 4. pakāpes citopēnijas, t.s. neitropēnija, trombocitopēnija un anēmija. Šīs parādības parasti izpaudās dažu mēnešu laikā tūlīt pēc terapijas uzsākšanas.</w:t>
      </w:r>
    </w:p>
    <w:p w14:paraId="3D3945BE" w14:textId="77777777" w:rsidR="00563C1C" w:rsidRPr="00CD729C" w:rsidRDefault="00563C1C" w:rsidP="009B4BB6">
      <w:pPr>
        <w:widowControl w:val="0"/>
        <w:tabs>
          <w:tab w:val="clear" w:pos="567"/>
        </w:tabs>
        <w:spacing w:line="240" w:lineRule="auto"/>
        <w:rPr>
          <w:color w:val="000000"/>
          <w:szCs w:val="22"/>
        </w:rPr>
      </w:pPr>
    </w:p>
    <w:p w14:paraId="3D3945BF" w14:textId="77777777" w:rsidR="005117C7" w:rsidRPr="00CD729C" w:rsidRDefault="00563C1C" w:rsidP="009B4BB6">
      <w:pPr>
        <w:widowControl w:val="0"/>
        <w:tabs>
          <w:tab w:val="clear" w:pos="567"/>
        </w:tabs>
        <w:spacing w:line="240" w:lineRule="auto"/>
        <w:rPr>
          <w:color w:val="000000"/>
          <w:szCs w:val="22"/>
        </w:rPr>
      </w:pPr>
      <w:r w:rsidRPr="00CD729C">
        <w:rPr>
          <w:color w:val="000000"/>
          <w:szCs w:val="22"/>
        </w:rPr>
        <w:t>Klīniskā pētījumā slimniekiem ar nerezecējamu un/vai metastazējušu GIST 3. un 4. smaguma pakāpes anēmija ir aprakstīta attiecīgi 5,4% un 0,7% pacientu.</w:t>
      </w:r>
      <w:r w:rsidR="005117C7" w:rsidRPr="00CD729C">
        <w:rPr>
          <w:color w:val="000000"/>
          <w:szCs w:val="22"/>
        </w:rPr>
        <w:t xml:space="preserve"> Vismaz dažiem pacientiem šī anēmija var būt saistīta ar asiņošanu kuņģa – zarnu traktā vai intratumorālu asiņošanu. 3. un 4. smaguma pakāpes neitropēnija ir novērota attiecīgi 7,5% un 2,7% pacientu, bet 3. smaguma pakāpes trombocitopēnija – 0,7% pacientu. 4. smaguma pakāpes trombocitopēnija nevienam pacientam neattīstījās. </w:t>
      </w:r>
      <w:r w:rsidR="00084A98" w:rsidRPr="00CD729C">
        <w:rPr>
          <w:color w:val="000000"/>
          <w:szCs w:val="22"/>
        </w:rPr>
        <w:t>Leikocītu</w:t>
      </w:r>
      <w:r w:rsidR="005117C7" w:rsidRPr="00CD729C">
        <w:rPr>
          <w:color w:val="000000"/>
          <w:szCs w:val="22"/>
        </w:rPr>
        <w:t xml:space="preserve"> (</w:t>
      </w:r>
      <w:r w:rsidR="005117C7" w:rsidRPr="00CD729C">
        <w:rPr>
          <w:i/>
          <w:color w:val="000000"/>
          <w:szCs w:val="22"/>
        </w:rPr>
        <w:t>White Blood Cells</w:t>
      </w:r>
      <w:r w:rsidR="005117C7" w:rsidRPr="00CD729C">
        <w:rPr>
          <w:color w:val="000000"/>
          <w:szCs w:val="22"/>
        </w:rPr>
        <w:t xml:space="preserve"> - WBC) un neitrofilu daudzuma samazinājumu galvenokārt novēroja pirmo sešu terapijas nedēļu laikā, vēlāk attiecīgo parametru vērtības bija relatīvi stabilas.</w:t>
      </w:r>
    </w:p>
    <w:p w14:paraId="3D3945C0" w14:textId="77777777" w:rsidR="005117C7" w:rsidRPr="00CD729C" w:rsidRDefault="005117C7" w:rsidP="009B4BB6">
      <w:pPr>
        <w:widowControl w:val="0"/>
        <w:tabs>
          <w:tab w:val="clear" w:pos="567"/>
        </w:tabs>
        <w:spacing w:line="240" w:lineRule="auto"/>
        <w:rPr>
          <w:color w:val="000000"/>
          <w:szCs w:val="22"/>
        </w:rPr>
      </w:pPr>
    </w:p>
    <w:p w14:paraId="3D3945C1" w14:textId="77777777" w:rsidR="005117C7" w:rsidRPr="00CD729C" w:rsidRDefault="005117C7" w:rsidP="009B4BB6">
      <w:pPr>
        <w:pStyle w:val="Heading6"/>
        <w:widowControl w:val="0"/>
        <w:tabs>
          <w:tab w:val="clear" w:pos="-720"/>
          <w:tab w:val="clear" w:pos="567"/>
          <w:tab w:val="clear" w:pos="4536"/>
        </w:tabs>
        <w:suppressAutoHyphens w:val="0"/>
        <w:spacing w:line="240" w:lineRule="auto"/>
        <w:rPr>
          <w:color w:val="000000"/>
          <w:szCs w:val="22"/>
        </w:rPr>
      </w:pPr>
      <w:r w:rsidRPr="00CD729C">
        <w:rPr>
          <w:color w:val="000000"/>
          <w:szCs w:val="22"/>
        </w:rPr>
        <w:lastRenderedPageBreak/>
        <w:t>Bioķīmija</w:t>
      </w:r>
    </w:p>
    <w:p w14:paraId="3D3945C2" w14:textId="77777777" w:rsidR="005117C7" w:rsidRPr="00CD729C" w:rsidRDefault="00D54999" w:rsidP="009B4BB6">
      <w:pPr>
        <w:widowControl w:val="0"/>
        <w:tabs>
          <w:tab w:val="clear" w:pos="567"/>
        </w:tabs>
        <w:spacing w:line="240" w:lineRule="auto"/>
        <w:rPr>
          <w:color w:val="000000"/>
          <w:szCs w:val="22"/>
        </w:rPr>
      </w:pPr>
      <w:r w:rsidRPr="00CD729C">
        <w:rPr>
          <w:color w:val="000000"/>
          <w:szCs w:val="22"/>
        </w:rPr>
        <w:t>CML slimniekiem novēroja i</w:t>
      </w:r>
      <w:r w:rsidR="005117C7" w:rsidRPr="00CD729C">
        <w:rPr>
          <w:color w:val="000000"/>
          <w:szCs w:val="22"/>
        </w:rPr>
        <w:t xml:space="preserve">zteiktu transamināžu </w:t>
      </w:r>
      <w:r w:rsidRPr="00CD729C">
        <w:rPr>
          <w:color w:val="000000"/>
          <w:szCs w:val="22"/>
        </w:rPr>
        <w:t xml:space="preserve">(&lt;5%) </w:t>
      </w:r>
      <w:r w:rsidR="005117C7" w:rsidRPr="00CD729C">
        <w:rPr>
          <w:color w:val="000000"/>
          <w:szCs w:val="22"/>
        </w:rPr>
        <w:t xml:space="preserve">vai bilirubīna </w:t>
      </w:r>
      <w:r w:rsidRPr="00CD729C">
        <w:rPr>
          <w:color w:val="000000"/>
          <w:szCs w:val="22"/>
        </w:rPr>
        <w:t xml:space="preserve">(&lt;1%) </w:t>
      </w:r>
      <w:r w:rsidR="005117C7" w:rsidRPr="00CD729C">
        <w:rPr>
          <w:color w:val="000000"/>
          <w:szCs w:val="22"/>
        </w:rPr>
        <w:t xml:space="preserve">līmeņa palielināšanos un to parasti ārstēja, samazinot devu vai pārtraucot preparāta lietošanu (šo epizožu vidējais ilgums bija aptuveni </w:t>
      </w:r>
      <w:r w:rsidR="00661C52" w:rsidRPr="00CD729C">
        <w:rPr>
          <w:color w:val="000000"/>
          <w:szCs w:val="22"/>
        </w:rPr>
        <w:t>viena</w:t>
      </w:r>
      <w:r w:rsidR="005117C7" w:rsidRPr="00CD729C">
        <w:rPr>
          <w:color w:val="000000"/>
          <w:szCs w:val="22"/>
        </w:rPr>
        <w:t xml:space="preserve"> nedēļa). Aknu darbības laboratorisko raksturlielumu patoloģisku pārmaiņu dēļ ārstēšanu pilnībā pārtrauca mazāk nekā </w:t>
      </w:r>
      <w:r w:rsidR="00156ADB" w:rsidRPr="00CD729C">
        <w:rPr>
          <w:color w:val="000000"/>
          <w:szCs w:val="22"/>
        </w:rPr>
        <w:t>1</w:t>
      </w:r>
      <w:r w:rsidR="005117C7" w:rsidRPr="00CD729C">
        <w:rPr>
          <w:color w:val="000000"/>
          <w:szCs w:val="22"/>
        </w:rPr>
        <w:t>% CML slimnieku. GIST slimniekiem (B2222</w:t>
      </w:r>
      <w:r w:rsidR="005F78CA" w:rsidRPr="00CD729C">
        <w:rPr>
          <w:color w:val="000000"/>
          <w:szCs w:val="22"/>
        </w:rPr>
        <w:t> </w:t>
      </w:r>
      <w:r w:rsidR="005117C7" w:rsidRPr="00CD729C">
        <w:rPr>
          <w:color w:val="000000"/>
          <w:szCs w:val="22"/>
        </w:rPr>
        <w:t>pētījums) 6,8% gadījumu novēroja</w:t>
      </w:r>
      <w:r w:rsidR="00DE6D15" w:rsidRPr="00CD729C">
        <w:rPr>
          <w:color w:val="000000"/>
          <w:szCs w:val="22"/>
        </w:rPr>
        <w:t> </w:t>
      </w:r>
      <w:r w:rsidR="005117C7" w:rsidRPr="00CD729C">
        <w:rPr>
          <w:color w:val="000000"/>
          <w:szCs w:val="22"/>
        </w:rPr>
        <w:t>3. vai 4.</w:t>
      </w:r>
      <w:r w:rsidR="00DE6D15" w:rsidRPr="00CD729C">
        <w:rPr>
          <w:color w:val="000000"/>
          <w:szCs w:val="22"/>
        </w:rPr>
        <w:t> </w:t>
      </w:r>
      <w:r w:rsidR="005117C7" w:rsidRPr="00CD729C">
        <w:rPr>
          <w:color w:val="000000"/>
          <w:szCs w:val="22"/>
        </w:rPr>
        <w:t xml:space="preserve">pakāpes </w:t>
      </w:r>
      <w:r w:rsidR="00661C52" w:rsidRPr="00CD729C">
        <w:rPr>
          <w:color w:val="000000"/>
          <w:szCs w:val="22"/>
        </w:rPr>
        <w:t xml:space="preserve">ALAT (alanīna aminotransferāzes) </w:t>
      </w:r>
      <w:r w:rsidR="00BF08E6" w:rsidRPr="00CD729C">
        <w:rPr>
          <w:color w:val="000000"/>
          <w:szCs w:val="22"/>
        </w:rPr>
        <w:t>līmeņa palielināšanos un 4,8% gadījumu – 3. vai 4.</w:t>
      </w:r>
      <w:r w:rsidR="00DE6D15" w:rsidRPr="00CD729C">
        <w:rPr>
          <w:color w:val="000000"/>
          <w:szCs w:val="22"/>
        </w:rPr>
        <w:t> </w:t>
      </w:r>
      <w:r w:rsidR="00BF08E6" w:rsidRPr="00CD729C">
        <w:rPr>
          <w:color w:val="000000"/>
          <w:szCs w:val="22"/>
        </w:rPr>
        <w:t xml:space="preserve">pakāpes </w:t>
      </w:r>
      <w:r w:rsidR="005117C7" w:rsidRPr="00CD729C">
        <w:rPr>
          <w:color w:val="000000"/>
          <w:szCs w:val="22"/>
        </w:rPr>
        <w:t>ASAT (aspartāta aminotransferāzes) līmeņa palielināšanos. Bilirubīna līmeņa pieaugums bija zem 3%.</w:t>
      </w:r>
    </w:p>
    <w:p w14:paraId="3D3945C3" w14:textId="77777777" w:rsidR="00FC5334" w:rsidRPr="00CD729C" w:rsidRDefault="00FC5334" w:rsidP="009B4BB6">
      <w:pPr>
        <w:widowControl w:val="0"/>
        <w:tabs>
          <w:tab w:val="clear" w:pos="567"/>
        </w:tabs>
        <w:spacing w:line="240" w:lineRule="auto"/>
        <w:rPr>
          <w:color w:val="000000"/>
          <w:szCs w:val="22"/>
        </w:rPr>
      </w:pPr>
    </w:p>
    <w:p w14:paraId="3D3945C4" w14:textId="77777777" w:rsidR="005117C7" w:rsidRDefault="005509B9" w:rsidP="009B4BB6">
      <w:pPr>
        <w:widowControl w:val="0"/>
        <w:tabs>
          <w:tab w:val="clear" w:pos="567"/>
        </w:tabs>
        <w:spacing w:line="240" w:lineRule="auto"/>
        <w:rPr>
          <w:color w:val="000000"/>
          <w:szCs w:val="22"/>
        </w:rPr>
      </w:pPr>
      <w:r w:rsidRPr="00CD729C">
        <w:rPr>
          <w:color w:val="000000"/>
          <w:szCs w:val="22"/>
        </w:rPr>
        <w:t>Ir bijuši citolītiska un holestātiska hepatīta un aknu mazspējas gadījumi, no kuriem daži ir bijuši fatāli (ieskaitot vienu pacientu, kas bija saņēmis lielu paracetamola devu).</w:t>
      </w:r>
    </w:p>
    <w:p w14:paraId="3D3945C5" w14:textId="77777777" w:rsidR="00DB74ED" w:rsidRPr="00CD729C" w:rsidRDefault="00DB74ED" w:rsidP="009B4BB6">
      <w:pPr>
        <w:widowControl w:val="0"/>
        <w:tabs>
          <w:tab w:val="clear" w:pos="567"/>
        </w:tabs>
        <w:spacing w:line="240" w:lineRule="auto"/>
        <w:rPr>
          <w:color w:val="000000"/>
          <w:szCs w:val="22"/>
        </w:rPr>
      </w:pPr>
    </w:p>
    <w:p w14:paraId="3D3945C6" w14:textId="77777777" w:rsidR="00DB74ED" w:rsidRPr="0059270C" w:rsidRDefault="00DB74ED" w:rsidP="009B4BB6">
      <w:pPr>
        <w:pStyle w:val="Default"/>
        <w:keepNext/>
        <w:widowControl w:val="0"/>
        <w:rPr>
          <w:rFonts w:ascii="Times New Roman" w:hAnsi="Times New Roman" w:cs="Times New Roman"/>
          <w:sz w:val="22"/>
          <w:szCs w:val="22"/>
          <w:lang w:val="lv-LV"/>
        </w:rPr>
      </w:pPr>
      <w:r w:rsidRPr="0059270C">
        <w:rPr>
          <w:rFonts w:ascii="Times New Roman" w:hAnsi="Times New Roman" w:cs="Times New Roman"/>
          <w:sz w:val="22"/>
          <w:szCs w:val="22"/>
          <w:u w:val="single"/>
          <w:lang w:val="lv-LV"/>
        </w:rPr>
        <w:t>Atsevišķu nevēlamo blakusparādību apraksts</w:t>
      </w:r>
    </w:p>
    <w:p w14:paraId="3D3945C7" w14:textId="77777777" w:rsidR="00514C6B" w:rsidRPr="000804D8" w:rsidRDefault="00514C6B" w:rsidP="009B4BB6">
      <w:pPr>
        <w:pStyle w:val="Default"/>
        <w:keepNext/>
        <w:widowControl w:val="0"/>
        <w:rPr>
          <w:rFonts w:ascii="Times New Roman" w:hAnsi="Times New Roman" w:cs="Times New Roman"/>
          <w:i/>
          <w:sz w:val="22"/>
          <w:szCs w:val="22"/>
          <w:u w:val="single"/>
          <w:lang w:val="lv-LV"/>
        </w:rPr>
      </w:pPr>
      <w:r w:rsidRPr="000804D8">
        <w:rPr>
          <w:rFonts w:ascii="Times New Roman" w:hAnsi="Times New Roman" w:cs="Times New Roman"/>
          <w:i/>
          <w:sz w:val="22"/>
          <w:szCs w:val="22"/>
          <w:u w:val="single"/>
          <w:lang w:val="lv-LV"/>
        </w:rPr>
        <w:t>B hepatīta reaktivācija</w:t>
      </w:r>
    </w:p>
    <w:p w14:paraId="3D3945C8" w14:textId="77777777" w:rsidR="00E268C3" w:rsidRPr="00341FA1" w:rsidRDefault="00DB74ED" w:rsidP="009B4BB6">
      <w:pPr>
        <w:widowControl w:val="0"/>
        <w:tabs>
          <w:tab w:val="clear" w:pos="567"/>
        </w:tabs>
        <w:spacing w:line="240" w:lineRule="auto"/>
        <w:rPr>
          <w:szCs w:val="22"/>
        </w:rPr>
      </w:pPr>
      <w:r w:rsidRPr="00341FA1">
        <w:rPr>
          <w:szCs w:val="22"/>
        </w:rPr>
        <w:t xml:space="preserve">Saistībā ar </w:t>
      </w:r>
      <w:r w:rsidRPr="00341FA1">
        <w:rPr>
          <w:i/>
          <w:iCs/>
          <w:szCs w:val="22"/>
        </w:rPr>
        <w:t xml:space="preserve">Bcr-Abl </w:t>
      </w:r>
      <w:r w:rsidRPr="00341FA1">
        <w:rPr>
          <w:szCs w:val="22"/>
        </w:rPr>
        <w:t>TKI ziņots par B hepatīta vīrusa reaktivāciju. Dažos gadījumos iestājās akūta aknu mazspēja vai fulminants hepatīts, kura dēļ bija jāveic aknu transplantācija, vai iznākums bija letāls (skatīt 4.4. apakšpunktu).</w:t>
      </w:r>
    </w:p>
    <w:p w14:paraId="3D3945C9" w14:textId="77777777" w:rsidR="00DB74ED" w:rsidRPr="00CD729C" w:rsidRDefault="00DB74ED" w:rsidP="009B4BB6">
      <w:pPr>
        <w:widowControl w:val="0"/>
        <w:tabs>
          <w:tab w:val="clear" w:pos="567"/>
        </w:tabs>
        <w:spacing w:line="240" w:lineRule="auto"/>
        <w:ind w:left="567" w:hanging="567"/>
        <w:rPr>
          <w:szCs w:val="22"/>
          <w:u w:val="single"/>
        </w:rPr>
      </w:pPr>
    </w:p>
    <w:p w14:paraId="3D3945CA" w14:textId="77777777" w:rsidR="00E268C3" w:rsidRPr="00CD729C" w:rsidRDefault="00E268C3" w:rsidP="009B4BB6">
      <w:pPr>
        <w:keepNext/>
        <w:widowControl w:val="0"/>
        <w:autoSpaceDE w:val="0"/>
        <w:autoSpaceDN w:val="0"/>
        <w:adjustRightInd w:val="0"/>
        <w:spacing w:line="240" w:lineRule="auto"/>
        <w:jc w:val="both"/>
        <w:rPr>
          <w:szCs w:val="22"/>
          <w:u w:val="single"/>
        </w:rPr>
      </w:pPr>
      <w:r w:rsidRPr="00CD729C">
        <w:rPr>
          <w:szCs w:val="22"/>
          <w:u w:val="single"/>
        </w:rPr>
        <w:t>Ziņošana par iespējamām nevēlamām blakusparādībām</w:t>
      </w:r>
    </w:p>
    <w:p w14:paraId="3D3945CB" w14:textId="77777777" w:rsidR="00FC5334" w:rsidRPr="00CD729C" w:rsidRDefault="00E268C3" w:rsidP="009B4BB6">
      <w:pPr>
        <w:widowControl w:val="0"/>
        <w:tabs>
          <w:tab w:val="clear" w:pos="567"/>
        </w:tabs>
        <w:spacing w:line="240" w:lineRule="auto"/>
        <w:rPr>
          <w:szCs w:val="22"/>
        </w:rPr>
      </w:pPr>
      <w:r w:rsidRPr="00CD729C">
        <w:rPr>
          <w:szCs w:val="22"/>
        </w:rPr>
        <w:t>Ir svarīgi ziņot par iespējamām nevēlamām blakusparādībām pēc zāļu reģistrācijas. Tādējādi zāļu ieguvum</w:t>
      </w:r>
      <w:r w:rsidR="001545DB">
        <w:rPr>
          <w:szCs w:val="22"/>
        </w:rPr>
        <w:t>a</w:t>
      </w:r>
      <w:r w:rsidRPr="00CD729C">
        <w:rPr>
          <w:szCs w:val="22"/>
        </w:rPr>
        <w:t xml:space="preserve">/riska attiecība tiek nepārtraukti uzraudzīta. Veselības aprūpes speciālisti tiek lūgti ziņot par jebkādām iespējamām nevēlamām blakusparādībām, izmantojot </w:t>
      </w:r>
      <w:hyperlink r:id="rId12" w:history="1">
        <w:r w:rsidRPr="00341FA1">
          <w:rPr>
            <w:rStyle w:val="Hyperlink"/>
            <w:shd w:val="pct15" w:color="auto" w:fill="auto"/>
          </w:rPr>
          <w:t>V pielikumā</w:t>
        </w:r>
      </w:hyperlink>
      <w:r w:rsidRPr="00341FA1">
        <w:rPr>
          <w:szCs w:val="22"/>
          <w:shd w:val="pct15" w:color="auto" w:fill="auto"/>
        </w:rPr>
        <w:t xml:space="preserve"> minēto nacionālās ziņošanas sistēmas kontaktinformāciju</w:t>
      </w:r>
      <w:r w:rsidRPr="00CD729C">
        <w:rPr>
          <w:szCs w:val="22"/>
          <w:shd w:val="clear" w:color="auto" w:fill="D9D9D9"/>
        </w:rPr>
        <w:t>.</w:t>
      </w:r>
    </w:p>
    <w:p w14:paraId="3D3945CC" w14:textId="77777777" w:rsidR="00E268C3" w:rsidRPr="00CD729C" w:rsidRDefault="00E268C3" w:rsidP="009B4BB6">
      <w:pPr>
        <w:widowControl w:val="0"/>
        <w:tabs>
          <w:tab w:val="clear" w:pos="567"/>
        </w:tabs>
        <w:spacing w:line="240" w:lineRule="auto"/>
        <w:rPr>
          <w:color w:val="000000"/>
          <w:szCs w:val="22"/>
        </w:rPr>
      </w:pPr>
    </w:p>
    <w:p w14:paraId="3D3945CD"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4.9</w:t>
      </w:r>
      <w:r w:rsidR="00FD1CF2" w:rsidRPr="00CD729C">
        <w:rPr>
          <w:b/>
          <w:color w:val="000000"/>
          <w:szCs w:val="22"/>
        </w:rPr>
        <w:t>.</w:t>
      </w:r>
      <w:r w:rsidRPr="00CD729C">
        <w:rPr>
          <w:b/>
          <w:color w:val="000000"/>
          <w:szCs w:val="22"/>
        </w:rPr>
        <w:tab/>
        <w:t>Pārdozēšana</w:t>
      </w:r>
    </w:p>
    <w:p w14:paraId="3D3945CE"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5CF" w14:textId="77777777" w:rsidR="00C13245" w:rsidRPr="00CD729C" w:rsidRDefault="00C13245" w:rsidP="009B4BB6">
      <w:pPr>
        <w:widowControl w:val="0"/>
        <w:tabs>
          <w:tab w:val="clear" w:pos="567"/>
        </w:tabs>
        <w:spacing w:line="240" w:lineRule="auto"/>
        <w:rPr>
          <w:szCs w:val="22"/>
        </w:rPr>
      </w:pPr>
      <w:r w:rsidRPr="00CD729C">
        <w:rPr>
          <w:color w:val="000000"/>
          <w:szCs w:val="22"/>
        </w:rPr>
        <w:t>Pieredze par preparāta devām, kas pārsniedz ieteicamo terapeitisko devu, ir ierobežota. Literatūrā aprakstīti un saņemti spontāni ziņojumi par atsevišķiem Glivec pārdozēšanas gadījumiem. Pārdozēšanas gadījumā pacients jānovēro un jāveic atbilstoša simptomātiska ārstēšana</w:t>
      </w:r>
      <w:r w:rsidRPr="00CD729C">
        <w:rPr>
          <w:szCs w:val="22"/>
        </w:rPr>
        <w:t>. Kopumā saņemto ziņojumu iznākums bija “</w:t>
      </w:r>
      <w:r w:rsidR="0063218E" w:rsidRPr="00CD729C">
        <w:rPr>
          <w:szCs w:val="22"/>
        </w:rPr>
        <w:t xml:space="preserve">stāvokļa </w:t>
      </w:r>
      <w:r w:rsidRPr="00CD729C">
        <w:rPr>
          <w:szCs w:val="22"/>
        </w:rPr>
        <w:t xml:space="preserve">uzlabošanās” vai “atveseļošanās”. </w:t>
      </w:r>
      <w:r w:rsidR="003618A5" w:rsidRPr="00CD729C">
        <w:rPr>
          <w:szCs w:val="22"/>
        </w:rPr>
        <w:t xml:space="preserve">Saņemtie ziņojumi </w:t>
      </w:r>
      <w:r w:rsidR="009D4057" w:rsidRPr="00CD729C">
        <w:rPr>
          <w:szCs w:val="22"/>
        </w:rPr>
        <w:t>attiecas uz</w:t>
      </w:r>
      <w:r w:rsidR="003618A5" w:rsidRPr="00CD729C">
        <w:rPr>
          <w:szCs w:val="22"/>
        </w:rPr>
        <w:t xml:space="preserve"> dažād</w:t>
      </w:r>
      <w:r w:rsidR="009D4057" w:rsidRPr="00CD729C">
        <w:rPr>
          <w:szCs w:val="22"/>
        </w:rPr>
        <w:t>iem</w:t>
      </w:r>
      <w:r w:rsidR="003618A5" w:rsidRPr="00CD729C">
        <w:rPr>
          <w:szCs w:val="22"/>
        </w:rPr>
        <w:t xml:space="preserve"> devu intervāl</w:t>
      </w:r>
      <w:r w:rsidR="009D4057" w:rsidRPr="00CD729C">
        <w:rPr>
          <w:szCs w:val="22"/>
        </w:rPr>
        <w:t>iem</w:t>
      </w:r>
      <w:r w:rsidR="003618A5" w:rsidRPr="00CD729C">
        <w:rPr>
          <w:szCs w:val="22"/>
        </w:rPr>
        <w:t>, kas aprakstīti zemāk:</w:t>
      </w:r>
    </w:p>
    <w:p w14:paraId="3D3945D0" w14:textId="77777777" w:rsidR="00C13245" w:rsidRPr="00CD729C" w:rsidRDefault="00C13245" w:rsidP="009B4BB6">
      <w:pPr>
        <w:widowControl w:val="0"/>
        <w:tabs>
          <w:tab w:val="clear" w:pos="567"/>
        </w:tabs>
        <w:spacing w:line="240" w:lineRule="auto"/>
        <w:rPr>
          <w:szCs w:val="22"/>
        </w:rPr>
      </w:pPr>
    </w:p>
    <w:p w14:paraId="3D3945D1" w14:textId="77777777" w:rsidR="00C13245" w:rsidRPr="00CD729C" w:rsidRDefault="00C13245" w:rsidP="009B4BB6">
      <w:pPr>
        <w:keepNext/>
        <w:widowControl w:val="0"/>
        <w:tabs>
          <w:tab w:val="clear" w:pos="567"/>
        </w:tabs>
        <w:spacing w:line="240" w:lineRule="auto"/>
        <w:rPr>
          <w:i/>
          <w:iCs/>
          <w:color w:val="000000"/>
          <w:szCs w:val="22"/>
        </w:rPr>
      </w:pPr>
      <w:r w:rsidRPr="00CD729C">
        <w:rPr>
          <w:i/>
          <w:iCs/>
          <w:color w:val="000000"/>
          <w:szCs w:val="22"/>
        </w:rPr>
        <w:t>Pieauguš</w:t>
      </w:r>
      <w:r w:rsidR="00E3742A" w:rsidRPr="00CD729C">
        <w:rPr>
          <w:i/>
          <w:iCs/>
          <w:color w:val="000000"/>
          <w:szCs w:val="22"/>
        </w:rPr>
        <w:t>o populācija</w:t>
      </w:r>
    </w:p>
    <w:p w14:paraId="3D3945D2" w14:textId="77777777" w:rsidR="00C13245" w:rsidRPr="00CD729C" w:rsidRDefault="00C13245" w:rsidP="009B4BB6">
      <w:pPr>
        <w:pStyle w:val="Text"/>
        <w:widowControl w:val="0"/>
        <w:spacing w:before="0"/>
        <w:jc w:val="left"/>
        <w:rPr>
          <w:sz w:val="22"/>
          <w:szCs w:val="22"/>
          <w:lang w:val="lv-LV"/>
        </w:rPr>
      </w:pPr>
      <w:r w:rsidRPr="00CD729C">
        <w:rPr>
          <w:sz w:val="22"/>
          <w:szCs w:val="22"/>
          <w:lang w:val="lv-LV"/>
        </w:rPr>
        <w:t>1200</w:t>
      </w:r>
      <w:r w:rsidR="00195CF5" w:rsidRPr="00CD729C">
        <w:rPr>
          <w:sz w:val="22"/>
          <w:szCs w:val="22"/>
          <w:lang w:val="lv-LV"/>
        </w:rPr>
        <w:t xml:space="preserve"> </w:t>
      </w:r>
      <w:r w:rsidR="006E7C8E" w:rsidRPr="00CD729C">
        <w:rPr>
          <w:sz w:val="22"/>
          <w:szCs w:val="22"/>
          <w:lang w:val="lv-LV"/>
        </w:rPr>
        <w:t>līdz</w:t>
      </w:r>
      <w:r w:rsidRPr="00CD729C">
        <w:rPr>
          <w:sz w:val="22"/>
          <w:szCs w:val="22"/>
          <w:lang w:val="lv-LV"/>
        </w:rPr>
        <w:t xml:space="preserve"> 1600 mg (</w:t>
      </w:r>
      <w:r w:rsidR="006E7C8E" w:rsidRPr="00CD729C">
        <w:rPr>
          <w:sz w:val="22"/>
          <w:szCs w:val="22"/>
          <w:lang w:val="lv-LV"/>
        </w:rPr>
        <w:t xml:space="preserve">ārstēšanas ilgums variē no </w:t>
      </w:r>
      <w:r w:rsidRPr="00CD729C">
        <w:rPr>
          <w:sz w:val="22"/>
          <w:szCs w:val="22"/>
          <w:lang w:val="lv-LV"/>
        </w:rPr>
        <w:t>1</w:t>
      </w:r>
      <w:r w:rsidR="00195CF5" w:rsidRPr="00CD729C">
        <w:rPr>
          <w:sz w:val="22"/>
          <w:szCs w:val="22"/>
          <w:lang w:val="lv-LV"/>
        </w:rPr>
        <w:t xml:space="preserve"> </w:t>
      </w:r>
      <w:r w:rsidR="006E7C8E" w:rsidRPr="00CD729C">
        <w:rPr>
          <w:sz w:val="22"/>
          <w:szCs w:val="22"/>
          <w:lang w:val="lv-LV"/>
        </w:rPr>
        <w:t>līdz</w:t>
      </w:r>
      <w:r w:rsidRPr="00CD729C">
        <w:rPr>
          <w:sz w:val="22"/>
          <w:szCs w:val="22"/>
          <w:lang w:val="lv-LV"/>
        </w:rPr>
        <w:t xml:space="preserve"> 10 d</w:t>
      </w:r>
      <w:r w:rsidR="006E7C8E" w:rsidRPr="00CD729C">
        <w:rPr>
          <w:sz w:val="22"/>
          <w:szCs w:val="22"/>
          <w:lang w:val="lv-LV"/>
        </w:rPr>
        <w:t>ienām</w:t>
      </w:r>
      <w:r w:rsidRPr="00CD729C">
        <w:rPr>
          <w:sz w:val="22"/>
          <w:szCs w:val="22"/>
          <w:lang w:val="lv-LV"/>
        </w:rPr>
        <w:t xml:space="preserve">): </w:t>
      </w:r>
      <w:r w:rsidR="006E7C8E" w:rsidRPr="00CD729C">
        <w:rPr>
          <w:sz w:val="22"/>
          <w:szCs w:val="22"/>
          <w:lang w:val="lv-LV"/>
        </w:rPr>
        <w:t>slikta dūša</w:t>
      </w:r>
      <w:r w:rsidRPr="00CD729C">
        <w:rPr>
          <w:sz w:val="22"/>
          <w:szCs w:val="22"/>
          <w:lang w:val="lv-LV"/>
        </w:rPr>
        <w:t>, v</w:t>
      </w:r>
      <w:r w:rsidR="006E7C8E" w:rsidRPr="00CD729C">
        <w:rPr>
          <w:sz w:val="22"/>
          <w:szCs w:val="22"/>
          <w:lang w:val="lv-LV"/>
        </w:rPr>
        <w:t>emšana</w:t>
      </w:r>
      <w:r w:rsidRPr="00CD729C">
        <w:rPr>
          <w:sz w:val="22"/>
          <w:szCs w:val="22"/>
          <w:lang w:val="lv-LV"/>
        </w:rPr>
        <w:t xml:space="preserve">, </w:t>
      </w:r>
      <w:r w:rsidR="006E7C8E" w:rsidRPr="00CD729C">
        <w:rPr>
          <w:sz w:val="22"/>
          <w:szCs w:val="22"/>
          <w:lang w:val="lv-LV"/>
        </w:rPr>
        <w:t>caureja, izsitumi</w:t>
      </w:r>
      <w:r w:rsidRPr="00CD729C">
        <w:rPr>
          <w:sz w:val="22"/>
          <w:szCs w:val="22"/>
          <w:lang w:val="lv-LV"/>
        </w:rPr>
        <w:t>, er</w:t>
      </w:r>
      <w:r w:rsidR="006E7C8E" w:rsidRPr="00CD729C">
        <w:rPr>
          <w:sz w:val="22"/>
          <w:szCs w:val="22"/>
          <w:lang w:val="lv-LV"/>
        </w:rPr>
        <w:t>itēma</w:t>
      </w:r>
      <w:r w:rsidRPr="00CD729C">
        <w:rPr>
          <w:sz w:val="22"/>
          <w:szCs w:val="22"/>
          <w:lang w:val="lv-LV"/>
        </w:rPr>
        <w:t xml:space="preserve">, </w:t>
      </w:r>
      <w:r w:rsidR="006E7C8E" w:rsidRPr="00CD729C">
        <w:rPr>
          <w:sz w:val="22"/>
          <w:szCs w:val="22"/>
          <w:lang w:val="lv-LV"/>
        </w:rPr>
        <w:t>tūska</w:t>
      </w:r>
      <w:r w:rsidRPr="00CD729C">
        <w:rPr>
          <w:sz w:val="22"/>
          <w:szCs w:val="22"/>
          <w:lang w:val="lv-LV"/>
        </w:rPr>
        <w:t xml:space="preserve">, </w:t>
      </w:r>
      <w:r w:rsidR="006E7C8E" w:rsidRPr="00CD729C">
        <w:rPr>
          <w:sz w:val="22"/>
          <w:szCs w:val="22"/>
          <w:lang w:val="lv-LV"/>
        </w:rPr>
        <w:t>pietūkums</w:t>
      </w:r>
      <w:r w:rsidRPr="00CD729C">
        <w:rPr>
          <w:sz w:val="22"/>
          <w:szCs w:val="22"/>
          <w:lang w:val="lv-LV"/>
        </w:rPr>
        <w:t xml:space="preserve">, </w:t>
      </w:r>
      <w:r w:rsidR="006E7C8E" w:rsidRPr="00CD729C">
        <w:rPr>
          <w:sz w:val="22"/>
          <w:szCs w:val="22"/>
          <w:lang w:val="lv-LV"/>
        </w:rPr>
        <w:t>nogurums</w:t>
      </w:r>
      <w:r w:rsidRPr="00CD729C">
        <w:rPr>
          <w:sz w:val="22"/>
          <w:szCs w:val="22"/>
          <w:lang w:val="lv-LV"/>
        </w:rPr>
        <w:t>, mus</w:t>
      </w:r>
      <w:r w:rsidR="006E7C8E" w:rsidRPr="00CD729C">
        <w:rPr>
          <w:sz w:val="22"/>
          <w:szCs w:val="22"/>
          <w:lang w:val="lv-LV"/>
        </w:rPr>
        <w:t xml:space="preserve">kuļu </w:t>
      </w:r>
      <w:r w:rsidRPr="00CD729C">
        <w:rPr>
          <w:sz w:val="22"/>
          <w:szCs w:val="22"/>
          <w:lang w:val="lv-LV"/>
        </w:rPr>
        <w:t>spa</w:t>
      </w:r>
      <w:r w:rsidR="006E7C8E" w:rsidRPr="00CD729C">
        <w:rPr>
          <w:sz w:val="22"/>
          <w:szCs w:val="22"/>
          <w:lang w:val="lv-LV"/>
        </w:rPr>
        <w:t>zmas</w:t>
      </w:r>
      <w:r w:rsidRPr="00CD729C">
        <w:rPr>
          <w:sz w:val="22"/>
          <w:szCs w:val="22"/>
          <w:lang w:val="lv-LV"/>
        </w:rPr>
        <w:t>, tromboc</w:t>
      </w:r>
      <w:r w:rsidR="006E7C8E" w:rsidRPr="00CD729C">
        <w:rPr>
          <w:sz w:val="22"/>
          <w:szCs w:val="22"/>
          <w:lang w:val="lv-LV"/>
        </w:rPr>
        <w:t>i</w:t>
      </w:r>
      <w:r w:rsidRPr="00CD729C">
        <w:rPr>
          <w:sz w:val="22"/>
          <w:szCs w:val="22"/>
          <w:lang w:val="lv-LV"/>
        </w:rPr>
        <w:t>top</w:t>
      </w:r>
      <w:r w:rsidR="006E7C8E" w:rsidRPr="00CD729C">
        <w:rPr>
          <w:sz w:val="22"/>
          <w:szCs w:val="22"/>
          <w:lang w:val="lv-LV"/>
        </w:rPr>
        <w:t>ēnija</w:t>
      </w:r>
      <w:r w:rsidRPr="00CD729C">
        <w:rPr>
          <w:sz w:val="22"/>
          <w:szCs w:val="22"/>
          <w:lang w:val="lv-LV"/>
        </w:rPr>
        <w:t>, panc</w:t>
      </w:r>
      <w:r w:rsidR="006E7C8E" w:rsidRPr="00CD729C">
        <w:rPr>
          <w:sz w:val="22"/>
          <w:szCs w:val="22"/>
          <w:lang w:val="lv-LV"/>
        </w:rPr>
        <w:t>i</w:t>
      </w:r>
      <w:r w:rsidRPr="00CD729C">
        <w:rPr>
          <w:sz w:val="22"/>
          <w:szCs w:val="22"/>
          <w:lang w:val="lv-LV"/>
        </w:rPr>
        <w:t>top</w:t>
      </w:r>
      <w:r w:rsidR="006E7C8E" w:rsidRPr="00CD729C">
        <w:rPr>
          <w:sz w:val="22"/>
          <w:szCs w:val="22"/>
          <w:lang w:val="lv-LV"/>
        </w:rPr>
        <w:t>ēnija</w:t>
      </w:r>
      <w:r w:rsidRPr="00CD729C">
        <w:rPr>
          <w:sz w:val="22"/>
          <w:szCs w:val="22"/>
          <w:lang w:val="lv-LV"/>
        </w:rPr>
        <w:t xml:space="preserve">, </w:t>
      </w:r>
      <w:r w:rsidR="006E7C8E" w:rsidRPr="00CD729C">
        <w:rPr>
          <w:sz w:val="22"/>
          <w:szCs w:val="22"/>
          <w:lang w:val="lv-LV"/>
        </w:rPr>
        <w:t>sāpes vēderā</w:t>
      </w:r>
      <w:r w:rsidRPr="00CD729C">
        <w:rPr>
          <w:sz w:val="22"/>
          <w:szCs w:val="22"/>
          <w:lang w:val="lv-LV"/>
        </w:rPr>
        <w:t xml:space="preserve">, </w:t>
      </w:r>
      <w:r w:rsidR="006E7C8E" w:rsidRPr="00CD729C">
        <w:rPr>
          <w:sz w:val="22"/>
          <w:szCs w:val="22"/>
          <w:lang w:val="lv-LV"/>
        </w:rPr>
        <w:t>galvassāpes</w:t>
      </w:r>
      <w:r w:rsidRPr="00CD729C">
        <w:rPr>
          <w:sz w:val="22"/>
          <w:szCs w:val="22"/>
          <w:lang w:val="lv-LV"/>
        </w:rPr>
        <w:t xml:space="preserve">, </w:t>
      </w:r>
      <w:r w:rsidR="006E7C8E" w:rsidRPr="00CD729C">
        <w:rPr>
          <w:sz w:val="22"/>
          <w:szCs w:val="22"/>
          <w:lang w:val="lv-LV"/>
        </w:rPr>
        <w:t>samazināta ēstgriba</w:t>
      </w:r>
      <w:r w:rsidRPr="00CD729C">
        <w:rPr>
          <w:sz w:val="22"/>
          <w:szCs w:val="22"/>
          <w:lang w:val="lv-LV"/>
        </w:rPr>
        <w:t>.</w:t>
      </w:r>
    </w:p>
    <w:p w14:paraId="3D3945D3" w14:textId="77777777" w:rsidR="00C13245" w:rsidRPr="00CD729C" w:rsidRDefault="00C13245" w:rsidP="009B4BB6">
      <w:pPr>
        <w:pStyle w:val="Text"/>
        <w:widowControl w:val="0"/>
        <w:spacing w:before="0"/>
        <w:jc w:val="left"/>
        <w:rPr>
          <w:sz w:val="22"/>
          <w:szCs w:val="22"/>
          <w:lang w:val="lv-LV"/>
        </w:rPr>
      </w:pPr>
      <w:r w:rsidRPr="00CD729C">
        <w:rPr>
          <w:sz w:val="22"/>
          <w:szCs w:val="22"/>
          <w:lang w:val="lv-LV"/>
        </w:rPr>
        <w:t>1800</w:t>
      </w:r>
      <w:r w:rsidR="00195CF5" w:rsidRPr="00CD729C">
        <w:rPr>
          <w:sz w:val="22"/>
          <w:szCs w:val="22"/>
          <w:lang w:val="lv-LV"/>
        </w:rPr>
        <w:t xml:space="preserve"> </w:t>
      </w:r>
      <w:r w:rsidR="006E7C8E" w:rsidRPr="00CD729C">
        <w:rPr>
          <w:sz w:val="22"/>
          <w:szCs w:val="22"/>
          <w:lang w:val="lv-LV"/>
        </w:rPr>
        <w:t>līdz</w:t>
      </w:r>
      <w:r w:rsidRPr="00CD729C">
        <w:rPr>
          <w:sz w:val="22"/>
          <w:szCs w:val="22"/>
          <w:lang w:val="lv-LV"/>
        </w:rPr>
        <w:t xml:space="preserve"> 3200 mg (</w:t>
      </w:r>
      <w:r w:rsidR="000B4067" w:rsidRPr="00CD729C">
        <w:rPr>
          <w:sz w:val="22"/>
          <w:szCs w:val="22"/>
          <w:lang w:val="lv-LV"/>
        </w:rPr>
        <w:t xml:space="preserve">maksimāli </w:t>
      </w:r>
      <w:r w:rsidRPr="00CD729C">
        <w:rPr>
          <w:sz w:val="22"/>
          <w:szCs w:val="22"/>
          <w:lang w:val="lv-LV"/>
        </w:rPr>
        <w:t>3200 mg d</w:t>
      </w:r>
      <w:r w:rsidR="006E7C8E" w:rsidRPr="00CD729C">
        <w:rPr>
          <w:sz w:val="22"/>
          <w:szCs w:val="22"/>
          <w:lang w:val="lv-LV"/>
        </w:rPr>
        <w:t xml:space="preserve">ienā </w:t>
      </w:r>
      <w:r w:rsidRPr="00CD729C">
        <w:rPr>
          <w:sz w:val="22"/>
          <w:szCs w:val="22"/>
          <w:lang w:val="lv-LV"/>
        </w:rPr>
        <w:t>6 d</w:t>
      </w:r>
      <w:r w:rsidR="000B4067" w:rsidRPr="00CD729C">
        <w:rPr>
          <w:sz w:val="22"/>
          <w:szCs w:val="22"/>
          <w:lang w:val="lv-LV"/>
        </w:rPr>
        <w:t>ienu periodā</w:t>
      </w:r>
      <w:r w:rsidRPr="00CD729C">
        <w:rPr>
          <w:sz w:val="22"/>
          <w:szCs w:val="22"/>
          <w:lang w:val="lv-LV"/>
        </w:rPr>
        <w:t xml:space="preserve">): </w:t>
      </w:r>
      <w:r w:rsidR="00345AD1" w:rsidRPr="00CD729C">
        <w:rPr>
          <w:sz w:val="22"/>
          <w:szCs w:val="22"/>
          <w:lang w:val="lv-LV"/>
        </w:rPr>
        <w:t>nespēks</w:t>
      </w:r>
      <w:r w:rsidRPr="00CD729C">
        <w:rPr>
          <w:sz w:val="22"/>
          <w:szCs w:val="22"/>
          <w:lang w:val="lv-LV"/>
        </w:rPr>
        <w:t>, m</w:t>
      </w:r>
      <w:r w:rsidR="00345AD1" w:rsidRPr="00CD729C">
        <w:rPr>
          <w:sz w:val="22"/>
          <w:szCs w:val="22"/>
          <w:lang w:val="lv-LV"/>
        </w:rPr>
        <w:t>ia</w:t>
      </w:r>
      <w:r w:rsidR="00453D84" w:rsidRPr="00CD729C">
        <w:rPr>
          <w:sz w:val="22"/>
          <w:szCs w:val="22"/>
          <w:lang w:val="lv-LV"/>
        </w:rPr>
        <w:t>l</w:t>
      </w:r>
      <w:r w:rsidR="00345AD1" w:rsidRPr="00CD729C">
        <w:rPr>
          <w:sz w:val="22"/>
          <w:szCs w:val="22"/>
          <w:lang w:val="lv-LV"/>
        </w:rPr>
        <w:t>ģija</w:t>
      </w:r>
      <w:r w:rsidRPr="00CD729C">
        <w:rPr>
          <w:sz w:val="22"/>
          <w:szCs w:val="22"/>
          <w:lang w:val="lv-LV"/>
        </w:rPr>
        <w:t xml:space="preserve">, </w:t>
      </w:r>
      <w:r w:rsidR="00345AD1" w:rsidRPr="00CD729C">
        <w:rPr>
          <w:sz w:val="22"/>
          <w:szCs w:val="22"/>
          <w:lang w:val="lv-LV"/>
        </w:rPr>
        <w:t>kreatīnfosfokināzes līmeņa paaugstināšanās</w:t>
      </w:r>
      <w:r w:rsidRPr="00CD729C">
        <w:rPr>
          <w:sz w:val="22"/>
          <w:szCs w:val="22"/>
          <w:lang w:val="lv-LV"/>
        </w:rPr>
        <w:t>, bilirub</w:t>
      </w:r>
      <w:r w:rsidR="00345AD1" w:rsidRPr="00CD729C">
        <w:rPr>
          <w:sz w:val="22"/>
          <w:szCs w:val="22"/>
          <w:lang w:val="lv-LV"/>
        </w:rPr>
        <w:t>īna līmeņa paaugstināšanās</w:t>
      </w:r>
      <w:r w:rsidRPr="00CD729C">
        <w:rPr>
          <w:sz w:val="22"/>
          <w:szCs w:val="22"/>
          <w:lang w:val="lv-LV"/>
        </w:rPr>
        <w:t xml:space="preserve">, </w:t>
      </w:r>
      <w:r w:rsidR="00345AD1" w:rsidRPr="00CD729C">
        <w:rPr>
          <w:sz w:val="22"/>
          <w:szCs w:val="22"/>
          <w:lang w:val="lv-LV"/>
        </w:rPr>
        <w:t>sāpes kuņģa-zarnu traktā</w:t>
      </w:r>
      <w:r w:rsidRPr="00CD729C">
        <w:rPr>
          <w:sz w:val="22"/>
          <w:szCs w:val="22"/>
          <w:lang w:val="lv-LV"/>
        </w:rPr>
        <w:t>.</w:t>
      </w:r>
    </w:p>
    <w:p w14:paraId="3D3945D4" w14:textId="77777777" w:rsidR="00C13245" w:rsidRPr="00CD729C" w:rsidRDefault="00C13245" w:rsidP="009B4BB6">
      <w:pPr>
        <w:pStyle w:val="Text"/>
        <w:widowControl w:val="0"/>
        <w:spacing w:before="0"/>
        <w:jc w:val="left"/>
        <w:rPr>
          <w:sz w:val="22"/>
          <w:szCs w:val="22"/>
          <w:lang w:val="lv-LV"/>
        </w:rPr>
      </w:pPr>
      <w:r w:rsidRPr="00CD729C">
        <w:rPr>
          <w:sz w:val="22"/>
          <w:szCs w:val="22"/>
          <w:lang w:val="lv-LV"/>
        </w:rPr>
        <w:t>6400 mg (</w:t>
      </w:r>
      <w:r w:rsidR="00345AD1" w:rsidRPr="00CD729C">
        <w:rPr>
          <w:sz w:val="22"/>
          <w:szCs w:val="22"/>
          <w:lang w:val="lv-LV"/>
        </w:rPr>
        <w:t>vien</w:t>
      </w:r>
      <w:r w:rsidR="000E758E" w:rsidRPr="00CD729C">
        <w:rPr>
          <w:sz w:val="22"/>
          <w:szCs w:val="22"/>
          <w:lang w:val="lv-LV"/>
        </w:rPr>
        <w:t>a</w:t>
      </w:r>
      <w:r w:rsidR="00345AD1" w:rsidRPr="00CD729C">
        <w:rPr>
          <w:sz w:val="22"/>
          <w:szCs w:val="22"/>
          <w:lang w:val="lv-LV"/>
        </w:rPr>
        <w:t xml:space="preserve"> deva</w:t>
      </w:r>
      <w:r w:rsidRPr="00CD729C">
        <w:rPr>
          <w:sz w:val="22"/>
          <w:szCs w:val="22"/>
          <w:lang w:val="lv-LV"/>
        </w:rPr>
        <w:t xml:space="preserve">): </w:t>
      </w:r>
      <w:r w:rsidR="00345AD1" w:rsidRPr="00CD729C">
        <w:rPr>
          <w:sz w:val="22"/>
          <w:szCs w:val="22"/>
          <w:lang w:val="lv-LV"/>
        </w:rPr>
        <w:t>literatūrā aprakstīts viens gadījums par pacientu, kuram attīstījās slikta dūša, vemšana, sāpes vēderā, drudzis, sejas pietūkums, samazināts neitrofīlo leikocītu skaits, transamināžu līmeņa paaugstināšanās</w:t>
      </w:r>
      <w:r w:rsidRPr="00CD729C">
        <w:rPr>
          <w:sz w:val="22"/>
          <w:szCs w:val="22"/>
          <w:lang w:val="lv-LV"/>
        </w:rPr>
        <w:t>.</w:t>
      </w:r>
    </w:p>
    <w:p w14:paraId="3D3945D5" w14:textId="77777777" w:rsidR="00C13245" w:rsidRPr="00CD729C" w:rsidRDefault="00C13245" w:rsidP="009B4BB6">
      <w:pPr>
        <w:pStyle w:val="Text"/>
        <w:widowControl w:val="0"/>
        <w:spacing w:before="0"/>
        <w:jc w:val="left"/>
        <w:rPr>
          <w:sz w:val="22"/>
          <w:szCs w:val="22"/>
          <w:lang w:val="lv-LV"/>
        </w:rPr>
      </w:pPr>
      <w:r w:rsidRPr="00CD729C">
        <w:rPr>
          <w:sz w:val="22"/>
          <w:szCs w:val="22"/>
          <w:lang w:val="lv-LV"/>
        </w:rPr>
        <w:t>8</w:t>
      </w:r>
      <w:r w:rsidR="00195CF5" w:rsidRPr="00CD729C">
        <w:rPr>
          <w:sz w:val="22"/>
          <w:szCs w:val="22"/>
          <w:lang w:val="lv-LV"/>
        </w:rPr>
        <w:t xml:space="preserve"> </w:t>
      </w:r>
      <w:r w:rsidR="00345AD1" w:rsidRPr="00CD729C">
        <w:rPr>
          <w:sz w:val="22"/>
          <w:szCs w:val="22"/>
          <w:lang w:val="lv-LV"/>
        </w:rPr>
        <w:t>līdz</w:t>
      </w:r>
      <w:r w:rsidRPr="00CD729C">
        <w:rPr>
          <w:sz w:val="22"/>
          <w:szCs w:val="22"/>
          <w:lang w:val="lv-LV"/>
        </w:rPr>
        <w:t xml:space="preserve"> 10 g (</w:t>
      </w:r>
      <w:r w:rsidR="00345AD1" w:rsidRPr="00CD729C">
        <w:rPr>
          <w:sz w:val="22"/>
          <w:szCs w:val="22"/>
          <w:lang w:val="lv-LV"/>
        </w:rPr>
        <w:t>viena deva</w:t>
      </w:r>
      <w:r w:rsidRPr="00CD729C">
        <w:rPr>
          <w:sz w:val="22"/>
          <w:szCs w:val="22"/>
          <w:lang w:val="lv-LV"/>
        </w:rPr>
        <w:t xml:space="preserve">): </w:t>
      </w:r>
      <w:r w:rsidR="00345AD1" w:rsidRPr="00CD729C">
        <w:rPr>
          <w:sz w:val="22"/>
          <w:szCs w:val="22"/>
          <w:lang w:val="lv-LV"/>
        </w:rPr>
        <w:t>saņemti ziņojumi par vemšanu un sāpēm kuņģa-zarnu traktā</w:t>
      </w:r>
      <w:r w:rsidRPr="00CD729C">
        <w:rPr>
          <w:sz w:val="22"/>
          <w:szCs w:val="22"/>
          <w:lang w:val="lv-LV"/>
        </w:rPr>
        <w:t>.</w:t>
      </w:r>
    </w:p>
    <w:p w14:paraId="3D3945D6" w14:textId="77777777" w:rsidR="00C13245" w:rsidRPr="00CD729C" w:rsidRDefault="00C13245" w:rsidP="009B4BB6">
      <w:pPr>
        <w:widowControl w:val="0"/>
        <w:tabs>
          <w:tab w:val="clear" w:pos="567"/>
        </w:tabs>
        <w:spacing w:line="240" w:lineRule="auto"/>
        <w:rPr>
          <w:color w:val="000000"/>
          <w:szCs w:val="22"/>
        </w:rPr>
      </w:pPr>
    </w:p>
    <w:p w14:paraId="3D3945D7" w14:textId="77777777" w:rsidR="00C13245" w:rsidRPr="00CD729C" w:rsidRDefault="00A46087" w:rsidP="009B4BB6">
      <w:pPr>
        <w:keepNext/>
        <w:widowControl w:val="0"/>
        <w:tabs>
          <w:tab w:val="clear" w:pos="567"/>
        </w:tabs>
        <w:spacing w:line="240" w:lineRule="auto"/>
        <w:rPr>
          <w:i/>
          <w:iCs/>
          <w:color w:val="000000"/>
          <w:szCs w:val="22"/>
        </w:rPr>
      </w:pPr>
      <w:r w:rsidRPr="00CD729C">
        <w:rPr>
          <w:bCs/>
          <w:i/>
          <w:iCs/>
        </w:rPr>
        <w:t>Pediatriskā populācija</w:t>
      </w:r>
    </w:p>
    <w:p w14:paraId="3D3945D8" w14:textId="77777777" w:rsidR="00C13245" w:rsidRPr="00CD729C" w:rsidRDefault="00894C44" w:rsidP="009B4BB6">
      <w:pPr>
        <w:pStyle w:val="Text"/>
        <w:widowControl w:val="0"/>
        <w:spacing w:before="0"/>
        <w:jc w:val="left"/>
        <w:rPr>
          <w:color w:val="000000"/>
          <w:sz w:val="22"/>
          <w:szCs w:val="22"/>
          <w:lang w:val="lv-LV"/>
        </w:rPr>
      </w:pPr>
      <w:r w:rsidRPr="00CD729C">
        <w:rPr>
          <w:sz w:val="22"/>
          <w:szCs w:val="22"/>
          <w:lang w:val="lv-LV"/>
        </w:rPr>
        <w:t xml:space="preserve">Vienam 3 gadus vecam </w:t>
      </w:r>
      <w:r w:rsidR="006969A1" w:rsidRPr="00CD729C">
        <w:rPr>
          <w:sz w:val="22"/>
          <w:szCs w:val="22"/>
          <w:lang w:val="lv-LV"/>
        </w:rPr>
        <w:t>zēnam</w:t>
      </w:r>
      <w:r w:rsidRPr="00CD729C">
        <w:rPr>
          <w:sz w:val="22"/>
          <w:szCs w:val="22"/>
          <w:lang w:val="lv-LV"/>
        </w:rPr>
        <w:t xml:space="preserve"> pēc </w:t>
      </w:r>
      <w:r w:rsidR="00622BBC" w:rsidRPr="00CD729C">
        <w:rPr>
          <w:sz w:val="22"/>
          <w:szCs w:val="22"/>
          <w:lang w:val="lv-LV"/>
        </w:rPr>
        <w:t xml:space="preserve">vienas </w:t>
      </w:r>
      <w:r w:rsidRPr="00CD729C">
        <w:rPr>
          <w:sz w:val="22"/>
          <w:szCs w:val="22"/>
          <w:lang w:val="lv-LV"/>
        </w:rPr>
        <w:t>400 mg devas lietošanas attīstījās vemšana, caureja un anoreksija</w:t>
      </w:r>
      <w:r w:rsidR="000E758E" w:rsidRPr="00CD729C">
        <w:rPr>
          <w:sz w:val="22"/>
          <w:szCs w:val="22"/>
          <w:lang w:val="lv-LV"/>
        </w:rPr>
        <w:t>, savukārt</w:t>
      </w:r>
      <w:r w:rsidRPr="00CD729C">
        <w:rPr>
          <w:sz w:val="22"/>
          <w:szCs w:val="22"/>
          <w:lang w:val="lv-LV"/>
        </w:rPr>
        <w:t xml:space="preserve"> citam 3 gadus </w:t>
      </w:r>
      <w:r w:rsidR="000E758E" w:rsidRPr="00CD729C">
        <w:rPr>
          <w:sz w:val="22"/>
          <w:szCs w:val="22"/>
          <w:lang w:val="lv-LV"/>
        </w:rPr>
        <w:t xml:space="preserve">vecam </w:t>
      </w:r>
      <w:r w:rsidR="006969A1" w:rsidRPr="00CD729C">
        <w:rPr>
          <w:sz w:val="22"/>
          <w:szCs w:val="22"/>
          <w:lang w:val="lv-LV"/>
        </w:rPr>
        <w:t>zēnam</w:t>
      </w:r>
      <w:r w:rsidR="00C13245" w:rsidRPr="00CD729C">
        <w:rPr>
          <w:sz w:val="22"/>
          <w:szCs w:val="22"/>
          <w:lang w:val="lv-LV"/>
        </w:rPr>
        <w:t xml:space="preserve"> </w:t>
      </w:r>
      <w:r w:rsidRPr="00CD729C">
        <w:rPr>
          <w:sz w:val="22"/>
          <w:szCs w:val="22"/>
          <w:lang w:val="lv-LV"/>
        </w:rPr>
        <w:t xml:space="preserve">pēc </w:t>
      </w:r>
      <w:r w:rsidR="00622BBC" w:rsidRPr="00CD729C">
        <w:rPr>
          <w:sz w:val="22"/>
          <w:szCs w:val="22"/>
          <w:lang w:val="lv-LV"/>
        </w:rPr>
        <w:t xml:space="preserve">vienas </w:t>
      </w:r>
      <w:r w:rsidRPr="00CD729C">
        <w:rPr>
          <w:sz w:val="22"/>
          <w:szCs w:val="22"/>
          <w:lang w:val="lv-LV"/>
        </w:rPr>
        <w:t>980 mg devas lietošanas samazinā</w:t>
      </w:r>
      <w:r w:rsidR="004C573C" w:rsidRPr="00CD729C">
        <w:rPr>
          <w:sz w:val="22"/>
          <w:szCs w:val="22"/>
          <w:lang w:val="lv-LV"/>
        </w:rPr>
        <w:t>jās leikocītu</w:t>
      </w:r>
      <w:r w:rsidRPr="00CD729C">
        <w:rPr>
          <w:sz w:val="22"/>
          <w:szCs w:val="22"/>
          <w:lang w:val="lv-LV"/>
        </w:rPr>
        <w:t xml:space="preserve"> skaits asinīs un </w:t>
      </w:r>
      <w:r w:rsidR="004C573C" w:rsidRPr="00CD729C">
        <w:rPr>
          <w:sz w:val="22"/>
          <w:szCs w:val="22"/>
          <w:lang w:val="lv-LV"/>
        </w:rPr>
        <w:t xml:space="preserve">attīstījās </w:t>
      </w:r>
      <w:r w:rsidRPr="00CD729C">
        <w:rPr>
          <w:sz w:val="22"/>
          <w:szCs w:val="22"/>
          <w:lang w:val="lv-LV"/>
        </w:rPr>
        <w:t>caureja</w:t>
      </w:r>
      <w:r w:rsidR="00C13245" w:rsidRPr="00CD729C">
        <w:rPr>
          <w:sz w:val="22"/>
          <w:szCs w:val="22"/>
          <w:lang w:val="lv-LV"/>
        </w:rPr>
        <w:t>.</w:t>
      </w:r>
    </w:p>
    <w:p w14:paraId="3D3945D9" w14:textId="77777777" w:rsidR="005117C7" w:rsidRPr="00CD729C" w:rsidRDefault="005117C7" w:rsidP="009B4BB6">
      <w:pPr>
        <w:widowControl w:val="0"/>
        <w:tabs>
          <w:tab w:val="clear" w:pos="567"/>
        </w:tabs>
        <w:spacing w:line="240" w:lineRule="auto"/>
        <w:rPr>
          <w:color w:val="000000"/>
          <w:szCs w:val="22"/>
        </w:rPr>
      </w:pPr>
    </w:p>
    <w:p w14:paraId="3D3945DA"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Pārdozēšanas gadījumā pacients jānovēro un jāveic atbilstoša uzturoša ārstēšana.</w:t>
      </w:r>
    </w:p>
    <w:p w14:paraId="3D3945DB" w14:textId="77777777" w:rsidR="005117C7" w:rsidRPr="00CD729C" w:rsidRDefault="005117C7" w:rsidP="009B4BB6">
      <w:pPr>
        <w:widowControl w:val="0"/>
        <w:tabs>
          <w:tab w:val="clear" w:pos="567"/>
        </w:tabs>
        <w:spacing w:line="240" w:lineRule="auto"/>
        <w:rPr>
          <w:color w:val="000000"/>
          <w:szCs w:val="22"/>
        </w:rPr>
      </w:pPr>
    </w:p>
    <w:p w14:paraId="3D3945DC" w14:textId="77777777" w:rsidR="005117C7" w:rsidRPr="00CD729C" w:rsidRDefault="005117C7" w:rsidP="009B4BB6">
      <w:pPr>
        <w:widowControl w:val="0"/>
        <w:tabs>
          <w:tab w:val="clear" w:pos="567"/>
        </w:tabs>
        <w:spacing w:line="240" w:lineRule="auto"/>
        <w:rPr>
          <w:color w:val="000000"/>
          <w:szCs w:val="22"/>
        </w:rPr>
      </w:pPr>
    </w:p>
    <w:p w14:paraId="3D3945DD" w14:textId="77777777" w:rsidR="005117C7" w:rsidRPr="00CD729C" w:rsidRDefault="005117C7" w:rsidP="009B4BB6">
      <w:pPr>
        <w:keepNext/>
        <w:widowControl w:val="0"/>
        <w:tabs>
          <w:tab w:val="clear" w:pos="567"/>
        </w:tabs>
        <w:spacing w:line="240" w:lineRule="auto"/>
        <w:ind w:left="567" w:hanging="567"/>
        <w:rPr>
          <w:b/>
          <w:color w:val="000000"/>
          <w:szCs w:val="22"/>
        </w:rPr>
      </w:pPr>
      <w:r w:rsidRPr="00CD729C">
        <w:rPr>
          <w:b/>
          <w:color w:val="000000"/>
          <w:szCs w:val="22"/>
        </w:rPr>
        <w:lastRenderedPageBreak/>
        <w:t>5.</w:t>
      </w:r>
      <w:r w:rsidRPr="00CD729C">
        <w:rPr>
          <w:b/>
          <w:color w:val="000000"/>
          <w:szCs w:val="22"/>
        </w:rPr>
        <w:tab/>
        <w:t>FARMAKOLOĢISKĀS ĪPAŠĪBAS</w:t>
      </w:r>
    </w:p>
    <w:p w14:paraId="3D3945DE"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5DF"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5.1</w:t>
      </w:r>
      <w:r w:rsidR="00FD1CF2" w:rsidRPr="00CD729C">
        <w:rPr>
          <w:b/>
          <w:color w:val="000000"/>
          <w:szCs w:val="22"/>
        </w:rPr>
        <w:t>.</w:t>
      </w:r>
      <w:r w:rsidRPr="00CD729C">
        <w:rPr>
          <w:b/>
          <w:color w:val="000000"/>
          <w:szCs w:val="22"/>
        </w:rPr>
        <w:tab/>
        <w:t>Farmakodinamiskās īpašības</w:t>
      </w:r>
    </w:p>
    <w:p w14:paraId="3D3945E0" w14:textId="77777777" w:rsidR="005117C7" w:rsidRPr="00CD729C" w:rsidRDefault="005117C7" w:rsidP="009B4BB6">
      <w:pPr>
        <w:keepNext/>
        <w:widowControl w:val="0"/>
        <w:spacing w:line="240" w:lineRule="auto"/>
        <w:ind w:left="567" w:hanging="567"/>
        <w:rPr>
          <w:color w:val="000000"/>
          <w:szCs w:val="22"/>
        </w:rPr>
      </w:pPr>
    </w:p>
    <w:p w14:paraId="3D3945E1" w14:textId="77777777" w:rsidR="005117C7" w:rsidRPr="00CD729C" w:rsidRDefault="005117C7" w:rsidP="009B4BB6">
      <w:pPr>
        <w:keepNext/>
        <w:widowControl w:val="0"/>
        <w:tabs>
          <w:tab w:val="clear" w:pos="567"/>
        </w:tabs>
        <w:spacing w:line="240" w:lineRule="auto"/>
        <w:rPr>
          <w:color w:val="000000"/>
          <w:szCs w:val="22"/>
        </w:rPr>
      </w:pPr>
      <w:r w:rsidRPr="00CD729C">
        <w:rPr>
          <w:color w:val="000000"/>
          <w:szCs w:val="22"/>
        </w:rPr>
        <w:t xml:space="preserve">Farmakoterapeitiskā grupa: </w:t>
      </w:r>
      <w:r w:rsidR="00084A98" w:rsidRPr="00CD729C">
        <w:rPr>
          <w:color w:val="000000"/>
          <w:szCs w:val="22"/>
        </w:rPr>
        <w:t>p</w:t>
      </w:r>
      <w:r w:rsidRPr="00CD729C">
        <w:rPr>
          <w:color w:val="000000"/>
          <w:szCs w:val="22"/>
        </w:rPr>
        <w:t>roteīnu-tirozīnkināzes inhibitors</w:t>
      </w:r>
      <w:r w:rsidR="00DF40E1" w:rsidRPr="00CD729C">
        <w:rPr>
          <w:color w:val="000000"/>
          <w:szCs w:val="22"/>
        </w:rPr>
        <w:t>,</w:t>
      </w:r>
      <w:r w:rsidRPr="00CD729C">
        <w:rPr>
          <w:color w:val="000000"/>
          <w:szCs w:val="22"/>
        </w:rPr>
        <w:t xml:space="preserve"> ATĶ kods: </w:t>
      </w:r>
      <w:r w:rsidR="00B35B9C" w:rsidRPr="00CD729C">
        <w:rPr>
          <w:color w:val="000000"/>
          <w:szCs w:val="22"/>
        </w:rPr>
        <w:t>L01XE01</w:t>
      </w:r>
    </w:p>
    <w:p w14:paraId="3D3945E2" w14:textId="77777777" w:rsidR="00651206" w:rsidRPr="00CD729C" w:rsidRDefault="00651206" w:rsidP="009B4BB6">
      <w:pPr>
        <w:keepNext/>
        <w:widowControl w:val="0"/>
        <w:tabs>
          <w:tab w:val="clear" w:pos="567"/>
        </w:tabs>
        <w:spacing w:line="240" w:lineRule="auto"/>
        <w:rPr>
          <w:color w:val="000000"/>
          <w:szCs w:val="22"/>
        </w:rPr>
      </w:pPr>
    </w:p>
    <w:p w14:paraId="3D3945E3" w14:textId="77777777" w:rsidR="00651206" w:rsidRPr="00CD729C" w:rsidRDefault="00651206" w:rsidP="009B4BB6">
      <w:pPr>
        <w:keepNext/>
        <w:widowControl w:val="0"/>
        <w:tabs>
          <w:tab w:val="clear" w:pos="567"/>
        </w:tabs>
        <w:spacing w:line="240" w:lineRule="auto"/>
        <w:rPr>
          <w:color w:val="000000"/>
          <w:szCs w:val="22"/>
          <w:u w:val="single"/>
        </w:rPr>
      </w:pPr>
      <w:r w:rsidRPr="00CD729C">
        <w:rPr>
          <w:color w:val="000000"/>
          <w:szCs w:val="22"/>
          <w:u w:val="single"/>
        </w:rPr>
        <w:t>Darbības mehānisms</w:t>
      </w:r>
    </w:p>
    <w:p w14:paraId="3D3945E4" w14:textId="77777777" w:rsidR="00651206" w:rsidRPr="00CD729C" w:rsidRDefault="00651206" w:rsidP="009B4BB6">
      <w:pPr>
        <w:widowControl w:val="0"/>
        <w:tabs>
          <w:tab w:val="clear" w:pos="567"/>
        </w:tabs>
        <w:spacing w:line="240" w:lineRule="auto"/>
        <w:rPr>
          <w:color w:val="000000"/>
          <w:szCs w:val="22"/>
        </w:rPr>
      </w:pPr>
      <w:r w:rsidRPr="00CD729C">
        <w:rPr>
          <w:color w:val="000000"/>
          <w:szCs w:val="22"/>
        </w:rPr>
        <w:t>Imatinibs ir mazmolekulārs proteīnu-tirozīnkināzes inhibitors, kas spēcīgi inhibē Bcr-Abl tirozīnkināzi (TK), kā arī vairākus TK receptorus: Kit, cilmes šūnu faktora (CŠF) receptoru, ko kodē c-Kit proto-onkogēns, diskoidīna domēna receptorus (DDR1 un DDR2), koloniju stimulējošā faktora receptoru (CSF-1R) un trombocītu augšanas faktora alfa un beta receptorus (PDGFR-alfa un PDGFR-beta). Imatinibs var arī inhibēt procesus šūnā, ko mediē šo receptoru kināžu aktivācija.</w:t>
      </w:r>
    </w:p>
    <w:p w14:paraId="3D3945E5" w14:textId="77777777" w:rsidR="00651206" w:rsidRPr="00CD729C" w:rsidRDefault="00651206" w:rsidP="009B4BB6">
      <w:pPr>
        <w:widowControl w:val="0"/>
        <w:tabs>
          <w:tab w:val="clear" w:pos="567"/>
        </w:tabs>
        <w:spacing w:line="240" w:lineRule="auto"/>
        <w:rPr>
          <w:color w:val="000000"/>
          <w:szCs w:val="22"/>
        </w:rPr>
      </w:pPr>
    </w:p>
    <w:p w14:paraId="3D3945E6" w14:textId="77777777" w:rsidR="005117C7" w:rsidRPr="00CD729C" w:rsidRDefault="00651206" w:rsidP="009B4BB6">
      <w:pPr>
        <w:keepNext/>
        <w:widowControl w:val="0"/>
        <w:tabs>
          <w:tab w:val="clear" w:pos="567"/>
        </w:tabs>
        <w:spacing w:line="240" w:lineRule="auto"/>
        <w:rPr>
          <w:color w:val="000000"/>
          <w:szCs w:val="22"/>
          <w:u w:val="single"/>
        </w:rPr>
      </w:pPr>
      <w:r w:rsidRPr="00CD729C">
        <w:rPr>
          <w:color w:val="000000"/>
          <w:szCs w:val="22"/>
          <w:u w:val="single"/>
        </w:rPr>
        <w:t>Farmakodinamiskā iedarbība</w:t>
      </w:r>
    </w:p>
    <w:p w14:paraId="3D3945E7"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 xml:space="preserve">Imatinibs ir olbaltumvielu – tirozīna kināzes inhibitors, kas </w:t>
      </w:r>
      <w:r w:rsidRPr="00CD729C">
        <w:rPr>
          <w:i/>
          <w:color w:val="000000"/>
          <w:szCs w:val="22"/>
        </w:rPr>
        <w:t>in vitro</w:t>
      </w:r>
      <w:r w:rsidRPr="00CD729C">
        <w:rPr>
          <w:color w:val="000000"/>
          <w:szCs w:val="22"/>
        </w:rPr>
        <w:t>, šūnās</w:t>
      </w:r>
      <w:r w:rsidRPr="00CD729C">
        <w:rPr>
          <w:i/>
          <w:color w:val="000000"/>
          <w:szCs w:val="22"/>
        </w:rPr>
        <w:t xml:space="preserve"> </w:t>
      </w:r>
      <w:r w:rsidRPr="00CD729C">
        <w:rPr>
          <w:color w:val="000000"/>
          <w:szCs w:val="22"/>
        </w:rPr>
        <w:t>un</w:t>
      </w:r>
      <w:r w:rsidRPr="00CD729C">
        <w:rPr>
          <w:i/>
          <w:color w:val="000000"/>
          <w:szCs w:val="22"/>
        </w:rPr>
        <w:t xml:space="preserve"> in vivo</w:t>
      </w:r>
      <w:r w:rsidRPr="00CD729C">
        <w:rPr>
          <w:color w:val="000000"/>
          <w:szCs w:val="22"/>
        </w:rPr>
        <w:t xml:space="preserve"> spēcīgi inhibē Bcr-Abl tirozīna kināzi. Viela selektīvi inhibē proliferāciju un ierosina apoptozi Bcr-Abl pozitīvās šūnās, kā arī svaigās leikēmiskās šūnās, kas ņemtas no Filadelfijas hromosom</w:t>
      </w:r>
      <w:r w:rsidR="00F147D5" w:rsidRPr="00CD729C">
        <w:rPr>
          <w:color w:val="000000"/>
          <w:szCs w:val="22"/>
        </w:rPr>
        <w:t>as</w:t>
      </w:r>
      <w:r w:rsidRPr="00CD729C">
        <w:rPr>
          <w:color w:val="000000"/>
          <w:szCs w:val="22"/>
        </w:rPr>
        <w:t xml:space="preserve"> pozitīviem CML, kā arī akūtas limfoblastiskas leik</w:t>
      </w:r>
      <w:r w:rsidR="00A10624" w:rsidRPr="00CD729C">
        <w:rPr>
          <w:color w:val="000000"/>
          <w:szCs w:val="22"/>
        </w:rPr>
        <w:t>ozes</w:t>
      </w:r>
      <w:r w:rsidRPr="00CD729C">
        <w:rPr>
          <w:color w:val="000000"/>
          <w:szCs w:val="22"/>
        </w:rPr>
        <w:t xml:space="preserve"> (ALL) slimniekiem.</w:t>
      </w:r>
    </w:p>
    <w:p w14:paraId="3D3945E8" w14:textId="77777777" w:rsidR="005117C7" w:rsidRPr="00CD729C" w:rsidRDefault="005117C7" w:rsidP="009B4BB6">
      <w:pPr>
        <w:widowControl w:val="0"/>
        <w:tabs>
          <w:tab w:val="clear" w:pos="567"/>
        </w:tabs>
        <w:spacing w:line="240" w:lineRule="auto"/>
        <w:rPr>
          <w:color w:val="000000"/>
          <w:szCs w:val="22"/>
        </w:rPr>
      </w:pPr>
    </w:p>
    <w:p w14:paraId="3D3945E9" w14:textId="77777777" w:rsidR="005117C7" w:rsidRPr="00CD729C" w:rsidRDefault="005117C7" w:rsidP="009B4BB6">
      <w:pPr>
        <w:widowControl w:val="0"/>
        <w:tabs>
          <w:tab w:val="clear" w:pos="567"/>
        </w:tabs>
        <w:spacing w:line="240" w:lineRule="auto"/>
        <w:rPr>
          <w:color w:val="000000"/>
          <w:szCs w:val="22"/>
        </w:rPr>
      </w:pPr>
      <w:r w:rsidRPr="00CD729C">
        <w:rPr>
          <w:i/>
          <w:color w:val="000000"/>
          <w:szCs w:val="22"/>
        </w:rPr>
        <w:t>In vivo</w:t>
      </w:r>
      <w:r w:rsidRPr="00CD729C">
        <w:rPr>
          <w:color w:val="000000"/>
          <w:szCs w:val="22"/>
        </w:rPr>
        <w:t xml:space="preserve"> izmantojot Bcr-Abl pozitīvas audzēja šūnas dzīvnieku modeļos,</w:t>
      </w:r>
      <w:r w:rsidRPr="00CD729C">
        <w:rPr>
          <w:i/>
          <w:color w:val="000000"/>
          <w:szCs w:val="22"/>
        </w:rPr>
        <w:t xml:space="preserve"> </w:t>
      </w:r>
      <w:r w:rsidRPr="00CD729C">
        <w:rPr>
          <w:color w:val="000000"/>
          <w:szCs w:val="22"/>
        </w:rPr>
        <w:t>savienojumam kā atsevišķai vielai ir pretaudzēju aktivitāte.</w:t>
      </w:r>
    </w:p>
    <w:p w14:paraId="3D3945EA" w14:textId="77777777" w:rsidR="005117C7" w:rsidRPr="00CD729C" w:rsidRDefault="005117C7" w:rsidP="009B4BB6">
      <w:pPr>
        <w:widowControl w:val="0"/>
        <w:tabs>
          <w:tab w:val="clear" w:pos="567"/>
        </w:tabs>
        <w:spacing w:line="240" w:lineRule="auto"/>
        <w:rPr>
          <w:color w:val="000000"/>
          <w:szCs w:val="22"/>
        </w:rPr>
      </w:pPr>
    </w:p>
    <w:p w14:paraId="3D3945EB" w14:textId="77777777" w:rsidR="005117C7" w:rsidRPr="00CD729C" w:rsidRDefault="005117C7" w:rsidP="009B4BB6">
      <w:pPr>
        <w:widowControl w:val="0"/>
        <w:spacing w:line="240" w:lineRule="auto"/>
        <w:rPr>
          <w:color w:val="000000"/>
          <w:szCs w:val="22"/>
        </w:rPr>
      </w:pPr>
      <w:r w:rsidRPr="00CD729C">
        <w:rPr>
          <w:color w:val="000000"/>
          <w:szCs w:val="22"/>
        </w:rPr>
        <w:t>Imatinibs inhibē arī tirozīna kināzes receptorus augšanas faktora atvasinātajās trombocītu (</w:t>
      </w:r>
      <w:r w:rsidRPr="00CD729C">
        <w:rPr>
          <w:i/>
          <w:color w:val="000000"/>
          <w:szCs w:val="22"/>
        </w:rPr>
        <w:t xml:space="preserve">Platelet-derived Growth Factor </w:t>
      </w:r>
      <w:r w:rsidRPr="00CD729C">
        <w:rPr>
          <w:color w:val="000000"/>
          <w:szCs w:val="22"/>
        </w:rPr>
        <w:t>- PDGF), PDGF-R šūnās, stumbra šūnu faktorā (</w:t>
      </w:r>
      <w:r w:rsidRPr="00CD729C">
        <w:rPr>
          <w:i/>
          <w:color w:val="000000"/>
          <w:szCs w:val="22"/>
        </w:rPr>
        <w:t>Stem Cell Factor</w:t>
      </w:r>
      <w:r w:rsidRPr="00CD729C">
        <w:rPr>
          <w:color w:val="000000"/>
          <w:szCs w:val="22"/>
        </w:rPr>
        <w:t xml:space="preserve"> - SCF) un c-Kit šūnās. Viela inhibē arī šūnu procesus, kuros mediatori ir PDGF un SCF. </w:t>
      </w:r>
      <w:r w:rsidRPr="00CD729C">
        <w:rPr>
          <w:i/>
          <w:color w:val="000000"/>
          <w:szCs w:val="22"/>
        </w:rPr>
        <w:t>In vitro</w:t>
      </w:r>
      <w:r w:rsidRPr="00CD729C">
        <w:rPr>
          <w:color w:val="000000"/>
          <w:szCs w:val="22"/>
        </w:rPr>
        <w:t xml:space="preserve"> imatinibs inhibē gastrointestinālo</w:t>
      </w:r>
      <w:r w:rsidR="00084A98" w:rsidRPr="00CD729C">
        <w:rPr>
          <w:color w:val="000000"/>
          <w:szCs w:val="22"/>
        </w:rPr>
        <w:t xml:space="preserve"> stromas audzēju</w:t>
      </w:r>
      <w:r w:rsidRPr="00CD729C">
        <w:rPr>
          <w:color w:val="000000"/>
          <w:szCs w:val="22"/>
        </w:rPr>
        <w:t xml:space="preserve"> šūnu proliferāciju un inducē apoptozi, ko parāda </w:t>
      </w:r>
      <w:r w:rsidRPr="00CD729C">
        <w:rPr>
          <w:i/>
          <w:color w:val="000000"/>
          <w:szCs w:val="22"/>
        </w:rPr>
        <w:t>kit</w:t>
      </w:r>
      <w:r w:rsidRPr="00CD729C">
        <w:rPr>
          <w:color w:val="000000"/>
          <w:szCs w:val="22"/>
        </w:rPr>
        <w:t xml:space="preserve"> mutācijas aktivizēšanās.</w:t>
      </w:r>
      <w:r w:rsidR="00863031" w:rsidRPr="00CD729C">
        <w:rPr>
          <w:color w:val="000000"/>
          <w:szCs w:val="22"/>
        </w:rPr>
        <w:t xml:space="preserve"> </w:t>
      </w:r>
      <w:r w:rsidR="00CB4B2E" w:rsidRPr="00CD729C">
        <w:rPr>
          <w:color w:val="000000"/>
        </w:rPr>
        <w:t>MDS/MPD</w:t>
      </w:r>
      <w:r w:rsidR="002C1697" w:rsidRPr="00CD729C">
        <w:rPr>
          <w:color w:val="000000"/>
        </w:rPr>
        <w:t>, HES/CEL</w:t>
      </w:r>
      <w:r w:rsidR="00CB4B2E" w:rsidRPr="00CD729C">
        <w:rPr>
          <w:color w:val="000000"/>
        </w:rPr>
        <w:t xml:space="preserve"> un </w:t>
      </w:r>
      <w:r w:rsidR="00863031" w:rsidRPr="00CD729C">
        <w:rPr>
          <w:color w:val="000000"/>
          <w:szCs w:val="22"/>
        </w:rPr>
        <w:t>DFSP patoģenēzē konstatēta PDGF receptoru vai Abl proteīna tirozīnkināzes metaboliska aktivācija kā saplūšanas sekas ar dažādiem partnerolbaltumiem vai metaboliska PDGF producēšana. Imatinibs nomāc šūnu signālu pārvadi un proliferāciju, ko izraisa pārmainītā PDGFR un Abl kināzes aktivitāte.</w:t>
      </w:r>
    </w:p>
    <w:p w14:paraId="3D3945EC" w14:textId="77777777" w:rsidR="005117C7" w:rsidRPr="00CD729C" w:rsidRDefault="005117C7" w:rsidP="009B4BB6">
      <w:pPr>
        <w:widowControl w:val="0"/>
        <w:tabs>
          <w:tab w:val="clear" w:pos="567"/>
        </w:tabs>
        <w:spacing w:line="240" w:lineRule="auto"/>
        <w:rPr>
          <w:color w:val="000000"/>
          <w:szCs w:val="22"/>
        </w:rPr>
      </w:pPr>
    </w:p>
    <w:p w14:paraId="3D3945ED" w14:textId="77777777" w:rsidR="005117C7" w:rsidRPr="00CD729C" w:rsidRDefault="005117C7" w:rsidP="009B4BB6">
      <w:pPr>
        <w:keepNext/>
        <w:widowControl w:val="0"/>
        <w:tabs>
          <w:tab w:val="clear" w:pos="567"/>
        </w:tabs>
        <w:spacing w:line="240" w:lineRule="auto"/>
        <w:rPr>
          <w:color w:val="000000"/>
          <w:szCs w:val="22"/>
          <w:u w:val="single"/>
        </w:rPr>
      </w:pPr>
      <w:r w:rsidRPr="00CD729C">
        <w:rPr>
          <w:color w:val="000000"/>
          <w:szCs w:val="22"/>
          <w:u w:val="single"/>
        </w:rPr>
        <w:t>Hroniskas mieloleik</w:t>
      </w:r>
      <w:r w:rsidR="00A10624" w:rsidRPr="00CD729C">
        <w:rPr>
          <w:color w:val="000000"/>
          <w:szCs w:val="22"/>
          <w:u w:val="single"/>
        </w:rPr>
        <w:t>ozes</w:t>
      </w:r>
      <w:r w:rsidRPr="00CD729C">
        <w:rPr>
          <w:color w:val="000000"/>
          <w:szCs w:val="22"/>
          <w:u w:val="single"/>
        </w:rPr>
        <w:t xml:space="preserve"> klīniskie pētījumi</w:t>
      </w:r>
    </w:p>
    <w:p w14:paraId="3D3945EE"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Glivec efektivitāti pamato kopējā hematoloģiskās un citoģenētiskās atbildes reakcijas pakāpe</w:t>
      </w:r>
      <w:r w:rsidR="00156ADB" w:rsidRPr="00CD729C">
        <w:rPr>
          <w:color w:val="000000"/>
          <w:szCs w:val="22"/>
        </w:rPr>
        <w:t xml:space="preserve"> un dzīvildze bez progresēšanas. Nav k</w:t>
      </w:r>
      <w:r w:rsidRPr="00CD729C">
        <w:rPr>
          <w:color w:val="000000"/>
          <w:szCs w:val="22"/>
        </w:rPr>
        <w:t>ontrolēt</w:t>
      </w:r>
      <w:r w:rsidR="00156ADB" w:rsidRPr="00CD729C">
        <w:rPr>
          <w:color w:val="000000"/>
          <w:szCs w:val="22"/>
        </w:rPr>
        <w:t>u</w:t>
      </w:r>
      <w:r w:rsidRPr="00CD729C">
        <w:rPr>
          <w:color w:val="000000"/>
          <w:szCs w:val="22"/>
        </w:rPr>
        <w:t xml:space="preserve"> klīnisk</w:t>
      </w:r>
      <w:r w:rsidR="00156ADB" w:rsidRPr="00CD729C">
        <w:rPr>
          <w:color w:val="000000"/>
          <w:szCs w:val="22"/>
        </w:rPr>
        <w:t>u</w:t>
      </w:r>
      <w:r w:rsidRPr="00CD729C">
        <w:rPr>
          <w:color w:val="000000"/>
          <w:szCs w:val="22"/>
        </w:rPr>
        <w:t xml:space="preserve"> pētījum</w:t>
      </w:r>
      <w:r w:rsidR="00156ADB" w:rsidRPr="00CD729C">
        <w:rPr>
          <w:color w:val="000000"/>
          <w:szCs w:val="22"/>
        </w:rPr>
        <w:t>u</w:t>
      </w:r>
      <w:r w:rsidRPr="00CD729C">
        <w:rPr>
          <w:color w:val="000000"/>
          <w:szCs w:val="22"/>
        </w:rPr>
        <w:t xml:space="preserve">, kuru rezultāti pierāda klīnisko ieguvumu, </w:t>
      </w:r>
      <w:r w:rsidR="00156ADB" w:rsidRPr="00CD729C">
        <w:rPr>
          <w:color w:val="000000"/>
          <w:szCs w:val="22"/>
        </w:rPr>
        <w:t xml:space="preserve">piemēram, </w:t>
      </w:r>
      <w:r w:rsidRPr="00CD729C">
        <w:rPr>
          <w:color w:val="000000"/>
          <w:szCs w:val="22"/>
        </w:rPr>
        <w:t xml:space="preserve">ar slimību saistīto simptomu uzlabojumu vai dzīvildzes pieaugumu, </w:t>
      </w:r>
      <w:r w:rsidR="00156ADB" w:rsidRPr="00CD729C">
        <w:rPr>
          <w:color w:val="000000"/>
          <w:szCs w:val="22"/>
        </w:rPr>
        <w:t>izņemot nesen diagnosticētas CML hroniskā fāzē</w:t>
      </w:r>
      <w:r w:rsidRPr="00CD729C">
        <w:rPr>
          <w:color w:val="000000"/>
          <w:szCs w:val="22"/>
        </w:rPr>
        <w:t>.</w:t>
      </w:r>
    </w:p>
    <w:p w14:paraId="3D3945EF" w14:textId="77777777" w:rsidR="005117C7" w:rsidRPr="00CD729C" w:rsidRDefault="005117C7" w:rsidP="009B4BB6">
      <w:pPr>
        <w:pStyle w:val="EndnoteText"/>
        <w:widowControl w:val="0"/>
        <w:rPr>
          <w:color w:val="000000"/>
          <w:szCs w:val="22"/>
        </w:rPr>
      </w:pPr>
    </w:p>
    <w:p w14:paraId="3D3945F0" w14:textId="77777777" w:rsidR="005117C7" w:rsidRPr="00CD729C" w:rsidRDefault="005117C7" w:rsidP="009B4BB6">
      <w:pPr>
        <w:widowControl w:val="0"/>
        <w:spacing w:line="240" w:lineRule="auto"/>
        <w:rPr>
          <w:color w:val="000000"/>
          <w:szCs w:val="22"/>
        </w:rPr>
      </w:pPr>
      <w:r w:rsidRPr="00CD729C">
        <w:rPr>
          <w:color w:val="000000"/>
          <w:szCs w:val="22"/>
        </w:rPr>
        <w:t>Ar pacientiem, kam diagnosticēta Filadelfijas hromosom</w:t>
      </w:r>
      <w:r w:rsidR="00F147D5" w:rsidRPr="00CD729C">
        <w:rPr>
          <w:color w:val="000000"/>
          <w:szCs w:val="22"/>
        </w:rPr>
        <w:t>as</w:t>
      </w:r>
      <w:r w:rsidRPr="00CD729C">
        <w:rPr>
          <w:color w:val="000000"/>
          <w:szCs w:val="22"/>
        </w:rPr>
        <w:t xml:space="preserve"> pozitīva (Ph</w:t>
      </w:r>
      <w:r w:rsidRPr="00CD729C">
        <w:rPr>
          <w:color w:val="000000"/>
          <w:szCs w:val="22"/>
          <w:vertAlign w:val="superscript"/>
        </w:rPr>
        <w:t>+</w:t>
      </w:r>
      <w:r w:rsidRPr="00CD729C">
        <w:rPr>
          <w:color w:val="000000"/>
          <w:szCs w:val="22"/>
        </w:rPr>
        <w:t>) CML progresijas, blastu krīzes vai akcelerācijas fāzē, kā arī cita veida Ph</w:t>
      </w:r>
      <w:r w:rsidRPr="00CD729C">
        <w:rPr>
          <w:color w:val="000000"/>
          <w:szCs w:val="22"/>
          <w:vertAlign w:val="superscript"/>
        </w:rPr>
        <w:t xml:space="preserve">+ </w:t>
      </w:r>
      <w:r w:rsidRPr="00CD729C">
        <w:rPr>
          <w:color w:val="000000"/>
          <w:szCs w:val="22"/>
        </w:rPr>
        <w:t>leik</w:t>
      </w:r>
      <w:r w:rsidR="00A10624" w:rsidRPr="00CD729C">
        <w:rPr>
          <w:color w:val="000000"/>
          <w:szCs w:val="22"/>
        </w:rPr>
        <w:t>ozes</w:t>
      </w:r>
      <w:r w:rsidRPr="00CD729C">
        <w:rPr>
          <w:color w:val="000000"/>
          <w:szCs w:val="22"/>
        </w:rPr>
        <w:t xml:space="preserve"> vai CML hroniskā fāzē pēc neveiksmīgas iepriekšējas terapijas ar interferonu alfa (IFN), ir veikti trīs plaši, atklāti, daudzcentru starptautiski, randomizēti II fāzes pētījumi. Ar pacientiem, kam nesen diagnosticēta Ph</w:t>
      </w:r>
      <w:r w:rsidRPr="00CD729C">
        <w:rPr>
          <w:color w:val="000000"/>
          <w:szCs w:val="22"/>
          <w:vertAlign w:val="superscript"/>
        </w:rPr>
        <w:t>+</w:t>
      </w:r>
      <w:r w:rsidRPr="00CD729C">
        <w:rPr>
          <w:color w:val="000000"/>
          <w:szCs w:val="22"/>
        </w:rPr>
        <w:t xml:space="preserve"> CML, ir veikts viens, plašs, atklāts starptautisks daudzcentru </w:t>
      </w:r>
      <w:r w:rsidR="002E2492" w:rsidRPr="00CD729C">
        <w:rPr>
          <w:color w:val="000000"/>
          <w:szCs w:val="22"/>
        </w:rPr>
        <w:t xml:space="preserve">nejaušināts </w:t>
      </w:r>
      <w:r w:rsidRPr="00CD729C">
        <w:rPr>
          <w:color w:val="000000"/>
          <w:szCs w:val="22"/>
        </w:rPr>
        <w:t xml:space="preserve">III fāzes pētījums. Turklāt, divu I fāzes </w:t>
      </w:r>
      <w:r w:rsidR="000E6FF4" w:rsidRPr="00CD729C">
        <w:rPr>
          <w:color w:val="000000"/>
          <w:szCs w:val="22"/>
        </w:rPr>
        <w:t xml:space="preserve">un viena II fāzes </w:t>
      </w:r>
      <w:r w:rsidRPr="00CD729C">
        <w:rPr>
          <w:color w:val="000000"/>
          <w:szCs w:val="22"/>
        </w:rPr>
        <w:t>pētījumu laikā ir ārstēti bērni.</w:t>
      </w:r>
    </w:p>
    <w:p w14:paraId="3D3945F1" w14:textId="77777777" w:rsidR="005117C7" w:rsidRPr="00CD729C" w:rsidRDefault="005117C7" w:rsidP="009B4BB6">
      <w:pPr>
        <w:widowControl w:val="0"/>
        <w:spacing w:line="240" w:lineRule="auto"/>
        <w:rPr>
          <w:color w:val="000000"/>
          <w:szCs w:val="22"/>
        </w:rPr>
      </w:pPr>
    </w:p>
    <w:p w14:paraId="3D3945F2" w14:textId="77777777" w:rsidR="005117C7" w:rsidRPr="00CD729C" w:rsidRDefault="005117C7" w:rsidP="009B4BB6">
      <w:pPr>
        <w:widowControl w:val="0"/>
        <w:spacing w:line="240" w:lineRule="auto"/>
        <w:rPr>
          <w:color w:val="000000"/>
          <w:szCs w:val="22"/>
        </w:rPr>
      </w:pPr>
      <w:r w:rsidRPr="00CD729C">
        <w:rPr>
          <w:color w:val="000000"/>
          <w:szCs w:val="22"/>
        </w:rPr>
        <w:t xml:space="preserve">Visos klīniskajos pētījumos 38% līdz 40% pacientu vecums bija </w:t>
      </w:r>
      <w:r w:rsidRPr="00CD729C">
        <w:rPr>
          <w:color w:val="000000"/>
          <w:szCs w:val="22"/>
        </w:rPr>
        <w:sym w:font="Symbol" w:char="F0B3"/>
      </w:r>
      <w:r w:rsidRPr="00CD729C">
        <w:rPr>
          <w:color w:val="000000"/>
          <w:szCs w:val="22"/>
        </w:rPr>
        <w:t xml:space="preserve">60 gadi, bet 10% līdz 12% pacientu vecums bija </w:t>
      </w:r>
      <w:r w:rsidRPr="00CD729C">
        <w:rPr>
          <w:color w:val="000000"/>
          <w:szCs w:val="22"/>
        </w:rPr>
        <w:sym w:font="Symbol" w:char="F0B3"/>
      </w:r>
      <w:r w:rsidRPr="00CD729C">
        <w:rPr>
          <w:color w:val="000000"/>
          <w:szCs w:val="22"/>
        </w:rPr>
        <w:t>70 gadi.</w:t>
      </w:r>
    </w:p>
    <w:p w14:paraId="3D3945F3" w14:textId="77777777" w:rsidR="005117C7" w:rsidRPr="00CD729C" w:rsidRDefault="005117C7" w:rsidP="009B4BB6">
      <w:pPr>
        <w:widowControl w:val="0"/>
        <w:spacing w:line="240" w:lineRule="auto"/>
        <w:rPr>
          <w:color w:val="000000"/>
          <w:szCs w:val="22"/>
        </w:rPr>
      </w:pPr>
    </w:p>
    <w:p w14:paraId="3D3945F4" w14:textId="77777777" w:rsidR="005117C7" w:rsidRPr="00CD729C" w:rsidRDefault="005117C7" w:rsidP="009B4BB6">
      <w:pPr>
        <w:widowControl w:val="0"/>
        <w:spacing w:line="240" w:lineRule="auto"/>
        <w:rPr>
          <w:color w:val="000000"/>
          <w:szCs w:val="22"/>
        </w:rPr>
      </w:pPr>
      <w:r w:rsidRPr="00CD729C">
        <w:rPr>
          <w:i/>
          <w:color w:val="000000"/>
          <w:szCs w:val="22"/>
        </w:rPr>
        <w:t>Nesen diagnosticēta slimība hroniskā fāzē:</w:t>
      </w:r>
      <w:r w:rsidRPr="00CD729C">
        <w:rPr>
          <w:color w:val="000000"/>
          <w:szCs w:val="22"/>
        </w:rPr>
        <w:t xml:space="preserve"> </w:t>
      </w:r>
      <w:r w:rsidR="0081646F" w:rsidRPr="00CD729C">
        <w:rPr>
          <w:color w:val="000000"/>
          <w:szCs w:val="22"/>
        </w:rPr>
        <w:t>š</w:t>
      </w:r>
      <w:r w:rsidRPr="00CD729C">
        <w:rPr>
          <w:color w:val="000000"/>
          <w:szCs w:val="22"/>
        </w:rPr>
        <w:t xml:space="preserve">ajā III fāzes pētījumā </w:t>
      </w:r>
      <w:r w:rsidR="000E6FF4" w:rsidRPr="00CD729C">
        <w:rPr>
          <w:color w:val="000000"/>
          <w:szCs w:val="22"/>
        </w:rPr>
        <w:t xml:space="preserve">pieaugušajiem </w:t>
      </w:r>
      <w:r w:rsidRPr="00CD729C">
        <w:rPr>
          <w:color w:val="000000"/>
          <w:szCs w:val="22"/>
        </w:rPr>
        <w:t>salīdzināja terapijas veidu, izmantojot Glivec monoterapijas veidā un interferona alfa (IFN) kombināciju ar citarabīnu (Ara-C). Pacientiem, kam reakcija uz terapiju izpalika (pilnīga hematoloģiska atbildes reakcija (</w:t>
      </w:r>
      <w:r w:rsidRPr="00CD729C">
        <w:rPr>
          <w:i/>
          <w:color w:val="000000"/>
          <w:szCs w:val="22"/>
        </w:rPr>
        <w:t>Complete haematological response</w:t>
      </w:r>
      <w:r w:rsidRPr="00CD729C">
        <w:rPr>
          <w:color w:val="000000"/>
          <w:szCs w:val="22"/>
        </w:rPr>
        <w:t xml:space="preserve"> - CHR) izpaliek pēc 6 mēnešu ilgas terapijas, pieaug (</w:t>
      </w:r>
      <w:r w:rsidRPr="00CD729C">
        <w:rPr>
          <w:i/>
          <w:color w:val="000000"/>
          <w:szCs w:val="22"/>
        </w:rPr>
        <w:t>White Blood Cells</w:t>
      </w:r>
      <w:r w:rsidRPr="00CD729C">
        <w:rPr>
          <w:color w:val="000000"/>
          <w:szCs w:val="22"/>
        </w:rPr>
        <w:t xml:space="preserve"> – WBC), 24 mēnešu laikā nav novērota nozīmīga citoģenētiska atbildes reakcija – MCyR), reakcija uz terapiju tika zaudēta (zūd CHR vai MCyR) vai novēroja smagu izvēlētā terapijas veida nepanesamību, tika atļauts pāriet uz citu terapijas veidu. Pacienti, k</w:t>
      </w:r>
      <w:r w:rsidR="005F78CA" w:rsidRPr="00CD729C">
        <w:rPr>
          <w:color w:val="000000"/>
          <w:szCs w:val="22"/>
        </w:rPr>
        <w:t>urus</w:t>
      </w:r>
      <w:r w:rsidRPr="00CD729C">
        <w:rPr>
          <w:color w:val="000000"/>
          <w:szCs w:val="22"/>
        </w:rPr>
        <w:t xml:space="preserve"> ārstēja ar Glivec, saņēma 400 mg preparāta dienā. Pacienti, ko ārstēja ar IFN, subkutāni saņēma IFN mērķa devu – 5 MSV/m</w:t>
      </w:r>
      <w:r w:rsidRPr="00CD729C">
        <w:rPr>
          <w:color w:val="000000"/>
          <w:szCs w:val="22"/>
          <w:vertAlign w:val="superscript"/>
        </w:rPr>
        <w:t>2</w:t>
      </w:r>
      <w:r w:rsidRPr="00CD729C">
        <w:rPr>
          <w:color w:val="000000"/>
          <w:szCs w:val="22"/>
        </w:rPr>
        <w:t xml:space="preserve"> dienā, kombinācijā ar 20 mg/m</w:t>
      </w:r>
      <w:r w:rsidRPr="00CD729C">
        <w:rPr>
          <w:color w:val="000000"/>
          <w:szCs w:val="22"/>
          <w:vertAlign w:val="superscript"/>
        </w:rPr>
        <w:t>2</w:t>
      </w:r>
      <w:r w:rsidRPr="00CD729C">
        <w:rPr>
          <w:color w:val="000000"/>
          <w:szCs w:val="22"/>
        </w:rPr>
        <w:t xml:space="preserve"> dienā Ara-C (subkutāni, 10 dienas mēnesī).</w:t>
      </w:r>
    </w:p>
    <w:p w14:paraId="3D3945F5" w14:textId="77777777" w:rsidR="005117C7" w:rsidRPr="00CD729C" w:rsidRDefault="005117C7" w:rsidP="009B4BB6">
      <w:pPr>
        <w:widowControl w:val="0"/>
        <w:spacing w:line="240" w:lineRule="auto"/>
        <w:rPr>
          <w:color w:val="000000"/>
          <w:szCs w:val="22"/>
        </w:rPr>
      </w:pPr>
    </w:p>
    <w:p w14:paraId="3D3945F6" w14:textId="77777777" w:rsidR="00094AC1" w:rsidRPr="00CD729C" w:rsidRDefault="005117C7" w:rsidP="009B4BB6">
      <w:pPr>
        <w:widowControl w:val="0"/>
        <w:spacing w:line="240" w:lineRule="auto"/>
        <w:rPr>
          <w:color w:val="000000"/>
          <w:szCs w:val="22"/>
        </w:rPr>
      </w:pPr>
      <w:r w:rsidRPr="00CD729C">
        <w:rPr>
          <w:color w:val="000000"/>
          <w:szCs w:val="22"/>
        </w:rPr>
        <w:lastRenderedPageBreak/>
        <w:t xml:space="preserve">Pavisam randomizēja 1 106 pacientus, pa 553 katram ārstēšanas veidam. Sākotnējie slimnieku stāvokli raksturojošie parametri, salīdzinot abas terapijas grupas, bija labi balansēti. Vidējais vecums bija 51 gads (18–70 gadu intervālā), no tiem 21,9% pacientu </w:t>
      </w:r>
      <w:r w:rsidRPr="00CD729C">
        <w:rPr>
          <w:color w:val="000000"/>
          <w:szCs w:val="22"/>
        </w:rPr>
        <w:sym w:font="Symbol" w:char="F0B3"/>
      </w:r>
      <w:r w:rsidRPr="00CD729C">
        <w:rPr>
          <w:color w:val="000000"/>
          <w:szCs w:val="22"/>
        </w:rPr>
        <w:t xml:space="preserve">60 gadiem. No pacientu skaita 59% bija vīrieši un 41% sievietes; 89,9% - </w:t>
      </w:r>
      <w:r w:rsidR="002243CD" w:rsidRPr="00CD729C">
        <w:rPr>
          <w:color w:val="000000"/>
          <w:szCs w:val="22"/>
        </w:rPr>
        <w:t>baltās rases</w:t>
      </w:r>
      <w:r w:rsidRPr="00CD729C">
        <w:rPr>
          <w:color w:val="000000"/>
          <w:szCs w:val="22"/>
        </w:rPr>
        <w:t xml:space="preserve"> un 4,7% melnās rases pārstāvji. </w:t>
      </w:r>
      <w:r w:rsidR="00233BC3" w:rsidRPr="00CD729C">
        <w:rPr>
          <w:color w:val="000000"/>
          <w:szCs w:val="22"/>
        </w:rPr>
        <w:t xml:space="preserve">Septiņus </w:t>
      </w:r>
      <w:r w:rsidR="00451CE5" w:rsidRPr="00CD729C">
        <w:rPr>
          <w:color w:val="000000"/>
          <w:szCs w:val="22"/>
        </w:rPr>
        <w:t xml:space="preserve">gadus pēc pēdējā pacienta iekļaušanas vidējais pirmās rindas terapijas ilgums bija </w:t>
      </w:r>
      <w:r w:rsidR="00233BC3" w:rsidRPr="00CD729C">
        <w:rPr>
          <w:color w:val="000000"/>
          <w:szCs w:val="22"/>
        </w:rPr>
        <w:t>82</w:t>
      </w:r>
      <w:r w:rsidR="004163D0" w:rsidRPr="00CD729C">
        <w:rPr>
          <w:color w:val="000000"/>
          <w:szCs w:val="22"/>
        </w:rPr>
        <w:t xml:space="preserve"> </w:t>
      </w:r>
      <w:r w:rsidR="00451CE5" w:rsidRPr="00CD729C">
        <w:rPr>
          <w:color w:val="000000"/>
          <w:szCs w:val="22"/>
        </w:rPr>
        <w:t>un 8</w:t>
      </w:r>
      <w:r w:rsidR="00561785" w:rsidRPr="00CD729C">
        <w:rPr>
          <w:color w:val="000000"/>
          <w:szCs w:val="22"/>
        </w:rPr>
        <w:t> </w:t>
      </w:r>
      <w:r w:rsidR="00451CE5" w:rsidRPr="00CD729C">
        <w:rPr>
          <w:color w:val="000000"/>
          <w:szCs w:val="22"/>
        </w:rPr>
        <w:t xml:space="preserve">mēneši attiecīgi Glivec un IFN grupās. Vidējais otrās rindas terapijas ar Glivec ilgums bija </w:t>
      </w:r>
      <w:r w:rsidR="00233BC3" w:rsidRPr="00CD729C">
        <w:rPr>
          <w:color w:val="000000"/>
          <w:szCs w:val="22"/>
        </w:rPr>
        <w:t>64</w:t>
      </w:r>
      <w:r w:rsidR="00CC5724" w:rsidRPr="00CD729C">
        <w:rPr>
          <w:color w:val="000000"/>
          <w:szCs w:val="22"/>
        </w:rPr>
        <w:t> </w:t>
      </w:r>
      <w:r w:rsidR="00451CE5" w:rsidRPr="00CD729C">
        <w:rPr>
          <w:color w:val="000000"/>
          <w:szCs w:val="22"/>
        </w:rPr>
        <w:t>mēneši. Kopumā pacientiem, k</w:t>
      </w:r>
      <w:r w:rsidR="005F78CA" w:rsidRPr="00CD729C">
        <w:rPr>
          <w:color w:val="000000"/>
          <w:szCs w:val="22"/>
        </w:rPr>
        <w:t>uri</w:t>
      </w:r>
      <w:r w:rsidR="00451CE5" w:rsidRPr="00CD729C">
        <w:rPr>
          <w:color w:val="000000"/>
          <w:szCs w:val="22"/>
        </w:rPr>
        <w:t xml:space="preserve"> saņēma par pirmās rindas zālēm Glivec, vidējā lietotā dienas deva bija </w:t>
      </w:r>
      <w:r w:rsidR="00233BC3" w:rsidRPr="00CD729C">
        <w:rPr>
          <w:color w:val="000000"/>
          <w:szCs w:val="22"/>
        </w:rPr>
        <w:t>406 </w:t>
      </w:r>
      <w:r w:rsidR="00451CE5" w:rsidRPr="00CD729C">
        <w:rPr>
          <w:color w:val="000000"/>
          <w:szCs w:val="22"/>
        </w:rPr>
        <w:t>± </w:t>
      </w:r>
      <w:r w:rsidR="00233BC3" w:rsidRPr="00CD729C">
        <w:rPr>
          <w:color w:val="000000"/>
          <w:szCs w:val="22"/>
        </w:rPr>
        <w:t>76 </w:t>
      </w:r>
      <w:r w:rsidR="00451CE5" w:rsidRPr="00CD729C">
        <w:rPr>
          <w:color w:val="000000"/>
          <w:szCs w:val="22"/>
        </w:rPr>
        <w:t xml:space="preserve">mg. </w:t>
      </w:r>
      <w:r w:rsidRPr="00CD729C">
        <w:rPr>
          <w:color w:val="000000"/>
          <w:szCs w:val="22"/>
        </w:rPr>
        <w:t>Primārais preparāta efektivitātes pētījuma beigu punkts ir dzīvildze bez slimības progresijas. Slimības progresija ir definēta kā viena no sekojošām parādībām: progresija līdz akcelerācijas fāzei vai blastu krīzei, nāve, CHR vai MCyR zudums vai, pacientiem, kuri nesasniedz CHR, WBC daudzuma pieaugums, neraugoties uz piemērotiem terapeitiskiem pasākumiem. Ievērojama citoģenētiska atbildes reakcija, hematoloģiska atbildes reakcija, molekulārā atbildes reakcija (minimālās atlieku slimības novērtēšana), laika posms līdz slimības akcelerācijas fāzei vai blastu krīzei un dzīvildze ir galvenie sekundārie preparāta efektivitātes pētījuma beigu punkti. Dati par reakciju ir norādīti tabulā Nr. </w:t>
      </w:r>
      <w:r w:rsidR="00E63C12" w:rsidRPr="00CD729C">
        <w:rPr>
          <w:color w:val="000000"/>
          <w:szCs w:val="22"/>
        </w:rPr>
        <w:t>2</w:t>
      </w:r>
      <w:r w:rsidRPr="00CD729C">
        <w:rPr>
          <w:color w:val="000000"/>
          <w:szCs w:val="22"/>
        </w:rPr>
        <w:t>.</w:t>
      </w:r>
    </w:p>
    <w:p w14:paraId="3D3945F7" w14:textId="77777777" w:rsidR="00094AC1" w:rsidRPr="00CD729C" w:rsidRDefault="00094AC1" w:rsidP="009B4BB6">
      <w:pPr>
        <w:widowControl w:val="0"/>
        <w:spacing w:line="240" w:lineRule="auto"/>
        <w:rPr>
          <w:color w:val="000000"/>
          <w:szCs w:val="22"/>
        </w:rPr>
      </w:pPr>
    </w:p>
    <w:p w14:paraId="3D3945F8" w14:textId="77777777" w:rsidR="00094AC1" w:rsidRPr="00CD729C" w:rsidRDefault="00094AC1" w:rsidP="009B4BB6">
      <w:pPr>
        <w:keepNext/>
        <w:keepLines/>
        <w:widowControl w:val="0"/>
        <w:tabs>
          <w:tab w:val="left" w:pos="1701"/>
        </w:tabs>
        <w:spacing w:line="240" w:lineRule="auto"/>
        <w:rPr>
          <w:b/>
          <w:color w:val="000000"/>
          <w:szCs w:val="22"/>
        </w:rPr>
      </w:pPr>
      <w:r w:rsidRPr="00CD729C">
        <w:rPr>
          <w:b/>
          <w:color w:val="000000"/>
          <w:szCs w:val="22"/>
        </w:rPr>
        <w:t>Tabula Nr. </w:t>
      </w:r>
      <w:r w:rsidR="00E63C12" w:rsidRPr="00CD729C">
        <w:rPr>
          <w:b/>
          <w:color w:val="000000"/>
          <w:szCs w:val="22"/>
        </w:rPr>
        <w:t>2</w:t>
      </w:r>
      <w:r w:rsidRPr="00CD729C">
        <w:rPr>
          <w:b/>
          <w:color w:val="000000"/>
          <w:szCs w:val="22"/>
        </w:rPr>
        <w:tab/>
        <w:t>Reakcija nesen diagnosticētas CML pētījuma laikā (</w:t>
      </w:r>
      <w:r w:rsidR="00233BC3" w:rsidRPr="00CD729C">
        <w:rPr>
          <w:b/>
          <w:color w:val="000000"/>
          <w:szCs w:val="22"/>
        </w:rPr>
        <w:t>84 </w:t>
      </w:r>
      <w:r w:rsidRPr="00CD729C">
        <w:rPr>
          <w:b/>
          <w:color w:val="000000"/>
          <w:szCs w:val="22"/>
        </w:rPr>
        <w:t>mēnešu dati)</w:t>
      </w:r>
    </w:p>
    <w:p w14:paraId="3D3945F9" w14:textId="77777777" w:rsidR="00094AC1" w:rsidRPr="00CD729C" w:rsidRDefault="00094AC1" w:rsidP="009B4BB6">
      <w:pPr>
        <w:keepNext/>
        <w:keepLines/>
        <w:widowControl w:val="0"/>
        <w:spacing w:line="240" w:lineRule="auto"/>
        <w:rPr>
          <w:color w:val="000000"/>
          <w:szCs w:val="22"/>
        </w:rPr>
      </w:pP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1"/>
        <w:gridCol w:w="2551"/>
        <w:gridCol w:w="2373"/>
      </w:tblGrid>
      <w:tr w:rsidR="00094AC1" w:rsidRPr="00CD729C" w14:paraId="3D394600" w14:textId="77777777" w:rsidTr="009B4BB6">
        <w:trPr>
          <w:cantSplit/>
        </w:trPr>
        <w:tc>
          <w:tcPr>
            <w:tcW w:w="4361" w:type="dxa"/>
            <w:tcBorders>
              <w:top w:val="single" w:sz="4" w:space="0" w:color="auto"/>
              <w:left w:val="single" w:sz="4" w:space="0" w:color="auto"/>
              <w:bottom w:val="single" w:sz="4" w:space="0" w:color="auto"/>
              <w:right w:val="nil"/>
            </w:tcBorders>
          </w:tcPr>
          <w:p w14:paraId="3D3945FA" w14:textId="77777777" w:rsidR="00094AC1" w:rsidRPr="00CD729C" w:rsidRDefault="00094AC1" w:rsidP="009B4BB6">
            <w:pPr>
              <w:keepNext/>
              <w:keepLines/>
              <w:widowControl w:val="0"/>
              <w:spacing w:line="240" w:lineRule="auto"/>
              <w:rPr>
                <w:color w:val="000000"/>
                <w:szCs w:val="22"/>
              </w:rPr>
            </w:pPr>
          </w:p>
          <w:p w14:paraId="3D3945FB" w14:textId="77777777" w:rsidR="00094AC1" w:rsidRPr="00CD729C" w:rsidRDefault="00094AC1" w:rsidP="009B4BB6">
            <w:pPr>
              <w:keepNext/>
              <w:keepLines/>
              <w:widowControl w:val="0"/>
              <w:spacing w:line="240" w:lineRule="auto"/>
              <w:rPr>
                <w:b/>
                <w:color w:val="000000"/>
                <w:szCs w:val="22"/>
              </w:rPr>
            </w:pPr>
            <w:r w:rsidRPr="00CD729C">
              <w:rPr>
                <w:b/>
                <w:color w:val="000000"/>
                <w:szCs w:val="22"/>
              </w:rPr>
              <w:t>Labākā atbildes reakcija</w:t>
            </w:r>
          </w:p>
        </w:tc>
        <w:tc>
          <w:tcPr>
            <w:tcW w:w="2551" w:type="dxa"/>
            <w:tcBorders>
              <w:top w:val="single" w:sz="4" w:space="0" w:color="auto"/>
              <w:left w:val="nil"/>
              <w:bottom w:val="single" w:sz="4" w:space="0" w:color="auto"/>
              <w:right w:val="nil"/>
            </w:tcBorders>
          </w:tcPr>
          <w:p w14:paraId="3D3945FC" w14:textId="77777777" w:rsidR="00094AC1" w:rsidRPr="00CD729C" w:rsidRDefault="00094AC1" w:rsidP="009B4BB6">
            <w:pPr>
              <w:keepNext/>
              <w:keepLines/>
              <w:widowControl w:val="0"/>
              <w:spacing w:line="240" w:lineRule="auto"/>
              <w:jc w:val="center"/>
              <w:rPr>
                <w:b/>
                <w:color w:val="000000"/>
                <w:szCs w:val="22"/>
              </w:rPr>
            </w:pPr>
            <w:r w:rsidRPr="00CD729C">
              <w:rPr>
                <w:b/>
                <w:color w:val="000000"/>
                <w:szCs w:val="22"/>
              </w:rPr>
              <w:t>Glivec</w:t>
            </w:r>
          </w:p>
          <w:p w14:paraId="3D3945FD" w14:textId="77777777" w:rsidR="00094AC1" w:rsidRPr="00CD729C" w:rsidRDefault="00094AC1" w:rsidP="009B4BB6">
            <w:pPr>
              <w:keepNext/>
              <w:keepLines/>
              <w:widowControl w:val="0"/>
              <w:spacing w:line="240" w:lineRule="auto"/>
              <w:jc w:val="center"/>
              <w:rPr>
                <w:color w:val="000000"/>
                <w:szCs w:val="22"/>
              </w:rPr>
            </w:pPr>
            <w:r w:rsidRPr="00CD729C">
              <w:rPr>
                <w:color w:val="000000"/>
                <w:szCs w:val="22"/>
              </w:rPr>
              <w:t>n=553</w:t>
            </w:r>
          </w:p>
        </w:tc>
        <w:tc>
          <w:tcPr>
            <w:tcW w:w="2373" w:type="dxa"/>
            <w:tcBorders>
              <w:top w:val="single" w:sz="4" w:space="0" w:color="auto"/>
              <w:left w:val="nil"/>
              <w:bottom w:val="single" w:sz="4" w:space="0" w:color="auto"/>
              <w:right w:val="single" w:sz="4" w:space="0" w:color="auto"/>
            </w:tcBorders>
          </w:tcPr>
          <w:p w14:paraId="3D3945FE" w14:textId="77777777" w:rsidR="00094AC1" w:rsidRPr="00CD729C" w:rsidRDefault="00094AC1" w:rsidP="009B4BB6">
            <w:pPr>
              <w:keepNext/>
              <w:keepLines/>
              <w:widowControl w:val="0"/>
              <w:spacing w:line="240" w:lineRule="auto"/>
              <w:jc w:val="center"/>
              <w:rPr>
                <w:b/>
                <w:color w:val="000000"/>
                <w:szCs w:val="22"/>
              </w:rPr>
            </w:pPr>
            <w:r w:rsidRPr="00CD729C">
              <w:rPr>
                <w:b/>
                <w:color w:val="000000"/>
                <w:szCs w:val="22"/>
              </w:rPr>
              <w:t>IFN + Ara-C</w:t>
            </w:r>
          </w:p>
          <w:p w14:paraId="3D3945FF" w14:textId="77777777" w:rsidR="00094AC1" w:rsidRPr="00CD729C" w:rsidRDefault="00094AC1" w:rsidP="009B4BB6">
            <w:pPr>
              <w:keepNext/>
              <w:keepLines/>
              <w:widowControl w:val="0"/>
              <w:spacing w:line="240" w:lineRule="auto"/>
              <w:jc w:val="center"/>
              <w:rPr>
                <w:color w:val="000000"/>
                <w:szCs w:val="22"/>
              </w:rPr>
            </w:pPr>
            <w:r w:rsidRPr="00CD729C">
              <w:rPr>
                <w:color w:val="000000"/>
                <w:szCs w:val="22"/>
              </w:rPr>
              <w:t>n=553</w:t>
            </w:r>
          </w:p>
        </w:tc>
      </w:tr>
      <w:tr w:rsidR="00094AC1" w:rsidRPr="00CD729C" w14:paraId="3D394604" w14:textId="77777777" w:rsidTr="009B4BB6">
        <w:trPr>
          <w:cantSplit/>
          <w:trHeight w:val="129"/>
        </w:trPr>
        <w:tc>
          <w:tcPr>
            <w:tcW w:w="4361" w:type="dxa"/>
            <w:tcBorders>
              <w:top w:val="nil"/>
              <w:left w:val="single" w:sz="4" w:space="0" w:color="auto"/>
              <w:bottom w:val="nil"/>
              <w:right w:val="nil"/>
            </w:tcBorders>
          </w:tcPr>
          <w:p w14:paraId="3D394601" w14:textId="77777777" w:rsidR="00094AC1" w:rsidRPr="00CD729C" w:rsidRDefault="00094AC1" w:rsidP="009B4BB6">
            <w:pPr>
              <w:keepNext/>
              <w:keepLines/>
              <w:widowControl w:val="0"/>
              <w:spacing w:line="240" w:lineRule="auto"/>
              <w:rPr>
                <w:b/>
                <w:color w:val="000000"/>
                <w:szCs w:val="22"/>
              </w:rPr>
            </w:pPr>
            <w:r w:rsidRPr="00CD729C">
              <w:rPr>
                <w:b/>
                <w:color w:val="000000"/>
                <w:szCs w:val="22"/>
              </w:rPr>
              <w:t>Hematoloģiskā atbildes reakcija</w:t>
            </w:r>
          </w:p>
        </w:tc>
        <w:tc>
          <w:tcPr>
            <w:tcW w:w="2551" w:type="dxa"/>
            <w:tcBorders>
              <w:top w:val="nil"/>
              <w:left w:val="nil"/>
              <w:bottom w:val="nil"/>
              <w:right w:val="nil"/>
            </w:tcBorders>
          </w:tcPr>
          <w:p w14:paraId="3D394602" w14:textId="77777777" w:rsidR="00094AC1" w:rsidRPr="00CD729C" w:rsidRDefault="00094AC1" w:rsidP="009B4BB6">
            <w:pPr>
              <w:keepNext/>
              <w:keepLines/>
              <w:widowControl w:val="0"/>
              <w:spacing w:line="240" w:lineRule="auto"/>
              <w:rPr>
                <w:color w:val="000000"/>
                <w:szCs w:val="22"/>
              </w:rPr>
            </w:pPr>
          </w:p>
        </w:tc>
        <w:tc>
          <w:tcPr>
            <w:tcW w:w="2373" w:type="dxa"/>
            <w:tcBorders>
              <w:top w:val="nil"/>
              <w:left w:val="nil"/>
              <w:bottom w:val="nil"/>
              <w:right w:val="single" w:sz="4" w:space="0" w:color="auto"/>
            </w:tcBorders>
          </w:tcPr>
          <w:p w14:paraId="3D394603" w14:textId="77777777" w:rsidR="00094AC1" w:rsidRPr="00CD729C" w:rsidRDefault="00094AC1" w:rsidP="009B4BB6">
            <w:pPr>
              <w:keepNext/>
              <w:keepLines/>
              <w:widowControl w:val="0"/>
              <w:spacing w:line="240" w:lineRule="auto"/>
              <w:rPr>
                <w:color w:val="000000"/>
                <w:szCs w:val="22"/>
              </w:rPr>
            </w:pPr>
          </w:p>
        </w:tc>
      </w:tr>
      <w:tr w:rsidR="00094AC1" w:rsidRPr="00CD729C" w14:paraId="3D394608" w14:textId="77777777" w:rsidTr="009B4BB6">
        <w:trPr>
          <w:cantSplit/>
          <w:trHeight w:val="129"/>
        </w:trPr>
        <w:tc>
          <w:tcPr>
            <w:tcW w:w="4361" w:type="dxa"/>
            <w:tcBorders>
              <w:top w:val="nil"/>
              <w:left w:val="single" w:sz="4" w:space="0" w:color="auto"/>
              <w:bottom w:val="nil"/>
              <w:right w:val="nil"/>
            </w:tcBorders>
          </w:tcPr>
          <w:p w14:paraId="3D394605" w14:textId="77777777" w:rsidR="00094AC1" w:rsidRPr="00CD729C" w:rsidRDefault="00094AC1" w:rsidP="009B4BB6">
            <w:pPr>
              <w:keepNext/>
              <w:keepLines/>
              <w:widowControl w:val="0"/>
              <w:spacing w:line="240" w:lineRule="auto"/>
              <w:rPr>
                <w:color w:val="000000"/>
                <w:szCs w:val="22"/>
              </w:rPr>
            </w:pPr>
            <w:r w:rsidRPr="00CD729C">
              <w:rPr>
                <w:color w:val="000000"/>
                <w:szCs w:val="22"/>
              </w:rPr>
              <w:t>CHR proporcija n (%)</w:t>
            </w:r>
          </w:p>
        </w:tc>
        <w:tc>
          <w:tcPr>
            <w:tcW w:w="2551" w:type="dxa"/>
            <w:tcBorders>
              <w:top w:val="nil"/>
              <w:left w:val="nil"/>
              <w:bottom w:val="nil"/>
              <w:right w:val="nil"/>
            </w:tcBorders>
          </w:tcPr>
          <w:p w14:paraId="3D394606" w14:textId="77777777" w:rsidR="00094AC1" w:rsidRPr="00CD729C" w:rsidRDefault="00094AC1" w:rsidP="009B4BB6">
            <w:pPr>
              <w:keepNext/>
              <w:keepLines/>
              <w:widowControl w:val="0"/>
              <w:spacing w:line="240" w:lineRule="auto"/>
              <w:jc w:val="center"/>
              <w:rPr>
                <w:color w:val="000000"/>
                <w:szCs w:val="22"/>
              </w:rPr>
            </w:pPr>
            <w:r w:rsidRPr="00CD729C">
              <w:rPr>
                <w:color w:val="000000"/>
                <w:szCs w:val="22"/>
              </w:rPr>
              <w:t>534 (96,6%)*</w:t>
            </w:r>
          </w:p>
        </w:tc>
        <w:tc>
          <w:tcPr>
            <w:tcW w:w="2373" w:type="dxa"/>
            <w:tcBorders>
              <w:top w:val="nil"/>
              <w:left w:val="nil"/>
              <w:bottom w:val="nil"/>
              <w:right w:val="single" w:sz="4" w:space="0" w:color="auto"/>
            </w:tcBorders>
          </w:tcPr>
          <w:p w14:paraId="3D394607" w14:textId="77777777" w:rsidR="00094AC1" w:rsidRPr="00CD729C" w:rsidRDefault="00094AC1" w:rsidP="009B4BB6">
            <w:pPr>
              <w:keepNext/>
              <w:keepLines/>
              <w:widowControl w:val="0"/>
              <w:spacing w:line="240" w:lineRule="auto"/>
              <w:jc w:val="center"/>
              <w:rPr>
                <w:color w:val="000000"/>
                <w:szCs w:val="22"/>
              </w:rPr>
            </w:pPr>
            <w:r w:rsidRPr="00CD729C">
              <w:rPr>
                <w:color w:val="000000"/>
                <w:szCs w:val="22"/>
              </w:rPr>
              <w:t>313 (56,6%)*</w:t>
            </w:r>
          </w:p>
        </w:tc>
      </w:tr>
      <w:tr w:rsidR="00094AC1" w:rsidRPr="00CD729C" w14:paraId="3D39460C" w14:textId="77777777" w:rsidTr="009B4BB6">
        <w:trPr>
          <w:cantSplit/>
        </w:trPr>
        <w:tc>
          <w:tcPr>
            <w:tcW w:w="4361" w:type="dxa"/>
            <w:tcBorders>
              <w:top w:val="nil"/>
              <w:left w:val="single" w:sz="4" w:space="0" w:color="auto"/>
              <w:bottom w:val="nil"/>
              <w:right w:val="nil"/>
            </w:tcBorders>
          </w:tcPr>
          <w:p w14:paraId="3D394609" w14:textId="77777777" w:rsidR="00094AC1" w:rsidRPr="00CD729C" w:rsidRDefault="00094AC1" w:rsidP="009B4BB6">
            <w:pPr>
              <w:pStyle w:val="EndnoteText"/>
              <w:keepNext/>
              <w:keepLines/>
              <w:widowControl w:val="0"/>
              <w:tabs>
                <w:tab w:val="clear" w:pos="567"/>
                <w:tab w:val="left" w:pos="284"/>
              </w:tabs>
              <w:rPr>
                <w:color w:val="000000"/>
                <w:szCs w:val="22"/>
              </w:rPr>
            </w:pPr>
            <w:r w:rsidRPr="00CD729C">
              <w:rPr>
                <w:color w:val="000000"/>
                <w:szCs w:val="22"/>
              </w:rPr>
              <w:tab/>
              <w:t>[95% TI]</w:t>
            </w:r>
          </w:p>
        </w:tc>
        <w:tc>
          <w:tcPr>
            <w:tcW w:w="2551" w:type="dxa"/>
            <w:tcBorders>
              <w:top w:val="nil"/>
              <w:left w:val="nil"/>
              <w:bottom w:val="nil"/>
              <w:right w:val="nil"/>
            </w:tcBorders>
          </w:tcPr>
          <w:p w14:paraId="3D39460A" w14:textId="77777777" w:rsidR="00094AC1" w:rsidRPr="00CD729C" w:rsidRDefault="00094AC1" w:rsidP="009B4BB6">
            <w:pPr>
              <w:keepNext/>
              <w:keepLines/>
              <w:widowControl w:val="0"/>
              <w:spacing w:line="240" w:lineRule="auto"/>
              <w:jc w:val="center"/>
              <w:rPr>
                <w:color w:val="000000"/>
                <w:szCs w:val="22"/>
              </w:rPr>
            </w:pPr>
            <w:r w:rsidRPr="00CD729C">
              <w:rPr>
                <w:color w:val="000000"/>
                <w:szCs w:val="22"/>
              </w:rPr>
              <w:t>[94,7%, 97,9%]</w:t>
            </w:r>
          </w:p>
        </w:tc>
        <w:tc>
          <w:tcPr>
            <w:tcW w:w="2373" w:type="dxa"/>
            <w:tcBorders>
              <w:top w:val="nil"/>
              <w:left w:val="nil"/>
              <w:bottom w:val="nil"/>
              <w:right w:val="single" w:sz="4" w:space="0" w:color="auto"/>
            </w:tcBorders>
          </w:tcPr>
          <w:p w14:paraId="3D39460B" w14:textId="77777777" w:rsidR="00094AC1" w:rsidRPr="00CD729C" w:rsidRDefault="00094AC1" w:rsidP="009B4BB6">
            <w:pPr>
              <w:keepNext/>
              <w:keepLines/>
              <w:widowControl w:val="0"/>
              <w:spacing w:line="240" w:lineRule="auto"/>
              <w:jc w:val="center"/>
              <w:rPr>
                <w:color w:val="000000"/>
                <w:szCs w:val="22"/>
              </w:rPr>
            </w:pPr>
            <w:r w:rsidRPr="00CD729C">
              <w:rPr>
                <w:color w:val="000000"/>
                <w:szCs w:val="22"/>
              </w:rPr>
              <w:t>[52,4%, 60,8%]</w:t>
            </w:r>
          </w:p>
        </w:tc>
      </w:tr>
      <w:tr w:rsidR="00094AC1" w:rsidRPr="00CD729C" w14:paraId="3D394610" w14:textId="77777777" w:rsidTr="009B4BB6">
        <w:trPr>
          <w:cantSplit/>
        </w:trPr>
        <w:tc>
          <w:tcPr>
            <w:tcW w:w="4361" w:type="dxa"/>
            <w:tcBorders>
              <w:top w:val="nil"/>
              <w:left w:val="single" w:sz="4" w:space="0" w:color="auto"/>
              <w:bottom w:val="nil"/>
              <w:right w:val="nil"/>
            </w:tcBorders>
          </w:tcPr>
          <w:p w14:paraId="3D39460D" w14:textId="77777777" w:rsidR="00094AC1" w:rsidRPr="00CD729C" w:rsidRDefault="00094AC1" w:rsidP="009B4BB6">
            <w:pPr>
              <w:keepNext/>
              <w:keepLines/>
              <w:widowControl w:val="0"/>
              <w:spacing w:line="240" w:lineRule="auto"/>
              <w:rPr>
                <w:color w:val="000000"/>
                <w:szCs w:val="22"/>
              </w:rPr>
            </w:pPr>
          </w:p>
        </w:tc>
        <w:tc>
          <w:tcPr>
            <w:tcW w:w="2551" w:type="dxa"/>
            <w:tcBorders>
              <w:top w:val="nil"/>
              <w:left w:val="nil"/>
              <w:bottom w:val="nil"/>
              <w:right w:val="nil"/>
            </w:tcBorders>
          </w:tcPr>
          <w:p w14:paraId="3D39460E" w14:textId="77777777" w:rsidR="00094AC1" w:rsidRPr="00CD729C" w:rsidRDefault="00094AC1" w:rsidP="009B4BB6">
            <w:pPr>
              <w:keepNext/>
              <w:keepLines/>
              <w:widowControl w:val="0"/>
              <w:spacing w:line="240" w:lineRule="auto"/>
              <w:rPr>
                <w:color w:val="000000"/>
                <w:szCs w:val="22"/>
              </w:rPr>
            </w:pPr>
          </w:p>
        </w:tc>
        <w:tc>
          <w:tcPr>
            <w:tcW w:w="2373" w:type="dxa"/>
            <w:tcBorders>
              <w:top w:val="nil"/>
              <w:left w:val="nil"/>
              <w:bottom w:val="nil"/>
              <w:right w:val="single" w:sz="4" w:space="0" w:color="auto"/>
            </w:tcBorders>
          </w:tcPr>
          <w:p w14:paraId="3D39460F" w14:textId="77777777" w:rsidR="00094AC1" w:rsidRPr="00CD729C" w:rsidRDefault="00094AC1" w:rsidP="009B4BB6">
            <w:pPr>
              <w:keepNext/>
              <w:keepLines/>
              <w:widowControl w:val="0"/>
              <w:spacing w:line="240" w:lineRule="auto"/>
              <w:rPr>
                <w:color w:val="000000"/>
                <w:szCs w:val="22"/>
              </w:rPr>
            </w:pPr>
          </w:p>
        </w:tc>
      </w:tr>
      <w:tr w:rsidR="00094AC1" w:rsidRPr="00CD729C" w14:paraId="3D394614" w14:textId="77777777" w:rsidTr="009B4BB6">
        <w:trPr>
          <w:cantSplit/>
        </w:trPr>
        <w:tc>
          <w:tcPr>
            <w:tcW w:w="4361" w:type="dxa"/>
            <w:tcBorders>
              <w:top w:val="nil"/>
              <w:left w:val="single" w:sz="4" w:space="0" w:color="auto"/>
              <w:bottom w:val="nil"/>
              <w:right w:val="nil"/>
            </w:tcBorders>
          </w:tcPr>
          <w:p w14:paraId="3D394611" w14:textId="77777777" w:rsidR="00094AC1" w:rsidRPr="00CD729C" w:rsidRDefault="00094AC1" w:rsidP="009B4BB6">
            <w:pPr>
              <w:keepNext/>
              <w:keepLines/>
              <w:widowControl w:val="0"/>
              <w:spacing w:line="240" w:lineRule="auto"/>
              <w:rPr>
                <w:color w:val="000000"/>
                <w:szCs w:val="22"/>
              </w:rPr>
            </w:pPr>
            <w:r w:rsidRPr="00CD729C">
              <w:rPr>
                <w:b/>
                <w:color w:val="000000"/>
                <w:szCs w:val="22"/>
              </w:rPr>
              <w:t>Citoģenētiskā atbildes reakcija</w:t>
            </w:r>
          </w:p>
        </w:tc>
        <w:tc>
          <w:tcPr>
            <w:tcW w:w="2551" w:type="dxa"/>
            <w:tcBorders>
              <w:top w:val="nil"/>
              <w:left w:val="nil"/>
              <w:bottom w:val="nil"/>
              <w:right w:val="nil"/>
            </w:tcBorders>
          </w:tcPr>
          <w:p w14:paraId="3D394612" w14:textId="77777777" w:rsidR="00094AC1" w:rsidRPr="00CD729C" w:rsidRDefault="00094AC1" w:rsidP="009B4BB6">
            <w:pPr>
              <w:keepNext/>
              <w:keepLines/>
              <w:widowControl w:val="0"/>
              <w:spacing w:line="240" w:lineRule="auto"/>
              <w:jc w:val="center"/>
              <w:rPr>
                <w:color w:val="000000"/>
                <w:szCs w:val="22"/>
              </w:rPr>
            </w:pPr>
          </w:p>
        </w:tc>
        <w:tc>
          <w:tcPr>
            <w:tcW w:w="2373" w:type="dxa"/>
            <w:tcBorders>
              <w:top w:val="nil"/>
              <w:left w:val="nil"/>
              <w:bottom w:val="nil"/>
              <w:right w:val="single" w:sz="4" w:space="0" w:color="auto"/>
            </w:tcBorders>
          </w:tcPr>
          <w:p w14:paraId="3D394613" w14:textId="77777777" w:rsidR="00094AC1" w:rsidRPr="00CD729C" w:rsidRDefault="00094AC1" w:rsidP="009B4BB6">
            <w:pPr>
              <w:keepNext/>
              <w:keepLines/>
              <w:widowControl w:val="0"/>
              <w:spacing w:line="240" w:lineRule="auto"/>
              <w:jc w:val="center"/>
              <w:rPr>
                <w:color w:val="000000"/>
                <w:szCs w:val="22"/>
              </w:rPr>
            </w:pPr>
          </w:p>
        </w:tc>
      </w:tr>
      <w:tr w:rsidR="00094AC1" w:rsidRPr="00CD729C" w14:paraId="3D394618" w14:textId="77777777" w:rsidTr="009B4BB6">
        <w:trPr>
          <w:cantSplit/>
        </w:trPr>
        <w:tc>
          <w:tcPr>
            <w:tcW w:w="4361" w:type="dxa"/>
            <w:tcBorders>
              <w:top w:val="nil"/>
              <w:left w:val="single" w:sz="4" w:space="0" w:color="auto"/>
              <w:bottom w:val="nil"/>
              <w:right w:val="nil"/>
            </w:tcBorders>
          </w:tcPr>
          <w:p w14:paraId="3D394615" w14:textId="77777777" w:rsidR="00094AC1" w:rsidRPr="00CD729C" w:rsidRDefault="00094AC1" w:rsidP="009B4BB6">
            <w:pPr>
              <w:keepNext/>
              <w:keepLines/>
              <w:widowControl w:val="0"/>
              <w:spacing w:line="240" w:lineRule="auto"/>
              <w:rPr>
                <w:color w:val="000000"/>
                <w:szCs w:val="22"/>
              </w:rPr>
            </w:pPr>
            <w:r w:rsidRPr="00CD729C">
              <w:rPr>
                <w:color w:val="000000"/>
                <w:szCs w:val="22"/>
              </w:rPr>
              <w:t>Nozīmīga reakcija n (%)</w:t>
            </w:r>
          </w:p>
        </w:tc>
        <w:tc>
          <w:tcPr>
            <w:tcW w:w="2551" w:type="dxa"/>
            <w:tcBorders>
              <w:top w:val="nil"/>
              <w:left w:val="nil"/>
              <w:bottom w:val="nil"/>
              <w:right w:val="nil"/>
            </w:tcBorders>
          </w:tcPr>
          <w:p w14:paraId="3D394616" w14:textId="77777777" w:rsidR="00094AC1" w:rsidRPr="00CD729C" w:rsidRDefault="00094AC1" w:rsidP="009B4BB6">
            <w:pPr>
              <w:keepNext/>
              <w:keepLines/>
              <w:widowControl w:val="0"/>
              <w:spacing w:line="240" w:lineRule="auto"/>
              <w:jc w:val="center"/>
              <w:rPr>
                <w:color w:val="000000"/>
                <w:szCs w:val="22"/>
              </w:rPr>
            </w:pPr>
            <w:r w:rsidRPr="00CD729C">
              <w:rPr>
                <w:color w:val="000000"/>
                <w:szCs w:val="22"/>
              </w:rPr>
              <w:t>490 (88,6%)*</w:t>
            </w:r>
          </w:p>
        </w:tc>
        <w:tc>
          <w:tcPr>
            <w:tcW w:w="2373" w:type="dxa"/>
            <w:tcBorders>
              <w:top w:val="nil"/>
              <w:left w:val="nil"/>
              <w:bottom w:val="nil"/>
              <w:right w:val="single" w:sz="4" w:space="0" w:color="auto"/>
            </w:tcBorders>
          </w:tcPr>
          <w:p w14:paraId="3D394617" w14:textId="77777777" w:rsidR="00094AC1" w:rsidRPr="00CD729C" w:rsidRDefault="00094AC1" w:rsidP="009B4BB6">
            <w:pPr>
              <w:keepNext/>
              <w:keepLines/>
              <w:widowControl w:val="0"/>
              <w:spacing w:line="240" w:lineRule="auto"/>
              <w:jc w:val="center"/>
              <w:rPr>
                <w:color w:val="000000"/>
                <w:szCs w:val="22"/>
              </w:rPr>
            </w:pPr>
            <w:r w:rsidRPr="00CD729C">
              <w:rPr>
                <w:color w:val="000000"/>
                <w:szCs w:val="22"/>
              </w:rPr>
              <w:t>129 (23,3%)*</w:t>
            </w:r>
          </w:p>
        </w:tc>
      </w:tr>
      <w:tr w:rsidR="00094AC1" w:rsidRPr="00CD729C" w14:paraId="3D39461C" w14:textId="77777777" w:rsidTr="009B4BB6">
        <w:trPr>
          <w:cantSplit/>
        </w:trPr>
        <w:tc>
          <w:tcPr>
            <w:tcW w:w="4361" w:type="dxa"/>
            <w:tcBorders>
              <w:top w:val="nil"/>
              <w:left w:val="single" w:sz="4" w:space="0" w:color="auto"/>
              <w:bottom w:val="nil"/>
              <w:right w:val="nil"/>
            </w:tcBorders>
          </w:tcPr>
          <w:p w14:paraId="3D394619" w14:textId="77777777" w:rsidR="00094AC1" w:rsidRPr="00CD729C" w:rsidRDefault="00094AC1" w:rsidP="009B4BB6">
            <w:pPr>
              <w:keepNext/>
              <w:keepLines/>
              <w:widowControl w:val="0"/>
              <w:tabs>
                <w:tab w:val="left" w:pos="284"/>
              </w:tabs>
              <w:spacing w:line="240" w:lineRule="auto"/>
              <w:rPr>
                <w:color w:val="000000"/>
                <w:szCs w:val="22"/>
              </w:rPr>
            </w:pPr>
            <w:r w:rsidRPr="00CD729C">
              <w:rPr>
                <w:color w:val="000000"/>
                <w:szCs w:val="22"/>
              </w:rPr>
              <w:tab/>
              <w:t>[95% TI]</w:t>
            </w:r>
          </w:p>
        </w:tc>
        <w:tc>
          <w:tcPr>
            <w:tcW w:w="2551" w:type="dxa"/>
            <w:tcBorders>
              <w:top w:val="nil"/>
              <w:left w:val="nil"/>
              <w:bottom w:val="nil"/>
              <w:right w:val="nil"/>
            </w:tcBorders>
          </w:tcPr>
          <w:p w14:paraId="3D39461A" w14:textId="77777777" w:rsidR="00094AC1" w:rsidRPr="00CD729C" w:rsidRDefault="00094AC1" w:rsidP="009B4BB6">
            <w:pPr>
              <w:keepNext/>
              <w:keepLines/>
              <w:widowControl w:val="0"/>
              <w:spacing w:line="240" w:lineRule="auto"/>
              <w:jc w:val="center"/>
              <w:rPr>
                <w:color w:val="000000"/>
                <w:szCs w:val="22"/>
              </w:rPr>
            </w:pPr>
            <w:r w:rsidRPr="00CD729C">
              <w:rPr>
                <w:color w:val="000000"/>
                <w:szCs w:val="22"/>
              </w:rPr>
              <w:t>[85,7%, 91,1%]</w:t>
            </w:r>
          </w:p>
        </w:tc>
        <w:tc>
          <w:tcPr>
            <w:tcW w:w="2373" w:type="dxa"/>
            <w:tcBorders>
              <w:top w:val="nil"/>
              <w:left w:val="nil"/>
              <w:bottom w:val="nil"/>
              <w:right w:val="single" w:sz="4" w:space="0" w:color="auto"/>
            </w:tcBorders>
          </w:tcPr>
          <w:p w14:paraId="3D39461B" w14:textId="77777777" w:rsidR="00094AC1" w:rsidRPr="00CD729C" w:rsidRDefault="00094AC1" w:rsidP="009B4BB6">
            <w:pPr>
              <w:keepNext/>
              <w:keepLines/>
              <w:widowControl w:val="0"/>
              <w:spacing w:line="240" w:lineRule="auto"/>
              <w:jc w:val="center"/>
              <w:rPr>
                <w:color w:val="000000"/>
                <w:szCs w:val="22"/>
              </w:rPr>
            </w:pPr>
            <w:r w:rsidRPr="00CD729C">
              <w:rPr>
                <w:color w:val="000000"/>
                <w:szCs w:val="22"/>
              </w:rPr>
              <w:t>[19,9%, 27,1%]</w:t>
            </w:r>
          </w:p>
        </w:tc>
      </w:tr>
      <w:tr w:rsidR="00094AC1" w:rsidRPr="00CD729C" w14:paraId="3D394620" w14:textId="77777777" w:rsidTr="009B4BB6">
        <w:trPr>
          <w:cantSplit/>
        </w:trPr>
        <w:tc>
          <w:tcPr>
            <w:tcW w:w="4361" w:type="dxa"/>
            <w:tcBorders>
              <w:top w:val="nil"/>
              <w:left w:val="single" w:sz="4" w:space="0" w:color="auto"/>
              <w:bottom w:val="nil"/>
              <w:right w:val="nil"/>
            </w:tcBorders>
          </w:tcPr>
          <w:p w14:paraId="3D39461D" w14:textId="77777777" w:rsidR="00094AC1" w:rsidRPr="00CD729C" w:rsidRDefault="00094AC1" w:rsidP="009B4BB6">
            <w:pPr>
              <w:keepNext/>
              <w:keepLines/>
              <w:widowControl w:val="0"/>
              <w:tabs>
                <w:tab w:val="left" w:pos="284"/>
              </w:tabs>
              <w:spacing w:line="240" w:lineRule="auto"/>
              <w:rPr>
                <w:color w:val="000000"/>
                <w:szCs w:val="22"/>
              </w:rPr>
            </w:pPr>
            <w:r w:rsidRPr="00CD729C">
              <w:rPr>
                <w:color w:val="000000"/>
                <w:szCs w:val="22"/>
              </w:rPr>
              <w:tab/>
              <w:t>Pilnīgs CyR n (%)</w:t>
            </w:r>
          </w:p>
        </w:tc>
        <w:tc>
          <w:tcPr>
            <w:tcW w:w="2551" w:type="dxa"/>
            <w:tcBorders>
              <w:top w:val="nil"/>
              <w:left w:val="nil"/>
              <w:bottom w:val="nil"/>
              <w:right w:val="nil"/>
            </w:tcBorders>
          </w:tcPr>
          <w:p w14:paraId="3D39461E" w14:textId="77777777" w:rsidR="00094AC1" w:rsidRPr="00CD729C" w:rsidRDefault="00233BC3" w:rsidP="009B4BB6">
            <w:pPr>
              <w:keepNext/>
              <w:keepLines/>
              <w:widowControl w:val="0"/>
              <w:spacing w:line="240" w:lineRule="auto"/>
              <w:jc w:val="center"/>
              <w:rPr>
                <w:color w:val="000000"/>
                <w:szCs w:val="22"/>
              </w:rPr>
            </w:pPr>
            <w:r w:rsidRPr="00CD729C">
              <w:rPr>
                <w:color w:val="000000"/>
                <w:szCs w:val="22"/>
              </w:rPr>
              <w:t>456 (82,5%)*</w:t>
            </w:r>
          </w:p>
        </w:tc>
        <w:tc>
          <w:tcPr>
            <w:tcW w:w="2373" w:type="dxa"/>
            <w:tcBorders>
              <w:top w:val="nil"/>
              <w:left w:val="nil"/>
              <w:bottom w:val="nil"/>
              <w:right w:val="single" w:sz="4" w:space="0" w:color="auto"/>
            </w:tcBorders>
          </w:tcPr>
          <w:p w14:paraId="3D39461F" w14:textId="77777777" w:rsidR="00094AC1" w:rsidRPr="00CD729C" w:rsidRDefault="00094AC1" w:rsidP="009B4BB6">
            <w:pPr>
              <w:keepNext/>
              <w:keepLines/>
              <w:widowControl w:val="0"/>
              <w:spacing w:line="240" w:lineRule="auto"/>
              <w:jc w:val="center"/>
              <w:rPr>
                <w:color w:val="000000"/>
                <w:szCs w:val="22"/>
              </w:rPr>
            </w:pPr>
            <w:r w:rsidRPr="00CD729C">
              <w:rPr>
                <w:color w:val="000000"/>
                <w:szCs w:val="22"/>
              </w:rPr>
              <w:t>64 (11,6%)*</w:t>
            </w:r>
          </w:p>
        </w:tc>
      </w:tr>
      <w:tr w:rsidR="00094AC1" w:rsidRPr="00CD729C" w14:paraId="3D394624" w14:textId="77777777" w:rsidTr="009B4BB6">
        <w:trPr>
          <w:cantSplit/>
        </w:trPr>
        <w:tc>
          <w:tcPr>
            <w:tcW w:w="4361" w:type="dxa"/>
            <w:tcBorders>
              <w:top w:val="nil"/>
              <w:left w:val="single" w:sz="4" w:space="0" w:color="auto"/>
              <w:bottom w:val="nil"/>
              <w:right w:val="nil"/>
            </w:tcBorders>
          </w:tcPr>
          <w:p w14:paraId="3D394621" w14:textId="77777777" w:rsidR="00094AC1" w:rsidRPr="00CD729C" w:rsidRDefault="00094AC1" w:rsidP="009B4BB6">
            <w:pPr>
              <w:keepNext/>
              <w:keepLines/>
              <w:widowControl w:val="0"/>
              <w:tabs>
                <w:tab w:val="left" w:pos="284"/>
              </w:tabs>
              <w:spacing w:line="240" w:lineRule="auto"/>
              <w:rPr>
                <w:color w:val="000000"/>
                <w:szCs w:val="22"/>
              </w:rPr>
            </w:pPr>
            <w:r w:rsidRPr="00CD729C">
              <w:rPr>
                <w:color w:val="000000"/>
                <w:szCs w:val="22"/>
              </w:rPr>
              <w:tab/>
              <w:t>Daļējs CyR n (%)</w:t>
            </w:r>
          </w:p>
        </w:tc>
        <w:tc>
          <w:tcPr>
            <w:tcW w:w="2551" w:type="dxa"/>
            <w:tcBorders>
              <w:top w:val="nil"/>
              <w:left w:val="nil"/>
              <w:bottom w:val="nil"/>
              <w:right w:val="nil"/>
            </w:tcBorders>
          </w:tcPr>
          <w:p w14:paraId="3D394622" w14:textId="77777777" w:rsidR="00094AC1" w:rsidRPr="00CD729C" w:rsidRDefault="00233BC3" w:rsidP="009B4BB6">
            <w:pPr>
              <w:keepNext/>
              <w:keepLines/>
              <w:widowControl w:val="0"/>
              <w:spacing w:line="240" w:lineRule="auto"/>
              <w:jc w:val="center"/>
              <w:rPr>
                <w:color w:val="000000"/>
                <w:szCs w:val="22"/>
              </w:rPr>
            </w:pPr>
            <w:r w:rsidRPr="00CD729C">
              <w:rPr>
                <w:color w:val="000000"/>
                <w:szCs w:val="22"/>
              </w:rPr>
              <w:t>34 (6,1%)</w:t>
            </w:r>
          </w:p>
        </w:tc>
        <w:tc>
          <w:tcPr>
            <w:tcW w:w="2373" w:type="dxa"/>
            <w:tcBorders>
              <w:top w:val="nil"/>
              <w:left w:val="nil"/>
              <w:bottom w:val="nil"/>
              <w:right w:val="single" w:sz="4" w:space="0" w:color="auto"/>
            </w:tcBorders>
          </w:tcPr>
          <w:p w14:paraId="3D394623" w14:textId="77777777" w:rsidR="00094AC1" w:rsidRPr="00CD729C" w:rsidRDefault="00094AC1" w:rsidP="009B4BB6">
            <w:pPr>
              <w:keepNext/>
              <w:keepLines/>
              <w:widowControl w:val="0"/>
              <w:spacing w:line="240" w:lineRule="auto"/>
              <w:jc w:val="center"/>
              <w:rPr>
                <w:color w:val="000000"/>
                <w:szCs w:val="22"/>
              </w:rPr>
            </w:pPr>
            <w:r w:rsidRPr="00CD729C">
              <w:rPr>
                <w:color w:val="000000"/>
                <w:szCs w:val="22"/>
              </w:rPr>
              <w:t>65 (11,8%)</w:t>
            </w:r>
          </w:p>
        </w:tc>
      </w:tr>
      <w:tr w:rsidR="00094AC1" w:rsidRPr="00CD729C" w14:paraId="3D394628" w14:textId="77777777" w:rsidTr="009B4BB6">
        <w:trPr>
          <w:cantSplit/>
        </w:trPr>
        <w:tc>
          <w:tcPr>
            <w:tcW w:w="4361" w:type="dxa"/>
            <w:tcBorders>
              <w:top w:val="nil"/>
              <w:left w:val="single" w:sz="4" w:space="0" w:color="auto"/>
              <w:bottom w:val="nil"/>
              <w:right w:val="nil"/>
            </w:tcBorders>
          </w:tcPr>
          <w:p w14:paraId="3D394625" w14:textId="77777777" w:rsidR="00094AC1" w:rsidRPr="00CD729C" w:rsidRDefault="00094AC1" w:rsidP="009B4BB6">
            <w:pPr>
              <w:keepNext/>
              <w:keepLines/>
              <w:widowControl w:val="0"/>
              <w:tabs>
                <w:tab w:val="left" w:pos="284"/>
              </w:tabs>
              <w:spacing w:line="240" w:lineRule="auto"/>
              <w:rPr>
                <w:b/>
                <w:color w:val="000000"/>
                <w:szCs w:val="22"/>
                <w:u w:val="single"/>
              </w:rPr>
            </w:pPr>
          </w:p>
        </w:tc>
        <w:tc>
          <w:tcPr>
            <w:tcW w:w="2551" w:type="dxa"/>
            <w:tcBorders>
              <w:top w:val="nil"/>
              <w:left w:val="nil"/>
              <w:bottom w:val="nil"/>
              <w:right w:val="nil"/>
            </w:tcBorders>
          </w:tcPr>
          <w:p w14:paraId="3D394626" w14:textId="77777777" w:rsidR="00094AC1" w:rsidRPr="00CD729C" w:rsidRDefault="00094AC1" w:rsidP="009B4BB6">
            <w:pPr>
              <w:keepNext/>
              <w:keepLines/>
              <w:widowControl w:val="0"/>
              <w:spacing w:line="240" w:lineRule="auto"/>
              <w:jc w:val="center"/>
              <w:rPr>
                <w:color w:val="000000"/>
                <w:szCs w:val="22"/>
              </w:rPr>
            </w:pPr>
          </w:p>
        </w:tc>
        <w:tc>
          <w:tcPr>
            <w:tcW w:w="2373" w:type="dxa"/>
            <w:tcBorders>
              <w:top w:val="nil"/>
              <w:left w:val="nil"/>
              <w:bottom w:val="nil"/>
              <w:right w:val="single" w:sz="4" w:space="0" w:color="auto"/>
            </w:tcBorders>
          </w:tcPr>
          <w:p w14:paraId="3D394627" w14:textId="77777777" w:rsidR="00094AC1" w:rsidRPr="00CD729C" w:rsidRDefault="00094AC1" w:rsidP="009B4BB6">
            <w:pPr>
              <w:keepNext/>
              <w:keepLines/>
              <w:widowControl w:val="0"/>
              <w:spacing w:line="240" w:lineRule="auto"/>
              <w:jc w:val="center"/>
              <w:rPr>
                <w:color w:val="000000"/>
                <w:szCs w:val="22"/>
              </w:rPr>
            </w:pPr>
          </w:p>
        </w:tc>
      </w:tr>
      <w:tr w:rsidR="00094AC1" w:rsidRPr="00CD729C" w14:paraId="3D39462C" w14:textId="77777777" w:rsidTr="009B4BB6">
        <w:trPr>
          <w:cantSplit/>
        </w:trPr>
        <w:tc>
          <w:tcPr>
            <w:tcW w:w="4361" w:type="dxa"/>
            <w:tcBorders>
              <w:top w:val="nil"/>
              <w:left w:val="single" w:sz="4" w:space="0" w:color="auto"/>
              <w:bottom w:val="nil"/>
              <w:right w:val="nil"/>
            </w:tcBorders>
          </w:tcPr>
          <w:p w14:paraId="3D394629" w14:textId="77777777" w:rsidR="00094AC1" w:rsidRPr="00CD729C" w:rsidRDefault="00094AC1" w:rsidP="009B4BB6">
            <w:pPr>
              <w:keepNext/>
              <w:keepLines/>
              <w:widowControl w:val="0"/>
              <w:tabs>
                <w:tab w:val="left" w:pos="284"/>
              </w:tabs>
              <w:spacing w:line="240" w:lineRule="auto"/>
              <w:rPr>
                <w:color w:val="000000"/>
                <w:szCs w:val="22"/>
              </w:rPr>
            </w:pPr>
            <w:r w:rsidRPr="00CD729C">
              <w:rPr>
                <w:b/>
                <w:color w:val="000000"/>
                <w:szCs w:val="22"/>
              </w:rPr>
              <w:t>Molekulārā atbildes reakcija</w:t>
            </w:r>
            <w:r w:rsidR="009C5FA1" w:rsidRPr="00CD729C">
              <w:rPr>
                <w:color w:val="000000"/>
                <w:szCs w:val="22"/>
              </w:rPr>
              <w:t>**</w:t>
            </w:r>
          </w:p>
        </w:tc>
        <w:tc>
          <w:tcPr>
            <w:tcW w:w="2551" w:type="dxa"/>
            <w:tcBorders>
              <w:top w:val="nil"/>
              <w:left w:val="nil"/>
              <w:bottom w:val="nil"/>
              <w:right w:val="nil"/>
            </w:tcBorders>
          </w:tcPr>
          <w:p w14:paraId="3D39462A" w14:textId="77777777" w:rsidR="00094AC1" w:rsidRPr="00CD729C" w:rsidRDefault="00094AC1" w:rsidP="009B4BB6">
            <w:pPr>
              <w:keepNext/>
              <w:keepLines/>
              <w:widowControl w:val="0"/>
              <w:spacing w:line="240" w:lineRule="auto"/>
              <w:jc w:val="center"/>
              <w:rPr>
                <w:color w:val="000000"/>
                <w:szCs w:val="22"/>
              </w:rPr>
            </w:pPr>
          </w:p>
        </w:tc>
        <w:tc>
          <w:tcPr>
            <w:tcW w:w="2373" w:type="dxa"/>
            <w:tcBorders>
              <w:top w:val="nil"/>
              <w:left w:val="nil"/>
              <w:bottom w:val="nil"/>
              <w:right w:val="single" w:sz="4" w:space="0" w:color="auto"/>
            </w:tcBorders>
          </w:tcPr>
          <w:p w14:paraId="3D39462B" w14:textId="77777777" w:rsidR="00094AC1" w:rsidRPr="00CD729C" w:rsidRDefault="00094AC1" w:rsidP="009B4BB6">
            <w:pPr>
              <w:keepNext/>
              <w:keepLines/>
              <w:widowControl w:val="0"/>
              <w:spacing w:line="240" w:lineRule="auto"/>
              <w:jc w:val="center"/>
              <w:rPr>
                <w:color w:val="000000"/>
                <w:szCs w:val="22"/>
              </w:rPr>
            </w:pPr>
          </w:p>
        </w:tc>
      </w:tr>
      <w:tr w:rsidR="00094AC1" w:rsidRPr="00CD729C" w14:paraId="3D394630" w14:textId="77777777" w:rsidTr="009B4BB6">
        <w:trPr>
          <w:cantSplit/>
        </w:trPr>
        <w:tc>
          <w:tcPr>
            <w:tcW w:w="4361" w:type="dxa"/>
            <w:tcBorders>
              <w:top w:val="nil"/>
              <w:left w:val="single" w:sz="4" w:space="0" w:color="auto"/>
              <w:bottom w:val="nil"/>
              <w:right w:val="nil"/>
            </w:tcBorders>
          </w:tcPr>
          <w:p w14:paraId="3D39462D" w14:textId="77777777" w:rsidR="00094AC1" w:rsidRPr="00CD729C" w:rsidRDefault="00094AC1" w:rsidP="009B4BB6">
            <w:pPr>
              <w:keepNext/>
              <w:keepLines/>
              <w:widowControl w:val="0"/>
              <w:tabs>
                <w:tab w:val="left" w:pos="284"/>
              </w:tabs>
              <w:spacing w:line="240" w:lineRule="auto"/>
              <w:rPr>
                <w:color w:val="000000"/>
                <w:szCs w:val="22"/>
              </w:rPr>
            </w:pPr>
            <w:r w:rsidRPr="00CD729C">
              <w:rPr>
                <w:color w:val="000000"/>
                <w:szCs w:val="22"/>
              </w:rPr>
              <w:t>Nozīmīga reakcija pēc 12 mēnešiem (%)</w:t>
            </w:r>
          </w:p>
        </w:tc>
        <w:tc>
          <w:tcPr>
            <w:tcW w:w="2551" w:type="dxa"/>
            <w:tcBorders>
              <w:top w:val="nil"/>
              <w:left w:val="nil"/>
              <w:bottom w:val="nil"/>
              <w:right w:val="nil"/>
            </w:tcBorders>
          </w:tcPr>
          <w:p w14:paraId="3D39462E" w14:textId="77777777" w:rsidR="00094AC1" w:rsidRPr="00CD729C" w:rsidRDefault="00233BC3" w:rsidP="009B4BB6">
            <w:pPr>
              <w:keepNext/>
              <w:keepLines/>
              <w:widowControl w:val="0"/>
              <w:spacing w:line="240" w:lineRule="auto"/>
              <w:jc w:val="center"/>
              <w:rPr>
                <w:color w:val="000000"/>
                <w:szCs w:val="22"/>
              </w:rPr>
            </w:pPr>
            <w:r w:rsidRPr="00CD729C">
              <w:rPr>
                <w:szCs w:val="22"/>
              </w:rPr>
              <w:t>153/305=50,2%</w:t>
            </w:r>
          </w:p>
        </w:tc>
        <w:tc>
          <w:tcPr>
            <w:tcW w:w="2373" w:type="dxa"/>
            <w:tcBorders>
              <w:top w:val="nil"/>
              <w:left w:val="nil"/>
              <w:bottom w:val="nil"/>
              <w:right w:val="single" w:sz="4" w:space="0" w:color="auto"/>
            </w:tcBorders>
          </w:tcPr>
          <w:p w14:paraId="3D39462F" w14:textId="77777777" w:rsidR="00094AC1" w:rsidRPr="00CD729C" w:rsidRDefault="00233BC3" w:rsidP="009B4BB6">
            <w:pPr>
              <w:keepNext/>
              <w:keepLines/>
              <w:widowControl w:val="0"/>
              <w:spacing w:line="240" w:lineRule="auto"/>
              <w:jc w:val="center"/>
              <w:rPr>
                <w:color w:val="000000"/>
                <w:szCs w:val="22"/>
              </w:rPr>
            </w:pPr>
            <w:r w:rsidRPr="00CD729C">
              <w:rPr>
                <w:szCs w:val="22"/>
              </w:rPr>
              <w:t>8/83=9,6%</w:t>
            </w:r>
          </w:p>
        </w:tc>
      </w:tr>
      <w:tr w:rsidR="00094AC1" w:rsidRPr="00CD729C" w14:paraId="3D394634" w14:textId="77777777" w:rsidTr="009B4BB6">
        <w:trPr>
          <w:cantSplit/>
        </w:trPr>
        <w:tc>
          <w:tcPr>
            <w:tcW w:w="4361" w:type="dxa"/>
            <w:tcBorders>
              <w:top w:val="nil"/>
              <w:left w:val="single" w:sz="4" w:space="0" w:color="auto"/>
              <w:bottom w:val="nil"/>
              <w:right w:val="nil"/>
            </w:tcBorders>
          </w:tcPr>
          <w:p w14:paraId="3D394631" w14:textId="77777777" w:rsidR="00094AC1" w:rsidRPr="00CD729C" w:rsidRDefault="00094AC1" w:rsidP="009B4BB6">
            <w:pPr>
              <w:keepNext/>
              <w:keepLines/>
              <w:widowControl w:val="0"/>
              <w:tabs>
                <w:tab w:val="left" w:pos="284"/>
              </w:tabs>
              <w:spacing w:line="240" w:lineRule="auto"/>
              <w:rPr>
                <w:color w:val="000000"/>
                <w:szCs w:val="22"/>
              </w:rPr>
            </w:pPr>
            <w:r w:rsidRPr="00CD729C">
              <w:rPr>
                <w:color w:val="000000"/>
                <w:szCs w:val="22"/>
              </w:rPr>
              <w:t>Nozīmīga reakcija pēc 24 mēnešiem (%)</w:t>
            </w:r>
          </w:p>
        </w:tc>
        <w:tc>
          <w:tcPr>
            <w:tcW w:w="2551" w:type="dxa"/>
            <w:tcBorders>
              <w:top w:val="nil"/>
              <w:left w:val="nil"/>
              <w:bottom w:val="nil"/>
              <w:right w:val="nil"/>
            </w:tcBorders>
          </w:tcPr>
          <w:p w14:paraId="3D394632" w14:textId="77777777" w:rsidR="00094AC1" w:rsidRPr="00CD729C" w:rsidRDefault="00233BC3" w:rsidP="009B4BB6">
            <w:pPr>
              <w:keepNext/>
              <w:keepLines/>
              <w:widowControl w:val="0"/>
              <w:spacing w:line="240" w:lineRule="auto"/>
              <w:jc w:val="center"/>
              <w:rPr>
                <w:color w:val="000000"/>
                <w:szCs w:val="22"/>
              </w:rPr>
            </w:pPr>
            <w:r w:rsidRPr="00CD729C">
              <w:rPr>
                <w:szCs w:val="22"/>
              </w:rPr>
              <w:t>73/104=70,2%</w:t>
            </w:r>
          </w:p>
        </w:tc>
        <w:tc>
          <w:tcPr>
            <w:tcW w:w="2373" w:type="dxa"/>
            <w:tcBorders>
              <w:top w:val="nil"/>
              <w:left w:val="nil"/>
              <w:bottom w:val="nil"/>
              <w:right w:val="single" w:sz="4" w:space="0" w:color="auto"/>
            </w:tcBorders>
          </w:tcPr>
          <w:p w14:paraId="3D394633" w14:textId="77777777" w:rsidR="00094AC1" w:rsidRPr="00CD729C" w:rsidRDefault="00233BC3" w:rsidP="009B4BB6">
            <w:pPr>
              <w:keepNext/>
              <w:keepLines/>
              <w:widowControl w:val="0"/>
              <w:spacing w:line="240" w:lineRule="auto"/>
              <w:jc w:val="center"/>
              <w:rPr>
                <w:color w:val="000000"/>
                <w:szCs w:val="22"/>
              </w:rPr>
            </w:pPr>
            <w:r w:rsidRPr="00CD729C">
              <w:rPr>
                <w:szCs w:val="22"/>
              </w:rPr>
              <w:t>3/12=25%</w:t>
            </w:r>
          </w:p>
        </w:tc>
      </w:tr>
      <w:tr w:rsidR="00233BC3" w:rsidRPr="00CD729C" w14:paraId="3D394638" w14:textId="77777777" w:rsidTr="009B4BB6">
        <w:trPr>
          <w:cantSplit/>
        </w:trPr>
        <w:tc>
          <w:tcPr>
            <w:tcW w:w="4361" w:type="dxa"/>
            <w:tcBorders>
              <w:top w:val="nil"/>
              <w:left w:val="single" w:sz="4" w:space="0" w:color="auto"/>
              <w:bottom w:val="single" w:sz="4" w:space="0" w:color="auto"/>
              <w:right w:val="nil"/>
            </w:tcBorders>
          </w:tcPr>
          <w:p w14:paraId="3D394635" w14:textId="77777777" w:rsidR="00233BC3" w:rsidRPr="00CD729C" w:rsidRDefault="00233BC3" w:rsidP="009B4BB6">
            <w:pPr>
              <w:keepNext/>
              <w:keepLines/>
              <w:widowControl w:val="0"/>
              <w:tabs>
                <w:tab w:val="left" w:pos="284"/>
              </w:tabs>
              <w:spacing w:line="240" w:lineRule="auto"/>
              <w:rPr>
                <w:color w:val="000000"/>
                <w:szCs w:val="22"/>
              </w:rPr>
            </w:pPr>
            <w:r w:rsidRPr="00CD729C">
              <w:rPr>
                <w:color w:val="000000"/>
                <w:szCs w:val="22"/>
              </w:rPr>
              <w:t>Nozīmīga reakcija pēc 84 mēnešiem (%)</w:t>
            </w:r>
          </w:p>
        </w:tc>
        <w:tc>
          <w:tcPr>
            <w:tcW w:w="2551" w:type="dxa"/>
            <w:tcBorders>
              <w:top w:val="nil"/>
              <w:left w:val="nil"/>
              <w:bottom w:val="single" w:sz="4" w:space="0" w:color="auto"/>
              <w:right w:val="nil"/>
            </w:tcBorders>
          </w:tcPr>
          <w:p w14:paraId="3D394636" w14:textId="77777777" w:rsidR="00233BC3" w:rsidRPr="00CD729C" w:rsidRDefault="00233BC3" w:rsidP="009B4BB6">
            <w:pPr>
              <w:keepNext/>
              <w:keepLines/>
              <w:widowControl w:val="0"/>
              <w:spacing w:line="240" w:lineRule="auto"/>
              <w:jc w:val="center"/>
              <w:rPr>
                <w:color w:val="000000"/>
                <w:szCs w:val="22"/>
              </w:rPr>
            </w:pPr>
            <w:r w:rsidRPr="00CD729C">
              <w:rPr>
                <w:szCs w:val="22"/>
              </w:rPr>
              <w:t>102/116=87,9%</w:t>
            </w:r>
          </w:p>
        </w:tc>
        <w:tc>
          <w:tcPr>
            <w:tcW w:w="2373" w:type="dxa"/>
            <w:tcBorders>
              <w:top w:val="nil"/>
              <w:left w:val="nil"/>
              <w:bottom w:val="single" w:sz="4" w:space="0" w:color="auto"/>
              <w:right w:val="single" w:sz="4" w:space="0" w:color="auto"/>
            </w:tcBorders>
          </w:tcPr>
          <w:p w14:paraId="3D394637" w14:textId="77777777" w:rsidR="00233BC3" w:rsidRPr="00CD729C" w:rsidRDefault="00233BC3" w:rsidP="009B4BB6">
            <w:pPr>
              <w:keepNext/>
              <w:keepLines/>
              <w:widowControl w:val="0"/>
              <w:spacing w:line="240" w:lineRule="auto"/>
              <w:jc w:val="center"/>
              <w:rPr>
                <w:color w:val="000000"/>
                <w:szCs w:val="22"/>
              </w:rPr>
            </w:pPr>
            <w:r w:rsidRPr="00CD729C">
              <w:rPr>
                <w:szCs w:val="22"/>
              </w:rPr>
              <w:t>3/4=75%</w:t>
            </w:r>
          </w:p>
        </w:tc>
      </w:tr>
      <w:tr w:rsidR="00094AC1" w:rsidRPr="00CD729C" w14:paraId="3D39463F" w14:textId="77777777" w:rsidTr="009B4BB6">
        <w:trPr>
          <w:cantSplit/>
        </w:trPr>
        <w:tc>
          <w:tcPr>
            <w:tcW w:w="9285" w:type="dxa"/>
            <w:gridSpan w:val="3"/>
            <w:tcBorders>
              <w:top w:val="nil"/>
            </w:tcBorders>
          </w:tcPr>
          <w:p w14:paraId="3D394639" w14:textId="77777777" w:rsidR="00094AC1" w:rsidRPr="00CD729C" w:rsidRDefault="00094AC1" w:rsidP="009B4BB6">
            <w:pPr>
              <w:pStyle w:val="EndnoteText"/>
              <w:keepNext/>
              <w:keepLines/>
              <w:widowControl w:val="0"/>
              <w:rPr>
                <w:color w:val="000000"/>
                <w:szCs w:val="22"/>
              </w:rPr>
            </w:pPr>
            <w:r w:rsidRPr="00CD729C">
              <w:rPr>
                <w:color w:val="000000"/>
                <w:szCs w:val="22"/>
              </w:rPr>
              <w:t>* p&lt;0,001, Fišera tests</w:t>
            </w:r>
          </w:p>
          <w:p w14:paraId="3D39463A" w14:textId="77777777" w:rsidR="00094AC1" w:rsidRPr="00CD729C" w:rsidRDefault="00094AC1" w:rsidP="009B4BB6">
            <w:pPr>
              <w:keepNext/>
              <w:keepLines/>
              <w:widowControl w:val="0"/>
              <w:spacing w:line="240" w:lineRule="auto"/>
              <w:rPr>
                <w:color w:val="000000"/>
                <w:szCs w:val="22"/>
              </w:rPr>
            </w:pPr>
            <w:r w:rsidRPr="00CD729C">
              <w:rPr>
                <w:color w:val="000000"/>
                <w:szCs w:val="22"/>
              </w:rPr>
              <w:t xml:space="preserve">** </w:t>
            </w:r>
            <w:r w:rsidR="007D4BF1" w:rsidRPr="00CD729C">
              <w:rPr>
                <w:color w:val="000000"/>
                <w:szCs w:val="22"/>
              </w:rPr>
              <w:t xml:space="preserve">molekulārās atbildes </w:t>
            </w:r>
            <w:r w:rsidR="00AC57DB" w:rsidRPr="00CD729C">
              <w:rPr>
                <w:color w:val="000000"/>
                <w:szCs w:val="22"/>
              </w:rPr>
              <w:t>reakcijas</w:t>
            </w:r>
            <w:r w:rsidR="001C64D9" w:rsidRPr="00CD729C">
              <w:rPr>
                <w:color w:val="000000"/>
                <w:szCs w:val="22"/>
              </w:rPr>
              <w:t xml:space="preserve"> procentuālais</w:t>
            </w:r>
            <w:r w:rsidR="00AC57DB" w:rsidRPr="00CD729C">
              <w:rPr>
                <w:color w:val="000000"/>
                <w:szCs w:val="22"/>
              </w:rPr>
              <w:t xml:space="preserve"> īpatsvars</w:t>
            </w:r>
            <w:r w:rsidR="001C64D9" w:rsidRPr="00CD729C">
              <w:rPr>
                <w:color w:val="000000"/>
                <w:szCs w:val="22"/>
              </w:rPr>
              <w:t xml:space="preserve"> pamatojas</w:t>
            </w:r>
            <w:r w:rsidR="007D4BF1" w:rsidRPr="00CD729C">
              <w:rPr>
                <w:color w:val="000000"/>
                <w:szCs w:val="22"/>
              </w:rPr>
              <w:t xml:space="preserve"> uz pieejamajiem pacientu paraugiem</w:t>
            </w:r>
          </w:p>
          <w:p w14:paraId="3D39463B" w14:textId="77777777" w:rsidR="00094AC1" w:rsidRPr="00CD729C" w:rsidRDefault="00094AC1" w:rsidP="009B4BB6">
            <w:pPr>
              <w:pStyle w:val="BodyText2"/>
              <w:keepNext/>
              <w:keepLines/>
              <w:widowControl w:val="0"/>
              <w:spacing w:line="240" w:lineRule="auto"/>
              <w:rPr>
                <w:color w:val="000000"/>
                <w:szCs w:val="22"/>
              </w:rPr>
            </w:pPr>
            <w:r w:rsidRPr="00CD729C">
              <w:rPr>
                <w:color w:val="000000"/>
                <w:szCs w:val="22"/>
              </w:rPr>
              <w:t>Hematoloģiskās atbildes reakcijas kritēriji (visas atbildes reakcijas jāapstiprina pēc 4 nedēļas ilga vai ilgāka laika posma):</w:t>
            </w:r>
          </w:p>
          <w:p w14:paraId="3D39463C" w14:textId="77777777" w:rsidR="00094AC1" w:rsidRPr="00CD729C" w:rsidRDefault="00094AC1" w:rsidP="009B4BB6">
            <w:pPr>
              <w:keepNext/>
              <w:keepLines/>
              <w:widowControl w:val="0"/>
              <w:spacing w:line="240" w:lineRule="auto"/>
              <w:rPr>
                <w:color w:val="000000"/>
                <w:szCs w:val="22"/>
              </w:rPr>
            </w:pPr>
            <w:r w:rsidRPr="00CD729C">
              <w:rPr>
                <w:color w:val="000000"/>
                <w:szCs w:val="22"/>
              </w:rPr>
              <w:t xml:space="preserve">Leikocītu </w:t>
            </w:r>
            <w:r w:rsidR="002443A3" w:rsidRPr="00CD729C">
              <w:rPr>
                <w:color w:val="000000"/>
                <w:szCs w:val="22"/>
              </w:rPr>
              <w:t xml:space="preserve">skaits </w:t>
            </w:r>
            <w:r w:rsidRPr="00CD729C">
              <w:rPr>
                <w:color w:val="000000"/>
                <w:szCs w:val="22"/>
              </w:rPr>
              <w:t>&lt;10 x 10</w:t>
            </w:r>
            <w:r w:rsidRPr="00CD729C">
              <w:rPr>
                <w:color w:val="000000"/>
                <w:szCs w:val="22"/>
                <w:vertAlign w:val="superscript"/>
              </w:rPr>
              <w:t>9</w:t>
            </w:r>
            <w:r w:rsidRPr="00CD729C">
              <w:rPr>
                <w:color w:val="000000"/>
                <w:szCs w:val="22"/>
              </w:rPr>
              <w:t>/l, trombocītu skaits &lt;450 x 10</w:t>
            </w:r>
            <w:r w:rsidRPr="00CD729C">
              <w:rPr>
                <w:color w:val="000000"/>
                <w:szCs w:val="22"/>
                <w:vertAlign w:val="superscript"/>
              </w:rPr>
              <w:t>9</w:t>
            </w:r>
            <w:r w:rsidRPr="00CD729C">
              <w:rPr>
                <w:color w:val="000000"/>
                <w:szCs w:val="22"/>
              </w:rPr>
              <w:t>/l, mielocīti + metamielocīti asinīs – &lt;5%, asinīs nav blastu un promielocītu, bazofilu daudzums &lt;20%, nav ekstramedulāras ietekmes.</w:t>
            </w:r>
          </w:p>
          <w:p w14:paraId="3D39463D" w14:textId="77777777" w:rsidR="00094AC1" w:rsidRPr="00CD729C" w:rsidRDefault="00094AC1" w:rsidP="009B4BB6">
            <w:pPr>
              <w:keepNext/>
              <w:keepLines/>
              <w:widowControl w:val="0"/>
              <w:spacing w:line="240" w:lineRule="auto"/>
              <w:rPr>
                <w:color w:val="000000"/>
                <w:szCs w:val="22"/>
              </w:rPr>
            </w:pPr>
            <w:r w:rsidRPr="00CD729C">
              <w:rPr>
                <w:b/>
                <w:color w:val="000000"/>
                <w:szCs w:val="22"/>
              </w:rPr>
              <w:t>Citoģenētiskās atbildes reakcijas kritēriji:</w:t>
            </w:r>
            <w:r w:rsidRPr="00CD729C">
              <w:rPr>
                <w:color w:val="000000"/>
                <w:szCs w:val="22"/>
              </w:rPr>
              <w:t xml:space="preserve"> pilnīga (0% Ph</w:t>
            </w:r>
            <w:r w:rsidRPr="00CD729C">
              <w:rPr>
                <w:color w:val="000000"/>
                <w:szCs w:val="22"/>
                <w:vertAlign w:val="superscript"/>
              </w:rPr>
              <w:t>+</w:t>
            </w:r>
            <w:r w:rsidRPr="00CD729C">
              <w:rPr>
                <w:color w:val="000000"/>
                <w:szCs w:val="22"/>
              </w:rPr>
              <w:t xml:space="preserve"> metafāze), daļēja (1% - 35%), neliela (36% - 65%) vai minimāla (66% - 95%). Nozīmīga atbildes reakcija (0% - 35%) apvieno daļējas un pilnīgas atbildes reakcijas.</w:t>
            </w:r>
          </w:p>
          <w:p w14:paraId="3D39463E" w14:textId="77777777" w:rsidR="00094AC1" w:rsidRPr="00CD729C" w:rsidRDefault="00094AC1" w:rsidP="009B4BB6">
            <w:pPr>
              <w:keepNext/>
              <w:keepLines/>
              <w:widowControl w:val="0"/>
              <w:spacing w:line="240" w:lineRule="auto"/>
              <w:rPr>
                <w:color w:val="000000"/>
                <w:szCs w:val="22"/>
              </w:rPr>
            </w:pPr>
            <w:r w:rsidRPr="00CD729C">
              <w:rPr>
                <w:b/>
                <w:color w:val="000000"/>
                <w:szCs w:val="22"/>
              </w:rPr>
              <w:t>Nozīmīgas molekulārās atbildes reakcijas kritēriji:</w:t>
            </w:r>
            <w:r w:rsidRPr="00CD729C">
              <w:rPr>
                <w:color w:val="000000"/>
                <w:szCs w:val="22"/>
              </w:rPr>
              <w:t xml:space="preserve"> perifērajās asinīs Bcr-Abl kopiju daudzums samazinājies </w:t>
            </w:r>
            <w:r w:rsidRPr="00CD729C">
              <w:rPr>
                <w:color w:val="000000"/>
                <w:szCs w:val="22"/>
              </w:rPr>
              <w:sym w:font="Symbol" w:char="F0B3"/>
            </w:r>
            <w:r w:rsidRPr="00CD729C">
              <w:rPr>
                <w:color w:val="000000"/>
                <w:szCs w:val="22"/>
              </w:rPr>
              <w:t>3 logaritmiem (nosakot ar reāla laika kvantitatīvo reversās transkriptāzes PCR testu), salīdzinot ar standartizētu sākumstāvokli.</w:t>
            </w:r>
          </w:p>
        </w:tc>
      </w:tr>
    </w:tbl>
    <w:p w14:paraId="3D394640" w14:textId="77777777" w:rsidR="00094AC1" w:rsidRPr="00CD729C" w:rsidRDefault="00094AC1" w:rsidP="009B4BB6">
      <w:pPr>
        <w:widowControl w:val="0"/>
        <w:spacing w:line="240" w:lineRule="auto"/>
        <w:rPr>
          <w:color w:val="000000"/>
          <w:szCs w:val="22"/>
        </w:rPr>
      </w:pPr>
    </w:p>
    <w:p w14:paraId="3D394641" w14:textId="77777777" w:rsidR="00094AC1" w:rsidRPr="00CD729C" w:rsidRDefault="00094AC1" w:rsidP="009B4BB6">
      <w:pPr>
        <w:pStyle w:val="EndnoteText"/>
        <w:widowControl w:val="0"/>
        <w:rPr>
          <w:color w:val="000000"/>
          <w:szCs w:val="22"/>
        </w:rPr>
      </w:pPr>
      <w:r w:rsidRPr="00CD729C">
        <w:rPr>
          <w:color w:val="000000"/>
          <w:szCs w:val="22"/>
        </w:rPr>
        <w:t xml:space="preserve">Pilnīgas hematoloģiskās atbildreakcijas biežums, nozīmīgas citoģenētiskās atbildreakcijas un pilnīgas citoģenētiskās atbildreakcijas biežums pēc pirmās rindas terapijas tika aprēķināts, izmantojot Kaplāna-Meijera metodi, kurā gadījumi bez atbildreakcijas tika izslēgti pēdējās izmeklēšanas dienā. Aprēķinātais kopējais atbildreakciju daudzums pēc pirmās rindas terapijas ar Glivec, lietojot šo metodi, </w:t>
      </w:r>
      <w:r w:rsidR="00D54999" w:rsidRPr="00CD729C">
        <w:rPr>
          <w:color w:val="000000"/>
          <w:szCs w:val="22"/>
        </w:rPr>
        <w:t xml:space="preserve">attiecīgi uzlabojās no 12 ārstēšanas mēnešiem uz </w:t>
      </w:r>
      <w:r w:rsidR="00233BC3" w:rsidRPr="00CD729C">
        <w:rPr>
          <w:color w:val="000000"/>
          <w:szCs w:val="22"/>
        </w:rPr>
        <w:t>84 </w:t>
      </w:r>
      <w:r w:rsidR="00D54999" w:rsidRPr="00CD729C">
        <w:rPr>
          <w:color w:val="000000"/>
          <w:szCs w:val="22"/>
        </w:rPr>
        <w:t xml:space="preserve">ārstēšanas mēnešiem, kā arī attiecīgi CHR no 96,4% uz 98,4% un CCyR no 69,5% uz </w:t>
      </w:r>
      <w:r w:rsidR="00233BC3" w:rsidRPr="00CD729C">
        <w:rPr>
          <w:color w:val="000000"/>
          <w:szCs w:val="22"/>
        </w:rPr>
        <w:t>87,2</w:t>
      </w:r>
      <w:r w:rsidR="00D54999" w:rsidRPr="00CD729C">
        <w:rPr>
          <w:color w:val="000000"/>
          <w:szCs w:val="22"/>
        </w:rPr>
        <w:t>%.</w:t>
      </w:r>
    </w:p>
    <w:p w14:paraId="3D394642" w14:textId="77777777" w:rsidR="00D54999" w:rsidRPr="00CD729C" w:rsidRDefault="00D54999" w:rsidP="009B4BB6">
      <w:pPr>
        <w:pStyle w:val="EndnoteText"/>
        <w:widowControl w:val="0"/>
        <w:rPr>
          <w:color w:val="000000"/>
          <w:szCs w:val="22"/>
        </w:rPr>
      </w:pPr>
    </w:p>
    <w:p w14:paraId="3D394643" w14:textId="77777777" w:rsidR="00094AC1" w:rsidRPr="00CD729C" w:rsidRDefault="00233BC3" w:rsidP="009B4BB6">
      <w:pPr>
        <w:pStyle w:val="EndnoteText"/>
        <w:widowControl w:val="0"/>
        <w:rPr>
          <w:color w:val="000000"/>
          <w:szCs w:val="22"/>
        </w:rPr>
      </w:pPr>
      <w:r w:rsidRPr="00CD729C">
        <w:rPr>
          <w:color w:val="000000"/>
          <w:szCs w:val="22"/>
        </w:rPr>
        <w:t>7 </w:t>
      </w:r>
      <w:r w:rsidR="00094AC1" w:rsidRPr="00CD729C">
        <w:rPr>
          <w:color w:val="000000"/>
          <w:szCs w:val="22"/>
        </w:rPr>
        <w:t xml:space="preserve">gadu ilgā novērošanas periodā Glivec grupā radās </w:t>
      </w:r>
      <w:r w:rsidRPr="00CD729C">
        <w:rPr>
          <w:color w:val="000000"/>
          <w:szCs w:val="22"/>
        </w:rPr>
        <w:t>93</w:t>
      </w:r>
      <w:r w:rsidR="007D4BF1" w:rsidRPr="00CD729C">
        <w:rPr>
          <w:color w:val="000000"/>
          <w:szCs w:val="22"/>
        </w:rPr>
        <w:t> </w:t>
      </w:r>
      <w:r w:rsidR="00094AC1" w:rsidRPr="00CD729C">
        <w:rPr>
          <w:color w:val="000000"/>
          <w:szCs w:val="22"/>
        </w:rPr>
        <w:t>(</w:t>
      </w:r>
      <w:r w:rsidRPr="00CD729C">
        <w:rPr>
          <w:color w:val="000000"/>
          <w:szCs w:val="22"/>
        </w:rPr>
        <w:t>16,8</w:t>
      </w:r>
      <w:r w:rsidR="00094AC1" w:rsidRPr="00CD729C">
        <w:rPr>
          <w:color w:val="000000"/>
          <w:szCs w:val="22"/>
        </w:rPr>
        <w:t xml:space="preserve">%) progresēšanas gadījumi: </w:t>
      </w:r>
      <w:r w:rsidRPr="00CD729C">
        <w:rPr>
          <w:color w:val="000000"/>
          <w:szCs w:val="22"/>
        </w:rPr>
        <w:t>37</w:t>
      </w:r>
      <w:r w:rsidR="007D4BF1" w:rsidRPr="00CD729C">
        <w:rPr>
          <w:color w:val="000000"/>
          <w:szCs w:val="22"/>
        </w:rPr>
        <w:t> </w:t>
      </w:r>
      <w:r w:rsidR="00094AC1" w:rsidRPr="00CD729C">
        <w:rPr>
          <w:color w:val="000000"/>
          <w:szCs w:val="22"/>
        </w:rPr>
        <w:t>(</w:t>
      </w:r>
      <w:r w:rsidRPr="00CD729C">
        <w:rPr>
          <w:color w:val="000000"/>
          <w:szCs w:val="22"/>
        </w:rPr>
        <w:t>6,7</w:t>
      </w:r>
      <w:r w:rsidR="00094AC1" w:rsidRPr="00CD729C">
        <w:rPr>
          <w:color w:val="000000"/>
          <w:szCs w:val="22"/>
        </w:rPr>
        <w:t xml:space="preserve">%) bija progresija uz paasinājuma fāzi/blastu krīzi, </w:t>
      </w:r>
      <w:r w:rsidRPr="00CD729C">
        <w:rPr>
          <w:color w:val="000000"/>
          <w:szCs w:val="22"/>
        </w:rPr>
        <w:t>31</w:t>
      </w:r>
      <w:r w:rsidR="007D4BF1" w:rsidRPr="00CD729C">
        <w:rPr>
          <w:color w:val="000000"/>
          <w:szCs w:val="22"/>
        </w:rPr>
        <w:t> </w:t>
      </w:r>
      <w:r w:rsidR="00094AC1" w:rsidRPr="00CD729C">
        <w:rPr>
          <w:color w:val="000000"/>
          <w:szCs w:val="22"/>
        </w:rPr>
        <w:t>(</w:t>
      </w:r>
      <w:r w:rsidRPr="00CD729C">
        <w:rPr>
          <w:color w:val="000000"/>
          <w:szCs w:val="22"/>
        </w:rPr>
        <w:t>5,6</w:t>
      </w:r>
      <w:r w:rsidR="00094AC1" w:rsidRPr="00CD729C">
        <w:rPr>
          <w:color w:val="000000"/>
          <w:szCs w:val="22"/>
        </w:rPr>
        <w:t xml:space="preserve">%) McyR zudums, </w:t>
      </w:r>
      <w:r w:rsidRPr="00CD729C">
        <w:rPr>
          <w:color w:val="000000"/>
          <w:szCs w:val="22"/>
        </w:rPr>
        <w:t>15</w:t>
      </w:r>
      <w:r w:rsidR="007D4BF1" w:rsidRPr="00CD729C">
        <w:rPr>
          <w:color w:val="000000"/>
          <w:szCs w:val="22"/>
        </w:rPr>
        <w:t> </w:t>
      </w:r>
      <w:r w:rsidR="00094AC1" w:rsidRPr="00CD729C">
        <w:rPr>
          <w:color w:val="000000"/>
          <w:szCs w:val="22"/>
        </w:rPr>
        <w:t>(</w:t>
      </w:r>
      <w:r w:rsidRPr="00CD729C">
        <w:rPr>
          <w:color w:val="000000"/>
          <w:szCs w:val="22"/>
        </w:rPr>
        <w:t>2,7</w:t>
      </w:r>
      <w:r w:rsidR="00094AC1" w:rsidRPr="00CD729C">
        <w:rPr>
          <w:color w:val="000000"/>
          <w:szCs w:val="22"/>
        </w:rPr>
        <w:t xml:space="preserve">%) CHR zudums vai leikocītu skaita palielināšanās un </w:t>
      </w:r>
      <w:r w:rsidRPr="00CD729C">
        <w:rPr>
          <w:color w:val="000000"/>
          <w:szCs w:val="22"/>
        </w:rPr>
        <w:t>10</w:t>
      </w:r>
      <w:r w:rsidR="007D4BF1" w:rsidRPr="00CD729C">
        <w:rPr>
          <w:color w:val="000000"/>
          <w:szCs w:val="22"/>
        </w:rPr>
        <w:t> </w:t>
      </w:r>
      <w:r w:rsidR="00094AC1" w:rsidRPr="00CD729C">
        <w:rPr>
          <w:color w:val="000000"/>
          <w:szCs w:val="22"/>
        </w:rPr>
        <w:t>(</w:t>
      </w:r>
      <w:r w:rsidRPr="00CD729C">
        <w:rPr>
          <w:color w:val="000000"/>
          <w:szCs w:val="22"/>
        </w:rPr>
        <w:t>1,8</w:t>
      </w:r>
      <w:r w:rsidR="00094AC1" w:rsidRPr="00CD729C">
        <w:rPr>
          <w:color w:val="000000"/>
          <w:szCs w:val="22"/>
        </w:rPr>
        <w:t xml:space="preserve">%) bija ar CML nesaistīta nāve. Pretēji tam IFN+Ara-C grupā </w:t>
      </w:r>
      <w:r w:rsidR="00094AC1" w:rsidRPr="00CD729C">
        <w:rPr>
          <w:color w:val="000000"/>
          <w:szCs w:val="22"/>
        </w:rPr>
        <w:lastRenderedPageBreak/>
        <w:t xml:space="preserve">bija </w:t>
      </w:r>
      <w:r w:rsidRPr="00CD729C">
        <w:rPr>
          <w:color w:val="000000"/>
          <w:szCs w:val="22"/>
        </w:rPr>
        <w:t>165</w:t>
      </w:r>
      <w:r w:rsidR="007D4BF1" w:rsidRPr="00CD729C">
        <w:rPr>
          <w:color w:val="000000"/>
          <w:szCs w:val="22"/>
        </w:rPr>
        <w:t> </w:t>
      </w:r>
      <w:r w:rsidR="00094AC1" w:rsidRPr="00CD729C">
        <w:rPr>
          <w:color w:val="000000"/>
          <w:szCs w:val="22"/>
        </w:rPr>
        <w:t>(</w:t>
      </w:r>
      <w:r w:rsidRPr="00CD729C">
        <w:rPr>
          <w:color w:val="000000"/>
          <w:szCs w:val="22"/>
        </w:rPr>
        <w:t>29,8</w:t>
      </w:r>
      <w:r w:rsidR="00094AC1" w:rsidRPr="00CD729C">
        <w:rPr>
          <w:color w:val="000000"/>
          <w:szCs w:val="22"/>
        </w:rPr>
        <w:t xml:space="preserve">%) progresēšanas gadījumi, no kuriem </w:t>
      </w:r>
      <w:r w:rsidRPr="00CD729C">
        <w:rPr>
          <w:color w:val="000000"/>
          <w:szCs w:val="22"/>
        </w:rPr>
        <w:t>130 </w:t>
      </w:r>
      <w:r w:rsidR="00094AC1" w:rsidRPr="00CD729C">
        <w:rPr>
          <w:color w:val="000000"/>
          <w:szCs w:val="22"/>
        </w:rPr>
        <w:t>radās pirmās rindas terapijas laikā ar IFN+Ara-C.</w:t>
      </w:r>
    </w:p>
    <w:p w14:paraId="3D394644" w14:textId="77777777" w:rsidR="00335734" w:rsidRPr="00CD729C" w:rsidRDefault="00335734" w:rsidP="009B4BB6">
      <w:pPr>
        <w:widowControl w:val="0"/>
        <w:spacing w:line="240" w:lineRule="auto"/>
        <w:rPr>
          <w:color w:val="000000"/>
          <w:szCs w:val="22"/>
        </w:rPr>
      </w:pPr>
    </w:p>
    <w:p w14:paraId="3D394645" w14:textId="77777777" w:rsidR="00335734" w:rsidRPr="00CD729C" w:rsidRDefault="00335734" w:rsidP="009B4BB6">
      <w:pPr>
        <w:widowControl w:val="0"/>
        <w:spacing w:line="240" w:lineRule="auto"/>
        <w:rPr>
          <w:color w:val="000000"/>
          <w:szCs w:val="22"/>
        </w:rPr>
      </w:pPr>
      <w:r w:rsidRPr="00CD729C">
        <w:rPr>
          <w:color w:val="000000"/>
          <w:szCs w:val="22"/>
        </w:rPr>
        <w:t xml:space="preserve">Aprēķinātais pacientu daudzums bez progresēšanas uz paasinājumu vai blastu krīzi pēc </w:t>
      </w:r>
      <w:r w:rsidR="00233BC3" w:rsidRPr="00CD729C">
        <w:rPr>
          <w:color w:val="000000"/>
          <w:szCs w:val="22"/>
        </w:rPr>
        <w:t>84 </w:t>
      </w:r>
      <w:r w:rsidRPr="00CD729C">
        <w:rPr>
          <w:color w:val="000000"/>
          <w:szCs w:val="22"/>
        </w:rPr>
        <w:t>mēnešiem bija ievērojami lielāks Glivec grupā, salīdzinot ar IFN grupu (</w:t>
      </w:r>
      <w:r w:rsidR="00233BC3" w:rsidRPr="00CD729C">
        <w:rPr>
          <w:color w:val="000000"/>
          <w:szCs w:val="22"/>
        </w:rPr>
        <w:t>92,5</w:t>
      </w:r>
      <w:r w:rsidRPr="00CD729C">
        <w:rPr>
          <w:color w:val="000000"/>
          <w:szCs w:val="22"/>
        </w:rPr>
        <w:t xml:space="preserve">% pret </w:t>
      </w:r>
      <w:r w:rsidR="00233BC3" w:rsidRPr="00CD729C">
        <w:rPr>
          <w:color w:val="000000"/>
          <w:szCs w:val="22"/>
        </w:rPr>
        <w:t>85,1</w:t>
      </w:r>
      <w:r w:rsidRPr="00CD729C">
        <w:rPr>
          <w:color w:val="000000"/>
          <w:szCs w:val="22"/>
        </w:rPr>
        <w:t xml:space="preserve">% pacientu, p&lt;0,001). Ikgadējais progresēšanas biežums </w:t>
      </w:r>
      <w:r w:rsidR="00D54999" w:rsidRPr="00CD729C">
        <w:rPr>
          <w:color w:val="000000"/>
          <w:szCs w:val="22"/>
        </w:rPr>
        <w:t xml:space="preserve">līdz paasinājuma fāzei vai blastu krīzei </w:t>
      </w:r>
      <w:r w:rsidRPr="00CD729C">
        <w:rPr>
          <w:color w:val="000000"/>
          <w:szCs w:val="22"/>
        </w:rPr>
        <w:t>mazinājās līdz ar terapijas ilgumu</w:t>
      </w:r>
      <w:r w:rsidR="00D54999" w:rsidRPr="00CD729C">
        <w:rPr>
          <w:color w:val="000000"/>
          <w:szCs w:val="22"/>
        </w:rPr>
        <w:t xml:space="preserve"> un ceturtajā un piektajā gadā bija mazāks nekā 1%</w:t>
      </w:r>
      <w:r w:rsidRPr="00CD729C">
        <w:rPr>
          <w:color w:val="000000"/>
          <w:szCs w:val="22"/>
        </w:rPr>
        <w:t xml:space="preserve">. Aprēķinātā dzīvildze bez slimības progresēšanas pēc </w:t>
      </w:r>
      <w:r w:rsidR="00233BC3" w:rsidRPr="00CD729C">
        <w:rPr>
          <w:color w:val="000000"/>
          <w:szCs w:val="22"/>
        </w:rPr>
        <w:t>84 </w:t>
      </w:r>
      <w:r w:rsidRPr="00CD729C">
        <w:rPr>
          <w:color w:val="000000"/>
          <w:szCs w:val="22"/>
        </w:rPr>
        <w:t xml:space="preserve">mēnešiem bija </w:t>
      </w:r>
      <w:r w:rsidR="00233BC3" w:rsidRPr="00CD729C">
        <w:rPr>
          <w:color w:val="000000"/>
          <w:szCs w:val="22"/>
        </w:rPr>
        <w:t>81,2</w:t>
      </w:r>
      <w:r w:rsidRPr="00CD729C">
        <w:rPr>
          <w:color w:val="000000"/>
          <w:szCs w:val="22"/>
        </w:rPr>
        <w:t xml:space="preserve">% Glivec grupā un </w:t>
      </w:r>
      <w:r w:rsidR="00233BC3" w:rsidRPr="00CD729C">
        <w:rPr>
          <w:color w:val="000000"/>
          <w:szCs w:val="22"/>
        </w:rPr>
        <w:t>60,6</w:t>
      </w:r>
      <w:r w:rsidRPr="00CD729C">
        <w:rPr>
          <w:color w:val="000000"/>
          <w:szCs w:val="22"/>
        </w:rPr>
        <w:t xml:space="preserve">% kontroles grupā (p&lt;0,001). Ikgadējais progresēšanas biežums </w:t>
      </w:r>
      <w:r w:rsidR="00AC4E6C" w:rsidRPr="00CD729C">
        <w:rPr>
          <w:color w:val="000000"/>
          <w:szCs w:val="22"/>
        </w:rPr>
        <w:t xml:space="preserve">jebkurā </w:t>
      </w:r>
      <w:r w:rsidRPr="00CD729C">
        <w:rPr>
          <w:color w:val="000000"/>
          <w:szCs w:val="22"/>
        </w:rPr>
        <w:t xml:space="preserve">Glivec grupā </w:t>
      </w:r>
      <w:r w:rsidR="00AC4E6C" w:rsidRPr="00CD729C">
        <w:rPr>
          <w:color w:val="000000"/>
          <w:szCs w:val="22"/>
        </w:rPr>
        <w:t>laika gaitā arī samazinājās.</w:t>
      </w:r>
    </w:p>
    <w:p w14:paraId="3D394646" w14:textId="77777777" w:rsidR="00335734" w:rsidRPr="00CD729C" w:rsidRDefault="00335734" w:rsidP="009B4BB6">
      <w:pPr>
        <w:pStyle w:val="EndnoteText"/>
        <w:widowControl w:val="0"/>
        <w:rPr>
          <w:color w:val="000000"/>
          <w:szCs w:val="22"/>
        </w:rPr>
      </w:pPr>
    </w:p>
    <w:p w14:paraId="3D394647" w14:textId="77777777" w:rsidR="00335734" w:rsidRPr="00CD729C" w:rsidRDefault="00335734" w:rsidP="009B4BB6">
      <w:pPr>
        <w:pStyle w:val="EndnoteText"/>
        <w:widowControl w:val="0"/>
        <w:rPr>
          <w:color w:val="000000"/>
          <w:szCs w:val="22"/>
        </w:rPr>
      </w:pPr>
      <w:r w:rsidRPr="00CD729C">
        <w:rPr>
          <w:color w:val="000000"/>
          <w:szCs w:val="22"/>
        </w:rPr>
        <w:t xml:space="preserve">Glivec un IFN+Ara-C grupās kopumā nomira attiecīgi </w:t>
      </w:r>
      <w:r w:rsidR="00233BC3" w:rsidRPr="00CD729C">
        <w:rPr>
          <w:color w:val="000000"/>
          <w:szCs w:val="22"/>
        </w:rPr>
        <w:t>71</w:t>
      </w:r>
      <w:r w:rsidR="007D4BF1" w:rsidRPr="00CD729C">
        <w:rPr>
          <w:color w:val="000000"/>
          <w:szCs w:val="22"/>
        </w:rPr>
        <w:t> </w:t>
      </w:r>
      <w:r w:rsidRPr="00CD729C">
        <w:rPr>
          <w:color w:val="000000"/>
          <w:szCs w:val="22"/>
        </w:rPr>
        <w:t>(</w:t>
      </w:r>
      <w:r w:rsidR="00233BC3" w:rsidRPr="00CD729C">
        <w:rPr>
          <w:color w:val="000000"/>
          <w:szCs w:val="22"/>
        </w:rPr>
        <w:t>12,8</w:t>
      </w:r>
      <w:r w:rsidRPr="00CD729C">
        <w:rPr>
          <w:color w:val="000000"/>
          <w:szCs w:val="22"/>
        </w:rPr>
        <w:t xml:space="preserve">%) un </w:t>
      </w:r>
      <w:r w:rsidR="00233BC3" w:rsidRPr="00CD729C">
        <w:rPr>
          <w:color w:val="000000"/>
          <w:szCs w:val="22"/>
        </w:rPr>
        <w:t>85</w:t>
      </w:r>
      <w:r w:rsidR="007D4BF1" w:rsidRPr="00CD729C">
        <w:rPr>
          <w:color w:val="000000"/>
          <w:szCs w:val="22"/>
        </w:rPr>
        <w:t> </w:t>
      </w:r>
      <w:r w:rsidRPr="00CD729C">
        <w:rPr>
          <w:color w:val="000000"/>
          <w:szCs w:val="22"/>
        </w:rPr>
        <w:t>(</w:t>
      </w:r>
      <w:r w:rsidR="00233BC3" w:rsidRPr="00CD729C">
        <w:rPr>
          <w:color w:val="000000"/>
          <w:szCs w:val="22"/>
        </w:rPr>
        <w:t>15,4</w:t>
      </w:r>
      <w:r w:rsidRPr="00CD729C">
        <w:rPr>
          <w:color w:val="000000"/>
          <w:szCs w:val="22"/>
        </w:rPr>
        <w:t xml:space="preserve">%) pacienti. Pēc </w:t>
      </w:r>
      <w:r w:rsidR="00233BC3" w:rsidRPr="00CD729C">
        <w:rPr>
          <w:color w:val="000000"/>
          <w:szCs w:val="22"/>
        </w:rPr>
        <w:t>84 </w:t>
      </w:r>
      <w:r w:rsidRPr="00CD729C">
        <w:rPr>
          <w:color w:val="000000"/>
          <w:szCs w:val="22"/>
        </w:rPr>
        <w:t xml:space="preserve">mēnešiem aprēķinātā vispārējā dzīvildze ir attiecīgi </w:t>
      </w:r>
      <w:r w:rsidR="00233BC3" w:rsidRPr="00CD729C">
        <w:rPr>
          <w:color w:val="000000"/>
          <w:szCs w:val="22"/>
        </w:rPr>
        <w:t>86,4</w:t>
      </w:r>
      <w:r w:rsidRPr="00CD729C">
        <w:rPr>
          <w:color w:val="000000"/>
          <w:szCs w:val="22"/>
        </w:rPr>
        <w:t>% (</w:t>
      </w:r>
      <w:r w:rsidR="00233BC3" w:rsidRPr="00CD729C">
        <w:rPr>
          <w:color w:val="000000"/>
          <w:szCs w:val="22"/>
        </w:rPr>
        <w:t>83</w:t>
      </w:r>
      <w:r w:rsidRPr="00CD729C">
        <w:rPr>
          <w:color w:val="000000"/>
          <w:szCs w:val="22"/>
        </w:rPr>
        <w:t xml:space="preserve">, </w:t>
      </w:r>
      <w:r w:rsidR="00233BC3" w:rsidRPr="00CD729C">
        <w:rPr>
          <w:color w:val="000000"/>
          <w:szCs w:val="22"/>
        </w:rPr>
        <w:t>90</w:t>
      </w:r>
      <w:r w:rsidRPr="00CD729C">
        <w:rPr>
          <w:color w:val="000000"/>
          <w:szCs w:val="22"/>
        </w:rPr>
        <w:t xml:space="preserve">) pret </w:t>
      </w:r>
      <w:r w:rsidR="00233BC3" w:rsidRPr="00CD729C">
        <w:rPr>
          <w:color w:val="000000"/>
          <w:szCs w:val="22"/>
        </w:rPr>
        <w:t>83,3</w:t>
      </w:r>
      <w:r w:rsidRPr="00CD729C">
        <w:rPr>
          <w:color w:val="000000"/>
          <w:szCs w:val="22"/>
        </w:rPr>
        <w:t>% (</w:t>
      </w:r>
      <w:r w:rsidR="00233BC3" w:rsidRPr="00CD729C">
        <w:rPr>
          <w:color w:val="000000"/>
          <w:szCs w:val="22"/>
        </w:rPr>
        <w:t>80</w:t>
      </w:r>
      <w:r w:rsidRPr="00CD729C">
        <w:rPr>
          <w:color w:val="000000"/>
          <w:szCs w:val="22"/>
        </w:rPr>
        <w:t xml:space="preserve">, </w:t>
      </w:r>
      <w:r w:rsidR="00233BC3" w:rsidRPr="00CD729C">
        <w:rPr>
          <w:color w:val="000000"/>
          <w:szCs w:val="22"/>
        </w:rPr>
        <w:t>87</w:t>
      </w:r>
      <w:r w:rsidRPr="00CD729C">
        <w:rPr>
          <w:color w:val="000000"/>
          <w:szCs w:val="22"/>
        </w:rPr>
        <w:t>) randomizētās Glivec un IFN+Ara-C grupās (p=0,</w:t>
      </w:r>
      <w:r w:rsidR="00233BC3" w:rsidRPr="00CD729C">
        <w:rPr>
          <w:color w:val="000000"/>
          <w:szCs w:val="22"/>
        </w:rPr>
        <w:t>073</w:t>
      </w:r>
      <w:r w:rsidRPr="00CD729C">
        <w:rPr>
          <w:color w:val="000000"/>
          <w:szCs w:val="22"/>
        </w:rPr>
        <w:t xml:space="preserve">, log-rindas tests). Šo laika līdz gadījumam iznākumu stipri ietekmē lielais terapijas maiņas biežums no IFN+Ara-C uz Glivec. Glivec terapijas ietekme uz dzīvildzi nesen diagnosticētas CML hroniskas fāzes gadījumā tika papildus pārbaudīta retrospektīvā iepriekš ziņoto Glivec datu analīzē, salīdzinot ar primāriem datiem no cita 3. fāzes pētījuma, kurā tika lietots IFN+Ara-C (n=325) identiskā terapijas shēmā. </w:t>
      </w:r>
      <w:r w:rsidR="00E6099A" w:rsidRPr="00CD729C">
        <w:rPr>
          <w:color w:val="000000"/>
          <w:szCs w:val="22"/>
        </w:rPr>
        <w:t>Šai retrospektīvajā</w:t>
      </w:r>
      <w:r w:rsidRPr="00CD729C">
        <w:rPr>
          <w:color w:val="000000"/>
          <w:szCs w:val="22"/>
        </w:rPr>
        <w:t xml:space="preserve"> analīzē tika pierādīts Glivec pārākums pār IFN+Ara-C vispārējās dzīvildzes ziņā (p&lt;0,001); 42 mēnešu laikā nomira 47 (8,5%) Glivec pacienti un 63 (19,4%) IFN+Ara-C pacienti.</w:t>
      </w:r>
    </w:p>
    <w:p w14:paraId="3D394648" w14:textId="77777777" w:rsidR="00335734" w:rsidRPr="00CD729C" w:rsidRDefault="00335734" w:rsidP="009B4BB6">
      <w:pPr>
        <w:pStyle w:val="EndnoteText"/>
        <w:widowControl w:val="0"/>
        <w:rPr>
          <w:color w:val="000000"/>
          <w:szCs w:val="22"/>
        </w:rPr>
      </w:pPr>
    </w:p>
    <w:p w14:paraId="3D394649" w14:textId="77777777" w:rsidR="00335734" w:rsidRPr="00CD729C" w:rsidRDefault="00335734" w:rsidP="009B4BB6">
      <w:pPr>
        <w:pStyle w:val="EndnoteText"/>
        <w:widowControl w:val="0"/>
        <w:rPr>
          <w:color w:val="000000"/>
          <w:szCs w:val="22"/>
        </w:rPr>
      </w:pPr>
      <w:r w:rsidRPr="00CD729C">
        <w:rPr>
          <w:color w:val="000000"/>
          <w:szCs w:val="22"/>
        </w:rPr>
        <w:t xml:space="preserve">Pacientiem Glivec grupā citoģenētiskās </w:t>
      </w:r>
      <w:r w:rsidR="0052257F" w:rsidRPr="00CD729C">
        <w:rPr>
          <w:color w:val="000000"/>
          <w:szCs w:val="22"/>
        </w:rPr>
        <w:t xml:space="preserve">un molekulārās </w:t>
      </w:r>
      <w:r w:rsidRPr="00CD729C">
        <w:rPr>
          <w:color w:val="000000"/>
          <w:szCs w:val="22"/>
        </w:rPr>
        <w:t xml:space="preserve">atbildreakcijas pakāpei bija skaidri redzama ietekme uz ilgstošiem iznākumiem. Tika aprēķināts, ka </w:t>
      </w:r>
      <w:r w:rsidR="00233BC3" w:rsidRPr="00CD729C">
        <w:rPr>
          <w:color w:val="000000"/>
          <w:szCs w:val="22"/>
        </w:rPr>
        <w:t>96</w:t>
      </w:r>
      <w:r w:rsidRPr="00CD729C">
        <w:rPr>
          <w:color w:val="000000"/>
          <w:szCs w:val="22"/>
        </w:rPr>
        <w:t xml:space="preserve">% (93%) pacientu ar CCyR (PCyR) pēc 12 mēnešiem, nebija radusies progresēšana uz paasinājuma fāzi/blastu krīzi pēc </w:t>
      </w:r>
      <w:r w:rsidR="00233BC3" w:rsidRPr="00CD729C">
        <w:rPr>
          <w:color w:val="000000"/>
          <w:szCs w:val="22"/>
        </w:rPr>
        <w:t>84 </w:t>
      </w:r>
      <w:r w:rsidRPr="00CD729C">
        <w:rPr>
          <w:color w:val="000000"/>
          <w:szCs w:val="22"/>
        </w:rPr>
        <w:t xml:space="preserve">mēnešiem, bet tikai 81% pacientiem bez MCyR pēc 12 mēnešiem, nebija radusies progresēšana uz smagāku CML pēc </w:t>
      </w:r>
      <w:r w:rsidR="00233BC3" w:rsidRPr="00CD729C">
        <w:rPr>
          <w:color w:val="000000"/>
          <w:szCs w:val="22"/>
        </w:rPr>
        <w:t>84 </w:t>
      </w:r>
      <w:r w:rsidRPr="00CD729C">
        <w:rPr>
          <w:color w:val="000000"/>
          <w:szCs w:val="22"/>
        </w:rPr>
        <w:t>mēnešiem (p&lt;0,001 kopumā, p=0,</w:t>
      </w:r>
      <w:r w:rsidR="00233BC3" w:rsidRPr="00CD729C">
        <w:rPr>
          <w:color w:val="000000"/>
          <w:szCs w:val="22"/>
        </w:rPr>
        <w:t>25</w:t>
      </w:r>
      <w:r w:rsidR="005F78CA" w:rsidRPr="00CD729C">
        <w:rPr>
          <w:color w:val="000000"/>
          <w:szCs w:val="22"/>
        </w:rPr>
        <w:t> </w:t>
      </w:r>
      <w:r w:rsidRPr="00CD729C">
        <w:rPr>
          <w:color w:val="000000"/>
          <w:szCs w:val="22"/>
        </w:rPr>
        <w:t xml:space="preserve">starp CCyR un PCyR). </w:t>
      </w:r>
      <w:r w:rsidR="0052257F" w:rsidRPr="00CD729C">
        <w:rPr>
          <w:color w:val="000000"/>
          <w:szCs w:val="22"/>
        </w:rPr>
        <w:t>Pacientiem ar Bcr-Abl transkripcijas samazinājumu vismaz par 3 logaritmiem 12 mēnešu laikā iespējamība, ka neatkārtosies paasinājuma fāze/blastu krīze</w:t>
      </w:r>
      <w:r w:rsidR="005B0AC0" w:rsidRPr="00CD729C">
        <w:rPr>
          <w:color w:val="000000"/>
          <w:szCs w:val="22"/>
        </w:rPr>
        <w:t>s,</w:t>
      </w:r>
      <w:r w:rsidR="0052257F" w:rsidRPr="00CD729C">
        <w:rPr>
          <w:color w:val="000000"/>
          <w:szCs w:val="22"/>
        </w:rPr>
        <w:t xml:space="preserve"> ir </w:t>
      </w:r>
      <w:r w:rsidR="00233BC3" w:rsidRPr="00CD729C">
        <w:rPr>
          <w:color w:val="000000"/>
          <w:szCs w:val="22"/>
        </w:rPr>
        <w:t>99</w:t>
      </w:r>
      <w:r w:rsidR="0052257F" w:rsidRPr="00CD729C">
        <w:rPr>
          <w:color w:val="000000"/>
          <w:szCs w:val="22"/>
        </w:rPr>
        <w:t xml:space="preserve">% </w:t>
      </w:r>
      <w:r w:rsidR="00233BC3" w:rsidRPr="00CD729C">
        <w:rPr>
          <w:color w:val="000000"/>
          <w:szCs w:val="22"/>
        </w:rPr>
        <w:t>84 </w:t>
      </w:r>
      <w:r w:rsidR="0052257F" w:rsidRPr="00CD729C">
        <w:rPr>
          <w:color w:val="000000"/>
          <w:szCs w:val="22"/>
        </w:rPr>
        <w:t xml:space="preserve">mēnešu periodā. </w:t>
      </w:r>
      <w:r w:rsidR="005B0AC0" w:rsidRPr="00CD729C">
        <w:rPr>
          <w:color w:val="000000"/>
          <w:szCs w:val="22"/>
        </w:rPr>
        <w:t xml:space="preserve">Līdzīgi rādītāji tika iegūti izvēloties par atskaites punktu </w:t>
      </w:r>
      <w:r w:rsidR="0052257F" w:rsidRPr="00CD729C">
        <w:rPr>
          <w:color w:val="000000"/>
          <w:szCs w:val="22"/>
        </w:rPr>
        <w:t>18-m</w:t>
      </w:r>
      <w:r w:rsidR="005B0AC0" w:rsidRPr="00CD729C">
        <w:rPr>
          <w:color w:val="000000"/>
          <w:szCs w:val="22"/>
        </w:rPr>
        <w:t>ēnešu periodu.</w:t>
      </w:r>
    </w:p>
    <w:p w14:paraId="3D39464A" w14:textId="77777777" w:rsidR="005117C7" w:rsidRPr="00CD729C" w:rsidRDefault="005117C7" w:rsidP="009B4BB6">
      <w:pPr>
        <w:widowControl w:val="0"/>
        <w:spacing w:line="240" w:lineRule="auto"/>
        <w:rPr>
          <w:color w:val="000000"/>
          <w:szCs w:val="22"/>
        </w:rPr>
      </w:pPr>
    </w:p>
    <w:p w14:paraId="3D39464B" w14:textId="77777777" w:rsidR="005117C7" w:rsidRPr="00CD729C" w:rsidRDefault="005117C7" w:rsidP="009B4BB6">
      <w:pPr>
        <w:widowControl w:val="0"/>
        <w:spacing w:line="240" w:lineRule="auto"/>
        <w:rPr>
          <w:color w:val="000000"/>
          <w:szCs w:val="22"/>
        </w:rPr>
      </w:pPr>
      <w:r w:rsidRPr="00CD729C">
        <w:rPr>
          <w:color w:val="000000"/>
          <w:szCs w:val="22"/>
        </w:rPr>
        <w:t>Šajā pētījumā bija pieļaujama devas palielināšana no 400</w:t>
      </w:r>
      <w:r w:rsidR="00A33932" w:rsidRPr="00CD729C">
        <w:rPr>
          <w:color w:val="000000"/>
          <w:szCs w:val="22"/>
        </w:rPr>
        <w:t> </w:t>
      </w:r>
      <w:r w:rsidRPr="00CD729C">
        <w:rPr>
          <w:color w:val="000000"/>
          <w:szCs w:val="22"/>
        </w:rPr>
        <w:t>mg dienā līdz 600</w:t>
      </w:r>
      <w:r w:rsidR="00A33932" w:rsidRPr="00CD729C">
        <w:rPr>
          <w:color w:val="000000"/>
          <w:szCs w:val="22"/>
        </w:rPr>
        <w:t> </w:t>
      </w:r>
      <w:r w:rsidRPr="00CD729C">
        <w:rPr>
          <w:color w:val="000000"/>
          <w:szCs w:val="22"/>
        </w:rPr>
        <w:t>mg dienā, pēc tam no 600</w:t>
      </w:r>
      <w:r w:rsidR="00A33932" w:rsidRPr="00CD729C">
        <w:rPr>
          <w:color w:val="000000"/>
          <w:szCs w:val="22"/>
        </w:rPr>
        <w:t> </w:t>
      </w:r>
      <w:r w:rsidRPr="00CD729C">
        <w:rPr>
          <w:color w:val="000000"/>
          <w:szCs w:val="22"/>
        </w:rPr>
        <w:t>mg dienā līdz 800</w:t>
      </w:r>
      <w:r w:rsidR="00A33932" w:rsidRPr="00CD729C">
        <w:rPr>
          <w:color w:val="000000"/>
          <w:szCs w:val="22"/>
        </w:rPr>
        <w:t> </w:t>
      </w:r>
      <w:r w:rsidRPr="00CD729C">
        <w:rPr>
          <w:color w:val="000000"/>
          <w:szCs w:val="22"/>
        </w:rPr>
        <w:t>mg dienā. Pēc 42</w:t>
      </w:r>
      <w:r w:rsidR="00A33932" w:rsidRPr="00CD729C">
        <w:rPr>
          <w:color w:val="000000"/>
          <w:szCs w:val="22"/>
        </w:rPr>
        <w:t> </w:t>
      </w:r>
      <w:r w:rsidRPr="00CD729C">
        <w:rPr>
          <w:color w:val="000000"/>
          <w:szCs w:val="22"/>
        </w:rPr>
        <w:t>mēnešus ilgas novērošanas 11</w:t>
      </w:r>
      <w:r w:rsidR="00E825C0" w:rsidRPr="00CD729C">
        <w:rPr>
          <w:color w:val="000000"/>
          <w:szCs w:val="22"/>
        </w:rPr>
        <w:t> </w:t>
      </w:r>
      <w:r w:rsidRPr="00CD729C">
        <w:rPr>
          <w:color w:val="000000"/>
          <w:szCs w:val="22"/>
        </w:rPr>
        <w:t>pacientiem konstatēja apstiprinātu citoģenētiskās atbildes reakcijas zudumu (4</w:t>
      </w:r>
      <w:r w:rsidR="00E825C0" w:rsidRPr="00CD729C">
        <w:rPr>
          <w:color w:val="000000"/>
          <w:szCs w:val="22"/>
        </w:rPr>
        <w:t> </w:t>
      </w:r>
      <w:r w:rsidRPr="00CD729C">
        <w:rPr>
          <w:color w:val="000000"/>
          <w:szCs w:val="22"/>
        </w:rPr>
        <w:t>nedēļu laikā). No šiem 11</w:t>
      </w:r>
      <w:r w:rsidR="00E825C0" w:rsidRPr="00CD729C">
        <w:rPr>
          <w:color w:val="000000"/>
          <w:szCs w:val="22"/>
        </w:rPr>
        <w:t> </w:t>
      </w:r>
      <w:r w:rsidRPr="00CD729C">
        <w:rPr>
          <w:color w:val="000000"/>
          <w:szCs w:val="22"/>
        </w:rPr>
        <w:t>pacientiem</w:t>
      </w:r>
      <w:r w:rsidR="006236F0" w:rsidRPr="00CD729C">
        <w:rPr>
          <w:color w:val="000000"/>
          <w:szCs w:val="22"/>
        </w:rPr>
        <w:t>,</w:t>
      </w:r>
      <w:r w:rsidRPr="00CD729C">
        <w:rPr>
          <w:color w:val="000000"/>
          <w:szCs w:val="22"/>
        </w:rPr>
        <w:t xml:space="preserve"> 4</w:t>
      </w:r>
      <w:r w:rsidR="00E825C0" w:rsidRPr="00CD729C">
        <w:rPr>
          <w:color w:val="000000"/>
          <w:szCs w:val="22"/>
        </w:rPr>
        <w:t> </w:t>
      </w:r>
      <w:r w:rsidRPr="00CD729C">
        <w:rPr>
          <w:color w:val="000000"/>
          <w:szCs w:val="22"/>
        </w:rPr>
        <w:t>pacientiem devu palielināja līdz 800</w:t>
      </w:r>
      <w:r w:rsidR="00A33932" w:rsidRPr="00CD729C">
        <w:rPr>
          <w:color w:val="000000"/>
          <w:szCs w:val="22"/>
        </w:rPr>
        <w:t> </w:t>
      </w:r>
      <w:r w:rsidRPr="00CD729C">
        <w:rPr>
          <w:color w:val="000000"/>
          <w:szCs w:val="22"/>
        </w:rPr>
        <w:t>mg dienā, 2 no tiem atguva citoģenētisko atbildes reakciju (1</w:t>
      </w:r>
      <w:r w:rsidR="00E825C0" w:rsidRPr="00CD729C">
        <w:rPr>
          <w:color w:val="000000"/>
          <w:szCs w:val="22"/>
        </w:rPr>
        <w:t> </w:t>
      </w:r>
      <w:r w:rsidRPr="00CD729C">
        <w:rPr>
          <w:color w:val="000000"/>
          <w:szCs w:val="22"/>
        </w:rPr>
        <w:t>daļēji un 1</w:t>
      </w:r>
      <w:r w:rsidR="00E825C0" w:rsidRPr="00CD729C">
        <w:rPr>
          <w:color w:val="000000"/>
          <w:szCs w:val="22"/>
        </w:rPr>
        <w:t> </w:t>
      </w:r>
      <w:r w:rsidRPr="00CD729C">
        <w:rPr>
          <w:color w:val="000000"/>
          <w:szCs w:val="22"/>
        </w:rPr>
        <w:t>pilnībā, pēdējam tika sasniegta arī molekulārā atbildes reakcija), bet no 7</w:t>
      </w:r>
      <w:r w:rsidR="00E825C0" w:rsidRPr="00CD729C">
        <w:rPr>
          <w:color w:val="000000"/>
          <w:szCs w:val="22"/>
        </w:rPr>
        <w:t> </w:t>
      </w:r>
      <w:r w:rsidRPr="00CD729C">
        <w:rPr>
          <w:color w:val="000000"/>
          <w:szCs w:val="22"/>
        </w:rPr>
        <w:t>pacientiem, kam nepalielināja devu, tikai viens atguva pilnīgu citoģenētisku atbildes reakciju. Dažu blakusparādību procentuālais daudzums bija lielāks 40</w:t>
      </w:r>
      <w:r w:rsidR="00E825C0" w:rsidRPr="00CD729C">
        <w:rPr>
          <w:color w:val="000000"/>
          <w:szCs w:val="22"/>
        </w:rPr>
        <w:t> </w:t>
      </w:r>
      <w:r w:rsidRPr="00CD729C">
        <w:rPr>
          <w:color w:val="000000"/>
          <w:szCs w:val="22"/>
        </w:rPr>
        <w:t>pacientiem, kam devu palielināja līdz 800</w:t>
      </w:r>
      <w:r w:rsidR="00A33932" w:rsidRPr="00CD729C">
        <w:rPr>
          <w:color w:val="000000"/>
          <w:szCs w:val="22"/>
        </w:rPr>
        <w:t> </w:t>
      </w:r>
      <w:r w:rsidRPr="00CD729C">
        <w:rPr>
          <w:color w:val="000000"/>
          <w:szCs w:val="22"/>
        </w:rPr>
        <w:t xml:space="preserve">mg dienā, salīdzinot ar pacientiem pirms devas palielināšanas (n=551). Biežāk novērotās </w:t>
      </w:r>
      <w:r w:rsidR="00DD2211" w:rsidRPr="00CD729C">
        <w:rPr>
          <w:color w:val="000000"/>
          <w:szCs w:val="22"/>
        </w:rPr>
        <w:t>blakusparādības</w:t>
      </w:r>
      <w:r w:rsidRPr="00CD729C">
        <w:rPr>
          <w:color w:val="000000"/>
          <w:szCs w:val="22"/>
        </w:rPr>
        <w:t xml:space="preserve"> bija kuņģa-zarnu trakta asiņošana, konju</w:t>
      </w:r>
      <w:r w:rsidR="00A33932" w:rsidRPr="00CD729C">
        <w:rPr>
          <w:color w:val="000000"/>
          <w:szCs w:val="22"/>
        </w:rPr>
        <w:t>n</w:t>
      </w:r>
      <w:r w:rsidRPr="00CD729C">
        <w:rPr>
          <w:color w:val="000000"/>
          <w:szCs w:val="22"/>
        </w:rPr>
        <w:t xml:space="preserve">ktivīts un transamināžu vai </w:t>
      </w:r>
      <w:r w:rsidR="00DD2211" w:rsidRPr="00CD729C">
        <w:rPr>
          <w:color w:val="000000"/>
          <w:szCs w:val="22"/>
        </w:rPr>
        <w:t>bilirubīna</w:t>
      </w:r>
      <w:r w:rsidRPr="00CD729C">
        <w:rPr>
          <w:color w:val="000000"/>
          <w:szCs w:val="22"/>
        </w:rPr>
        <w:t xml:space="preserve"> līmeņa palielināšanās. Par citām blakusparādībām ziņots retāk vai vienlīdz bieži.</w:t>
      </w:r>
    </w:p>
    <w:p w14:paraId="3D39464C" w14:textId="77777777" w:rsidR="005117C7" w:rsidRPr="00CD729C" w:rsidRDefault="005117C7" w:rsidP="009B4BB6">
      <w:pPr>
        <w:widowControl w:val="0"/>
        <w:spacing w:line="240" w:lineRule="auto"/>
        <w:rPr>
          <w:color w:val="000000"/>
          <w:szCs w:val="22"/>
        </w:rPr>
      </w:pPr>
    </w:p>
    <w:p w14:paraId="3D39464D" w14:textId="77777777" w:rsidR="005117C7" w:rsidRPr="00CD729C" w:rsidRDefault="005117C7" w:rsidP="009B4BB6">
      <w:pPr>
        <w:widowControl w:val="0"/>
        <w:spacing w:line="240" w:lineRule="auto"/>
        <w:rPr>
          <w:color w:val="000000"/>
          <w:szCs w:val="22"/>
        </w:rPr>
      </w:pPr>
      <w:r w:rsidRPr="00CD729C">
        <w:rPr>
          <w:i/>
          <w:color w:val="000000"/>
          <w:szCs w:val="22"/>
        </w:rPr>
        <w:t>Hroniskā fāze, pēc neveiksmīgas terapijas ar interferonu:</w:t>
      </w:r>
      <w:r w:rsidRPr="00CD729C">
        <w:rPr>
          <w:color w:val="000000"/>
          <w:szCs w:val="22"/>
        </w:rPr>
        <w:t xml:space="preserve"> </w:t>
      </w:r>
      <w:r w:rsidR="00AA771C" w:rsidRPr="00CD729C">
        <w:rPr>
          <w:color w:val="000000"/>
          <w:szCs w:val="22"/>
        </w:rPr>
        <w:t>ā</w:t>
      </w:r>
      <w:r w:rsidRPr="00CD729C">
        <w:rPr>
          <w:color w:val="000000"/>
          <w:szCs w:val="22"/>
        </w:rPr>
        <w:t>rstēja 532 </w:t>
      </w:r>
      <w:r w:rsidR="000E6FF4" w:rsidRPr="00CD729C">
        <w:rPr>
          <w:color w:val="000000"/>
          <w:szCs w:val="22"/>
        </w:rPr>
        <w:t>pieaugušos</w:t>
      </w:r>
      <w:r w:rsidRPr="00CD729C">
        <w:rPr>
          <w:color w:val="000000"/>
          <w:szCs w:val="22"/>
        </w:rPr>
        <w:t xml:space="preserve">, preparāta sākotnējā deva – 400 mg. Pacienti tika iedalīti 3 galvenajās kategorijās: hematoloģiska neveiksme (29%), citoģenētiska neveiksme (35%) vai interferona nepanesamība (36%). Pacienti vidēji 14 mēnešus saņēma IFN terapiju ar </w:t>
      </w:r>
      <w:r w:rsidRPr="00CD729C">
        <w:rPr>
          <w:color w:val="000000"/>
          <w:szCs w:val="22"/>
        </w:rPr>
        <w:sym w:font="Symbol" w:char="F0B3"/>
      </w:r>
      <w:r w:rsidRPr="00CD729C">
        <w:rPr>
          <w:color w:val="000000"/>
          <w:szCs w:val="22"/>
        </w:rPr>
        <w:t>25 x 10</w:t>
      </w:r>
      <w:r w:rsidRPr="00CD729C">
        <w:rPr>
          <w:color w:val="000000"/>
          <w:szCs w:val="22"/>
          <w:vertAlign w:val="superscript"/>
        </w:rPr>
        <w:t>6</w:t>
      </w:r>
      <w:r w:rsidRPr="00CD729C">
        <w:rPr>
          <w:color w:val="000000"/>
          <w:szCs w:val="22"/>
        </w:rPr>
        <w:t xml:space="preserve"> SV devām nedēļā. Visiem pacientiem slimība bija vēlīnā hroniskā fāzē, vidējais laiks kopš diagnozes – 32 mēneši. Pētījuma primārais preparāta efektivitātes kritērijs bija nozīmīgas citoģenētiskas atbildes reakcijas pakāpe (pilnīga un daļēja atbildes reakcija, 0% līdz 35% Ph</w:t>
      </w:r>
      <w:r w:rsidRPr="00CD729C">
        <w:rPr>
          <w:color w:val="000000"/>
          <w:szCs w:val="22"/>
          <w:vertAlign w:val="superscript"/>
        </w:rPr>
        <w:t>+</w:t>
      </w:r>
      <w:r w:rsidRPr="00CD729C">
        <w:rPr>
          <w:color w:val="000000"/>
          <w:szCs w:val="22"/>
        </w:rPr>
        <w:t xml:space="preserve"> metafāzes kaulu smadzenēs).</w:t>
      </w:r>
    </w:p>
    <w:p w14:paraId="3D39464E" w14:textId="77777777" w:rsidR="005117C7" w:rsidRPr="00CD729C" w:rsidRDefault="005117C7" w:rsidP="009B4BB6">
      <w:pPr>
        <w:widowControl w:val="0"/>
        <w:spacing w:line="240" w:lineRule="auto"/>
        <w:rPr>
          <w:color w:val="000000"/>
          <w:szCs w:val="22"/>
        </w:rPr>
      </w:pPr>
    </w:p>
    <w:p w14:paraId="3D39464F" w14:textId="77777777" w:rsidR="005117C7" w:rsidRPr="00CD729C" w:rsidRDefault="005117C7" w:rsidP="009B4BB6">
      <w:pPr>
        <w:widowControl w:val="0"/>
        <w:spacing w:line="240" w:lineRule="auto"/>
        <w:rPr>
          <w:color w:val="000000"/>
          <w:szCs w:val="22"/>
        </w:rPr>
      </w:pPr>
      <w:r w:rsidRPr="00CD729C">
        <w:rPr>
          <w:color w:val="000000"/>
          <w:szCs w:val="22"/>
        </w:rPr>
        <w:t>Šajā pētījumā 65% pacientu iestājās nozīmīga citoģenētiska atbildes reakcija, kas 53% pacientu bija pilnīga (apstiprināts 43% pacientu), sk</w:t>
      </w:r>
      <w:r w:rsidR="00FE32AB" w:rsidRPr="00CD729C">
        <w:rPr>
          <w:color w:val="000000"/>
          <w:szCs w:val="22"/>
        </w:rPr>
        <w:t>atīt</w:t>
      </w:r>
      <w:r w:rsidRPr="00CD729C">
        <w:rPr>
          <w:color w:val="000000"/>
          <w:szCs w:val="22"/>
        </w:rPr>
        <w:t xml:space="preserve"> tabulu Nr. </w:t>
      </w:r>
      <w:r w:rsidR="00E63C12" w:rsidRPr="00CD729C">
        <w:rPr>
          <w:color w:val="000000"/>
          <w:szCs w:val="22"/>
        </w:rPr>
        <w:t>3</w:t>
      </w:r>
      <w:r w:rsidRPr="00CD729C">
        <w:rPr>
          <w:color w:val="000000"/>
          <w:szCs w:val="22"/>
        </w:rPr>
        <w:t>. Pilnīga hematoloģiskas atbildes reakcija tika sasniegta 95% pacientu.</w:t>
      </w:r>
    </w:p>
    <w:p w14:paraId="3D394650" w14:textId="77777777" w:rsidR="005117C7" w:rsidRPr="00CD729C" w:rsidRDefault="005117C7" w:rsidP="009B4BB6">
      <w:pPr>
        <w:widowControl w:val="0"/>
        <w:spacing w:line="240" w:lineRule="auto"/>
        <w:rPr>
          <w:color w:val="000000"/>
          <w:szCs w:val="22"/>
        </w:rPr>
      </w:pPr>
    </w:p>
    <w:p w14:paraId="3D394651" w14:textId="77777777" w:rsidR="005117C7" w:rsidRPr="00CD729C" w:rsidRDefault="005117C7" w:rsidP="009B4BB6">
      <w:pPr>
        <w:widowControl w:val="0"/>
        <w:spacing w:line="240" w:lineRule="auto"/>
        <w:rPr>
          <w:color w:val="000000"/>
          <w:szCs w:val="22"/>
        </w:rPr>
      </w:pPr>
      <w:r w:rsidRPr="00CD729C">
        <w:rPr>
          <w:i/>
          <w:color w:val="000000"/>
          <w:szCs w:val="22"/>
        </w:rPr>
        <w:t xml:space="preserve">Slimības paasinājuma fāze: </w:t>
      </w:r>
      <w:r w:rsidR="00084A98" w:rsidRPr="00CD729C">
        <w:rPr>
          <w:color w:val="000000"/>
          <w:szCs w:val="22"/>
        </w:rPr>
        <w:t>p</w:t>
      </w:r>
      <w:r w:rsidRPr="00CD729C">
        <w:rPr>
          <w:color w:val="000000"/>
          <w:szCs w:val="22"/>
        </w:rPr>
        <w:t>ētījumā tika iekļauti 235 </w:t>
      </w:r>
      <w:r w:rsidR="000E6FF4" w:rsidRPr="00CD729C">
        <w:rPr>
          <w:color w:val="000000"/>
          <w:szCs w:val="22"/>
        </w:rPr>
        <w:t xml:space="preserve">pieaugušie </w:t>
      </w:r>
      <w:r w:rsidRPr="00CD729C">
        <w:rPr>
          <w:color w:val="000000"/>
          <w:szCs w:val="22"/>
        </w:rPr>
        <w:t>slimības akcelerācijas fāzē. Pirmajiem 77 pacientiem terapiju sāka ar 400 mg devu. Lai būtu iespējams izmantot lielākas preparāta devas, pētījuma protokols vēlāk tika izmainīts un atlikušajiem 158 pacientiem preparāta sākotnējā deva bija 600 mg.</w:t>
      </w:r>
    </w:p>
    <w:p w14:paraId="3D394652" w14:textId="77777777" w:rsidR="005117C7" w:rsidRPr="00CD729C" w:rsidRDefault="005117C7" w:rsidP="009B4BB6">
      <w:pPr>
        <w:widowControl w:val="0"/>
        <w:spacing w:line="240" w:lineRule="auto"/>
        <w:rPr>
          <w:color w:val="000000"/>
          <w:szCs w:val="22"/>
        </w:rPr>
      </w:pPr>
    </w:p>
    <w:p w14:paraId="3D394653" w14:textId="77777777" w:rsidR="005117C7" w:rsidRPr="00CD729C" w:rsidRDefault="005117C7" w:rsidP="009B4BB6">
      <w:pPr>
        <w:widowControl w:val="0"/>
        <w:spacing w:line="240" w:lineRule="auto"/>
        <w:rPr>
          <w:color w:val="000000"/>
          <w:szCs w:val="22"/>
        </w:rPr>
      </w:pPr>
      <w:r w:rsidRPr="00CD729C">
        <w:rPr>
          <w:color w:val="000000"/>
          <w:szCs w:val="22"/>
        </w:rPr>
        <w:lastRenderedPageBreak/>
        <w:t>Pētījuma primārais preparāta efektivitātes kritērijs bija hematoloģiskas atbildes reakcijas pakāpe, leik</w:t>
      </w:r>
      <w:r w:rsidR="00A10624" w:rsidRPr="00CD729C">
        <w:rPr>
          <w:color w:val="000000"/>
          <w:szCs w:val="22"/>
        </w:rPr>
        <w:t>ozes</w:t>
      </w:r>
      <w:r w:rsidRPr="00CD729C">
        <w:rPr>
          <w:color w:val="000000"/>
          <w:szCs w:val="22"/>
        </w:rPr>
        <w:t xml:space="preserve"> simptomu trūkums (piemēram, blastu klīrenss no kaulu smadzenēm un asinīm, bet bez pilnīgas perifēro asiņu raksturlielumu atgriešanās normas robežās, kā pilnīgas atbildes reakcijas gadījumā) vai CML atgriešanās hroniskajā fāzē. Apstiprināta hematoloģisku atbildes reakcija tika sasniegta 71,5% pacientu (sk</w:t>
      </w:r>
      <w:r w:rsidR="00A64570" w:rsidRPr="00CD729C">
        <w:rPr>
          <w:color w:val="000000"/>
          <w:szCs w:val="22"/>
        </w:rPr>
        <w:t>atīt</w:t>
      </w:r>
      <w:r w:rsidRPr="00CD729C">
        <w:rPr>
          <w:color w:val="000000"/>
          <w:szCs w:val="22"/>
        </w:rPr>
        <w:t xml:space="preserve"> tabulu Nr. </w:t>
      </w:r>
      <w:r w:rsidR="00E63C12" w:rsidRPr="00CD729C">
        <w:rPr>
          <w:color w:val="000000"/>
          <w:szCs w:val="22"/>
        </w:rPr>
        <w:t>3</w:t>
      </w:r>
      <w:r w:rsidRPr="00CD729C">
        <w:rPr>
          <w:color w:val="000000"/>
          <w:szCs w:val="22"/>
        </w:rPr>
        <w:t>.). Ir būtiski, ka 27,7% pacientu tika sasniegta nozīmīga citoģenētiska atbildes reakcija, kas bija pilnīga 20,4% pacientu (apstiprināts 16% pacientu). Pacientiem, kas saņēma 600 mg devu, pašreiz aprēķinātā vidējā dzīvildze bez slimības progresijas pazīmēm un kopējā dzīvildze bija attiecīgi 22,9 un 42,5</w:t>
      </w:r>
      <w:r w:rsidR="00E825C0" w:rsidRPr="00CD729C">
        <w:rPr>
          <w:color w:val="000000"/>
          <w:szCs w:val="22"/>
        </w:rPr>
        <w:t> </w:t>
      </w:r>
      <w:r w:rsidRPr="00CD729C">
        <w:rPr>
          <w:color w:val="000000"/>
          <w:szCs w:val="22"/>
        </w:rPr>
        <w:t>mēneši.</w:t>
      </w:r>
    </w:p>
    <w:p w14:paraId="3D394654" w14:textId="77777777" w:rsidR="005117C7" w:rsidRPr="00CD729C" w:rsidRDefault="005117C7" w:rsidP="009B4BB6">
      <w:pPr>
        <w:widowControl w:val="0"/>
        <w:spacing w:line="240" w:lineRule="auto"/>
        <w:rPr>
          <w:color w:val="000000"/>
          <w:szCs w:val="22"/>
        </w:rPr>
      </w:pPr>
    </w:p>
    <w:p w14:paraId="3D394655" w14:textId="77777777" w:rsidR="005117C7" w:rsidRPr="00CD729C" w:rsidRDefault="005117C7" w:rsidP="009B4BB6">
      <w:pPr>
        <w:widowControl w:val="0"/>
        <w:spacing w:line="240" w:lineRule="auto"/>
        <w:rPr>
          <w:color w:val="000000"/>
          <w:szCs w:val="22"/>
        </w:rPr>
      </w:pPr>
      <w:r w:rsidRPr="00CD729C">
        <w:rPr>
          <w:i/>
          <w:color w:val="000000"/>
          <w:szCs w:val="22"/>
        </w:rPr>
        <w:t xml:space="preserve">Mieloīda blastu krīze: </w:t>
      </w:r>
      <w:r w:rsidR="00084A98" w:rsidRPr="00CD729C">
        <w:rPr>
          <w:color w:val="000000"/>
          <w:szCs w:val="22"/>
        </w:rPr>
        <w:t>p</w:t>
      </w:r>
      <w:r w:rsidRPr="00CD729C">
        <w:rPr>
          <w:color w:val="000000"/>
          <w:szCs w:val="22"/>
        </w:rPr>
        <w:t>ētījumā tika iekļauti 260 pacienti ar mieloīdu blastu krīzi. 95 pacienti (37%) slimības akcelerācijas fāzē vai blastu krīzes apstākļos iepriekš bija saņēmuši ķīmijterapiju (“iepriekš ārstētie” pacienti), kamēr 165 pacienti (63%) to nesaņēma (“iepriekš neārstētie” pacienti). Pirmajiem 37 pacientiem terapiju sāka ar 400 mg devu. Lai būtu iespējams izmantot lielākas preparāta devas, pētījuma protokols vēlāk tika izmainīts un atlikušajiem 223 pacientiem preparāta sākotnējā deva bija 600 mg.</w:t>
      </w:r>
    </w:p>
    <w:p w14:paraId="3D394656" w14:textId="77777777" w:rsidR="005117C7" w:rsidRPr="00CD729C" w:rsidRDefault="005117C7" w:rsidP="009B4BB6">
      <w:pPr>
        <w:widowControl w:val="0"/>
        <w:spacing w:line="240" w:lineRule="auto"/>
        <w:rPr>
          <w:color w:val="000000"/>
          <w:szCs w:val="22"/>
        </w:rPr>
      </w:pPr>
    </w:p>
    <w:p w14:paraId="3D394657" w14:textId="77777777" w:rsidR="005117C7" w:rsidRPr="00CD729C" w:rsidRDefault="005117C7" w:rsidP="009B4BB6">
      <w:pPr>
        <w:widowControl w:val="0"/>
        <w:spacing w:line="240" w:lineRule="auto"/>
        <w:rPr>
          <w:color w:val="000000"/>
          <w:szCs w:val="22"/>
        </w:rPr>
      </w:pPr>
      <w:r w:rsidRPr="00CD729C">
        <w:rPr>
          <w:color w:val="000000"/>
          <w:szCs w:val="22"/>
        </w:rPr>
        <w:t>Pētījuma primārais preparāta efektivitātes kritērijs bija hematoloģiskas atbildes reakcijas pakāpe, ko aprakstīja kā vai nu pilnīgu hematoloģisku atbildes reakciju, leik</w:t>
      </w:r>
      <w:r w:rsidR="00A10624" w:rsidRPr="00CD729C">
        <w:rPr>
          <w:color w:val="000000"/>
          <w:szCs w:val="22"/>
        </w:rPr>
        <w:t>ozes</w:t>
      </w:r>
      <w:r w:rsidRPr="00CD729C">
        <w:rPr>
          <w:color w:val="000000"/>
          <w:szCs w:val="22"/>
        </w:rPr>
        <w:t xml:space="preserve"> simptomu trūkums vai slimības atgriešanos hroniskajā fāzē. Izmantoja tos pašus kritērijus, kā slimības akcelerācijas fāzes pētījuma laikā. Šajā pētījumā 31% pacientu tika sasniegta hematoloģiska atbildes reakcija (36% iepriekš ārstēto un 22% iepriekš neārstēto pacientu). Salīdzinot ar pacientiem, ko ārstēja ar 400 mg lielu preparāta devu (16%, p=0,0220), starp pacientiem, ko ārstēja ar 600 mg lielu preparāta devu (33%), atbildes reakcija iestājās biežāk. Pašlaik gaidāmo vidējo dzīvildzi iepriekš ārstētiem un iepriekš neārstētiem pacientiem vērtē kā attiecīgi 7,7 un 4,7 mēnešus ilgu.</w:t>
      </w:r>
    </w:p>
    <w:p w14:paraId="3D394658" w14:textId="77777777" w:rsidR="005117C7" w:rsidRPr="00CD729C" w:rsidRDefault="005117C7" w:rsidP="009B4BB6">
      <w:pPr>
        <w:widowControl w:val="0"/>
        <w:spacing w:line="240" w:lineRule="auto"/>
        <w:rPr>
          <w:color w:val="000000"/>
          <w:szCs w:val="22"/>
        </w:rPr>
      </w:pPr>
    </w:p>
    <w:p w14:paraId="3D394659" w14:textId="77777777" w:rsidR="005117C7" w:rsidRPr="00CD729C" w:rsidRDefault="005117C7" w:rsidP="009B4BB6">
      <w:pPr>
        <w:widowControl w:val="0"/>
        <w:spacing w:line="240" w:lineRule="auto"/>
        <w:rPr>
          <w:color w:val="000000"/>
          <w:szCs w:val="22"/>
        </w:rPr>
      </w:pPr>
      <w:r w:rsidRPr="00CD729C">
        <w:rPr>
          <w:i/>
          <w:color w:val="000000"/>
          <w:szCs w:val="22"/>
        </w:rPr>
        <w:t xml:space="preserve">Limfoīda blastu krīze: </w:t>
      </w:r>
      <w:r w:rsidRPr="00CD729C">
        <w:rPr>
          <w:color w:val="000000"/>
          <w:szCs w:val="22"/>
        </w:rPr>
        <w:t>I fāzes pētījumā iekļauto pacientu skaits bija ierobežots (n=10). Hematoloģiskās atbildes reakcijas pakāpe bija 70%. Tās ilgums – 2 līdz 3 mēneši.</w:t>
      </w:r>
    </w:p>
    <w:p w14:paraId="3D39465A" w14:textId="77777777" w:rsidR="005117C7" w:rsidRPr="00CD729C" w:rsidRDefault="005117C7" w:rsidP="009B4BB6">
      <w:pPr>
        <w:widowControl w:val="0"/>
        <w:spacing w:line="240" w:lineRule="auto"/>
        <w:rPr>
          <w:color w:val="000000"/>
          <w:szCs w:val="22"/>
        </w:rPr>
      </w:pPr>
    </w:p>
    <w:p w14:paraId="3D39465B" w14:textId="77777777" w:rsidR="005117C7" w:rsidRPr="00CD729C" w:rsidRDefault="005117C7" w:rsidP="009B4BB6">
      <w:pPr>
        <w:keepNext/>
        <w:keepLines/>
        <w:widowControl w:val="0"/>
        <w:tabs>
          <w:tab w:val="clear" w:pos="567"/>
          <w:tab w:val="left" w:pos="1701"/>
        </w:tabs>
        <w:spacing w:line="240" w:lineRule="auto"/>
        <w:rPr>
          <w:b/>
          <w:color w:val="000000"/>
          <w:szCs w:val="22"/>
        </w:rPr>
      </w:pPr>
      <w:r w:rsidRPr="00CD729C">
        <w:rPr>
          <w:b/>
          <w:color w:val="000000"/>
          <w:szCs w:val="22"/>
        </w:rPr>
        <w:lastRenderedPageBreak/>
        <w:t>Tabula Nr. </w:t>
      </w:r>
      <w:r w:rsidR="00E63C12" w:rsidRPr="00CD729C">
        <w:rPr>
          <w:b/>
          <w:color w:val="000000"/>
          <w:szCs w:val="22"/>
        </w:rPr>
        <w:t>3</w:t>
      </w:r>
      <w:r w:rsidRPr="00CD729C">
        <w:rPr>
          <w:b/>
          <w:color w:val="000000"/>
          <w:szCs w:val="22"/>
        </w:rPr>
        <w:tab/>
        <w:t xml:space="preserve">Atbildes reakcija </w:t>
      </w:r>
      <w:r w:rsidR="000E6FF4" w:rsidRPr="00CD729C">
        <w:rPr>
          <w:b/>
          <w:color w:val="000000"/>
          <w:szCs w:val="22"/>
        </w:rPr>
        <w:t xml:space="preserve">pieaugušajiem </w:t>
      </w:r>
      <w:r w:rsidRPr="00CD729C">
        <w:rPr>
          <w:b/>
          <w:color w:val="000000"/>
          <w:szCs w:val="22"/>
        </w:rPr>
        <w:t>CML pētījumu laikā</w:t>
      </w:r>
    </w:p>
    <w:p w14:paraId="3D39465C" w14:textId="77777777" w:rsidR="005117C7" w:rsidRPr="00CD729C" w:rsidRDefault="005117C7" w:rsidP="009B4BB6">
      <w:pPr>
        <w:keepNext/>
        <w:keepLines/>
        <w:widowControl w:val="0"/>
        <w:spacing w:line="240" w:lineRule="auto"/>
        <w:rPr>
          <w:color w:val="000000"/>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2268"/>
        <w:gridCol w:w="1984"/>
        <w:gridCol w:w="1843"/>
      </w:tblGrid>
      <w:tr w:rsidR="005117C7" w:rsidRPr="00CD729C" w14:paraId="3D39466B" w14:textId="77777777" w:rsidTr="009B4BB6">
        <w:trPr>
          <w:cantSplit/>
        </w:trPr>
        <w:tc>
          <w:tcPr>
            <w:tcW w:w="3227" w:type="dxa"/>
          </w:tcPr>
          <w:p w14:paraId="3D39465D" w14:textId="77777777" w:rsidR="005117C7" w:rsidRPr="00CD729C" w:rsidRDefault="005117C7" w:rsidP="009B4BB6">
            <w:pPr>
              <w:keepNext/>
              <w:keepLines/>
              <w:widowControl w:val="0"/>
              <w:spacing w:line="240" w:lineRule="auto"/>
              <w:jc w:val="center"/>
              <w:rPr>
                <w:color w:val="000000"/>
                <w:szCs w:val="22"/>
              </w:rPr>
            </w:pPr>
          </w:p>
        </w:tc>
        <w:tc>
          <w:tcPr>
            <w:tcW w:w="2268" w:type="dxa"/>
          </w:tcPr>
          <w:p w14:paraId="3D39465E"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Pētījums 0110</w:t>
            </w:r>
          </w:p>
          <w:p w14:paraId="3D39465F"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37</w:t>
            </w:r>
            <w:r w:rsidR="00E825C0" w:rsidRPr="00CD729C">
              <w:rPr>
                <w:color w:val="000000"/>
                <w:szCs w:val="22"/>
              </w:rPr>
              <w:t> </w:t>
            </w:r>
            <w:r w:rsidRPr="00CD729C">
              <w:rPr>
                <w:color w:val="000000"/>
                <w:szCs w:val="22"/>
              </w:rPr>
              <w:t>mēnešu dati</w:t>
            </w:r>
          </w:p>
          <w:p w14:paraId="3D394660"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Hroniskā fāze,</w:t>
            </w:r>
          </w:p>
          <w:p w14:paraId="3D394661"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Neveiksmīga terapija ar IFN</w:t>
            </w:r>
          </w:p>
          <w:p w14:paraId="3D394662"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(n=532)</w:t>
            </w:r>
          </w:p>
        </w:tc>
        <w:tc>
          <w:tcPr>
            <w:tcW w:w="1984" w:type="dxa"/>
          </w:tcPr>
          <w:p w14:paraId="3D394663"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Pētījums 0109</w:t>
            </w:r>
          </w:p>
          <w:p w14:paraId="3D394664"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40,5</w:t>
            </w:r>
            <w:r w:rsidR="00E825C0" w:rsidRPr="00CD729C">
              <w:rPr>
                <w:color w:val="000000"/>
                <w:szCs w:val="22"/>
              </w:rPr>
              <w:t> </w:t>
            </w:r>
            <w:r w:rsidRPr="00CD729C">
              <w:rPr>
                <w:color w:val="000000"/>
                <w:szCs w:val="22"/>
              </w:rPr>
              <w:t>mēnešu dati</w:t>
            </w:r>
          </w:p>
          <w:p w14:paraId="3D394665"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Akcelerācijas fāze</w:t>
            </w:r>
          </w:p>
          <w:p w14:paraId="3D394666"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(n=235)</w:t>
            </w:r>
          </w:p>
        </w:tc>
        <w:tc>
          <w:tcPr>
            <w:tcW w:w="1843" w:type="dxa"/>
          </w:tcPr>
          <w:p w14:paraId="3D394667"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Pētījums 0102</w:t>
            </w:r>
          </w:p>
          <w:p w14:paraId="3D394668"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38</w:t>
            </w:r>
            <w:r w:rsidR="00E825C0" w:rsidRPr="00CD729C">
              <w:rPr>
                <w:color w:val="000000"/>
                <w:szCs w:val="22"/>
              </w:rPr>
              <w:t> </w:t>
            </w:r>
            <w:r w:rsidRPr="00CD729C">
              <w:rPr>
                <w:color w:val="000000"/>
                <w:szCs w:val="22"/>
              </w:rPr>
              <w:t>mēnešu dati</w:t>
            </w:r>
          </w:p>
          <w:p w14:paraId="3D394669"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Mieloīda blastu krīze</w:t>
            </w:r>
          </w:p>
          <w:p w14:paraId="3D39466A"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(n=260)</w:t>
            </w:r>
          </w:p>
        </w:tc>
      </w:tr>
      <w:tr w:rsidR="005117C7" w:rsidRPr="00CD729C" w14:paraId="3D39466E" w14:textId="77777777" w:rsidTr="009B4BB6">
        <w:trPr>
          <w:cantSplit/>
        </w:trPr>
        <w:tc>
          <w:tcPr>
            <w:tcW w:w="3227" w:type="dxa"/>
            <w:tcBorders>
              <w:bottom w:val="nil"/>
            </w:tcBorders>
          </w:tcPr>
          <w:p w14:paraId="3D39466C" w14:textId="77777777" w:rsidR="005117C7" w:rsidRPr="00CD729C" w:rsidRDefault="005117C7" w:rsidP="009B4BB6">
            <w:pPr>
              <w:keepNext/>
              <w:keepLines/>
              <w:widowControl w:val="0"/>
              <w:spacing w:line="240" w:lineRule="auto"/>
              <w:rPr>
                <w:color w:val="000000"/>
                <w:szCs w:val="22"/>
              </w:rPr>
            </w:pPr>
          </w:p>
        </w:tc>
        <w:tc>
          <w:tcPr>
            <w:tcW w:w="6095" w:type="dxa"/>
            <w:gridSpan w:val="3"/>
            <w:tcBorders>
              <w:bottom w:val="nil"/>
            </w:tcBorders>
          </w:tcPr>
          <w:p w14:paraId="3D39466D"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 pacientu (</w:t>
            </w:r>
            <w:r w:rsidR="002443A3" w:rsidRPr="00CD729C">
              <w:rPr>
                <w:color w:val="000000"/>
                <w:szCs w:val="22"/>
              </w:rPr>
              <w:t>T</w:t>
            </w:r>
            <w:r w:rsidRPr="00CD729C">
              <w:rPr>
                <w:color w:val="000000"/>
                <w:szCs w:val="22"/>
              </w:rPr>
              <w:t>I</w:t>
            </w:r>
            <w:r w:rsidRPr="00CD729C">
              <w:rPr>
                <w:color w:val="000000"/>
                <w:szCs w:val="22"/>
                <w:vertAlign w:val="subscript"/>
              </w:rPr>
              <w:t>95%</w:t>
            </w:r>
            <w:r w:rsidRPr="00CD729C">
              <w:rPr>
                <w:color w:val="000000"/>
                <w:szCs w:val="22"/>
              </w:rPr>
              <w:t>)</w:t>
            </w:r>
          </w:p>
        </w:tc>
      </w:tr>
      <w:tr w:rsidR="005117C7" w:rsidRPr="00CD729C" w14:paraId="3D394673" w14:textId="77777777" w:rsidTr="009B4BB6">
        <w:trPr>
          <w:cantSplit/>
        </w:trPr>
        <w:tc>
          <w:tcPr>
            <w:tcW w:w="3227" w:type="dxa"/>
            <w:tcBorders>
              <w:top w:val="single" w:sz="4" w:space="0" w:color="auto"/>
              <w:left w:val="single" w:sz="4" w:space="0" w:color="auto"/>
              <w:bottom w:val="nil"/>
              <w:right w:val="nil"/>
            </w:tcBorders>
          </w:tcPr>
          <w:p w14:paraId="3D39466F" w14:textId="77777777" w:rsidR="005117C7" w:rsidRPr="00CD729C" w:rsidRDefault="005117C7" w:rsidP="009B4BB6">
            <w:pPr>
              <w:keepNext/>
              <w:keepLines/>
              <w:widowControl w:val="0"/>
              <w:spacing w:line="240" w:lineRule="auto"/>
              <w:rPr>
                <w:color w:val="000000"/>
                <w:szCs w:val="22"/>
              </w:rPr>
            </w:pPr>
            <w:r w:rsidRPr="00CD729C">
              <w:rPr>
                <w:color w:val="000000"/>
                <w:szCs w:val="22"/>
              </w:rPr>
              <w:t>Hematoloģiska atbildes reakcija</w:t>
            </w:r>
            <w:r w:rsidRPr="00CD729C">
              <w:rPr>
                <w:color w:val="000000"/>
                <w:szCs w:val="22"/>
                <w:vertAlign w:val="superscript"/>
              </w:rPr>
              <w:t>1</w:t>
            </w:r>
          </w:p>
        </w:tc>
        <w:tc>
          <w:tcPr>
            <w:tcW w:w="2268" w:type="dxa"/>
            <w:tcBorders>
              <w:top w:val="single" w:sz="4" w:space="0" w:color="auto"/>
              <w:left w:val="nil"/>
              <w:bottom w:val="nil"/>
              <w:right w:val="nil"/>
            </w:tcBorders>
          </w:tcPr>
          <w:p w14:paraId="3D394670"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95% (92,3–96,3)</w:t>
            </w:r>
          </w:p>
        </w:tc>
        <w:tc>
          <w:tcPr>
            <w:tcW w:w="1984" w:type="dxa"/>
            <w:tcBorders>
              <w:top w:val="single" w:sz="4" w:space="0" w:color="auto"/>
              <w:left w:val="nil"/>
              <w:bottom w:val="nil"/>
              <w:right w:val="nil"/>
            </w:tcBorders>
          </w:tcPr>
          <w:p w14:paraId="3D394671"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71% (65,3–77,2)</w:t>
            </w:r>
          </w:p>
        </w:tc>
        <w:tc>
          <w:tcPr>
            <w:tcW w:w="1843" w:type="dxa"/>
            <w:tcBorders>
              <w:top w:val="single" w:sz="4" w:space="0" w:color="auto"/>
              <w:left w:val="nil"/>
              <w:bottom w:val="nil"/>
              <w:right w:val="single" w:sz="4" w:space="0" w:color="auto"/>
            </w:tcBorders>
          </w:tcPr>
          <w:p w14:paraId="3D394672"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31% (25,2–36,8)</w:t>
            </w:r>
          </w:p>
        </w:tc>
      </w:tr>
      <w:tr w:rsidR="005117C7" w:rsidRPr="00CD729C" w14:paraId="3D394678" w14:textId="77777777" w:rsidTr="009B4BB6">
        <w:trPr>
          <w:cantSplit/>
        </w:trPr>
        <w:tc>
          <w:tcPr>
            <w:tcW w:w="3227" w:type="dxa"/>
            <w:tcBorders>
              <w:top w:val="nil"/>
              <w:left w:val="single" w:sz="4" w:space="0" w:color="auto"/>
              <w:bottom w:val="nil"/>
              <w:right w:val="nil"/>
            </w:tcBorders>
          </w:tcPr>
          <w:p w14:paraId="3D394674" w14:textId="77777777" w:rsidR="005117C7" w:rsidRPr="00CD729C" w:rsidRDefault="005117C7" w:rsidP="009B4BB6">
            <w:pPr>
              <w:pStyle w:val="EndnoteText"/>
              <w:keepNext/>
              <w:keepLines/>
              <w:widowControl w:val="0"/>
              <w:tabs>
                <w:tab w:val="clear" w:pos="567"/>
              </w:tabs>
              <w:ind w:left="284"/>
              <w:rPr>
                <w:color w:val="000000"/>
                <w:szCs w:val="22"/>
              </w:rPr>
            </w:pPr>
            <w:r w:rsidRPr="00CD729C">
              <w:rPr>
                <w:color w:val="000000"/>
                <w:szCs w:val="22"/>
              </w:rPr>
              <w:t>Pilnīga hematoloģiska atbildes reakcija CHR)</w:t>
            </w:r>
          </w:p>
        </w:tc>
        <w:tc>
          <w:tcPr>
            <w:tcW w:w="2268" w:type="dxa"/>
            <w:tcBorders>
              <w:top w:val="nil"/>
              <w:left w:val="nil"/>
              <w:bottom w:val="nil"/>
              <w:right w:val="nil"/>
            </w:tcBorders>
          </w:tcPr>
          <w:p w14:paraId="3D394675"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95%</w:t>
            </w:r>
          </w:p>
        </w:tc>
        <w:tc>
          <w:tcPr>
            <w:tcW w:w="1984" w:type="dxa"/>
            <w:tcBorders>
              <w:top w:val="nil"/>
              <w:left w:val="nil"/>
              <w:bottom w:val="nil"/>
              <w:right w:val="nil"/>
            </w:tcBorders>
          </w:tcPr>
          <w:p w14:paraId="3D394676"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42%</w:t>
            </w:r>
          </w:p>
        </w:tc>
        <w:tc>
          <w:tcPr>
            <w:tcW w:w="1843" w:type="dxa"/>
            <w:tcBorders>
              <w:top w:val="nil"/>
              <w:left w:val="nil"/>
              <w:bottom w:val="nil"/>
              <w:right w:val="single" w:sz="4" w:space="0" w:color="auto"/>
            </w:tcBorders>
          </w:tcPr>
          <w:p w14:paraId="3D394677"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8%</w:t>
            </w:r>
          </w:p>
        </w:tc>
      </w:tr>
      <w:tr w:rsidR="005117C7" w:rsidRPr="00CD729C" w14:paraId="3D39467D" w14:textId="77777777" w:rsidTr="009B4BB6">
        <w:trPr>
          <w:cantSplit/>
        </w:trPr>
        <w:tc>
          <w:tcPr>
            <w:tcW w:w="3227" w:type="dxa"/>
            <w:tcBorders>
              <w:top w:val="nil"/>
              <w:left w:val="single" w:sz="4" w:space="0" w:color="auto"/>
              <w:bottom w:val="nil"/>
              <w:right w:val="nil"/>
            </w:tcBorders>
          </w:tcPr>
          <w:p w14:paraId="3D394679" w14:textId="77777777" w:rsidR="005117C7" w:rsidRPr="00CD729C" w:rsidRDefault="005117C7" w:rsidP="009B4BB6">
            <w:pPr>
              <w:keepNext/>
              <w:keepLines/>
              <w:widowControl w:val="0"/>
              <w:tabs>
                <w:tab w:val="clear" w:pos="567"/>
              </w:tabs>
              <w:spacing w:line="240" w:lineRule="auto"/>
              <w:ind w:left="284"/>
              <w:rPr>
                <w:color w:val="000000"/>
                <w:szCs w:val="22"/>
              </w:rPr>
            </w:pPr>
            <w:r w:rsidRPr="00CD729C">
              <w:rPr>
                <w:color w:val="000000"/>
                <w:szCs w:val="22"/>
              </w:rPr>
              <w:t>Nav leik</w:t>
            </w:r>
            <w:r w:rsidR="00A10624" w:rsidRPr="00CD729C">
              <w:rPr>
                <w:color w:val="000000"/>
                <w:szCs w:val="22"/>
              </w:rPr>
              <w:t>oze</w:t>
            </w:r>
            <w:r w:rsidRPr="00CD729C">
              <w:rPr>
                <w:color w:val="000000"/>
                <w:szCs w:val="22"/>
              </w:rPr>
              <w:t>s simptomu (</w:t>
            </w:r>
            <w:r w:rsidRPr="00CD729C">
              <w:rPr>
                <w:i/>
                <w:color w:val="000000"/>
                <w:szCs w:val="22"/>
              </w:rPr>
              <w:t>No evidence of leukaemia</w:t>
            </w:r>
            <w:r w:rsidRPr="00CD729C">
              <w:rPr>
                <w:color w:val="000000"/>
                <w:szCs w:val="22"/>
              </w:rPr>
              <w:t xml:space="preserve"> - NEL)</w:t>
            </w:r>
          </w:p>
        </w:tc>
        <w:tc>
          <w:tcPr>
            <w:tcW w:w="2268" w:type="dxa"/>
            <w:tcBorders>
              <w:top w:val="nil"/>
              <w:left w:val="nil"/>
              <w:bottom w:val="nil"/>
              <w:right w:val="nil"/>
            </w:tcBorders>
          </w:tcPr>
          <w:p w14:paraId="3D39467A"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Nav piemērojams</w:t>
            </w:r>
          </w:p>
        </w:tc>
        <w:tc>
          <w:tcPr>
            <w:tcW w:w="1984" w:type="dxa"/>
            <w:tcBorders>
              <w:top w:val="nil"/>
              <w:left w:val="nil"/>
              <w:bottom w:val="nil"/>
              <w:right w:val="nil"/>
            </w:tcBorders>
          </w:tcPr>
          <w:p w14:paraId="3D39467B"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12%</w:t>
            </w:r>
          </w:p>
        </w:tc>
        <w:tc>
          <w:tcPr>
            <w:tcW w:w="1843" w:type="dxa"/>
            <w:tcBorders>
              <w:top w:val="nil"/>
              <w:left w:val="nil"/>
              <w:bottom w:val="nil"/>
              <w:right w:val="single" w:sz="4" w:space="0" w:color="auto"/>
            </w:tcBorders>
          </w:tcPr>
          <w:p w14:paraId="3D39467C"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5%</w:t>
            </w:r>
          </w:p>
        </w:tc>
      </w:tr>
      <w:tr w:rsidR="005117C7" w:rsidRPr="00CD729C" w14:paraId="3D394682" w14:textId="77777777" w:rsidTr="009B4BB6">
        <w:trPr>
          <w:cantSplit/>
        </w:trPr>
        <w:tc>
          <w:tcPr>
            <w:tcW w:w="3227" w:type="dxa"/>
            <w:tcBorders>
              <w:top w:val="nil"/>
              <w:left w:val="single" w:sz="4" w:space="0" w:color="auto"/>
              <w:bottom w:val="nil"/>
              <w:right w:val="nil"/>
            </w:tcBorders>
          </w:tcPr>
          <w:p w14:paraId="3D39467E" w14:textId="77777777" w:rsidR="005117C7" w:rsidRPr="00CD729C" w:rsidRDefault="005117C7" w:rsidP="009B4BB6">
            <w:pPr>
              <w:keepNext/>
              <w:keepLines/>
              <w:widowControl w:val="0"/>
              <w:tabs>
                <w:tab w:val="clear" w:pos="567"/>
              </w:tabs>
              <w:spacing w:line="240" w:lineRule="auto"/>
              <w:ind w:left="284"/>
              <w:rPr>
                <w:color w:val="000000"/>
                <w:szCs w:val="22"/>
              </w:rPr>
            </w:pPr>
            <w:r w:rsidRPr="00CD729C">
              <w:rPr>
                <w:color w:val="000000"/>
                <w:szCs w:val="22"/>
              </w:rPr>
              <w:t>Atgriešanā hroniskā fāzē (</w:t>
            </w:r>
            <w:r w:rsidRPr="00CD729C">
              <w:rPr>
                <w:i/>
                <w:color w:val="000000"/>
                <w:szCs w:val="22"/>
              </w:rPr>
              <w:t>Return to chronic phase</w:t>
            </w:r>
            <w:r w:rsidRPr="00CD729C">
              <w:rPr>
                <w:color w:val="000000"/>
                <w:szCs w:val="22"/>
              </w:rPr>
              <w:t xml:space="preserve"> - RTC)</w:t>
            </w:r>
          </w:p>
        </w:tc>
        <w:tc>
          <w:tcPr>
            <w:tcW w:w="2268" w:type="dxa"/>
            <w:tcBorders>
              <w:top w:val="nil"/>
              <w:left w:val="nil"/>
              <w:bottom w:val="nil"/>
              <w:right w:val="nil"/>
            </w:tcBorders>
          </w:tcPr>
          <w:p w14:paraId="3D39467F"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Nav piemērojams</w:t>
            </w:r>
          </w:p>
        </w:tc>
        <w:tc>
          <w:tcPr>
            <w:tcW w:w="1984" w:type="dxa"/>
            <w:tcBorders>
              <w:top w:val="nil"/>
              <w:left w:val="nil"/>
              <w:bottom w:val="nil"/>
              <w:right w:val="nil"/>
            </w:tcBorders>
          </w:tcPr>
          <w:p w14:paraId="3D394680"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17%</w:t>
            </w:r>
          </w:p>
        </w:tc>
        <w:tc>
          <w:tcPr>
            <w:tcW w:w="1843" w:type="dxa"/>
            <w:tcBorders>
              <w:top w:val="nil"/>
              <w:left w:val="nil"/>
              <w:bottom w:val="nil"/>
              <w:right w:val="single" w:sz="4" w:space="0" w:color="auto"/>
            </w:tcBorders>
          </w:tcPr>
          <w:p w14:paraId="3D394681"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18%</w:t>
            </w:r>
          </w:p>
        </w:tc>
      </w:tr>
      <w:tr w:rsidR="005117C7" w:rsidRPr="00CD729C" w14:paraId="3D394687" w14:textId="77777777" w:rsidTr="009B4BB6">
        <w:trPr>
          <w:cantSplit/>
        </w:trPr>
        <w:tc>
          <w:tcPr>
            <w:tcW w:w="3227" w:type="dxa"/>
            <w:tcBorders>
              <w:top w:val="single" w:sz="4" w:space="0" w:color="auto"/>
              <w:left w:val="single" w:sz="4" w:space="0" w:color="auto"/>
              <w:bottom w:val="nil"/>
              <w:right w:val="nil"/>
            </w:tcBorders>
          </w:tcPr>
          <w:p w14:paraId="3D394683" w14:textId="77777777" w:rsidR="005117C7" w:rsidRPr="00CD729C" w:rsidRDefault="005117C7" w:rsidP="009B4BB6">
            <w:pPr>
              <w:keepNext/>
              <w:keepLines/>
              <w:widowControl w:val="0"/>
              <w:spacing w:line="240" w:lineRule="auto"/>
              <w:rPr>
                <w:color w:val="000000"/>
                <w:szCs w:val="22"/>
              </w:rPr>
            </w:pPr>
            <w:r w:rsidRPr="00CD729C">
              <w:rPr>
                <w:color w:val="000000"/>
                <w:szCs w:val="22"/>
              </w:rPr>
              <w:t>Nozīmīga citoģenētiska atbildes reakcija</w:t>
            </w:r>
            <w:r w:rsidRPr="00CD729C">
              <w:rPr>
                <w:color w:val="000000"/>
                <w:szCs w:val="22"/>
                <w:vertAlign w:val="superscript"/>
              </w:rPr>
              <w:t>2</w:t>
            </w:r>
          </w:p>
        </w:tc>
        <w:tc>
          <w:tcPr>
            <w:tcW w:w="2268" w:type="dxa"/>
            <w:tcBorders>
              <w:top w:val="single" w:sz="4" w:space="0" w:color="auto"/>
              <w:left w:val="nil"/>
              <w:bottom w:val="nil"/>
              <w:right w:val="nil"/>
            </w:tcBorders>
          </w:tcPr>
          <w:p w14:paraId="3D394684"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65% (61,2–69,5)</w:t>
            </w:r>
          </w:p>
        </w:tc>
        <w:tc>
          <w:tcPr>
            <w:tcW w:w="1984" w:type="dxa"/>
            <w:tcBorders>
              <w:top w:val="single" w:sz="4" w:space="0" w:color="auto"/>
              <w:left w:val="nil"/>
              <w:bottom w:val="nil"/>
              <w:right w:val="nil"/>
            </w:tcBorders>
          </w:tcPr>
          <w:p w14:paraId="3D394685"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28% (22,0–33,9)</w:t>
            </w:r>
          </w:p>
        </w:tc>
        <w:tc>
          <w:tcPr>
            <w:tcW w:w="1843" w:type="dxa"/>
            <w:tcBorders>
              <w:top w:val="single" w:sz="4" w:space="0" w:color="auto"/>
              <w:left w:val="nil"/>
              <w:bottom w:val="nil"/>
              <w:right w:val="single" w:sz="4" w:space="0" w:color="auto"/>
            </w:tcBorders>
          </w:tcPr>
          <w:p w14:paraId="3D394686"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15% (11,2–20,4)</w:t>
            </w:r>
          </w:p>
        </w:tc>
      </w:tr>
      <w:tr w:rsidR="005117C7" w:rsidRPr="00CD729C" w14:paraId="3D39468C" w14:textId="77777777" w:rsidTr="009B4BB6">
        <w:trPr>
          <w:cantSplit/>
        </w:trPr>
        <w:tc>
          <w:tcPr>
            <w:tcW w:w="3227" w:type="dxa"/>
            <w:tcBorders>
              <w:top w:val="nil"/>
              <w:left w:val="single" w:sz="4" w:space="0" w:color="auto"/>
              <w:bottom w:val="nil"/>
              <w:right w:val="nil"/>
            </w:tcBorders>
          </w:tcPr>
          <w:p w14:paraId="3D394688" w14:textId="77777777" w:rsidR="005117C7" w:rsidRPr="00CD729C" w:rsidRDefault="005117C7" w:rsidP="009B4BB6">
            <w:pPr>
              <w:keepNext/>
              <w:keepLines/>
              <w:widowControl w:val="0"/>
              <w:tabs>
                <w:tab w:val="clear" w:pos="567"/>
              </w:tabs>
              <w:spacing w:line="240" w:lineRule="auto"/>
              <w:ind w:left="284"/>
              <w:rPr>
                <w:color w:val="000000"/>
                <w:szCs w:val="22"/>
              </w:rPr>
            </w:pPr>
            <w:r w:rsidRPr="00CD729C">
              <w:rPr>
                <w:color w:val="000000"/>
                <w:szCs w:val="22"/>
              </w:rPr>
              <w:t>Pilnīga</w:t>
            </w:r>
          </w:p>
        </w:tc>
        <w:tc>
          <w:tcPr>
            <w:tcW w:w="2268" w:type="dxa"/>
            <w:tcBorders>
              <w:top w:val="nil"/>
              <w:left w:val="nil"/>
              <w:bottom w:val="nil"/>
              <w:right w:val="nil"/>
            </w:tcBorders>
          </w:tcPr>
          <w:p w14:paraId="3D394689" w14:textId="77777777" w:rsidR="005117C7" w:rsidRPr="00CD729C" w:rsidRDefault="005117C7" w:rsidP="009B4BB6">
            <w:pPr>
              <w:pStyle w:val="EndnoteText"/>
              <w:keepNext/>
              <w:keepLines/>
              <w:widowControl w:val="0"/>
              <w:jc w:val="center"/>
              <w:rPr>
                <w:color w:val="000000"/>
                <w:szCs w:val="22"/>
              </w:rPr>
            </w:pPr>
            <w:r w:rsidRPr="00CD729C">
              <w:rPr>
                <w:color w:val="000000"/>
                <w:szCs w:val="22"/>
              </w:rPr>
              <w:t>53%</w:t>
            </w:r>
          </w:p>
        </w:tc>
        <w:tc>
          <w:tcPr>
            <w:tcW w:w="1984" w:type="dxa"/>
            <w:tcBorders>
              <w:top w:val="nil"/>
              <w:left w:val="nil"/>
              <w:bottom w:val="nil"/>
              <w:right w:val="nil"/>
            </w:tcBorders>
          </w:tcPr>
          <w:p w14:paraId="3D39468A"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20%</w:t>
            </w:r>
          </w:p>
        </w:tc>
        <w:tc>
          <w:tcPr>
            <w:tcW w:w="1843" w:type="dxa"/>
            <w:tcBorders>
              <w:top w:val="nil"/>
              <w:left w:val="nil"/>
              <w:bottom w:val="nil"/>
              <w:right w:val="single" w:sz="4" w:space="0" w:color="auto"/>
            </w:tcBorders>
          </w:tcPr>
          <w:p w14:paraId="3D39468B"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7%</w:t>
            </w:r>
          </w:p>
        </w:tc>
      </w:tr>
      <w:tr w:rsidR="005117C7" w:rsidRPr="00CD729C" w14:paraId="3D394691" w14:textId="77777777" w:rsidTr="009B4BB6">
        <w:trPr>
          <w:cantSplit/>
        </w:trPr>
        <w:tc>
          <w:tcPr>
            <w:tcW w:w="3227" w:type="dxa"/>
            <w:tcBorders>
              <w:top w:val="nil"/>
              <w:left w:val="single" w:sz="4" w:space="0" w:color="auto"/>
              <w:bottom w:val="nil"/>
              <w:right w:val="nil"/>
            </w:tcBorders>
          </w:tcPr>
          <w:p w14:paraId="3D39468D" w14:textId="77777777" w:rsidR="005117C7" w:rsidRPr="00CD729C" w:rsidRDefault="005117C7" w:rsidP="009B4BB6">
            <w:pPr>
              <w:keepNext/>
              <w:keepLines/>
              <w:widowControl w:val="0"/>
              <w:tabs>
                <w:tab w:val="clear" w:pos="567"/>
              </w:tabs>
              <w:spacing w:line="240" w:lineRule="auto"/>
              <w:ind w:left="284"/>
              <w:rPr>
                <w:color w:val="000000"/>
                <w:szCs w:val="22"/>
              </w:rPr>
            </w:pPr>
            <w:r w:rsidRPr="00CD729C">
              <w:rPr>
                <w:color w:val="000000"/>
                <w:szCs w:val="22"/>
              </w:rPr>
              <w:t>(Apstiprināta</w:t>
            </w:r>
            <w:r w:rsidRPr="00CD729C">
              <w:rPr>
                <w:color w:val="000000"/>
                <w:szCs w:val="22"/>
                <w:vertAlign w:val="superscript"/>
              </w:rPr>
              <w:t>3</w:t>
            </w:r>
            <w:r w:rsidRPr="00CD729C">
              <w:rPr>
                <w:color w:val="000000"/>
                <w:szCs w:val="22"/>
              </w:rPr>
              <w:t xml:space="preserve">) [95% </w:t>
            </w:r>
            <w:r w:rsidR="0015632D" w:rsidRPr="00CD729C">
              <w:rPr>
                <w:color w:val="000000"/>
                <w:szCs w:val="22"/>
              </w:rPr>
              <w:t>TI</w:t>
            </w:r>
            <w:r w:rsidRPr="00CD729C">
              <w:rPr>
                <w:color w:val="000000"/>
                <w:szCs w:val="22"/>
              </w:rPr>
              <w:t>]</w:t>
            </w:r>
          </w:p>
        </w:tc>
        <w:tc>
          <w:tcPr>
            <w:tcW w:w="2268" w:type="dxa"/>
            <w:tcBorders>
              <w:top w:val="nil"/>
              <w:left w:val="nil"/>
              <w:bottom w:val="nil"/>
              <w:right w:val="nil"/>
            </w:tcBorders>
          </w:tcPr>
          <w:p w14:paraId="3D39468E"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(43%) [38,6–47,2]</w:t>
            </w:r>
          </w:p>
        </w:tc>
        <w:tc>
          <w:tcPr>
            <w:tcW w:w="1984" w:type="dxa"/>
            <w:tcBorders>
              <w:top w:val="nil"/>
              <w:left w:val="nil"/>
              <w:bottom w:val="nil"/>
              <w:right w:val="nil"/>
            </w:tcBorders>
          </w:tcPr>
          <w:p w14:paraId="3D39468F"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(16%) [11,3–21,0]</w:t>
            </w:r>
          </w:p>
        </w:tc>
        <w:tc>
          <w:tcPr>
            <w:tcW w:w="1843" w:type="dxa"/>
            <w:tcBorders>
              <w:top w:val="nil"/>
              <w:left w:val="nil"/>
              <w:bottom w:val="nil"/>
              <w:right w:val="single" w:sz="4" w:space="0" w:color="auto"/>
            </w:tcBorders>
          </w:tcPr>
          <w:p w14:paraId="3D394690"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(2%) [0,6–4,4]</w:t>
            </w:r>
          </w:p>
        </w:tc>
      </w:tr>
      <w:tr w:rsidR="005117C7" w:rsidRPr="00CD729C" w14:paraId="3D394696" w14:textId="77777777" w:rsidTr="009B4BB6">
        <w:trPr>
          <w:cantSplit/>
        </w:trPr>
        <w:tc>
          <w:tcPr>
            <w:tcW w:w="3227" w:type="dxa"/>
            <w:tcBorders>
              <w:top w:val="nil"/>
              <w:left w:val="single" w:sz="4" w:space="0" w:color="auto"/>
              <w:bottom w:val="single" w:sz="4" w:space="0" w:color="auto"/>
              <w:right w:val="nil"/>
            </w:tcBorders>
          </w:tcPr>
          <w:p w14:paraId="3D394692" w14:textId="77777777" w:rsidR="005117C7" w:rsidRPr="00CD729C" w:rsidRDefault="005117C7" w:rsidP="009B4BB6">
            <w:pPr>
              <w:keepNext/>
              <w:keepLines/>
              <w:widowControl w:val="0"/>
              <w:tabs>
                <w:tab w:val="clear" w:pos="567"/>
              </w:tabs>
              <w:spacing w:line="240" w:lineRule="auto"/>
              <w:ind w:left="284"/>
              <w:rPr>
                <w:color w:val="000000"/>
                <w:szCs w:val="22"/>
              </w:rPr>
            </w:pPr>
            <w:r w:rsidRPr="00CD729C">
              <w:rPr>
                <w:color w:val="000000"/>
                <w:szCs w:val="22"/>
              </w:rPr>
              <w:t>Daļēja</w:t>
            </w:r>
          </w:p>
        </w:tc>
        <w:tc>
          <w:tcPr>
            <w:tcW w:w="2268" w:type="dxa"/>
            <w:tcBorders>
              <w:top w:val="nil"/>
              <w:left w:val="nil"/>
              <w:bottom w:val="single" w:sz="4" w:space="0" w:color="auto"/>
              <w:right w:val="nil"/>
            </w:tcBorders>
          </w:tcPr>
          <w:p w14:paraId="3D394693"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12%</w:t>
            </w:r>
          </w:p>
        </w:tc>
        <w:tc>
          <w:tcPr>
            <w:tcW w:w="1984" w:type="dxa"/>
            <w:tcBorders>
              <w:top w:val="nil"/>
              <w:left w:val="nil"/>
              <w:bottom w:val="single" w:sz="4" w:space="0" w:color="auto"/>
              <w:right w:val="nil"/>
            </w:tcBorders>
          </w:tcPr>
          <w:p w14:paraId="3D394694"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7%</w:t>
            </w:r>
          </w:p>
        </w:tc>
        <w:tc>
          <w:tcPr>
            <w:tcW w:w="1843" w:type="dxa"/>
            <w:tcBorders>
              <w:top w:val="nil"/>
              <w:left w:val="nil"/>
              <w:bottom w:val="single" w:sz="4" w:space="0" w:color="auto"/>
              <w:right w:val="single" w:sz="4" w:space="0" w:color="auto"/>
            </w:tcBorders>
          </w:tcPr>
          <w:p w14:paraId="3D394695"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8%</w:t>
            </w:r>
          </w:p>
        </w:tc>
      </w:tr>
      <w:tr w:rsidR="005117C7" w:rsidRPr="00CD729C" w14:paraId="3D39469F" w14:textId="77777777" w:rsidTr="009B4BB6">
        <w:trPr>
          <w:cantSplit/>
        </w:trPr>
        <w:tc>
          <w:tcPr>
            <w:tcW w:w="9322" w:type="dxa"/>
            <w:gridSpan w:val="4"/>
            <w:tcBorders>
              <w:top w:val="nil"/>
            </w:tcBorders>
          </w:tcPr>
          <w:p w14:paraId="3D394697" w14:textId="77777777" w:rsidR="005117C7" w:rsidRPr="00CD729C" w:rsidRDefault="005117C7" w:rsidP="009B4BB6">
            <w:pPr>
              <w:keepNext/>
              <w:keepLines/>
              <w:widowControl w:val="0"/>
              <w:spacing w:line="240" w:lineRule="auto"/>
              <w:rPr>
                <w:color w:val="000000"/>
                <w:szCs w:val="22"/>
              </w:rPr>
            </w:pPr>
            <w:r w:rsidRPr="00CD729C">
              <w:rPr>
                <w:color w:val="000000"/>
                <w:szCs w:val="22"/>
                <w:vertAlign w:val="superscript"/>
              </w:rPr>
              <w:t>1</w:t>
            </w:r>
            <w:r w:rsidRPr="00CD729C">
              <w:rPr>
                <w:b/>
                <w:color w:val="000000"/>
                <w:szCs w:val="22"/>
              </w:rPr>
              <w:t>Hematoloģiskās atbildes reakcijas kritēriji (visas atbildes reakcijas jāapstiprina pēc 4 nedēļas ilga vai ilgāka laika posma):</w:t>
            </w:r>
          </w:p>
          <w:p w14:paraId="3D394698" w14:textId="77777777" w:rsidR="005117C7" w:rsidRPr="00CD729C" w:rsidRDefault="005117C7" w:rsidP="009B4BB6">
            <w:pPr>
              <w:pStyle w:val="EndnoteText"/>
              <w:keepNext/>
              <w:keepLines/>
              <w:widowControl w:val="0"/>
              <w:ind w:left="567" w:hanging="567"/>
              <w:rPr>
                <w:color w:val="000000"/>
                <w:szCs w:val="22"/>
              </w:rPr>
            </w:pPr>
            <w:r w:rsidRPr="00CD729C">
              <w:rPr>
                <w:color w:val="000000"/>
                <w:szCs w:val="22"/>
              </w:rPr>
              <w:t xml:space="preserve">CHR: </w:t>
            </w:r>
            <w:r w:rsidR="00084A98" w:rsidRPr="00CD729C">
              <w:rPr>
                <w:color w:val="000000"/>
                <w:szCs w:val="22"/>
              </w:rPr>
              <w:t>p</w:t>
            </w:r>
            <w:r w:rsidRPr="00CD729C">
              <w:rPr>
                <w:color w:val="000000"/>
                <w:szCs w:val="22"/>
              </w:rPr>
              <w:t>ētījums 0110 [WBC &lt;10 x 10</w:t>
            </w:r>
            <w:r w:rsidRPr="00CD729C">
              <w:rPr>
                <w:color w:val="000000"/>
                <w:szCs w:val="22"/>
                <w:vertAlign w:val="superscript"/>
              </w:rPr>
              <w:t>9</w:t>
            </w:r>
            <w:r w:rsidRPr="00CD729C">
              <w:rPr>
                <w:color w:val="000000"/>
                <w:szCs w:val="22"/>
              </w:rPr>
              <w:t>/l, trombocītu skaits &lt;450 x 10</w:t>
            </w:r>
            <w:r w:rsidRPr="00CD729C">
              <w:rPr>
                <w:color w:val="000000"/>
                <w:szCs w:val="22"/>
                <w:vertAlign w:val="superscript"/>
              </w:rPr>
              <w:t>9</w:t>
            </w:r>
            <w:r w:rsidRPr="00CD729C">
              <w:rPr>
                <w:color w:val="000000"/>
                <w:szCs w:val="22"/>
              </w:rPr>
              <w:t xml:space="preserve">/l, mielocīti + metamielocīti asinīs &lt;5%, asinīs nav blastu un promielocītu, bazofilu daudzums &lt;20% un nav iesaistīti ekstramedulārie audi] un pētījumos 0102 un 0109 [ANC </w:t>
            </w:r>
            <w:r w:rsidRPr="00CD729C">
              <w:rPr>
                <w:color w:val="000000"/>
                <w:szCs w:val="22"/>
              </w:rPr>
              <w:sym w:font="Symbol" w:char="F0B3"/>
            </w:r>
            <w:r w:rsidRPr="00CD729C">
              <w:rPr>
                <w:color w:val="000000"/>
                <w:szCs w:val="22"/>
              </w:rPr>
              <w:t>1,5 x 10</w:t>
            </w:r>
            <w:r w:rsidRPr="00CD729C">
              <w:rPr>
                <w:color w:val="000000"/>
                <w:szCs w:val="22"/>
                <w:vertAlign w:val="superscript"/>
              </w:rPr>
              <w:t>9</w:t>
            </w:r>
            <w:r w:rsidRPr="00CD729C">
              <w:rPr>
                <w:color w:val="000000"/>
                <w:szCs w:val="22"/>
              </w:rPr>
              <w:t xml:space="preserve">/l, trombocītu skaits </w:t>
            </w:r>
            <w:r w:rsidRPr="00CD729C">
              <w:rPr>
                <w:color w:val="000000"/>
                <w:szCs w:val="22"/>
              </w:rPr>
              <w:sym w:font="Symbol" w:char="F0B3"/>
            </w:r>
            <w:r w:rsidRPr="00CD729C">
              <w:rPr>
                <w:color w:val="000000"/>
                <w:szCs w:val="22"/>
              </w:rPr>
              <w:t>100 x 10</w:t>
            </w:r>
            <w:r w:rsidRPr="00CD729C">
              <w:rPr>
                <w:color w:val="000000"/>
                <w:szCs w:val="22"/>
                <w:vertAlign w:val="superscript"/>
              </w:rPr>
              <w:t>9</w:t>
            </w:r>
            <w:r w:rsidRPr="00CD729C">
              <w:rPr>
                <w:color w:val="000000"/>
                <w:szCs w:val="22"/>
              </w:rPr>
              <w:t>/l, asinīs nav blastu, BM blastu daudzums &lt;5% un nav ekstramedulāru patoloģiju]</w:t>
            </w:r>
          </w:p>
          <w:p w14:paraId="3D394699" w14:textId="77777777" w:rsidR="005117C7" w:rsidRPr="00CD729C" w:rsidRDefault="005117C7" w:rsidP="009B4BB6">
            <w:pPr>
              <w:keepNext/>
              <w:keepLines/>
              <w:widowControl w:val="0"/>
              <w:spacing w:line="240" w:lineRule="auto"/>
              <w:ind w:left="567" w:hanging="567"/>
              <w:rPr>
                <w:color w:val="000000"/>
                <w:szCs w:val="22"/>
              </w:rPr>
            </w:pPr>
            <w:r w:rsidRPr="00CD729C">
              <w:rPr>
                <w:color w:val="000000"/>
                <w:szCs w:val="22"/>
              </w:rPr>
              <w:t xml:space="preserve">NEL: kritēriji atbilst CHR, bet ANC </w:t>
            </w:r>
            <w:r w:rsidRPr="00CD729C">
              <w:rPr>
                <w:color w:val="000000"/>
                <w:szCs w:val="22"/>
              </w:rPr>
              <w:sym w:font="Symbol" w:char="F0B3"/>
            </w:r>
            <w:r w:rsidRPr="00CD729C">
              <w:rPr>
                <w:color w:val="000000"/>
                <w:szCs w:val="22"/>
              </w:rPr>
              <w:t>1 x 10</w:t>
            </w:r>
            <w:r w:rsidRPr="00CD729C">
              <w:rPr>
                <w:color w:val="000000"/>
                <w:szCs w:val="22"/>
                <w:vertAlign w:val="superscript"/>
              </w:rPr>
              <w:t>9</w:t>
            </w:r>
            <w:r w:rsidRPr="00CD729C">
              <w:rPr>
                <w:color w:val="000000"/>
                <w:szCs w:val="22"/>
              </w:rPr>
              <w:t xml:space="preserve">/l un trombocītu skaits </w:t>
            </w:r>
            <w:r w:rsidRPr="00CD729C">
              <w:rPr>
                <w:color w:val="000000"/>
                <w:szCs w:val="22"/>
              </w:rPr>
              <w:sym w:font="Symbol" w:char="F0B3"/>
            </w:r>
            <w:r w:rsidRPr="00CD729C">
              <w:rPr>
                <w:color w:val="000000"/>
                <w:szCs w:val="22"/>
              </w:rPr>
              <w:t>20 x 10</w:t>
            </w:r>
            <w:r w:rsidRPr="00CD729C">
              <w:rPr>
                <w:color w:val="000000"/>
                <w:szCs w:val="22"/>
                <w:vertAlign w:val="superscript"/>
              </w:rPr>
              <w:t>9</w:t>
            </w:r>
            <w:r w:rsidRPr="00CD729C">
              <w:rPr>
                <w:color w:val="000000"/>
                <w:szCs w:val="22"/>
              </w:rPr>
              <w:t>/l (tikai pētījumos Nr. 0102 un 0109)</w:t>
            </w:r>
          </w:p>
          <w:p w14:paraId="3D39469A" w14:textId="77777777" w:rsidR="005117C7" w:rsidRPr="00CD729C" w:rsidRDefault="005117C7" w:rsidP="009B4BB6">
            <w:pPr>
              <w:keepNext/>
              <w:keepLines/>
              <w:widowControl w:val="0"/>
              <w:spacing w:line="240" w:lineRule="auto"/>
              <w:ind w:left="567" w:hanging="567"/>
              <w:rPr>
                <w:color w:val="000000"/>
                <w:szCs w:val="22"/>
              </w:rPr>
            </w:pPr>
            <w:r w:rsidRPr="00CD729C">
              <w:rPr>
                <w:color w:val="000000"/>
                <w:szCs w:val="22"/>
              </w:rPr>
              <w:t>RTC: &lt;15% BM un PB, &lt;30% blastu + promielocītu BM un PB, &lt;20% bazofilu PB, nav ekstramedulāru patoloģiju (izņemot liesu un aknas – tikai pētījumos Nr. 0102 un 0109)</w:t>
            </w:r>
          </w:p>
          <w:p w14:paraId="3D39469B" w14:textId="77777777" w:rsidR="005117C7" w:rsidRPr="00CD729C" w:rsidRDefault="005117C7" w:rsidP="009B4BB6">
            <w:pPr>
              <w:keepNext/>
              <w:keepLines/>
              <w:widowControl w:val="0"/>
              <w:spacing w:line="240" w:lineRule="auto"/>
              <w:rPr>
                <w:color w:val="000000"/>
                <w:szCs w:val="22"/>
              </w:rPr>
            </w:pPr>
            <w:r w:rsidRPr="00CD729C">
              <w:rPr>
                <w:color w:val="000000"/>
                <w:szCs w:val="22"/>
              </w:rPr>
              <w:t>BM = kaulu smadzenes, PB = perifērās asinis</w:t>
            </w:r>
          </w:p>
          <w:p w14:paraId="3D39469C" w14:textId="77777777" w:rsidR="005117C7" w:rsidRPr="00CD729C" w:rsidRDefault="005117C7" w:rsidP="009B4BB6">
            <w:pPr>
              <w:keepNext/>
              <w:keepLines/>
              <w:widowControl w:val="0"/>
              <w:spacing w:line="240" w:lineRule="auto"/>
              <w:rPr>
                <w:b/>
                <w:color w:val="000000"/>
                <w:szCs w:val="22"/>
              </w:rPr>
            </w:pPr>
            <w:r w:rsidRPr="00CD729C">
              <w:rPr>
                <w:color w:val="000000"/>
                <w:szCs w:val="22"/>
                <w:vertAlign w:val="superscript"/>
              </w:rPr>
              <w:t>2</w:t>
            </w:r>
            <w:r w:rsidRPr="00CD729C">
              <w:rPr>
                <w:b/>
                <w:color w:val="000000"/>
                <w:szCs w:val="22"/>
              </w:rPr>
              <w:t>Citoģenētiskās atbildes reakcijas kritēriji:</w:t>
            </w:r>
          </w:p>
          <w:p w14:paraId="3D39469D" w14:textId="77777777" w:rsidR="005117C7" w:rsidRPr="00CD729C" w:rsidRDefault="00084A98" w:rsidP="009B4BB6">
            <w:pPr>
              <w:keepNext/>
              <w:keepLines/>
              <w:widowControl w:val="0"/>
              <w:spacing w:line="240" w:lineRule="auto"/>
              <w:rPr>
                <w:color w:val="000000"/>
                <w:szCs w:val="22"/>
              </w:rPr>
            </w:pPr>
            <w:r w:rsidRPr="00CD729C">
              <w:rPr>
                <w:color w:val="000000"/>
                <w:szCs w:val="22"/>
              </w:rPr>
              <w:t>n</w:t>
            </w:r>
            <w:r w:rsidR="005117C7" w:rsidRPr="00CD729C">
              <w:rPr>
                <w:color w:val="000000"/>
                <w:szCs w:val="22"/>
              </w:rPr>
              <w:t>ozīmīga atbildes reakcija apvieno pilnīgu un daļēju atbildes reakciju: pilnīga atbildes reakcija (0% Ph</w:t>
            </w:r>
            <w:r w:rsidR="005117C7" w:rsidRPr="00CD729C">
              <w:rPr>
                <w:color w:val="000000"/>
                <w:szCs w:val="22"/>
                <w:vertAlign w:val="superscript"/>
              </w:rPr>
              <w:t>+</w:t>
            </w:r>
            <w:r w:rsidR="005117C7" w:rsidRPr="00CD729C">
              <w:rPr>
                <w:color w:val="000000"/>
                <w:szCs w:val="22"/>
              </w:rPr>
              <w:t xml:space="preserve"> metafāzes), daļēja (1–35%)</w:t>
            </w:r>
            <w:r w:rsidR="00BA64DD" w:rsidRPr="00CD729C">
              <w:rPr>
                <w:color w:val="000000"/>
                <w:szCs w:val="22"/>
              </w:rPr>
              <w:t>.</w:t>
            </w:r>
          </w:p>
          <w:p w14:paraId="3D39469E" w14:textId="77777777" w:rsidR="005117C7" w:rsidRPr="00CD729C" w:rsidRDefault="005117C7" w:rsidP="009B4BB6">
            <w:pPr>
              <w:keepNext/>
              <w:keepLines/>
              <w:widowControl w:val="0"/>
              <w:spacing w:line="240" w:lineRule="auto"/>
              <w:rPr>
                <w:color w:val="000000"/>
                <w:szCs w:val="22"/>
              </w:rPr>
            </w:pPr>
            <w:r w:rsidRPr="00CD729C">
              <w:rPr>
                <w:color w:val="000000"/>
                <w:szCs w:val="22"/>
                <w:vertAlign w:val="superscript"/>
              </w:rPr>
              <w:t>3</w:t>
            </w:r>
            <w:r w:rsidRPr="00CD729C">
              <w:rPr>
                <w:color w:val="000000"/>
                <w:szCs w:val="22"/>
              </w:rPr>
              <w:t>Pilnīga</w:t>
            </w:r>
            <w:r w:rsidR="00DD2211" w:rsidRPr="00CD729C">
              <w:rPr>
                <w:color w:val="000000"/>
                <w:szCs w:val="22"/>
              </w:rPr>
              <w:t xml:space="preserve"> </w:t>
            </w:r>
            <w:r w:rsidRPr="00CD729C">
              <w:rPr>
                <w:color w:val="000000"/>
                <w:szCs w:val="22"/>
              </w:rPr>
              <w:t>citoģenētiska atbildes reakcija ir apstiprināta, izmantojot nākamo kaulu smadzeņu audu citoģenētisko vērtējumu, kas izdarīts vismaz mēnesi pēc sākotnējā kaulu smadzeņu audu izmeklējuma.</w:t>
            </w:r>
          </w:p>
        </w:tc>
      </w:tr>
    </w:tbl>
    <w:p w14:paraId="3D3946A0" w14:textId="77777777" w:rsidR="005117C7" w:rsidRPr="00CD729C" w:rsidRDefault="005117C7" w:rsidP="009B4BB6">
      <w:pPr>
        <w:widowControl w:val="0"/>
        <w:spacing w:line="240" w:lineRule="auto"/>
        <w:rPr>
          <w:color w:val="000000"/>
          <w:szCs w:val="22"/>
        </w:rPr>
      </w:pPr>
    </w:p>
    <w:p w14:paraId="3D3946A1" w14:textId="77777777" w:rsidR="000E6FF4" w:rsidRPr="00CD729C" w:rsidRDefault="005117C7" w:rsidP="009B4BB6">
      <w:pPr>
        <w:widowControl w:val="0"/>
        <w:spacing w:line="240" w:lineRule="auto"/>
        <w:rPr>
          <w:color w:val="000000"/>
          <w:szCs w:val="22"/>
        </w:rPr>
      </w:pPr>
      <w:r w:rsidRPr="00CD729C">
        <w:rPr>
          <w:i/>
          <w:color w:val="000000"/>
          <w:szCs w:val="22"/>
        </w:rPr>
        <w:t>Pediatriskie pacienti:</w:t>
      </w:r>
      <w:r w:rsidRPr="00CD729C">
        <w:rPr>
          <w:color w:val="000000"/>
          <w:szCs w:val="22"/>
        </w:rPr>
        <w:t xml:space="preserve"> I fāzes pētījumā, kura laikā paaugstināja preparāta devas, pavisam tika iekļauti 26 pediatriskie pacienti (jaunāki par 18 gadiem) ar CML hroniskā fāzē (n = 11), kā arī ar blastu krīzi vai akūtu Ph</w:t>
      </w:r>
      <w:r w:rsidRPr="00CD729C">
        <w:rPr>
          <w:color w:val="000000"/>
          <w:szCs w:val="22"/>
          <w:vertAlign w:val="superscript"/>
        </w:rPr>
        <w:t>+</w:t>
      </w:r>
      <w:r w:rsidRPr="00CD729C">
        <w:rPr>
          <w:color w:val="000000"/>
          <w:szCs w:val="22"/>
        </w:rPr>
        <w:t xml:space="preserve"> leik</w:t>
      </w:r>
      <w:r w:rsidR="00A10624" w:rsidRPr="00CD729C">
        <w:rPr>
          <w:color w:val="000000"/>
          <w:szCs w:val="22"/>
        </w:rPr>
        <w:t>ozi</w:t>
      </w:r>
      <w:r w:rsidRPr="00CD729C">
        <w:rPr>
          <w:color w:val="000000"/>
          <w:szCs w:val="22"/>
        </w:rPr>
        <w:t xml:space="preserve"> (n = 15). Šī pacientu grupa iepriekš bija saņēmusi spēcīgu iepriekšēju terapiju – 46% pacientu agrāk bija veikta kaulu smadzeņu transplantācija (BMT), bet 73% pacientu – ķīmijterapija, izmantojot vairākus preparātus. Pacienti saņēma 260 (n = 5), 340 (n = 9), 440 (n = 7) un 570 mg/m</w:t>
      </w:r>
      <w:r w:rsidRPr="00CD729C">
        <w:rPr>
          <w:color w:val="000000"/>
          <w:szCs w:val="22"/>
          <w:vertAlign w:val="superscript"/>
        </w:rPr>
        <w:t>2</w:t>
      </w:r>
      <w:r w:rsidRPr="00CD729C">
        <w:rPr>
          <w:color w:val="000000"/>
          <w:szCs w:val="22"/>
        </w:rPr>
        <w:t xml:space="preserve"> (n = 5) lielām preparāta devas dienā. No 9 pacientiem ar hronisku CML, par kuriem pieejamai citoģenēzes dati, attiecīgi 4 (44%) un 3 (33%) pacienti sasniedza pilnīgu vai daļēju citoģenētisku atbildes reakciju, kur MCyR pakāpe bija 77%.</w:t>
      </w:r>
    </w:p>
    <w:p w14:paraId="3D3946A2" w14:textId="77777777" w:rsidR="000E6FF4" w:rsidRPr="00CD729C" w:rsidRDefault="000E6FF4" w:rsidP="009B4BB6">
      <w:pPr>
        <w:widowControl w:val="0"/>
        <w:spacing w:line="240" w:lineRule="auto"/>
        <w:rPr>
          <w:color w:val="000000"/>
          <w:szCs w:val="22"/>
        </w:rPr>
      </w:pPr>
    </w:p>
    <w:p w14:paraId="3D3946A3" w14:textId="77777777" w:rsidR="000E6FF4" w:rsidRPr="00CD729C" w:rsidRDefault="000E6FF4" w:rsidP="009B4BB6">
      <w:pPr>
        <w:widowControl w:val="0"/>
        <w:spacing w:line="240" w:lineRule="auto"/>
        <w:rPr>
          <w:color w:val="000000"/>
          <w:szCs w:val="22"/>
        </w:rPr>
      </w:pPr>
      <w:r w:rsidRPr="00CD729C">
        <w:rPr>
          <w:color w:val="000000"/>
          <w:szCs w:val="22"/>
        </w:rPr>
        <w:t>Kopumā atklāta tipa, daudzcentru, monogrupas II fāzes pētījumā tika iesaistīti 51 pediatrijas pacients ar jaunatklātu un neārstētu CML hroniskā fāzē. Pacienti bez pārtraukuma saņēma Glivec 340 mg/m</w:t>
      </w:r>
      <w:r w:rsidRPr="00CD729C">
        <w:rPr>
          <w:color w:val="000000"/>
          <w:szCs w:val="22"/>
          <w:vertAlign w:val="superscript"/>
        </w:rPr>
        <w:t>2</w:t>
      </w:r>
      <w:r w:rsidRPr="00CD729C">
        <w:rPr>
          <w:color w:val="000000"/>
          <w:szCs w:val="22"/>
        </w:rPr>
        <w:t>/dienā devu, jo netika novērota toksicitātes parādības, kam būtu nepieciešama devas samazināšana.</w:t>
      </w:r>
      <w:r w:rsidR="00A47178" w:rsidRPr="00CD729C">
        <w:rPr>
          <w:color w:val="000000"/>
          <w:szCs w:val="22"/>
        </w:rPr>
        <w:t xml:space="preserve"> </w:t>
      </w:r>
      <w:r w:rsidRPr="00CD729C">
        <w:rPr>
          <w:color w:val="000000"/>
          <w:szCs w:val="22"/>
        </w:rPr>
        <w:t xml:space="preserve">8 nedēļu laikā pēc Glivec terapijas uzsākšanas pediatrijas pacientiem ar CML novēroja strauju atbildes reakciju veidošanos, sasniedzot 78% no pilnīgas hematoloģiskās atbildes reakcijas (CHR). Augstais CHR līmenis saistīts ar pilnīgu citoģenētiskās atbildes reakcijas (CCyR) veidošanos 65% apmērā, kas ir salīdzināms ar rezultātiem pieaugušiem pacientiem. Bez tam, daļēju citoģenētiskās atbildes reakciju novēroja vēl 16% pacientu, kur MCyR pakāpe bija 81%. Vairākums pacientu, kuri sasniedza pilnīgu citoģenētiskās atbildes reakciju (CCyR), atbildes reakciju sasniedza vidēji 3 līdz </w:t>
      </w:r>
      <w:r w:rsidRPr="00CD729C">
        <w:rPr>
          <w:color w:val="000000"/>
          <w:szCs w:val="22"/>
        </w:rPr>
        <w:lastRenderedPageBreak/>
        <w:t>10 mēnešu laikā, pamatojoties un Kaplāna-Meijera aprēķinātajiem 5,6 mēnešiem.</w:t>
      </w:r>
    </w:p>
    <w:p w14:paraId="3D3946A4" w14:textId="77777777" w:rsidR="008768DE" w:rsidRPr="00CD729C" w:rsidRDefault="008768DE" w:rsidP="009B4BB6">
      <w:pPr>
        <w:widowControl w:val="0"/>
        <w:spacing w:line="240" w:lineRule="auto"/>
        <w:rPr>
          <w:color w:val="000000"/>
          <w:szCs w:val="22"/>
        </w:rPr>
      </w:pPr>
    </w:p>
    <w:p w14:paraId="3D3946A5" w14:textId="77777777" w:rsidR="008768DE" w:rsidRPr="00CD729C" w:rsidRDefault="008768DE" w:rsidP="009B4BB6">
      <w:pPr>
        <w:widowControl w:val="0"/>
        <w:spacing w:line="240" w:lineRule="auto"/>
        <w:rPr>
          <w:color w:val="000000"/>
          <w:szCs w:val="22"/>
        </w:rPr>
      </w:pPr>
      <w:r w:rsidRPr="00CD729C">
        <w:rPr>
          <w:color w:val="000000"/>
          <w:szCs w:val="22"/>
        </w:rPr>
        <w:t xml:space="preserve">Eiropas Zāļu aģentūra atbrīvojusi no pienākuma iesniegt pētījumu rezultātus Glivec visās pediatriskās populācijas apakšgrupās </w:t>
      </w:r>
      <w:r w:rsidR="00A82119" w:rsidRPr="00CD729C">
        <w:rPr>
          <w:color w:val="000000"/>
          <w:szCs w:val="22"/>
        </w:rPr>
        <w:t xml:space="preserve">pacientiem </w:t>
      </w:r>
      <w:r w:rsidRPr="00CD729C">
        <w:rPr>
          <w:color w:val="000000"/>
          <w:szCs w:val="22"/>
        </w:rPr>
        <w:t>ar Filadelfijas hromosomas (bcr-abl translokācija)</w:t>
      </w:r>
      <w:r w:rsidR="00A55CF4" w:rsidRPr="00CD729C">
        <w:rPr>
          <w:color w:val="000000"/>
          <w:szCs w:val="22"/>
        </w:rPr>
        <w:t xml:space="preserve"> p</w:t>
      </w:r>
      <w:r w:rsidRPr="00CD729C">
        <w:rPr>
          <w:color w:val="000000"/>
          <w:szCs w:val="22"/>
        </w:rPr>
        <w:t>ozitīvu hronisku mieloleik</w:t>
      </w:r>
      <w:r w:rsidR="00A10624" w:rsidRPr="00CD729C">
        <w:rPr>
          <w:color w:val="000000"/>
          <w:szCs w:val="22"/>
        </w:rPr>
        <w:t>ozi</w:t>
      </w:r>
      <w:r w:rsidRPr="00CD729C">
        <w:rPr>
          <w:color w:val="000000"/>
          <w:szCs w:val="22"/>
        </w:rPr>
        <w:t xml:space="preserve"> (informāciju par lietošanu bērniem skatīt </w:t>
      </w:r>
      <w:r w:rsidR="00BF3DA7" w:rsidRPr="00CD729C">
        <w:rPr>
          <w:color w:val="000000"/>
          <w:szCs w:val="22"/>
        </w:rPr>
        <w:t>4.2</w:t>
      </w:r>
      <w:r w:rsidR="00FD1CF2" w:rsidRPr="00CD729C">
        <w:rPr>
          <w:color w:val="000000"/>
          <w:szCs w:val="22"/>
        </w:rPr>
        <w:t>.</w:t>
      </w:r>
      <w:r w:rsidR="00552C22" w:rsidRPr="00CD729C">
        <w:rPr>
          <w:color w:val="000000"/>
          <w:szCs w:val="22"/>
        </w:rPr>
        <w:t> apakšpunkt</w:t>
      </w:r>
      <w:r w:rsidR="007971BC" w:rsidRPr="00CD729C">
        <w:rPr>
          <w:color w:val="000000"/>
          <w:szCs w:val="22"/>
        </w:rPr>
        <w:t>ā</w:t>
      </w:r>
      <w:r w:rsidRPr="00CD729C">
        <w:rPr>
          <w:color w:val="000000"/>
          <w:szCs w:val="22"/>
        </w:rPr>
        <w:t>).</w:t>
      </w:r>
    </w:p>
    <w:p w14:paraId="3D3946A6" w14:textId="77777777" w:rsidR="008768DE" w:rsidRPr="00CD729C" w:rsidRDefault="008768DE" w:rsidP="009B4BB6">
      <w:pPr>
        <w:widowControl w:val="0"/>
        <w:spacing w:line="240" w:lineRule="auto"/>
        <w:rPr>
          <w:color w:val="000000"/>
          <w:szCs w:val="22"/>
        </w:rPr>
      </w:pPr>
    </w:p>
    <w:p w14:paraId="3D3946A7" w14:textId="77777777" w:rsidR="00863031" w:rsidRPr="00CD729C" w:rsidRDefault="00863031" w:rsidP="009B4BB6">
      <w:pPr>
        <w:pStyle w:val="EndnoteText"/>
        <w:keepNext/>
        <w:widowControl w:val="0"/>
        <w:rPr>
          <w:color w:val="000000"/>
          <w:szCs w:val="22"/>
          <w:u w:val="single"/>
        </w:rPr>
      </w:pPr>
      <w:r w:rsidRPr="00CD729C">
        <w:rPr>
          <w:color w:val="000000"/>
          <w:szCs w:val="22"/>
          <w:u w:val="single"/>
        </w:rPr>
        <w:t>Ph+ ALL klīniskie pētījumi</w:t>
      </w:r>
    </w:p>
    <w:p w14:paraId="3D3946A8" w14:textId="77777777" w:rsidR="00863031" w:rsidRPr="00CD729C" w:rsidRDefault="00863031" w:rsidP="009B4BB6">
      <w:pPr>
        <w:pStyle w:val="Text"/>
        <w:widowControl w:val="0"/>
        <w:spacing w:before="0"/>
        <w:jc w:val="left"/>
        <w:rPr>
          <w:color w:val="000000"/>
          <w:sz w:val="22"/>
          <w:szCs w:val="22"/>
          <w:lang w:val="lv-LV"/>
        </w:rPr>
      </w:pPr>
      <w:r w:rsidRPr="00CD729C">
        <w:rPr>
          <w:i/>
          <w:color w:val="000000"/>
          <w:sz w:val="22"/>
          <w:szCs w:val="22"/>
          <w:lang w:val="lv-LV"/>
        </w:rPr>
        <w:t>Tikko diagnosticēts Ph+ ALL</w:t>
      </w:r>
      <w:r w:rsidRPr="00CD729C">
        <w:rPr>
          <w:color w:val="000000"/>
          <w:sz w:val="22"/>
          <w:szCs w:val="22"/>
          <w:lang w:val="lv-LV"/>
        </w:rPr>
        <w:t>: kontrolētā (ADE10) imatiniba pētījumā, salīdzinot ar ķīmijterapijas indukciju, 55 </w:t>
      </w:r>
      <w:r w:rsidR="00B21479" w:rsidRPr="00CD729C">
        <w:rPr>
          <w:color w:val="000000"/>
          <w:sz w:val="22"/>
          <w:szCs w:val="22"/>
          <w:lang w:val="lv-LV"/>
        </w:rPr>
        <w:t xml:space="preserve">nesen </w:t>
      </w:r>
      <w:r w:rsidRPr="00CD729C">
        <w:rPr>
          <w:color w:val="000000"/>
          <w:sz w:val="22"/>
          <w:szCs w:val="22"/>
          <w:lang w:val="lv-LV"/>
        </w:rPr>
        <w:t xml:space="preserve">diagnosticētiem pacientiem </w:t>
      </w:r>
      <w:r w:rsidR="00A47178" w:rsidRPr="00CD729C">
        <w:rPr>
          <w:color w:val="000000"/>
          <w:sz w:val="22"/>
          <w:szCs w:val="22"/>
          <w:lang w:val="lv-LV"/>
        </w:rPr>
        <w:t xml:space="preserve">no </w:t>
      </w:r>
      <w:r w:rsidRPr="00CD729C">
        <w:rPr>
          <w:color w:val="000000"/>
          <w:sz w:val="22"/>
          <w:szCs w:val="22"/>
          <w:lang w:val="lv-LV"/>
        </w:rPr>
        <w:t>55 gadu vecum</w:t>
      </w:r>
      <w:r w:rsidR="00A47178" w:rsidRPr="00CD729C">
        <w:rPr>
          <w:color w:val="000000"/>
          <w:sz w:val="22"/>
          <w:szCs w:val="22"/>
          <w:lang w:val="lv-LV"/>
        </w:rPr>
        <w:t xml:space="preserve">a </w:t>
      </w:r>
      <w:r w:rsidRPr="00CD729C">
        <w:rPr>
          <w:color w:val="000000"/>
          <w:sz w:val="22"/>
          <w:szCs w:val="22"/>
          <w:lang w:val="lv-LV"/>
        </w:rPr>
        <w:t xml:space="preserve">imatinibs, lietojot to kā vienīgo līdzekli, </w:t>
      </w:r>
      <w:r w:rsidR="00A47178" w:rsidRPr="00CD729C">
        <w:rPr>
          <w:color w:val="000000"/>
          <w:sz w:val="22"/>
          <w:szCs w:val="22"/>
          <w:lang w:val="lv-LV"/>
        </w:rPr>
        <w:t>ticami</w:t>
      </w:r>
      <w:r w:rsidRPr="00CD729C">
        <w:rPr>
          <w:color w:val="000000"/>
          <w:sz w:val="22"/>
          <w:szCs w:val="22"/>
          <w:lang w:val="lv-LV"/>
        </w:rPr>
        <w:t xml:space="preserve"> biežāk nekā ķīmijterapija izraisīja pilnīgu hematoloģisku atbildes reakciju (96,3% vs. 50%; p=0,0001). Kad glābjošā terapija ar imatinibu tika lietota pacientiem, kuriem ķīmijterapija bija neefektīva vai mazefektīva, 9 pacientiem (81,8%) no 11 tika sasniegta pilnīga hematoloģiska atbildes reakcija. Šī klīniskā iedarbība pēc 2 terapijas nedēļām bija saistīta ar lielāku bcr-abl transkriptu samazinājumu ar imatinibu ārstētajiem pacientiem nekā ķīmijterapijas grupā (p=0,02). Visi pacienti pēc indukcijas saņēma imatinibu un konsolidācijas ķīmijterapiju (skatīt tabulu Nr. </w:t>
      </w:r>
      <w:r w:rsidR="00E63C12" w:rsidRPr="00CD729C">
        <w:rPr>
          <w:color w:val="000000"/>
          <w:sz w:val="22"/>
          <w:szCs w:val="22"/>
          <w:lang w:val="lv-LV"/>
        </w:rPr>
        <w:t>4</w:t>
      </w:r>
      <w:r w:rsidRPr="00CD729C">
        <w:rPr>
          <w:color w:val="000000"/>
          <w:sz w:val="22"/>
          <w:szCs w:val="22"/>
          <w:lang w:val="lv-LV"/>
        </w:rPr>
        <w:t xml:space="preserve">.), un bcr-abl transkriptu līmenis abās grupās pēc 8 nedēļām bija pilnīgi vienāds. Kā jau bija paredzēts, ņemot vērā pētījuma dizainu, </w:t>
      </w:r>
      <w:r w:rsidRPr="00CD729C">
        <w:rPr>
          <w:rFonts w:eastAsia="MS Mincho"/>
          <w:color w:val="000000"/>
          <w:sz w:val="22"/>
          <w:szCs w:val="22"/>
          <w:lang w:val="lv-LV" w:eastAsia="ja-JP"/>
        </w:rPr>
        <w:t>nenovēroja nekādu remisijas ilguma, dzīvildze</w:t>
      </w:r>
      <w:r w:rsidR="0014176E" w:rsidRPr="00CD729C">
        <w:rPr>
          <w:rFonts w:eastAsia="MS Mincho"/>
          <w:color w:val="000000"/>
          <w:sz w:val="22"/>
          <w:szCs w:val="22"/>
          <w:lang w:val="lv-LV" w:eastAsia="ja-JP"/>
        </w:rPr>
        <w:t>s</w:t>
      </w:r>
      <w:r w:rsidR="00A47178" w:rsidRPr="00CD729C">
        <w:rPr>
          <w:rFonts w:eastAsia="MS Mincho"/>
          <w:color w:val="000000"/>
          <w:sz w:val="22"/>
          <w:szCs w:val="22"/>
          <w:lang w:val="lv-LV" w:eastAsia="ja-JP"/>
        </w:rPr>
        <w:t xml:space="preserve"> bez slimības</w:t>
      </w:r>
      <w:r w:rsidRPr="00CD729C">
        <w:rPr>
          <w:rFonts w:eastAsia="MS Mincho"/>
          <w:color w:val="000000"/>
          <w:sz w:val="22"/>
          <w:szCs w:val="22"/>
          <w:lang w:val="lv-LV" w:eastAsia="ja-JP"/>
        </w:rPr>
        <w:t xml:space="preserve"> vai kopējās dzīvildzes atšķirību, kaut gan pacientiem ar pilnīgu molekulāru atbildes reakciju un stabilu minimālu atlieku slimību bija labāks iznākums gan remisijas ilguma (p=0,01), gan </w:t>
      </w:r>
      <w:r w:rsidR="00A47178" w:rsidRPr="00CD729C">
        <w:rPr>
          <w:rFonts w:eastAsia="MS Mincho"/>
          <w:color w:val="000000"/>
          <w:sz w:val="22"/>
          <w:szCs w:val="22"/>
          <w:lang w:val="lv-LV" w:eastAsia="ja-JP"/>
        </w:rPr>
        <w:t>dzīvildzes bez slimības</w:t>
      </w:r>
      <w:r w:rsidRPr="00CD729C">
        <w:rPr>
          <w:rFonts w:eastAsia="MS Mincho"/>
          <w:color w:val="000000"/>
          <w:sz w:val="22"/>
          <w:szCs w:val="22"/>
          <w:lang w:val="lv-LV" w:eastAsia="ja-JP"/>
        </w:rPr>
        <w:t xml:space="preserve"> ziņā (p=0,02)</w:t>
      </w:r>
      <w:r w:rsidRPr="00CD729C">
        <w:rPr>
          <w:color w:val="000000"/>
          <w:sz w:val="22"/>
          <w:szCs w:val="22"/>
          <w:lang w:val="lv-LV"/>
        </w:rPr>
        <w:t>.</w:t>
      </w:r>
    </w:p>
    <w:p w14:paraId="3D3946A9" w14:textId="77777777" w:rsidR="00863031" w:rsidRPr="00CD729C" w:rsidRDefault="00863031" w:rsidP="009B4BB6">
      <w:pPr>
        <w:pStyle w:val="Text"/>
        <w:widowControl w:val="0"/>
        <w:spacing w:before="0"/>
        <w:jc w:val="left"/>
        <w:rPr>
          <w:color w:val="000000"/>
          <w:sz w:val="22"/>
          <w:szCs w:val="22"/>
          <w:lang w:val="lv-LV"/>
        </w:rPr>
      </w:pPr>
    </w:p>
    <w:p w14:paraId="3D3946AA" w14:textId="77777777" w:rsidR="00863031" w:rsidRPr="00CD729C" w:rsidRDefault="00863031" w:rsidP="009B4BB6">
      <w:pPr>
        <w:pStyle w:val="EndnoteText"/>
        <w:widowControl w:val="0"/>
        <w:rPr>
          <w:color w:val="000000"/>
          <w:szCs w:val="22"/>
        </w:rPr>
      </w:pPr>
      <w:r w:rsidRPr="00CD729C">
        <w:rPr>
          <w:color w:val="000000"/>
          <w:szCs w:val="22"/>
        </w:rPr>
        <w:t>211 </w:t>
      </w:r>
      <w:r w:rsidR="00B21479" w:rsidRPr="00CD729C">
        <w:rPr>
          <w:color w:val="000000"/>
          <w:szCs w:val="22"/>
        </w:rPr>
        <w:t xml:space="preserve">nesen </w:t>
      </w:r>
      <w:r w:rsidRPr="00CD729C">
        <w:rPr>
          <w:color w:val="000000"/>
          <w:szCs w:val="22"/>
        </w:rPr>
        <w:t>diagnosticētu Ph+ ALL pacientu grupā novērotie rezultāti četros nekontrolētos klīniskos pētījumos (AAU02, ADE04, AJP01 un AUS01) saskan ar rezultātiem, kas aprakstīti iepriekš. Imatiniba lietošana kombinācijā ar ķīmijterapijas indukciju (skatīt tabulu Nr. </w:t>
      </w:r>
      <w:r w:rsidR="00E63C12" w:rsidRPr="00CD729C">
        <w:rPr>
          <w:color w:val="000000"/>
          <w:szCs w:val="22"/>
        </w:rPr>
        <w:t>4</w:t>
      </w:r>
      <w:r w:rsidRPr="00CD729C">
        <w:rPr>
          <w:color w:val="000000"/>
          <w:szCs w:val="22"/>
        </w:rPr>
        <w:t xml:space="preserve">.) izraisīja pilnīgu hematoloģisku atbildes reakciju 93% (147 no 158 novērtējamiem pacientiem) un nozīmīgu citoģenētisku atbildes reakciju 90% (19 no 21 novērtējama pacienta). Pilnīga molekulāra atbildes reakcija bija 48% (49 no 102 novērtējamiem pacientiem). Dzīvildze bez slimības simptomiem (DFS) un kopējā dzīvildze (OS) nemainīgi pārsniedza 1 gadu un divu iepriekšējo pētījumu (AJP01 </w:t>
      </w:r>
      <w:r w:rsidR="00D05968" w:rsidRPr="00CD729C">
        <w:rPr>
          <w:color w:val="000000"/>
          <w:szCs w:val="22"/>
        </w:rPr>
        <w:t>un</w:t>
      </w:r>
      <w:r w:rsidRPr="00CD729C">
        <w:rPr>
          <w:color w:val="000000"/>
          <w:szCs w:val="22"/>
        </w:rPr>
        <w:t xml:space="preserve"> AUS01) rezultātus (DFS p&lt;0,001; OS p&lt;0,0001).</w:t>
      </w:r>
    </w:p>
    <w:p w14:paraId="3D3946AB" w14:textId="77777777" w:rsidR="00863031" w:rsidRPr="00CD729C" w:rsidRDefault="00863031" w:rsidP="009B4BB6">
      <w:pPr>
        <w:pStyle w:val="EndnoteText"/>
        <w:widowControl w:val="0"/>
        <w:rPr>
          <w:color w:val="000000"/>
          <w:szCs w:val="22"/>
        </w:rPr>
      </w:pPr>
    </w:p>
    <w:p w14:paraId="3D3946AC" w14:textId="77777777" w:rsidR="00863031" w:rsidRPr="00CD729C" w:rsidRDefault="00863031" w:rsidP="009B4BB6">
      <w:pPr>
        <w:pStyle w:val="EndnoteText"/>
        <w:keepNext/>
        <w:widowControl w:val="0"/>
        <w:rPr>
          <w:b/>
          <w:bCs/>
          <w:color w:val="000000"/>
          <w:szCs w:val="22"/>
        </w:rPr>
      </w:pPr>
      <w:r w:rsidRPr="00CD729C">
        <w:rPr>
          <w:b/>
          <w:bCs/>
          <w:color w:val="000000"/>
          <w:szCs w:val="22"/>
        </w:rPr>
        <w:lastRenderedPageBreak/>
        <w:t>Tabula Nr. </w:t>
      </w:r>
      <w:r w:rsidR="00E63C12" w:rsidRPr="00CD729C">
        <w:rPr>
          <w:b/>
          <w:bCs/>
          <w:color w:val="000000"/>
          <w:szCs w:val="22"/>
        </w:rPr>
        <w:t>4</w:t>
      </w:r>
      <w:r w:rsidRPr="00CD729C">
        <w:rPr>
          <w:b/>
          <w:bCs/>
          <w:color w:val="000000"/>
          <w:szCs w:val="22"/>
        </w:rPr>
        <w:tab/>
        <w:t xml:space="preserve">Ķīmijterapijas režīmi, kas lietoti kombinācijā ar </w:t>
      </w:r>
      <w:r w:rsidRPr="00CD729C">
        <w:rPr>
          <w:b/>
          <w:color w:val="000000"/>
          <w:szCs w:val="22"/>
        </w:rPr>
        <w:t>imatinibu</w:t>
      </w:r>
    </w:p>
    <w:p w14:paraId="3D3946AD" w14:textId="77777777" w:rsidR="00863031" w:rsidRPr="00CD729C" w:rsidRDefault="00863031" w:rsidP="009B4BB6">
      <w:pPr>
        <w:pStyle w:val="EndnoteText"/>
        <w:keepNext/>
        <w:widowControl w:val="0"/>
        <w:rPr>
          <w:color w:val="000000"/>
          <w:szCs w:val="22"/>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863031" w:rsidRPr="00CD729C" w14:paraId="3D3946B0" w14:textId="77777777" w:rsidTr="00341FA1">
        <w:trPr>
          <w:cantSplit/>
        </w:trPr>
        <w:tc>
          <w:tcPr>
            <w:tcW w:w="2148" w:type="dxa"/>
            <w:tcBorders>
              <w:top w:val="single" w:sz="4" w:space="0" w:color="auto"/>
              <w:bottom w:val="single" w:sz="4" w:space="0" w:color="auto"/>
            </w:tcBorders>
            <w:shd w:val="clear" w:color="auto" w:fill="auto"/>
          </w:tcPr>
          <w:p w14:paraId="3D3946AE"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b/>
                <w:color w:val="000000"/>
                <w:szCs w:val="22"/>
                <w:lang w:val="lv-LV"/>
              </w:rPr>
              <w:t>Pētījums ADE10</w:t>
            </w:r>
          </w:p>
        </w:tc>
        <w:tc>
          <w:tcPr>
            <w:tcW w:w="6732" w:type="dxa"/>
            <w:gridSpan w:val="4"/>
            <w:tcBorders>
              <w:top w:val="single" w:sz="4" w:space="0" w:color="auto"/>
              <w:bottom w:val="single" w:sz="4" w:space="0" w:color="auto"/>
            </w:tcBorders>
            <w:shd w:val="clear" w:color="auto" w:fill="auto"/>
          </w:tcPr>
          <w:p w14:paraId="3D3946AF"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p>
        </w:tc>
      </w:tr>
      <w:tr w:rsidR="00863031" w:rsidRPr="00CD729C" w14:paraId="3D3946B5" w14:textId="77777777" w:rsidTr="00341FA1">
        <w:trPr>
          <w:cantSplit/>
        </w:trPr>
        <w:tc>
          <w:tcPr>
            <w:tcW w:w="2148" w:type="dxa"/>
            <w:tcBorders>
              <w:top w:val="single" w:sz="4" w:space="0" w:color="auto"/>
              <w:bottom w:val="single" w:sz="4" w:space="0" w:color="auto"/>
            </w:tcBorders>
            <w:shd w:val="clear" w:color="auto" w:fill="auto"/>
          </w:tcPr>
          <w:p w14:paraId="3D3946B1"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Pirmsfāze</w:t>
            </w:r>
          </w:p>
        </w:tc>
        <w:tc>
          <w:tcPr>
            <w:tcW w:w="6732" w:type="dxa"/>
            <w:gridSpan w:val="4"/>
            <w:tcBorders>
              <w:top w:val="single" w:sz="4" w:space="0" w:color="auto"/>
              <w:bottom w:val="single" w:sz="4" w:space="0" w:color="auto"/>
            </w:tcBorders>
            <w:shd w:val="clear" w:color="auto" w:fill="auto"/>
          </w:tcPr>
          <w:p w14:paraId="3D3946B2"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DEX 10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1.-5. dienā lietojot iekšķīgi;</w:t>
            </w:r>
          </w:p>
          <w:p w14:paraId="3D3946B3"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CP 200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3., 4., 5. dienā lietojot i.v.;</w:t>
            </w:r>
          </w:p>
          <w:p w14:paraId="3D3946B4"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MTX 12 mg 1. dienā lietojot intratekāli.</w:t>
            </w:r>
          </w:p>
        </w:tc>
      </w:tr>
      <w:tr w:rsidR="00863031" w:rsidRPr="00CD729C" w14:paraId="3D3946BC" w14:textId="77777777" w:rsidTr="00341FA1">
        <w:trPr>
          <w:cantSplit/>
        </w:trPr>
        <w:tc>
          <w:tcPr>
            <w:tcW w:w="2148" w:type="dxa"/>
            <w:tcBorders>
              <w:top w:val="single" w:sz="4" w:space="0" w:color="auto"/>
              <w:bottom w:val="single" w:sz="4" w:space="0" w:color="auto"/>
            </w:tcBorders>
            <w:shd w:val="clear" w:color="auto" w:fill="auto"/>
          </w:tcPr>
          <w:p w14:paraId="3D3946B6"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Remisijas indukcija</w:t>
            </w:r>
          </w:p>
        </w:tc>
        <w:tc>
          <w:tcPr>
            <w:tcW w:w="6732" w:type="dxa"/>
            <w:gridSpan w:val="4"/>
            <w:tcBorders>
              <w:top w:val="single" w:sz="4" w:space="0" w:color="auto"/>
              <w:bottom w:val="single" w:sz="4" w:space="0" w:color="auto"/>
            </w:tcBorders>
            <w:shd w:val="clear" w:color="auto" w:fill="auto"/>
          </w:tcPr>
          <w:p w14:paraId="3D3946B7"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DEX 10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6.-7., 13.-16. dienā lietojot iekšķīgi;</w:t>
            </w:r>
          </w:p>
          <w:p w14:paraId="3D3946B8"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VCR 1 mg 7. un 14. dienā lietojot i.v.;</w:t>
            </w:r>
          </w:p>
          <w:p w14:paraId="3D3946B9"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IDA 8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7., 8., 14. un 15. dienā lietojot i.v. (0,5 h);</w:t>
            </w:r>
          </w:p>
          <w:p w14:paraId="3D3946BA"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CP 500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dienā lietojot i.v.(1 h);</w:t>
            </w:r>
          </w:p>
          <w:p w14:paraId="3D3946BB"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Ara-C 60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22.-25., 29.-32. dienā lietojot i.v.</w:t>
            </w:r>
          </w:p>
        </w:tc>
      </w:tr>
      <w:tr w:rsidR="00863031" w:rsidRPr="00CD729C" w14:paraId="3D3946C0" w14:textId="77777777" w:rsidTr="00341FA1">
        <w:trPr>
          <w:cantSplit/>
        </w:trPr>
        <w:tc>
          <w:tcPr>
            <w:tcW w:w="2148" w:type="dxa"/>
            <w:tcBorders>
              <w:top w:val="single" w:sz="4" w:space="0" w:color="auto"/>
              <w:bottom w:val="single" w:sz="4" w:space="0" w:color="auto"/>
            </w:tcBorders>
            <w:shd w:val="clear" w:color="auto" w:fill="auto"/>
          </w:tcPr>
          <w:p w14:paraId="3D3946BD"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Konsolid</w:t>
            </w:r>
            <w:r w:rsidR="00EF5A96" w:rsidRPr="00CD729C">
              <w:rPr>
                <w:rFonts w:ascii="Times New Roman" w:hAnsi="Times New Roman"/>
                <w:color w:val="000000"/>
                <w:szCs w:val="22"/>
                <w:lang w:val="lv-LV"/>
              </w:rPr>
              <w:t>ācijas</w:t>
            </w:r>
            <w:r w:rsidRPr="00CD729C">
              <w:rPr>
                <w:rFonts w:ascii="Times New Roman" w:hAnsi="Times New Roman"/>
                <w:color w:val="000000"/>
                <w:szCs w:val="22"/>
                <w:lang w:val="lv-LV"/>
              </w:rPr>
              <w:t xml:space="preserve"> terapija I, III, V</w:t>
            </w:r>
          </w:p>
        </w:tc>
        <w:tc>
          <w:tcPr>
            <w:tcW w:w="6732" w:type="dxa"/>
            <w:gridSpan w:val="4"/>
            <w:tcBorders>
              <w:top w:val="single" w:sz="4" w:space="0" w:color="auto"/>
              <w:bottom w:val="single" w:sz="4" w:space="0" w:color="auto"/>
            </w:tcBorders>
            <w:shd w:val="clear" w:color="auto" w:fill="auto"/>
          </w:tcPr>
          <w:p w14:paraId="3D3946BE"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MTX 500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un 15. dienā lietojot i.v. (24 h);</w:t>
            </w:r>
          </w:p>
          <w:p w14:paraId="3D3946BF"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6-MP 25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1.-20. dienā lietojot iekšķīgi.</w:t>
            </w:r>
          </w:p>
        </w:tc>
      </w:tr>
      <w:tr w:rsidR="00863031" w:rsidRPr="00CD729C" w14:paraId="3D3946C4" w14:textId="77777777" w:rsidTr="00341FA1">
        <w:trPr>
          <w:cantSplit/>
        </w:trPr>
        <w:tc>
          <w:tcPr>
            <w:tcW w:w="2148" w:type="dxa"/>
            <w:tcBorders>
              <w:top w:val="single" w:sz="4" w:space="0" w:color="auto"/>
              <w:bottom w:val="single" w:sz="4" w:space="0" w:color="auto"/>
            </w:tcBorders>
            <w:shd w:val="clear" w:color="auto" w:fill="auto"/>
          </w:tcPr>
          <w:p w14:paraId="3D3946C1"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Konsolid</w:t>
            </w:r>
            <w:r w:rsidR="00EF5A96" w:rsidRPr="00CD729C">
              <w:rPr>
                <w:rFonts w:ascii="Times New Roman" w:hAnsi="Times New Roman"/>
                <w:color w:val="000000"/>
                <w:szCs w:val="22"/>
                <w:lang w:val="lv-LV"/>
              </w:rPr>
              <w:t>ācijas</w:t>
            </w:r>
            <w:r w:rsidRPr="00CD729C">
              <w:rPr>
                <w:rFonts w:ascii="Times New Roman" w:hAnsi="Times New Roman"/>
                <w:color w:val="000000"/>
                <w:szCs w:val="22"/>
                <w:lang w:val="lv-LV"/>
              </w:rPr>
              <w:t xml:space="preserve"> terapija II, IV</w:t>
            </w:r>
          </w:p>
        </w:tc>
        <w:tc>
          <w:tcPr>
            <w:tcW w:w="6732" w:type="dxa"/>
            <w:gridSpan w:val="4"/>
            <w:tcBorders>
              <w:top w:val="single" w:sz="4" w:space="0" w:color="auto"/>
              <w:bottom w:val="single" w:sz="4" w:space="0" w:color="auto"/>
            </w:tcBorders>
            <w:shd w:val="clear" w:color="auto" w:fill="auto"/>
          </w:tcPr>
          <w:p w14:paraId="3D3946C2"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Ara-C 75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1.-5. dienā lietojot i.v. (1 h);</w:t>
            </w:r>
          </w:p>
          <w:p w14:paraId="3D3946C3"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VM26 60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1.-5. dienā lietojot i.v. (1 h).</w:t>
            </w:r>
          </w:p>
        </w:tc>
      </w:tr>
      <w:tr w:rsidR="00863031" w:rsidRPr="00CD729C" w14:paraId="3D3946CA" w14:textId="77777777" w:rsidTr="00341FA1">
        <w:trPr>
          <w:cantSplit/>
        </w:trPr>
        <w:tc>
          <w:tcPr>
            <w:tcW w:w="2148" w:type="dxa"/>
            <w:tcBorders>
              <w:top w:val="single" w:sz="4" w:space="0" w:color="auto"/>
              <w:bottom w:val="single" w:sz="4" w:space="0" w:color="auto"/>
            </w:tcBorders>
            <w:shd w:val="clear" w:color="auto" w:fill="auto"/>
          </w:tcPr>
          <w:p w14:paraId="3D3946C5" w14:textId="77777777" w:rsidR="00863031" w:rsidRPr="00CD729C" w:rsidRDefault="00863031" w:rsidP="009B4BB6">
            <w:pPr>
              <w:pStyle w:val="Table"/>
              <w:keepLines w:val="0"/>
              <w:widowControl w:val="0"/>
              <w:spacing w:before="0" w:after="0"/>
              <w:rPr>
                <w:rFonts w:ascii="Times New Roman" w:hAnsi="Times New Roman"/>
                <w:b/>
                <w:color w:val="000000"/>
                <w:szCs w:val="22"/>
                <w:lang w:val="lv-LV"/>
              </w:rPr>
            </w:pPr>
            <w:r w:rsidRPr="00CD729C">
              <w:rPr>
                <w:rFonts w:ascii="Times New Roman" w:hAnsi="Times New Roman"/>
                <w:b/>
                <w:color w:val="000000"/>
                <w:szCs w:val="22"/>
                <w:lang w:val="lv-LV"/>
              </w:rPr>
              <w:t>Pētījums AAU02</w:t>
            </w:r>
          </w:p>
        </w:tc>
        <w:tc>
          <w:tcPr>
            <w:tcW w:w="2652" w:type="dxa"/>
            <w:tcBorders>
              <w:top w:val="single" w:sz="4" w:space="0" w:color="auto"/>
              <w:bottom w:val="single" w:sz="4" w:space="0" w:color="auto"/>
            </w:tcBorders>
            <w:shd w:val="clear" w:color="auto" w:fill="auto"/>
          </w:tcPr>
          <w:p w14:paraId="3D3946C6"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p>
        </w:tc>
        <w:tc>
          <w:tcPr>
            <w:tcW w:w="1080" w:type="dxa"/>
            <w:tcBorders>
              <w:top w:val="single" w:sz="4" w:space="0" w:color="auto"/>
              <w:bottom w:val="single" w:sz="4" w:space="0" w:color="auto"/>
            </w:tcBorders>
          </w:tcPr>
          <w:p w14:paraId="3D3946C7"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p>
        </w:tc>
        <w:tc>
          <w:tcPr>
            <w:tcW w:w="1380" w:type="dxa"/>
            <w:tcBorders>
              <w:top w:val="single" w:sz="4" w:space="0" w:color="auto"/>
              <w:bottom w:val="single" w:sz="4" w:space="0" w:color="auto"/>
            </w:tcBorders>
          </w:tcPr>
          <w:p w14:paraId="3D3946C8"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p>
        </w:tc>
        <w:tc>
          <w:tcPr>
            <w:tcW w:w="1620" w:type="dxa"/>
            <w:tcBorders>
              <w:top w:val="single" w:sz="4" w:space="0" w:color="auto"/>
              <w:bottom w:val="single" w:sz="4" w:space="0" w:color="auto"/>
            </w:tcBorders>
          </w:tcPr>
          <w:p w14:paraId="3D3946C9"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p>
        </w:tc>
      </w:tr>
      <w:tr w:rsidR="00863031" w:rsidRPr="00CD729C" w14:paraId="3D3946D4" w14:textId="77777777" w:rsidTr="00341FA1">
        <w:trPr>
          <w:cantSplit/>
        </w:trPr>
        <w:tc>
          <w:tcPr>
            <w:tcW w:w="2148" w:type="dxa"/>
            <w:tcBorders>
              <w:top w:val="single" w:sz="4" w:space="0" w:color="auto"/>
              <w:bottom w:val="single" w:sz="4" w:space="0" w:color="auto"/>
            </w:tcBorders>
            <w:shd w:val="clear" w:color="auto" w:fill="auto"/>
          </w:tcPr>
          <w:p w14:paraId="3D3946CB"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Indukcijas terapija (</w:t>
            </w:r>
            <w:r w:rsidRPr="00CD729C">
              <w:rPr>
                <w:rFonts w:ascii="Times New Roman" w:hAnsi="Times New Roman"/>
                <w:i/>
                <w:color w:val="000000"/>
                <w:szCs w:val="22"/>
                <w:lang w:val="lv-LV"/>
              </w:rPr>
              <w:t>de novo</w:t>
            </w:r>
            <w:r w:rsidRPr="00CD729C">
              <w:rPr>
                <w:rFonts w:ascii="Times New Roman" w:hAnsi="Times New Roman"/>
                <w:color w:val="000000"/>
                <w:szCs w:val="22"/>
                <w:lang w:val="lv-LV"/>
              </w:rPr>
              <w:t xml:space="preserve"> Ph+ ALL)</w:t>
            </w:r>
          </w:p>
        </w:tc>
        <w:tc>
          <w:tcPr>
            <w:tcW w:w="6732" w:type="dxa"/>
            <w:gridSpan w:val="4"/>
            <w:tcBorders>
              <w:top w:val="single" w:sz="4" w:space="0" w:color="auto"/>
              <w:bottom w:val="single" w:sz="4" w:space="0" w:color="auto"/>
            </w:tcBorders>
            <w:shd w:val="clear" w:color="auto" w:fill="auto"/>
          </w:tcPr>
          <w:p w14:paraId="3D3946CC"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Daunorubicīns 30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1.-3., 15.-16. dienā lietojot i.v.;</w:t>
            </w:r>
          </w:p>
          <w:p w14:paraId="3D3946CD"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VCR 2 mg kopējā devā 1., 8., 15. un 22. dienā lietojot i.v.;</w:t>
            </w:r>
          </w:p>
          <w:p w14:paraId="3D3946CE"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CP 750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un 8. dienā lietojot i.v.;</w:t>
            </w:r>
          </w:p>
          <w:p w14:paraId="3D3946CF" w14:textId="77777777" w:rsidR="00484376" w:rsidRPr="00CD729C" w:rsidRDefault="00484376"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P</w:t>
            </w:r>
            <w:r w:rsidR="00863031" w:rsidRPr="00CD729C">
              <w:rPr>
                <w:rFonts w:ascii="Times New Roman" w:hAnsi="Times New Roman"/>
                <w:color w:val="000000"/>
                <w:szCs w:val="22"/>
                <w:lang w:val="lv-LV"/>
              </w:rPr>
              <w:t>rednizons 60 mg/m</w:t>
            </w:r>
            <w:r w:rsidR="00863031" w:rsidRPr="00CD729C">
              <w:rPr>
                <w:rFonts w:ascii="Times New Roman" w:hAnsi="Times New Roman"/>
                <w:color w:val="000000"/>
                <w:szCs w:val="22"/>
                <w:vertAlign w:val="superscript"/>
                <w:lang w:val="lv-LV"/>
              </w:rPr>
              <w:t>2</w:t>
            </w:r>
            <w:r w:rsidR="00863031" w:rsidRPr="00CD729C">
              <w:rPr>
                <w:rFonts w:ascii="Times New Roman" w:hAnsi="Times New Roman"/>
                <w:color w:val="000000"/>
                <w:szCs w:val="22"/>
                <w:lang w:val="lv-LV"/>
              </w:rPr>
              <w:t xml:space="preserve"> 1.-7., 15.-21. dienā lietojot iekšķīgi;</w:t>
            </w:r>
          </w:p>
          <w:p w14:paraId="3D3946D0"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IDA 9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1.-28. dienā lietojot iekšķīgi;</w:t>
            </w:r>
          </w:p>
          <w:p w14:paraId="3D3946D1"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MTX 15 mg 1., 8., 15. un 22. dienā lietojot intratekāli;</w:t>
            </w:r>
          </w:p>
          <w:p w14:paraId="3D3946D2"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Ara-C 40 mg 1., 8., 15. un 22. dienā lietojot intratekāli;</w:t>
            </w:r>
          </w:p>
          <w:p w14:paraId="3D3946D3" w14:textId="77777777" w:rsidR="00863031" w:rsidRPr="00CD729C" w:rsidRDefault="00484376"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M</w:t>
            </w:r>
            <w:r w:rsidR="00863031" w:rsidRPr="00CD729C">
              <w:rPr>
                <w:rFonts w:ascii="Times New Roman" w:hAnsi="Times New Roman"/>
                <w:color w:val="000000"/>
                <w:szCs w:val="22"/>
                <w:lang w:val="lv-LV"/>
              </w:rPr>
              <w:t>etilprednizolons 40 mg 1., 8., 15. un 22. dienā lietojot intratekāli.</w:t>
            </w:r>
          </w:p>
        </w:tc>
      </w:tr>
      <w:tr w:rsidR="00863031" w:rsidRPr="00CD729C" w14:paraId="3D3946DA" w14:textId="77777777" w:rsidTr="00341FA1">
        <w:trPr>
          <w:cantSplit/>
        </w:trPr>
        <w:tc>
          <w:tcPr>
            <w:tcW w:w="2148" w:type="dxa"/>
            <w:tcBorders>
              <w:top w:val="single" w:sz="4" w:space="0" w:color="auto"/>
              <w:bottom w:val="single" w:sz="4" w:space="0" w:color="auto"/>
            </w:tcBorders>
            <w:shd w:val="clear" w:color="auto" w:fill="auto"/>
          </w:tcPr>
          <w:p w14:paraId="3D3946D5" w14:textId="77777777" w:rsidR="00863031" w:rsidRPr="00CD729C" w:rsidRDefault="00863031" w:rsidP="009B4BB6">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Konsolidācija (</w:t>
            </w:r>
            <w:r w:rsidRPr="00CD729C">
              <w:rPr>
                <w:rFonts w:ascii="Times New Roman" w:hAnsi="Times New Roman"/>
                <w:i/>
                <w:color w:val="000000"/>
                <w:szCs w:val="22"/>
                <w:lang w:val="lv-LV"/>
              </w:rPr>
              <w:t>de novo</w:t>
            </w:r>
            <w:r w:rsidRPr="00CD729C">
              <w:rPr>
                <w:rFonts w:ascii="Times New Roman" w:hAnsi="Times New Roman"/>
                <w:color w:val="000000"/>
                <w:szCs w:val="22"/>
                <w:lang w:val="lv-LV"/>
              </w:rPr>
              <w:t xml:space="preserve"> Ph+ ALL)</w:t>
            </w:r>
          </w:p>
        </w:tc>
        <w:tc>
          <w:tcPr>
            <w:tcW w:w="6732" w:type="dxa"/>
            <w:gridSpan w:val="4"/>
            <w:tcBorders>
              <w:top w:val="single" w:sz="4" w:space="0" w:color="auto"/>
              <w:bottom w:val="single" w:sz="4" w:space="0" w:color="auto"/>
            </w:tcBorders>
            <w:shd w:val="clear" w:color="auto" w:fill="auto"/>
          </w:tcPr>
          <w:p w14:paraId="3D3946D6" w14:textId="77777777" w:rsidR="00484376" w:rsidRPr="00CD729C" w:rsidRDefault="00863031" w:rsidP="009B4BB6">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Ara-C 1 000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/12 h 1.-4. dienā lietojot i.v.(3 h);</w:t>
            </w:r>
          </w:p>
          <w:p w14:paraId="3D3946D7" w14:textId="77777777" w:rsidR="00484376" w:rsidRPr="00CD729C" w:rsidRDefault="00484376" w:rsidP="009B4BB6">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M</w:t>
            </w:r>
            <w:r w:rsidR="00863031" w:rsidRPr="00CD729C">
              <w:rPr>
                <w:rFonts w:ascii="Times New Roman" w:hAnsi="Times New Roman"/>
                <w:color w:val="000000"/>
                <w:szCs w:val="22"/>
                <w:lang w:val="lv-LV"/>
              </w:rPr>
              <w:t>itoksantrons 10 mg/m</w:t>
            </w:r>
            <w:r w:rsidR="00863031" w:rsidRPr="00CD729C">
              <w:rPr>
                <w:rFonts w:ascii="Times New Roman" w:hAnsi="Times New Roman"/>
                <w:color w:val="000000"/>
                <w:szCs w:val="22"/>
                <w:vertAlign w:val="superscript"/>
                <w:lang w:val="lv-LV"/>
              </w:rPr>
              <w:t>2</w:t>
            </w:r>
            <w:r w:rsidR="00863031" w:rsidRPr="00CD729C">
              <w:rPr>
                <w:rFonts w:ascii="Times New Roman" w:hAnsi="Times New Roman"/>
                <w:color w:val="000000"/>
                <w:szCs w:val="22"/>
                <w:lang w:val="lv-LV"/>
              </w:rPr>
              <w:t xml:space="preserve"> 3.-5. dienā lietojot i.v.;</w:t>
            </w:r>
          </w:p>
          <w:p w14:paraId="3D3946D8" w14:textId="77777777" w:rsidR="00484376" w:rsidRPr="00CD729C" w:rsidRDefault="00863031" w:rsidP="009B4BB6">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MTX 15 mg 1. dienā lietojot intratekāli;</w:t>
            </w:r>
          </w:p>
          <w:p w14:paraId="3D3946D9" w14:textId="77777777" w:rsidR="00863031" w:rsidRPr="00CD729C" w:rsidRDefault="00484376" w:rsidP="009B4BB6">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M</w:t>
            </w:r>
            <w:r w:rsidR="00863031" w:rsidRPr="00CD729C">
              <w:rPr>
                <w:rFonts w:ascii="Times New Roman" w:hAnsi="Times New Roman"/>
                <w:color w:val="000000"/>
                <w:szCs w:val="22"/>
                <w:lang w:val="lv-LV"/>
              </w:rPr>
              <w:t>etilprednizolons 40 mg 1. dienā lietojot intratekāli.</w:t>
            </w:r>
          </w:p>
        </w:tc>
      </w:tr>
      <w:tr w:rsidR="00863031" w:rsidRPr="00CD729C" w14:paraId="3D3946DF" w14:textId="77777777" w:rsidTr="00341FA1">
        <w:trPr>
          <w:cantSplit/>
        </w:trPr>
        <w:tc>
          <w:tcPr>
            <w:tcW w:w="4800" w:type="dxa"/>
            <w:gridSpan w:val="2"/>
            <w:tcBorders>
              <w:top w:val="single" w:sz="4" w:space="0" w:color="auto"/>
              <w:bottom w:val="single" w:sz="4" w:space="0" w:color="auto"/>
            </w:tcBorders>
            <w:shd w:val="clear" w:color="auto" w:fill="auto"/>
          </w:tcPr>
          <w:p w14:paraId="3D3946DB" w14:textId="77777777" w:rsidR="00863031" w:rsidRPr="00CD729C" w:rsidRDefault="00863031" w:rsidP="009B4BB6">
            <w:pPr>
              <w:pStyle w:val="Table"/>
              <w:keepLines w:val="0"/>
              <w:widowControl w:val="0"/>
              <w:spacing w:before="0" w:after="0"/>
              <w:rPr>
                <w:rFonts w:ascii="Times New Roman" w:hAnsi="Times New Roman"/>
                <w:b/>
                <w:color w:val="000000"/>
                <w:szCs w:val="22"/>
                <w:lang w:val="lv-LV"/>
              </w:rPr>
            </w:pPr>
            <w:r w:rsidRPr="00CD729C">
              <w:rPr>
                <w:rFonts w:ascii="Times New Roman" w:hAnsi="Times New Roman"/>
                <w:b/>
                <w:color w:val="000000"/>
                <w:szCs w:val="22"/>
                <w:lang w:val="lv-LV"/>
              </w:rPr>
              <w:t>Pētījums ADE04</w:t>
            </w:r>
          </w:p>
        </w:tc>
        <w:tc>
          <w:tcPr>
            <w:tcW w:w="1080" w:type="dxa"/>
            <w:tcBorders>
              <w:top w:val="single" w:sz="4" w:space="0" w:color="auto"/>
              <w:bottom w:val="single" w:sz="4" w:space="0" w:color="auto"/>
            </w:tcBorders>
          </w:tcPr>
          <w:p w14:paraId="3D3946DC"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p>
        </w:tc>
        <w:tc>
          <w:tcPr>
            <w:tcW w:w="1380" w:type="dxa"/>
            <w:tcBorders>
              <w:top w:val="single" w:sz="4" w:space="0" w:color="auto"/>
              <w:bottom w:val="single" w:sz="4" w:space="0" w:color="auto"/>
            </w:tcBorders>
          </w:tcPr>
          <w:p w14:paraId="3D3946DD"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p>
        </w:tc>
        <w:tc>
          <w:tcPr>
            <w:tcW w:w="1620" w:type="dxa"/>
            <w:tcBorders>
              <w:top w:val="single" w:sz="4" w:space="0" w:color="auto"/>
              <w:bottom w:val="single" w:sz="4" w:space="0" w:color="auto"/>
            </w:tcBorders>
          </w:tcPr>
          <w:p w14:paraId="3D3946DE"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p>
        </w:tc>
      </w:tr>
      <w:tr w:rsidR="00863031" w:rsidRPr="00CD729C" w14:paraId="3D3946E4" w14:textId="77777777" w:rsidTr="00341FA1">
        <w:trPr>
          <w:cantSplit/>
        </w:trPr>
        <w:tc>
          <w:tcPr>
            <w:tcW w:w="2148" w:type="dxa"/>
            <w:tcBorders>
              <w:top w:val="single" w:sz="4" w:space="0" w:color="auto"/>
              <w:bottom w:val="single" w:sz="4" w:space="0" w:color="auto"/>
            </w:tcBorders>
            <w:shd w:val="clear" w:color="auto" w:fill="auto"/>
          </w:tcPr>
          <w:p w14:paraId="3D3946E0"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Pirmsfāze</w:t>
            </w:r>
          </w:p>
        </w:tc>
        <w:tc>
          <w:tcPr>
            <w:tcW w:w="6732" w:type="dxa"/>
            <w:gridSpan w:val="4"/>
            <w:tcBorders>
              <w:top w:val="single" w:sz="4" w:space="0" w:color="auto"/>
              <w:bottom w:val="single" w:sz="4" w:space="0" w:color="auto"/>
            </w:tcBorders>
            <w:shd w:val="clear" w:color="auto" w:fill="auto"/>
          </w:tcPr>
          <w:p w14:paraId="3D3946E1"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DEX 10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1.-5. dienā lietojot iekšķīgi;</w:t>
            </w:r>
          </w:p>
          <w:p w14:paraId="3D3946E2"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CP 200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3.-5. dienā lietojot i.v.;</w:t>
            </w:r>
          </w:p>
          <w:p w14:paraId="3D3946E3"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MTX 15 mg 1. dienā lietojot intratekāli.</w:t>
            </w:r>
          </w:p>
        </w:tc>
      </w:tr>
      <w:tr w:rsidR="00863031" w:rsidRPr="00CD729C" w14:paraId="3D3946E9" w14:textId="77777777" w:rsidTr="00341FA1">
        <w:trPr>
          <w:cantSplit/>
        </w:trPr>
        <w:tc>
          <w:tcPr>
            <w:tcW w:w="2148" w:type="dxa"/>
            <w:tcBorders>
              <w:top w:val="single" w:sz="4" w:space="0" w:color="auto"/>
              <w:bottom w:val="single" w:sz="4" w:space="0" w:color="auto"/>
            </w:tcBorders>
            <w:shd w:val="clear" w:color="auto" w:fill="auto"/>
          </w:tcPr>
          <w:p w14:paraId="3D3946E5"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Indukcijas terapija I</w:t>
            </w:r>
          </w:p>
        </w:tc>
        <w:tc>
          <w:tcPr>
            <w:tcW w:w="6732" w:type="dxa"/>
            <w:gridSpan w:val="4"/>
            <w:tcBorders>
              <w:top w:val="single" w:sz="4" w:space="0" w:color="auto"/>
              <w:bottom w:val="single" w:sz="4" w:space="0" w:color="auto"/>
            </w:tcBorders>
            <w:shd w:val="clear" w:color="auto" w:fill="auto"/>
          </w:tcPr>
          <w:p w14:paraId="3D3946E6"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DEX 10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1.-5. dienā lietojot iekšķīgi;</w:t>
            </w:r>
          </w:p>
          <w:p w14:paraId="3D3946E7"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VCR 2 mg 6., 13. un 20. dienā lietojot i.v.;</w:t>
            </w:r>
          </w:p>
          <w:p w14:paraId="3D3946E8" w14:textId="77777777" w:rsidR="00863031" w:rsidRPr="00CD729C" w:rsidRDefault="00484376"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w:t>
            </w:r>
            <w:r w:rsidR="00863031" w:rsidRPr="00CD729C">
              <w:rPr>
                <w:rFonts w:ascii="Times New Roman" w:hAnsi="Times New Roman"/>
                <w:color w:val="000000"/>
                <w:szCs w:val="22"/>
                <w:lang w:val="lv-LV"/>
              </w:rPr>
              <w:t>aunorubicīns 45 mg/m</w:t>
            </w:r>
            <w:r w:rsidR="00863031" w:rsidRPr="00CD729C">
              <w:rPr>
                <w:rFonts w:ascii="Times New Roman" w:hAnsi="Times New Roman"/>
                <w:color w:val="000000"/>
                <w:szCs w:val="22"/>
                <w:vertAlign w:val="superscript"/>
                <w:lang w:val="lv-LV"/>
              </w:rPr>
              <w:t>2</w:t>
            </w:r>
            <w:r w:rsidR="00863031" w:rsidRPr="00CD729C">
              <w:rPr>
                <w:rFonts w:ascii="Times New Roman" w:hAnsi="Times New Roman"/>
                <w:color w:val="000000"/>
                <w:szCs w:val="22"/>
                <w:lang w:val="lv-LV"/>
              </w:rPr>
              <w:t xml:space="preserve"> 6.-7., 13.-14. dienā lietojot i.v.</w:t>
            </w:r>
          </w:p>
        </w:tc>
      </w:tr>
      <w:tr w:rsidR="00863031" w:rsidRPr="00CD729C" w14:paraId="3D3946EE" w14:textId="77777777" w:rsidTr="00341FA1">
        <w:trPr>
          <w:cantSplit/>
        </w:trPr>
        <w:tc>
          <w:tcPr>
            <w:tcW w:w="2148" w:type="dxa"/>
            <w:tcBorders>
              <w:top w:val="single" w:sz="4" w:space="0" w:color="auto"/>
              <w:bottom w:val="single" w:sz="4" w:space="0" w:color="auto"/>
            </w:tcBorders>
            <w:shd w:val="clear" w:color="auto" w:fill="auto"/>
          </w:tcPr>
          <w:p w14:paraId="3D3946EA"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Indukcijas terapija II</w:t>
            </w:r>
          </w:p>
        </w:tc>
        <w:tc>
          <w:tcPr>
            <w:tcW w:w="6732" w:type="dxa"/>
            <w:gridSpan w:val="4"/>
            <w:tcBorders>
              <w:top w:val="single" w:sz="4" w:space="0" w:color="auto"/>
              <w:bottom w:val="single" w:sz="4" w:space="0" w:color="auto"/>
            </w:tcBorders>
            <w:shd w:val="clear" w:color="auto" w:fill="auto"/>
          </w:tcPr>
          <w:p w14:paraId="3D3946EB"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CP 1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26. un 46. dienā lietojot i.v. (1 h);</w:t>
            </w:r>
          </w:p>
          <w:p w14:paraId="3D3946EC"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Ara-C 75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28.-31., 35.-38., 42.-45. dienā lietojot i.v. (1 h);</w:t>
            </w:r>
          </w:p>
          <w:p w14:paraId="3D3946ED"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6-MP 60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26.-46. dienā lietojot iekšķīgi.</w:t>
            </w:r>
          </w:p>
        </w:tc>
      </w:tr>
      <w:tr w:rsidR="00863031" w:rsidRPr="00CD729C" w14:paraId="3D3946F1" w14:textId="77777777" w:rsidTr="00341FA1">
        <w:trPr>
          <w:cantSplit/>
        </w:trPr>
        <w:tc>
          <w:tcPr>
            <w:tcW w:w="2148" w:type="dxa"/>
            <w:tcBorders>
              <w:top w:val="nil"/>
              <w:bottom w:val="single" w:sz="4" w:space="0" w:color="auto"/>
            </w:tcBorders>
            <w:shd w:val="clear" w:color="auto" w:fill="auto"/>
          </w:tcPr>
          <w:p w14:paraId="3D3946EF" w14:textId="77777777" w:rsidR="00863031" w:rsidRPr="00CD729C" w:rsidRDefault="00863031" w:rsidP="009B4BB6">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Konsolidācijas terapija</w:t>
            </w:r>
          </w:p>
        </w:tc>
        <w:tc>
          <w:tcPr>
            <w:tcW w:w="6732" w:type="dxa"/>
            <w:gridSpan w:val="4"/>
            <w:tcBorders>
              <w:top w:val="nil"/>
              <w:bottom w:val="single" w:sz="4" w:space="0" w:color="auto"/>
            </w:tcBorders>
            <w:shd w:val="clear" w:color="auto" w:fill="auto"/>
          </w:tcPr>
          <w:p w14:paraId="3D3946F0" w14:textId="77777777" w:rsidR="00863031" w:rsidRPr="00CD729C" w:rsidRDefault="00863031" w:rsidP="009B4BB6">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DEX 10 mg/m</w:t>
            </w:r>
            <w:r w:rsidRPr="00CD729C">
              <w:rPr>
                <w:rFonts w:ascii="Times New Roman" w:hAnsi="Times New Roman"/>
                <w:color w:val="000000"/>
                <w:szCs w:val="22"/>
                <w:vertAlign w:val="superscript"/>
                <w:lang w:val="lv-LV"/>
              </w:rPr>
              <w:t xml:space="preserve">2 </w:t>
            </w:r>
            <w:r w:rsidRPr="00CD729C">
              <w:rPr>
                <w:rFonts w:ascii="Times New Roman" w:hAnsi="Times New Roman"/>
                <w:color w:val="000000"/>
                <w:szCs w:val="22"/>
                <w:lang w:val="lv-LV"/>
              </w:rPr>
              <w:t>1.-5. dienā lietojot iekšķīgi; vindesīns 3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dienā lietojot i.v.; MTX 1,5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dienā lietojot i.v. (24 h); etoposīds 250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4.-5. dienā lietojot i.v. (1 h); Ara-C 2</w:t>
            </w:r>
            <w:r w:rsidR="00972CD9" w:rsidRPr="00CD729C">
              <w:rPr>
                <w:rFonts w:ascii="Times New Roman" w:hAnsi="Times New Roman"/>
                <w:color w:val="000000"/>
                <w:szCs w:val="22"/>
                <w:lang w:val="lv-LV"/>
              </w:rPr>
              <w:t> </w:t>
            </w:r>
            <w:r w:rsidRPr="00CD729C">
              <w:rPr>
                <w:rFonts w:ascii="Times New Roman" w:hAnsi="Times New Roman"/>
                <w:color w:val="000000"/>
                <w:szCs w:val="22"/>
                <w:lang w:val="lv-LV"/>
              </w:rPr>
              <w:t>x</w:t>
            </w:r>
            <w:r w:rsidR="00972CD9" w:rsidRPr="00CD729C">
              <w:rPr>
                <w:rFonts w:ascii="Times New Roman" w:hAnsi="Times New Roman"/>
                <w:color w:val="000000"/>
                <w:szCs w:val="22"/>
                <w:lang w:val="lv-LV"/>
              </w:rPr>
              <w:t> </w:t>
            </w:r>
            <w:r w:rsidRPr="00CD729C">
              <w:rPr>
                <w:rFonts w:ascii="Times New Roman" w:hAnsi="Times New Roman"/>
                <w:color w:val="000000"/>
                <w:szCs w:val="22"/>
                <w:lang w:val="lv-LV"/>
              </w:rPr>
              <w:t>2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5. dienā lietojot i.v. (3 h, q 12 h).</w:t>
            </w:r>
          </w:p>
        </w:tc>
      </w:tr>
      <w:tr w:rsidR="00863031" w:rsidRPr="00CD729C" w14:paraId="3D3946F7" w14:textId="77777777" w:rsidTr="00341FA1">
        <w:trPr>
          <w:cantSplit/>
        </w:trPr>
        <w:tc>
          <w:tcPr>
            <w:tcW w:w="2148" w:type="dxa"/>
            <w:tcBorders>
              <w:top w:val="single" w:sz="4" w:space="0" w:color="auto"/>
              <w:bottom w:val="single" w:sz="4" w:space="0" w:color="auto"/>
            </w:tcBorders>
            <w:shd w:val="clear" w:color="auto" w:fill="auto"/>
          </w:tcPr>
          <w:p w14:paraId="3D3946F2" w14:textId="77777777" w:rsidR="00863031" w:rsidRPr="00CD729C" w:rsidRDefault="00863031" w:rsidP="009B4BB6">
            <w:pPr>
              <w:pStyle w:val="Table"/>
              <w:keepLines w:val="0"/>
              <w:widowControl w:val="0"/>
              <w:spacing w:before="0" w:after="0"/>
              <w:rPr>
                <w:rFonts w:ascii="Times New Roman" w:hAnsi="Times New Roman"/>
                <w:b/>
                <w:color w:val="000000"/>
                <w:szCs w:val="22"/>
                <w:lang w:val="lv-LV"/>
              </w:rPr>
            </w:pPr>
            <w:r w:rsidRPr="00CD729C">
              <w:rPr>
                <w:rFonts w:ascii="Times New Roman" w:hAnsi="Times New Roman"/>
                <w:b/>
                <w:color w:val="000000"/>
                <w:szCs w:val="22"/>
                <w:lang w:val="lv-LV"/>
              </w:rPr>
              <w:t>Pētījums AJP01</w:t>
            </w:r>
          </w:p>
        </w:tc>
        <w:tc>
          <w:tcPr>
            <w:tcW w:w="2652" w:type="dxa"/>
            <w:tcBorders>
              <w:top w:val="single" w:sz="4" w:space="0" w:color="auto"/>
              <w:bottom w:val="single" w:sz="4" w:space="0" w:color="auto"/>
            </w:tcBorders>
            <w:shd w:val="clear" w:color="auto" w:fill="auto"/>
          </w:tcPr>
          <w:p w14:paraId="3D3946F3"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p>
        </w:tc>
        <w:tc>
          <w:tcPr>
            <w:tcW w:w="1080" w:type="dxa"/>
            <w:tcBorders>
              <w:top w:val="single" w:sz="4" w:space="0" w:color="auto"/>
              <w:bottom w:val="single" w:sz="4" w:space="0" w:color="auto"/>
            </w:tcBorders>
          </w:tcPr>
          <w:p w14:paraId="3D3946F4"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p>
        </w:tc>
        <w:tc>
          <w:tcPr>
            <w:tcW w:w="1380" w:type="dxa"/>
            <w:tcBorders>
              <w:top w:val="single" w:sz="4" w:space="0" w:color="auto"/>
              <w:bottom w:val="single" w:sz="4" w:space="0" w:color="auto"/>
            </w:tcBorders>
          </w:tcPr>
          <w:p w14:paraId="3D3946F5"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p>
        </w:tc>
        <w:tc>
          <w:tcPr>
            <w:tcW w:w="1620" w:type="dxa"/>
            <w:tcBorders>
              <w:top w:val="single" w:sz="4" w:space="0" w:color="auto"/>
              <w:bottom w:val="single" w:sz="4" w:space="0" w:color="auto"/>
            </w:tcBorders>
          </w:tcPr>
          <w:p w14:paraId="3D3946F6"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p>
        </w:tc>
      </w:tr>
      <w:tr w:rsidR="00863031" w:rsidRPr="00CD729C" w14:paraId="3D3946FD" w14:textId="77777777" w:rsidTr="00341FA1">
        <w:trPr>
          <w:cantSplit/>
        </w:trPr>
        <w:tc>
          <w:tcPr>
            <w:tcW w:w="2148" w:type="dxa"/>
            <w:tcBorders>
              <w:top w:val="nil"/>
              <w:bottom w:val="single" w:sz="4" w:space="0" w:color="auto"/>
            </w:tcBorders>
            <w:shd w:val="clear" w:color="auto" w:fill="auto"/>
          </w:tcPr>
          <w:p w14:paraId="3D3946F8" w14:textId="77777777" w:rsidR="00863031" w:rsidRPr="00CD729C" w:rsidRDefault="00863031" w:rsidP="009B4BB6">
            <w:pPr>
              <w:pStyle w:val="Table"/>
              <w:keepLines w:val="0"/>
              <w:widowControl w:val="0"/>
              <w:spacing w:before="0" w:after="0"/>
              <w:jc w:val="both"/>
              <w:rPr>
                <w:rFonts w:ascii="Times New Roman" w:hAnsi="Times New Roman"/>
                <w:color w:val="000000"/>
                <w:szCs w:val="22"/>
                <w:lang w:val="lv-LV"/>
              </w:rPr>
            </w:pPr>
            <w:r w:rsidRPr="00CD729C">
              <w:rPr>
                <w:rFonts w:ascii="Times New Roman" w:hAnsi="Times New Roman"/>
                <w:color w:val="000000"/>
                <w:szCs w:val="22"/>
                <w:lang w:val="lv-LV"/>
              </w:rPr>
              <w:t xml:space="preserve">Indukcijas terapija </w:t>
            </w:r>
          </w:p>
        </w:tc>
        <w:tc>
          <w:tcPr>
            <w:tcW w:w="6732" w:type="dxa"/>
            <w:gridSpan w:val="4"/>
            <w:tcBorders>
              <w:top w:val="nil"/>
              <w:bottom w:val="single" w:sz="4" w:space="0" w:color="auto"/>
            </w:tcBorders>
            <w:shd w:val="clear" w:color="auto" w:fill="auto"/>
          </w:tcPr>
          <w:p w14:paraId="3D3946F9"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CP 1,2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dienā lietojot i.v. (3 h);</w:t>
            </w:r>
          </w:p>
          <w:p w14:paraId="3D3946FA" w14:textId="77777777" w:rsidR="00484376" w:rsidRPr="00CD729C" w:rsidRDefault="00484376"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w:t>
            </w:r>
            <w:r w:rsidR="00863031" w:rsidRPr="00CD729C">
              <w:rPr>
                <w:rFonts w:ascii="Times New Roman" w:hAnsi="Times New Roman"/>
                <w:color w:val="000000"/>
                <w:szCs w:val="22"/>
                <w:lang w:val="lv-LV"/>
              </w:rPr>
              <w:t>aunorubicīns 60 mg/m</w:t>
            </w:r>
            <w:r w:rsidR="00863031" w:rsidRPr="00CD729C">
              <w:rPr>
                <w:rFonts w:ascii="Times New Roman" w:hAnsi="Times New Roman"/>
                <w:color w:val="000000"/>
                <w:szCs w:val="22"/>
                <w:vertAlign w:val="superscript"/>
                <w:lang w:val="lv-LV"/>
              </w:rPr>
              <w:t>2</w:t>
            </w:r>
            <w:r w:rsidR="00863031" w:rsidRPr="00CD729C">
              <w:rPr>
                <w:rFonts w:ascii="Times New Roman" w:hAnsi="Times New Roman"/>
                <w:color w:val="000000"/>
                <w:szCs w:val="22"/>
                <w:lang w:val="lv-LV"/>
              </w:rPr>
              <w:t xml:space="preserve"> 1.-3. dienā lietojot i.v. (1 h);</w:t>
            </w:r>
          </w:p>
          <w:p w14:paraId="3D3946FB" w14:textId="77777777" w:rsidR="00484376" w:rsidRPr="00CD729C" w:rsidRDefault="00484376"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V</w:t>
            </w:r>
            <w:r w:rsidR="00863031" w:rsidRPr="00CD729C">
              <w:rPr>
                <w:rFonts w:ascii="Times New Roman" w:hAnsi="Times New Roman"/>
                <w:color w:val="000000"/>
                <w:szCs w:val="22"/>
                <w:lang w:val="lv-LV"/>
              </w:rPr>
              <w:t>inkristīns 1,3 mg/m</w:t>
            </w:r>
            <w:r w:rsidR="00863031" w:rsidRPr="00CD729C">
              <w:rPr>
                <w:rFonts w:ascii="Times New Roman" w:hAnsi="Times New Roman"/>
                <w:color w:val="000000"/>
                <w:szCs w:val="22"/>
                <w:vertAlign w:val="superscript"/>
                <w:lang w:val="lv-LV"/>
              </w:rPr>
              <w:t>2</w:t>
            </w:r>
            <w:r w:rsidR="00863031" w:rsidRPr="00CD729C">
              <w:rPr>
                <w:rFonts w:ascii="Times New Roman" w:hAnsi="Times New Roman"/>
                <w:color w:val="000000"/>
                <w:szCs w:val="22"/>
                <w:lang w:val="lv-LV"/>
              </w:rPr>
              <w:t xml:space="preserve"> 1., 8., 15. un 21. dienā lietojot i.v.;</w:t>
            </w:r>
          </w:p>
          <w:p w14:paraId="3D3946FC" w14:textId="77777777" w:rsidR="00863031" w:rsidRPr="00CD729C" w:rsidRDefault="00484376"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P</w:t>
            </w:r>
            <w:r w:rsidR="00863031" w:rsidRPr="00CD729C">
              <w:rPr>
                <w:rFonts w:ascii="Times New Roman" w:hAnsi="Times New Roman"/>
                <w:color w:val="000000"/>
                <w:szCs w:val="22"/>
                <w:lang w:val="lv-LV"/>
              </w:rPr>
              <w:t>rednizolons 60 mg/m</w:t>
            </w:r>
            <w:r w:rsidR="00863031" w:rsidRPr="00CD729C">
              <w:rPr>
                <w:rFonts w:ascii="Times New Roman" w:hAnsi="Times New Roman"/>
                <w:color w:val="000000"/>
                <w:szCs w:val="22"/>
                <w:vertAlign w:val="superscript"/>
                <w:lang w:val="lv-LV"/>
              </w:rPr>
              <w:t>2</w:t>
            </w:r>
            <w:r w:rsidR="00863031" w:rsidRPr="00CD729C">
              <w:rPr>
                <w:rFonts w:ascii="Times New Roman" w:hAnsi="Times New Roman"/>
                <w:color w:val="000000"/>
                <w:szCs w:val="22"/>
                <w:lang w:val="lv-LV"/>
              </w:rPr>
              <w:t>/dienā lietojot iekšķīgi.</w:t>
            </w:r>
          </w:p>
        </w:tc>
      </w:tr>
      <w:tr w:rsidR="00863031" w:rsidRPr="00CD729C" w14:paraId="3D394700" w14:textId="77777777" w:rsidTr="00341FA1">
        <w:trPr>
          <w:cantSplit/>
        </w:trPr>
        <w:tc>
          <w:tcPr>
            <w:tcW w:w="2148" w:type="dxa"/>
            <w:tcBorders>
              <w:top w:val="single" w:sz="4" w:space="0" w:color="auto"/>
              <w:bottom w:val="single" w:sz="4" w:space="0" w:color="auto"/>
            </w:tcBorders>
            <w:shd w:val="clear" w:color="auto" w:fill="auto"/>
          </w:tcPr>
          <w:p w14:paraId="3D3946FE" w14:textId="77777777" w:rsidR="00863031" w:rsidRPr="00CD729C" w:rsidRDefault="00863031" w:rsidP="009B4BB6">
            <w:pPr>
              <w:pStyle w:val="Table"/>
              <w:keepLines w:val="0"/>
              <w:widowControl w:val="0"/>
              <w:tabs>
                <w:tab w:val="left" w:pos="0"/>
              </w:tabs>
              <w:spacing w:before="0" w:after="0"/>
              <w:rPr>
                <w:rFonts w:ascii="Times New Roman" w:hAnsi="Times New Roman"/>
                <w:color w:val="000000"/>
                <w:szCs w:val="22"/>
                <w:lang w:val="lv-LV"/>
              </w:rPr>
            </w:pPr>
            <w:r w:rsidRPr="00CD729C">
              <w:rPr>
                <w:rFonts w:ascii="Times New Roman" w:hAnsi="Times New Roman"/>
                <w:color w:val="000000"/>
                <w:szCs w:val="22"/>
                <w:lang w:val="lv-LV"/>
              </w:rPr>
              <w:t>Konsolidācijas terapija</w:t>
            </w:r>
          </w:p>
        </w:tc>
        <w:tc>
          <w:tcPr>
            <w:tcW w:w="6732" w:type="dxa"/>
            <w:gridSpan w:val="4"/>
            <w:tcBorders>
              <w:top w:val="single" w:sz="4" w:space="0" w:color="auto"/>
              <w:bottom w:val="single" w:sz="4" w:space="0" w:color="auto"/>
            </w:tcBorders>
            <w:shd w:val="clear" w:color="auto" w:fill="auto"/>
          </w:tcPr>
          <w:p w14:paraId="3D3946FF"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Alternatīvs ķīmijterapijas kurss: ķīmijterapijas kurss ar augstām devām MTX 1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dienā lietojot i.v. (24 h) un Ara-C 2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2-3. dienā lietojot i.v. (q 12 h), atkārtojot 4 reizes</w:t>
            </w:r>
          </w:p>
        </w:tc>
      </w:tr>
      <w:tr w:rsidR="00863031" w:rsidRPr="00CD729C" w14:paraId="3D394704" w14:textId="77777777" w:rsidTr="00341FA1">
        <w:trPr>
          <w:cantSplit/>
        </w:trPr>
        <w:tc>
          <w:tcPr>
            <w:tcW w:w="2148" w:type="dxa"/>
            <w:tcBorders>
              <w:top w:val="single" w:sz="4" w:space="0" w:color="auto"/>
              <w:bottom w:val="single" w:sz="4" w:space="0" w:color="auto"/>
            </w:tcBorders>
            <w:shd w:val="clear" w:color="auto" w:fill="auto"/>
          </w:tcPr>
          <w:p w14:paraId="3D394701" w14:textId="77777777" w:rsidR="00863031" w:rsidRPr="00CD729C" w:rsidRDefault="00863031" w:rsidP="009B4BB6">
            <w:pPr>
              <w:pStyle w:val="Table"/>
              <w:keepNext w:val="0"/>
              <w:keepLines w:val="0"/>
              <w:widowControl w:val="0"/>
              <w:tabs>
                <w:tab w:val="left" w:pos="0"/>
              </w:tabs>
              <w:spacing w:before="0" w:after="0"/>
              <w:rPr>
                <w:rFonts w:ascii="Times New Roman" w:hAnsi="Times New Roman"/>
                <w:color w:val="000000"/>
                <w:szCs w:val="22"/>
                <w:lang w:val="lv-LV"/>
              </w:rPr>
            </w:pPr>
            <w:r w:rsidRPr="00CD729C">
              <w:rPr>
                <w:rFonts w:ascii="Times New Roman" w:hAnsi="Times New Roman"/>
                <w:color w:val="000000"/>
                <w:szCs w:val="22"/>
                <w:lang w:val="lv-LV"/>
              </w:rPr>
              <w:t>Uzturošā terapija</w:t>
            </w:r>
          </w:p>
        </w:tc>
        <w:tc>
          <w:tcPr>
            <w:tcW w:w="6732" w:type="dxa"/>
            <w:gridSpan w:val="4"/>
            <w:tcBorders>
              <w:top w:val="single" w:sz="4" w:space="0" w:color="auto"/>
              <w:bottom w:val="single" w:sz="4" w:space="0" w:color="auto"/>
            </w:tcBorders>
            <w:shd w:val="clear" w:color="auto" w:fill="auto"/>
          </w:tcPr>
          <w:p w14:paraId="3D394702" w14:textId="77777777" w:rsidR="00484376" w:rsidRPr="00CD729C" w:rsidRDefault="00863031" w:rsidP="009B4BB6">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VCR 1,3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dienā lietojot i.v.;</w:t>
            </w:r>
          </w:p>
          <w:p w14:paraId="3D394703" w14:textId="77777777" w:rsidR="00863031" w:rsidRPr="00CD729C" w:rsidRDefault="00484376" w:rsidP="009B4BB6">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P</w:t>
            </w:r>
            <w:r w:rsidR="00863031" w:rsidRPr="00CD729C">
              <w:rPr>
                <w:rFonts w:ascii="Times New Roman" w:hAnsi="Times New Roman"/>
                <w:color w:val="000000"/>
                <w:szCs w:val="22"/>
                <w:lang w:val="lv-LV"/>
              </w:rPr>
              <w:t>rednizolons 60 mg/m</w:t>
            </w:r>
            <w:r w:rsidR="00863031" w:rsidRPr="00CD729C">
              <w:rPr>
                <w:rFonts w:ascii="Times New Roman" w:hAnsi="Times New Roman"/>
                <w:color w:val="000000"/>
                <w:szCs w:val="22"/>
                <w:vertAlign w:val="superscript"/>
                <w:lang w:val="lv-LV"/>
              </w:rPr>
              <w:t>2</w:t>
            </w:r>
            <w:r w:rsidR="00863031" w:rsidRPr="00CD729C">
              <w:rPr>
                <w:rFonts w:ascii="Times New Roman" w:hAnsi="Times New Roman"/>
                <w:color w:val="000000"/>
                <w:szCs w:val="22"/>
                <w:lang w:val="lv-LV"/>
              </w:rPr>
              <w:t xml:space="preserve"> 1-5. dienā lietojot iekšķīgi.</w:t>
            </w:r>
          </w:p>
        </w:tc>
      </w:tr>
      <w:tr w:rsidR="00863031" w:rsidRPr="00CD729C" w14:paraId="3D394709" w14:textId="77777777" w:rsidTr="00341FA1">
        <w:trPr>
          <w:cantSplit/>
        </w:trPr>
        <w:tc>
          <w:tcPr>
            <w:tcW w:w="4800" w:type="dxa"/>
            <w:gridSpan w:val="2"/>
            <w:tcBorders>
              <w:top w:val="single" w:sz="4" w:space="0" w:color="auto"/>
              <w:bottom w:val="single" w:sz="4" w:space="0" w:color="auto"/>
            </w:tcBorders>
            <w:shd w:val="clear" w:color="auto" w:fill="auto"/>
          </w:tcPr>
          <w:p w14:paraId="3D394705"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b/>
                <w:color w:val="000000"/>
                <w:szCs w:val="22"/>
                <w:lang w:val="lv-LV"/>
              </w:rPr>
              <w:lastRenderedPageBreak/>
              <w:t>Pētījums AUS01</w:t>
            </w:r>
          </w:p>
        </w:tc>
        <w:tc>
          <w:tcPr>
            <w:tcW w:w="1080" w:type="dxa"/>
            <w:tcBorders>
              <w:top w:val="single" w:sz="4" w:space="0" w:color="auto"/>
              <w:bottom w:val="single" w:sz="4" w:space="0" w:color="auto"/>
            </w:tcBorders>
          </w:tcPr>
          <w:p w14:paraId="3D394706"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p>
        </w:tc>
        <w:tc>
          <w:tcPr>
            <w:tcW w:w="1380" w:type="dxa"/>
            <w:tcBorders>
              <w:top w:val="single" w:sz="4" w:space="0" w:color="auto"/>
              <w:bottom w:val="single" w:sz="4" w:space="0" w:color="auto"/>
            </w:tcBorders>
          </w:tcPr>
          <w:p w14:paraId="3D394707"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p>
        </w:tc>
        <w:tc>
          <w:tcPr>
            <w:tcW w:w="1620" w:type="dxa"/>
            <w:tcBorders>
              <w:top w:val="single" w:sz="4" w:space="0" w:color="auto"/>
              <w:bottom w:val="single" w:sz="4" w:space="0" w:color="auto"/>
            </w:tcBorders>
          </w:tcPr>
          <w:p w14:paraId="3D394708"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p>
        </w:tc>
      </w:tr>
      <w:tr w:rsidR="00863031" w:rsidRPr="00CD729C" w14:paraId="3D39470F" w14:textId="77777777" w:rsidTr="00341FA1">
        <w:trPr>
          <w:cantSplit/>
        </w:trPr>
        <w:tc>
          <w:tcPr>
            <w:tcW w:w="2148" w:type="dxa"/>
            <w:tcBorders>
              <w:top w:val="single" w:sz="4" w:space="0" w:color="auto"/>
              <w:bottom w:val="single" w:sz="4" w:space="0" w:color="auto"/>
            </w:tcBorders>
            <w:shd w:val="clear" w:color="auto" w:fill="auto"/>
          </w:tcPr>
          <w:p w14:paraId="3D39470A"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Indukcijas-konsolidācijas terapija</w:t>
            </w:r>
          </w:p>
        </w:tc>
        <w:tc>
          <w:tcPr>
            <w:tcW w:w="6732" w:type="dxa"/>
            <w:gridSpan w:val="4"/>
            <w:tcBorders>
              <w:top w:val="single" w:sz="4" w:space="0" w:color="auto"/>
              <w:bottom w:val="single" w:sz="4" w:space="0" w:color="auto"/>
            </w:tcBorders>
            <w:shd w:val="clear" w:color="auto" w:fill="auto"/>
          </w:tcPr>
          <w:p w14:paraId="3D39470B"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Hiper-CVAD režīms: CP 300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1.-3. dienā lietojot i.v. (3 h, q 12 h); </w:t>
            </w:r>
            <w:r w:rsidR="00484376" w:rsidRPr="00CD729C">
              <w:rPr>
                <w:rFonts w:ascii="Times New Roman" w:hAnsi="Times New Roman"/>
                <w:color w:val="000000"/>
                <w:szCs w:val="22"/>
                <w:lang w:val="lv-LV"/>
              </w:rPr>
              <w:t>V</w:t>
            </w:r>
            <w:r w:rsidRPr="00CD729C">
              <w:rPr>
                <w:rFonts w:ascii="Times New Roman" w:hAnsi="Times New Roman"/>
                <w:color w:val="000000"/>
                <w:szCs w:val="22"/>
                <w:lang w:val="lv-LV"/>
              </w:rPr>
              <w:t>inkristīns 2 mg 4. un 11. dienā lietojot i.v.;</w:t>
            </w:r>
          </w:p>
          <w:p w14:paraId="3D39470C" w14:textId="77777777" w:rsidR="00484376" w:rsidRPr="00CD729C" w:rsidRDefault="00484376"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w:t>
            </w:r>
            <w:r w:rsidR="00863031" w:rsidRPr="00CD729C">
              <w:rPr>
                <w:rFonts w:ascii="Times New Roman" w:hAnsi="Times New Roman"/>
                <w:color w:val="000000"/>
                <w:szCs w:val="22"/>
                <w:lang w:val="lv-LV"/>
              </w:rPr>
              <w:t>oksorubicīns 50 mg/m</w:t>
            </w:r>
            <w:r w:rsidR="00863031" w:rsidRPr="00CD729C">
              <w:rPr>
                <w:rFonts w:ascii="Times New Roman" w:hAnsi="Times New Roman"/>
                <w:color w:val="000000"/>
                <w:szCs w:val="22"/>
                <w:vertAlign w:val="superscript"/>
                <w:lang w:val="lv-LV"/>
              </w:rPr>
              <w:t>2</w:t>
            </w:r>
            <w:r w:rsidR="00863031" w:rsidRPr="00CD729C">
              <w:rPr>
                <w:rFonts w:ascii="Times New Roman" w:hAnsi="Times New Roman"/>
                <w:color w:val="000000"/>
                <w:szCs w:val="22"/>
                <w:lang w:val="lv-LV"/>
              </w:rPr>
              <w:t xml:space="preserve"> 4. dienā lietojot i.v. (24 h);</w:t>
            </w:r>
          </w:p>
          <w:p w14:paraId="3D39470D"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DEX 40 mg/dienā 1.-4. un 11.-14. dienā, nomainot ar MTX 1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dienā lietojot i.v. (24 h)</w:t>
            </w:r>
            <w:r w:rsidR="00484376" w:rsidRPr="00CD729C">
              <w:rPr>
                <w:rFonts w:ascii="Times New Roman" w:hAnsi="Times New Roman"/>
                <w:color w:val="000000"/>
                <w:szCs w:val="22"/>
                <w:lang w:val="lv-LV"/>
              </w:rPr>
              <w:t>;</w:t>
            </w:r>
          </w:p>
          <w:p w14:paraId="3D39470E"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Ara-C 1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2.-3. dienā lietojot i.v. (2 h, q 12 h) (kopumā 8 kursi)</w:t>
            </w:r>
          </w:p>
        </w:tc>
      </w:tr>
      <w:tr w:rsidR="00863031" w:rsidRPr="00CD729C" w14:paraId="3D394713" w14:textId="77777777" w:rsidTr="00341FA1">
        <w:trPr>
          <w:cantSplit/>
        </w:trPr>
        <w:tc>
          <w:tcPr>
            <w:tcW w:w="2148" w:type="dxa"/>
            <w:tcBorders>
              <w:top w:val="single" w:sz="4" w:space="0" w:color="auto"/>
              <w:bottom w:val="single" w:sz="4" w:space="0" w:color="auto"/>
            </w:tcBorders>
            <w:shd w:val="clear" w:color="auto" w:fill="auto"/>
          </w:tcPr>
          <w:p w14:paraId="3D394710"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Uzturošā terapija</w:t>
            </w:r>
          </w:p>
        </w:tc>
        <w:tc>
          <w:tcPr>
            <w:tcW w:w="6732" w:type="dxa"/>
            <w:gridSpan w:val="4"/>
            <w:tcBorders>
              <w:top w:val="single" w:sz="4" w:space="0" w:color="auto"/>
              <w:bottom w:val="single" w:sz="4" w:space="0" w:color="auto"/>
            </w:tcBorders>
            <w:shd w:val="clear" w:color="auto" w:fill="auto"/>
          </w:tcPr>
          <w:p w14:paraId="3D394711" w14:textId="77777777" w:rsidR="00484376"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VCR 2 mg katru mēnesi lietojot i.v. 13 mēnešus;</w:t>
            </w:r>
          </w:p>
          <w:p w14:paraId="3D394712" w14:textId="77777777" w:rsidR="00863031" w:rsidRPr="00CD729C" w:rsidRDefault="00484376"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P</w:t>
            </w:r>
            <w:r w:rsidR="00863031" w:rsidRPr="00CD729C">
              <w:rPr>
                <w:rFonts w:ascii="Times New Roman" w:hAnsi="Times New Roman"/>
                <w:color w:val="000000"/>
                <w:szCs w:val="22"/>
                <w:lang w:val="lv-LV"/>
              </w:rPr>
              <w:t>rednizolons 200 mg 5 dienas mēnesī lietojot iekšķīgi 13 mēnešus.</w:t>
            </w:r>
          </w:p>
        </w:tc>
      </w:tr>
      <w:tr w:rsidR="00863031" w:rsidRPr="00CD729C" w14:paraId="3D394715" w14:textId="77777777" w:rsidTr="00341FA1">
        <w:trPr>
          <w:cantSplit/>
        </w:trPr>
        <w:tc>
          <w:tcPr>
            <w:tcW w:w="8880" w:type="dxa"/>
            <w:gridSpan w:val="5"/>
            <w:tcBorders>
              <w:top w:val="single" w:sz="4" w:space="0" w:color="auto"/>
              <w:bottom w:val="single" w:sz="4" w:space="0" w:color="auto"/>
            </w:tcBorders>
            <w:shd w:val="clear" w:color="auto" w:fill="auto"/>
          </w:tcPr>
          <w:p w14:paraId="3D394714"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Visi ārstēšanas režīmi ietver steroīdu lietošanu CNS profilaksei.</w:t>
            </w:r>
          </w:p>
        </w:tc>
      </w:tr>
      <w:tr w:rsidR="00863031" w:rsidRPr="00CD729C" w14:paraId="3D394717" w14:textId="77777777" w:rsidTr="00341FA1">
        <w:trPr>
          <w:cantSplit/>
        </w:trPr>
        <w:tc>
          <w:tcPr>
            <w:tcW w:w="8880" w:type="dxa"/>
            <w:gridSpan w:val="5"/>
            <w:tcBorders>
              <w:top w:val="single" w:sz="4" w:space="0" w:color="auto"/>
              <w:bottom w:val="single" w:sz="4" w:space="0" w:color="auto"/>
            </w:tcBorders>
            <w:shd w:val="clear" w:color="auto" w:fill="auto"/>
          </w:tcPr>
          <w:p w14:paraId="3D394716" w14:textId="77777777" w:rsidR="00863031" w:rsidRPr="00CD729C" w:rsidRDefault="00863031"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Ara-C: citozīna arabinozīds; CP: ciklofosfamīds; DEX: deksametazons; MTX: metotreksāts; 6-MP: 6-merkaptopurīns; VM26: teniposīds; VCR: vinkristīns; IDA: idarubicīns; i.v.: intravenozi</w:t>
            </w:r>
          </w:p>
        </w:tc>
      </w:tr>
    </w:tbl>
    <w:p w14:paraId="3D394718" w14:textId="77777777" w:rsidR="007C0B3A" w:rsidRPr="00CD729C" w:rsidRDefault="007C0B3A" w:rsidP="009B4BB6">
      <w:pPr>
        <w:pStyle w:val="EndnoteText"/>
        <w:widowControl w:val="0"/>
        <w:rPr>
          <w:color w:val="000000"/>
          <w:szCs w:val="22"/>
        </w:rPr>
      </w:pPr>
    </w:p>
    <w:p w14:paraId="3D394719" w14:textId="77777777" w:rsidR="001F2160" w:rsidRPr="00CD729C" w:rsidRDefault="003A5D5A" w:rsidP="009B4BB6">
      <w:pPr>
        <w:pStyle w:val="EndnoteText"/>
        <w:widowControl w:val="0"/>
        <w:rPr>
          <w:color w:val="000000"/>
        </w:rPr>
      </w:pPr>
      <w:r w:rsidRPr="00CD729C">
        <w:rPr>
          <w:i/>
          <w:color w:val="000000"/>
        </w:rPr>
        <w:t>Pediatriskie pacienti</w:t>
      </w:r>
      <w:r w:rsidR="007C0B3A" w:rsidRPr="00CD729C">
        <w:rPr>
          <w:color w:val="000000"/>
        </w:rPr>
        <w:t>:</w:t>
      </w:r>
      <w:r w:rsidR="007C0B3A" w:rsidRPr="00CD729C">
        <w:t xml:space="preserve"> </w:t>
      </w:r>
      <w:r w:rsidR="00C42EB8" w:rsidRPr="00CD729C">
        <w:t xml:space="preserve">I2301, atvērta tipa, daudzcentru, sekvenciālu kohortu, nerandomizētā III fāzes pētījumā kopumā tika iekļauti 93 bērni, pusaudži un gados jauni pieaugušie (vecumā no 1 līdz 22 gadiem) ar Ph+ ALL, kuri tika ārstēti ar Glivec </w:t>
      </w:r>
      <w:r w:rsidR="00C42EB8" w:rsidRPr="00CD729C">
        <w:rPr>
          <w:color w:val="000000"/>
        </w:rPr>
        <w:t>(340 mg/m</w:t>
      </w:r>
      <w:r w:rsidR="00C42EB8" w:rsidRPr="00CD729C">
        <w:rPr>
          <w:color w:val="000000"/>
          <w:vertAlign w:val="superscript"/>
        </w:rPr>
        <w:t>2</w:t>
      </w:r>
      <w:r w:rsidR="00C42EB8" w:rsidRPr="00CD729C">
        <w:rPr>
          <w:color w:val="000000"/>
        </w:rPr>
        <w:t xml:space="preserve">/dienā) kombinācijā ar intensīvu </w:t>
      </w:r>
      <w:r w:rsidR="00C560EE" w:rsidRPr="00CD729C">
        <w:rPr>
          <w:color w:val="000000"/>
        </w:rPr>
        <w:t>ķīmijterapiju</w:t>
      </w:r>
      <w:r w:rsidR="00C42EB8" w:rsidRPr="00CD729C">
        <w:rPr>
          <w:color w:val="000000"/>
        </w:rPr>
        <w:t xml:space="preserve"> pēc indukcijas terapijas.</w:t>
      </w:r>
      <w:r w:rsidR="00594D9B" w:rsidRPr="00CD729C">
        <w:rPr>
          <w:color w:val="000000"/>
        </w:rPr>
        <w:t xml:space="preserve"> Glivec tika periodiski lietots 1.</w:t>
      </w:r>
      <w:r w:rsidR="00594D9B" w:rsidRPr="00CD729C">
        <w:rPr>
          <w:color w:val="000000"/>
        </w:rPr>
        <w:noBreakHyphen/>
        <w:t>5.</w:t>
      </w:r>
      <w:r w:rsidR="00C560EE" w:rsidRPr="00CD729C">
        <w:rPr>
          <w:color w:val="000000"/>
        </w:rPr>
        <w:t> </w:t>
      </w:r>
      <w:r w:rsidR="00594D9B" w:rsidRPr="00CD729C">
        <w:rPr>
          <w:color w:val="000000"/>
        </w:rPr>
        <w:t>kohortās, no kohortas uz kohortu palielinot terapijas ilgumu un paātrinot terapijas uzsākšanas brīdi; 1.</w:t>
      </w:r>
      <w:r w:rsidR="00C560EE" w:rsidRPr="00CD729C">
        <w:rPr>
          <w:color w:val="000000"/>
        </w:rPr>
        <w:t> </w:t>
      </w:r>
      <w:r w:rsidR="00594D9B" w:rsidRPr="00CD729C">
        <w:rPr>
          <w:color w:val="000000"/>
        </w:rPr>
        <w:t xml:space="preserve">kohortā </w:t>
      </w:r>
      <w:r w:rsidR="00C560EE" w:rsidRPr="00CD729C">
        <w:rPr>
          <w:color w:val="000000"/>
        </w:rPr>
        <w:t>izmantoja</w:t>
      </w:r>
      <w:r w:rsidR="00594D9B" w:rsidRPr="00CD729C">
        <w:rPr>
          <w:color w:val="000000"/>
        </w:rPr>
        <w:t xml:space="preserve"> viszemākās intensitātes terapiju un 5. kohortā </w:t>
      </w:r>
      <w:r w:rsidR="00C560EE" w:rsidRPr="00CD729C">
        <w:rPr>
          <w:color w:val="000000"/>
        </w:rPr>
        <w:t>izmantoja</w:t>
      </w:r>
      <w:r w:rsidR="00594D9B" w:rsidRPr="00CD729C">
        <w:rPr>
          <w:color w:val="000000"/>
        </w:rPr>
        <w:t xml:space="preserve"> visaugstākās (</w:t>
      </w:r>
      <w:r w:rsidR="00C560EE" w:rsidRPr="00CD729C">
        <w:rPr>
          <w:color w:val="000000"/>
        </w:rPr>
        <w:t>lielākais</w:t>
      </w:r>
      <w:r w:rsidR="00594D9B" w:rsidRPr="00CD729C">
        <w:rPr>
          <w:color w:val="000000"/>
        </w:rPr>
        <w:t xml:space="preserve"> </w:t>
      </w:r>
      <w:r w:rsidR="00C560EE" w:rsidRPr="00CD729C">
        <w:rPr>
          <w:color w:val="000000"/>
        </w:rPr>
        <w:t xml:space="preserve">terapijas ilgums pēc </w:t>
      </w:r>
      <w:r w:rsidR="00594D9B" w:rsidRPr="00CD729C">
        <w:rPr>
          <w:color w:val="000000"/>
        </w:rPr>
        <w:t>dien</w:t>
      </w:r>
      <w:r w:rsidR="00C560EE" w:rsidRPr="00CD729C">
        <w:rPr>
          <w:color w:val="000000"/>
        </w:rPr>
        <w:t>u skaita,</w:t>
      </w:r>
      <w:r w:rsidR="00594D9B" w:rsidRPr="00CD729C">
        <w:rPr>
          <w:color w:val="000000"/>
        </w:rPr>
        <w:t xml:space="preserve"> </w:t>
      </w:r>
      <w:r w:rsidR="00C560EE" w:rsidRPr="00CD729C">
        <w:rPr>
          <w:color w:val="000000"/>
        </w:rPr>
        <w:t>pirmo ķīmijterapijas kursu laikā nepārtraukti lietojot Glivec dienas devu</w:t>
      </w:r>
      <w:r w:rsidR="00594D9B" w:rsidRPr="00CD729C">
        <w:rPr>
          <w:color w:val="000000"/>
        </w:rPr>
        <w:t>) intensitātes terapiju ar Glivec. Ilgstoša Glivec lietošana terapijas kursa sākumā kombinācijā ar ķīmijterapiju 5. kohortas pacientiem (n=50)</w:t>
      </w:r>
      <w:r w:rsidR="00C560EE" w:rsidRPr="00CD729C">
        <w:rPr>
          <w:color w:val="000000"/>
        </w:rPr>
        <w:t>, salīdzinot ar kontroles grupu (n=120), kuri saņēma standarta ķīmijterapiju bez Glivec,</w:t>
      </w:r>
      <w:r w:rsidR="00594D9B" w:rsidRPr="00CD729C">
        <w:rPr>
          <w:color w:val="000000"/>
        </w:rPr>
        <w:t xml:space="preserve"> uzlaboja 4 gadu dzīvildzi bez slimības </w:t>
      </w:r>
      <w:r w:rsidR="001F2160" w:rsidRPr="00CD729C">
        <w:rPr>
          <w:color w:val="000000"/>
        </w:rPr>
        <w:t>gadījumiem</w:t>
      </w:r>
      <w:r w:rsidR="00594D9B" w:rsidRPr="00CD729C">
        <w:rPr>
          <w:color w:val="000000"/>
        </w:rPr>
        <w:t xml:space="preserve"> (</w:t>
      </w:r>
      <w:r w:rsidR="00C560EE" w:rsidRPr="00CD729C">
        <w:rPr>
          <w:i/>
          <w:color w:val="000000"/>
        </w:rPr>
        <w:t>event-free survival</w:t>
      </w:r>
      <w:r w:rsidR="00C560EE" w:rsidRPr="00CD729C">
        <w:rPr>
          <w:color w:val="000000"/>
        </w:rPr>
        <w:t xml:space="preserve"> - </w:t>
      </w:r>
      <w:r w:rsidR="00594D9B" w:rsidRPr="00CD729C">
        <w:rPr>
          <w:color w:val="000000"/>
        </w:rPr>
        <w:t>EFS) (attiecīgi 69,6% vs. 31,6%)</w:t>
      </w:r>
      <w:r w:rsidR="001F2160" w:rsidRPr="00CD729C">
        <w:rPr>
          <w:color w:val="000000"/>
        </w:rPr>
        <w:t xml:space="preserve">. Aprēķinātā 4 gadu </w:t>
      </w:r>
      <w:r w:rsidR="00D46509" w:rsidRPr="00CD729C">
        <w:rPr>
          <w:color w:val="000000"/>
        </w:rPr>
        <w:t xml:space="preserve">kopējā </w:t>
      </w:r>
      <w:r w:rsidR="001F2160" w:rsidRPr="00CD729C">
        <w:rPr>
          <w:color w:val="000000"/>
        </w:rPr>
        <w:t xml:space="preserve">dzīvildze </w:t>
      </w:r>
      <w:r w:rsidR="00D46509" w:rsidRPr="00CD729C">
        <w:rPr>
          <w:color w:val="000000"/>
        </w:rPr>
        <w:t>5. kohortas pacientiem bija 83,6%</w:t>
      </w:r>
      <w:r w:rsidR="00FF0784" w:rsidRPr="00CD729C">
        <w:rPr>
          <w:color w:val="000000"/>
        </w:rPr>
        <w:t>,</w:t>
      </w:r>
      <w:r w:rsidR="00D46509" w:rsidRPr="00CD729C">
        <w:rPr>
          <w:color w:val="000000"/>
        </w:rPr>
        <w:t xml:space="preserve"> salīdzinot ar 44,8% kontroles grupā. 20 no 50 (40%) 5. kohortas pacientu saņēma hemopoē</w:t>
      </w:r>
      <w:r w:rsidR="002F6903" w:rsidRPr="00CD729C">
        <w:rPr>
          <w:color w:val="000000"/>
        </w:rPr>
        <w:t>zes</w:t>
      </w:r>
      <w:r w:rsidR="00D46509" w:rsidRPr="00CD729C">
        <w:rPr>
          <w:color w:val="000000"/>
        </w:rPr>
        <w:t xml:space="preserve"> cilmes šūnu transplantātu.</w:t>
      </w:r>
    </w:p>
    <w:p w14:paraId="3D39471A" w14:textId="77777777" w:rsidR="007C0B3A" w:rsidRPr="00CD729C" w:rsidRDefault="007C0B3A" w:rsidP="009B4BB6">
      <w:pPr>
        <w:pStyle w:val="EndnoteText"/>
        <w:widowControl w:val="0"/>
        <w:rPr>
          <w:color w:val="000000"/>
        </w:rPr>
      </w:pPr>
    </w:p>
    <w:p w14:paraId="3D39471B" w14:textId="77777777" w:rsidR="00500B2C" w:rsidRPr="00CD729C" w:rsidRDefault="00500B2C" w:rsidP="009B4BB6">
      <w:pPr>
        <w:pStyle w:val="EndnoteText"/>
        <w:keepNext/>
        <w:keepLines/>
        <w:widowControl w:val="0"/>
        <w:rPr>
          <w:b/>
          <w:bCs/>
          <w:color w:val="000000"/>
          <w:szCs w:val="22"/>
        </w:rPr>
      </w:pPr>
      <w:r w:rsidRPr="00CD729C">
        <w:rPr>
          <w:b/>
          <w:bCs/>
          <w:color w:val="000000"/>
          <w:szCs w:val="22"/>
        </w:rPr>
        <w:t>Tabula Nr. </w:t>
      </w:r>
      <w:r w:rsidR="00E63C12" w:rsidRPr="00CD729C">
        <w:rPr>
          <w:b/>
          <w:bCs/>
          <w:color w:val="000000"/>
          <w:szCs w:val="22"/>
        </w:rPr>
        <w:t>5</w:t>
      </w:r>
      <w:r w:rsidRPr="00CD729C">
        <w:rPr>
          <w:b/>
          <w:bCs/>
          <w:color w:val="000000"/>
          <w:szCs w:val="22"/>
        </w:rPr>
        <w:tab/>
        <w:t xml:space="preserve">Ķīmijterapijas režīmi, kas lietoti kombinācijā ar </w:t>
      </w:r>
      <w:r w:rsidRPr="00CD729C">
        <w:rPr>
          <w:b/>
          <w:color w:val="000000"/>
          <w:szCs w:val="22"/>
        </w:rPr>
        <w:t>imatinibu pētījumā I2301</w:t>
      </w:r>
    </w:p>
    <w:p w14:paraId="3D39471C" w14:textId="77777777" w:rsidR="007C0B3A" w:rsidRPr="00CD729C" w:rsidRDefault="007C0B3A" w:rsidP="009B4BB6">
      <w:pPr>
        <w:pStyle w:val="EndnoteText"/>
        <w:keepNext/>
        <w:keepLines/>
        <w:widowControl w:val="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6734"/>
      </w:tblGrid>
      <w:tr w:rsidR="007C0B3A" w:rsidRPr="00CD729C" w14:paraId="3D394725" w14:textId="77777777" w:rsidTr="00341FA1">
        <w:trPr>
          <w:cantSplit/>
        </w:trPr>
        <w:tc>
          <w:tcPr>
            <w:tcW w:w="2358" w:type="dxa"/>
            <w:shd w:val="clear" w:color="auto" w:fill="auto"/>
          </w:tcPr>
          <w:p w14:paraId="3D39471D" w14:textId="77777777" w:rsidR="007C0B3A" w:rsidRPr="00CD729C" w:rsidRDefault="00500B2C" w:rsidP="009B4BB6">
            <w:pPr>
              <w:pStyle w:val="EndnoteText"/>
              <w:keepNext/>
              <w:keepLines/>
              <w:widowControl w:val="0"/>
              <w:rPr>
                <w:color w:val="000000"/>
              </w:rPr>
            </w:pPr>
            <w:r w:rsidRPr="00CD729C">
              <w:rPr>
                <w:color w:val="000000"/>
              </w:rPr>
              <w:t>Konsolidācijas terapija</w:t>
            </w:r>
            <w:r w:rsidR="007C0B3A" w:rsidRPr="00CD729C">
              <w:rPr>
                <w:color w:val="000000"/>
              </w:rPr>
              <w:t> 1</w:t>
            </w:r>
          </w:p>
          <w:p w14:paraId="3D39471E" w14:textId="77777777" w:rsidR="007C0B3A" w:rsidRPr="00CD729C" w:rsidRDefault="007C0B3A" w:rsidP="009B4BB6">
            <w:pPr>
              <w:pStyle w:val="EndnoteText"/>
              <w:keepNext/>
              <w:keepLines/>
              <w:widowControl w:val="0"/>
              <w:rPr>
                <w:color w:val="000000"/>
              </w:rPr>
            </w:pPr>
            <w:r w:rsidRPr="00CD729C">
              <w:rPr>
                <w:color w:val="000000"/>
              </w:rPr>
              <w:t>(3 </w:t>
            </w:r>
            <w:r w:rsidR="00500B2C" w:rsidRPr="00CD729C">
              <w:rPr>
                <w:color w:val="000000"/>
              </w:rPr>
              <w:t>nedēļas</w:t>
            </w:r>
            <w:r w:rsidRPr="00CD729C">
              <w:rPr>
                <w:color w:val="000000"/>
              </w:rPr>
              <w:t>)</w:t>
            </w:r>
          </w:p>
        </w:tc>
        <w:tc>
          <w:tcPr>
            <w:tcW w:w="6929" w:type="dxa"/>
            <w:shd w:val="clear" w:color="auto" w:fill="auto"/>
          </w:tcPr>
          <w:p w14:paraId="3D39471F" w14:textId="77777777" w:rsidR="007C0B3A" w:rsidRPr="00CD729C" w:rsidRDefault="007C0B3A" w:rsidP="009B4BB6">
            <w:pPr>
              <w:pStyle w:val="EndnoteText"/>
              <w:keepNext/>
              <w:keepLines/>
              <w:widowControl w:val="0"/>
              <w:rPr>
                <w:color w:val="000000"/>
              </w:rPr>
            </w:pPr>
            <w:r w:rsidRPr="00CD729C">
              <w:rPr>
                <w:color w:val="000000"/>
              </w:rPr>
              <w:t>VP-16 (100 mg/m</w:t>
            </w:r>
            <w:r w:rsidRPr="00CD729C">
              <w:rPr>
                <w:color w:val="000000"/>
                <w:vertAlign w:val="superscript"/>
              </w:rPr>
              <w:t>2</w:t>
            </w:r>
            <w:r w:rsidRPr="00CD729C">
              <w:rPr>
                <w:color w:val="000000"/>
              </w:rPr>
              <w:t>/</w:t>
            </w:r>
            <w:r w:rsidR="00274BC7" w:rsidRPr="00CD729C">
              <w:rPr>
                <w:color w:val="000000"/>
              </w:rPr>
              <w:t>dienā</w:t>
            </w:r>
            <w:r w:rsidRPr="00CD729C">
              <w:rPr>
                <w:color w:val="000000"/>
              </w:rPr>
              <w:t xml:space="preserve">, </w:t>
            </w:r>
            <w:r w:rsidR="00274BC7" w:rsidRPr="00CD729C">
              <w:rPr>
                <w:color w:val="000000"/>
              </w:rPr>
              <w:t xml:space="preserve">lietojot </w:t>
            </w:r>
            <w:r w:rsidRPr="00CD729C">
              <w:rPr>
                <w:color w:val="000000"/>
              </w:rPr>
              <w:t>IV): 1</w:t>
            </w:r>
            <w:r w:rsidR="00274BC7" w:rsidRPr="00CD729C">
              <w:rPr>
                <w:color w:val="000000"/>
              </w:rPr>
              <w:t>.</w:t>
            </w:r>
            <w:r w:rsidRPr="00CD729C">
              <w:rPr>
                <w:color w:val="000000"/>
              </w:rPr>
              <w:noBreakHyphen/>
              <w:t>5</w:t>
            </w:r>
            <w:r w:rsidR="00274BC7" w:rsidRPr="00CD729C">
              <w:rPr>
                <w:color w:val="000000"/>
              </w:rPr>
              <w:t>. dienā</w:t>
            </w:r>
          </w:p>
          <w:p w14:paraId="3D394720" w14:textId="77777777" w:rsidR="007C0B3A" w:rsidRPr="00CD729C" w:rsidRDefault="007C0B3A" w:rsidP="009B4BB6">
            <w:pPr>
              <w:pStyle w:val="EndnoteText"/>
              <w:keepNext/>
              <w:keepLines/>
              <w:widowControl w:val="0"/>
              <w:rPr>
                <w:color w:val="000000"/>
              </w:rPr>
            </w:pPr>
            <w:r w:rsidRPr="00CD729C">
              <w:rPr>
                <w:color w:val="000000"/>
              </w:rPr>
              <w:t>Ifosfam</w:t>
            </w:r>
            <w:r w:rsidR="00274BC7" w:rsidRPr="00CD729C">
              <w:rPr>
                <w:color w:val="000000"/>
              </w:rPr>
              <w:t>ī</w:t>
            </w:r>
            <w:r w:rsidRPr="00CD729C">
              <w:rPr>
                <w:color w:val="000000"/>
              </w:rPr>
              <w:t>d</w:t>
            </w:r>
            <w:r w:rsidR="00274BC7" w:rsidRPr="00CD729C">
              <w:rPr>
                <w:color w:val="000000"/>
              </w:rPr>
              <w:t>s</w:t>
            </w:r>
            <w:r w:rsidRPr="00CD729C">
              <w:rPr>
                <w:color w:val="000000"/>
              </w:rPr>
              <w:t xml:space="preserve"> (1</w:t>
            </w:r>
            <w:r w:rsidR="00274BC7" w:rsidRPr="00CD729C">
              <w:rPr>
                <w:color w:val="000000"/>
              </w:rPr>
              <w:t>,</w:t>
            </w:r>
            <w:r w:rsidRPr="00CD729C">
              <w:rPr>
                <w:color w:val="000000"/>
              </w:rPr>
              <w:t>8 g/m</w:t>
            </w:r>
            <w:r w:rsidRPr="00CD729C">
              <w:rPr>
                <w:color w:val="000000"/>
                <w:vertAlign w:val="superscript"/>
              </w:rPr>
              <w:t>2</w:t>
            </w:r>
            <w:r w:rsidRPr="00CD729C">
              <w:rPr>
                <w:color w:val="000000"/>
              </w:rPr>
              <w:t>/</w:t>
            </w:r>
            <w:r w:rsidR="00274BC7" w:rsidRPr="00CD729C">
              <w:rPr>
                <w:color w:val="000000"/>
              </w:rPr>
              <w:t>dienā</w:t>
            </w:r>
            <w:r w:rsidRPr="00CD729C">
              <w:rPr>
                <w:color w:val="000000"/>
              </w:rPr>
              <w:t xml:space="preserve">, </w:t>
            </w:r>
            <w:r w:rsidR="00274BC7" w:rsidRPr="00CD729C">
              <w:rPr>
                <w:color w:val="000000"/>
              </w:rPr>
              <w:t xml:space="preserve">lietojot </w:t>
            </w:r>
            <w:r w:rsidRPr="00CD729C">
              <w:rPr>
                <w:color w:val="000000"/>
              </w:rPr>
              <w:t>IV): 1</w:t>
            </w:r>
            <w:r w:rsidR="00274BC7" w:rsidRPr="00CD729C">
              <w:rPr>
                <w:color w:val="000000"/>
              </w:rPr>
              <w:t>.</w:t>
            </w:r>
            <w:r w:rsidRPr="00CD729C">
              <w:rPr>
                <w:color w:val="000000"/>
              </w:rPr>
              <w:noBreakHyphen/>
              <w:t>5</w:t>
            </w:r>
            <w:r w:rsidR="00274BC7" w:rsidRPr="00CD729C">
              <w:rPr>
                <w:color w:val="000000"/>
              </w:rPr>
              <w:t>. dienā</w:t>
            </w:r>
          </w:p>
          <w:p w14:paraId="3D394721" w14:textId="77777777" w:rsidR="007C0B3A" w:rsidRPr="00CD729C" w:rsidRDefault="007C0B3A" w:rsidP="009B4BB6">
            <w:pPr>
              <w:pStyle w:val="EndnoteText"/>
              <w:keepNext/>
              <w:keepLines/>
              <w:widowControl w:val="0"/>
              <w:rPr>
                <w:color w:val="000000"/>
              </w:rPr>
            </w:pPr>
            <w:r w:rsidRPr="00CD729C">
              <w:rPr>
                <w:color w:val="000000"/>
              </w:rPr>
              <w:t>MESNA (360 mg/m</w:t>
            </w:r>
            <w:r w:rsidRPr="00CD729C">
              <w:rPr>
                <w:color w:val="000000"/>
                <w:vertAlign w:val="superscript"/>
              </w:rPr>
              <w:t>2</w:t>
            </w:r>
            <w:r w:rsidRPr="00CD729C">
              <w:rPr>
                <w:color w:val="000000"/>
              </w:rPr>
              <w:t>/d</w:t>
            </w:r>
            <w:r w:rsidR="00274BC7" w:rsidRPr="00CD729C">
              <w:rPr>
                <w:color w:val="000000"/>
              </w:rPr>
              <w:t>eva</w:t>
            </w:r>
            <w:r w:rsidRPr="00CD729C">
              <w:rPr>
                <w:color w:val="000000"/>
              </w:rPr>
              <w:t xml:space="preserve"> q3h, x 8</w:t>
            </w:r>
            <w:r w:rsidR="00274BC7" w:rsidRPr="00CD729C">
              <w:rPr>
                <w:color w:val="000000"/>
              </w:rPr>
              <w:t> </w:t>
            </w:r>
            <w:r w:rsidRPr="00CD729C">
              <w:rPr>
                <w:color w:val="000000"/>
              </w:rPr>
              <w:t>d</w:t>
            </w:r>
            <w:r w:rsidR="00274BC7" w:rsidRPr="00CD729C">
              <w:rPr>
                <w:color w:val="000000"/>
              </w:rPr>
              <w:t>evas</w:t>
            </w:r>
            <w:r w:rsidRPr="00CD729C">
              <w:rPr>
                <w:color w:val="000000"/>
              </w:rPr>
              <w:t>/d</w:t>
            </w:r>
            <w:r w:rsidR="00274BC7" w:rsidRPr="00CD729C">
              <w:rPr>
                <w:color w:val="000000"/>
              </w:rPr>
              <w:t>ienā</w:t>
            </w:r>
            <w:r w:rsidRPr="00CD729C">
              <w:rPr>
                <w:color w:val="000000"/>
              </w:rPr>
              <w:t xml:space="preserve">, </w:t>
            </w:r>
            <w:r w:rsidR="00274BC7" w:rsidRPr="00CD729C">
              <w:rPr>
                <w:color w:val="000000"/>
              </w:rPr>
              <w:t xml:space="preserve">lietojot </w:t>
            </w:r>
            <w:r w:rsidRPr="00CD729C">
              <w:rPr>
                <w:color w:val="000000"/>
              </w:rPr>
              <w:t xml:space="preserve">IV): </w:t>
            </w:r>
            <w:r w:rsidR="00274BC7" w:rsidRPr="00CD729C">
              <w:rPr>
                <w:color w:val="000000"/>
              </w:rPr>
              <w:t>1.</w:t>
            </w:r>
            <w:r w:rsidR="00274BC7" w:rsidRPr="00CD729C">
              <w:rPr>
                <w:color w:val="000000"/>
              </w:rPr>
              <w:noBreakHyphen/>
              <w:t>5. dienā</w:t>
            </w:r>
          </w:p>
          <w:p w14:paraId="3D394722" w14:textId="77777777" w:rsidR="007C0B3A" w:rsidRPr="00CD729C" w:rsidRDefault="007C0B3A" w:rsidP="009B4BB6">
            <w:pPr>
              <w:pStyle w:val="EndnoteText"/>
              <w:keepNext/>
              <w:keepLines/>
              <w:widowControl w:val="0"/>
              <w:rPr>
                <w:color w:val="000000"/>
              </w:rPr>
            </w:pPr>
            <w:r w:rsidRPr="00CD729C">
              <w:rPr>
                <w:color w:val="000000"/>
              </w:rPr>
              <w:t>G-CSF (5 μg/kg, SC): 6</w:t>
            </w:r>
            <w:r w:rsidR="00274BC7" w:rsidRPr="00CD729C">
              <w:rPr>
                <w:color w:val="000000"/>
              </w:rPr>
              <w:t>.</w:t>
            </w:r>
            <w:r w:rsidRPr="00CD729C">
              <w:rPr>
                <w:color w:val="000000"/>
              </w:rPr>
              <w:noBreakHyphen/>
              <w:t>15</w:t>
            </w:r>
            <w:r w:rsidR="00274BC7" w:rsidRPr="00CD729C">
              <w:rPr>
                <w:color w:val="000000"/>
              </w:rPr>
              <w:t>. dienā</w:t>
            </w:r>
            <w:r w:rsidRPr="00CD729C">
              <w:rPr>
                <w:color w:val="000000"/>
              </w:rPr>
              <w:t xml:space="preserve"> </w:t>
            </w:r>
            <w:r w:rsidR="00274BC7" w:rsidRPr="00CD729C">
              <w:rPr>
                <w:color w:val="000000"/>
              </w:rPr>
              <w:t>vai</w:t>
            </w:r>
            <w:r w:rsidRPr="00CD729C">
              <w:rPr>
                <w:color w:val="000000"/>
              </w:rPr>
              <w:t xml:space="preserve"> </w:t>
            </w:r>
            <w:r w:rsidR="00274BC7" w:rsidRPr="00CD729C">
              <w:rPr>
                <w:color w:val="000000"/>
              </w:rPr>
              <w:t>līdz</w:t>
            </w:r>
            <w:r w:rsidRPr="00CD729C">
              <w:rPr>
                <w:color w:val="000000"/>
              </w:rPr>
              <w:t xml:space="preserve"> ANC &gt;1</w:t>
            </w:r>
            <w:r w:rsidR="00E53127" w:rsidRPr="00CD729C">
              <w:rPr>
                <w:color w:val="000000"/>
              </w:rPr>
              <w:t> </w:t>
            </w:r>
            <w:r w:rsidRPr="00CD729C">
              <w:rPr>
                <w:color w:val="000000"/>
              </w:rPr>
              <w:t>500 p</w:t>
            </w:r>
            <w:r w:rsidR="00274BC7" w:rsidRPr="00CD729C">
              <w:rPr>
                <w:color w:val="000000"/>
              </w:rPr>
              <w:t>ēc zemākā rādītāja</w:t>
            </w:r>
          </w:p>
          <w:p w14:paraId="3D394723" w14:textId="77777777" w:rsidR="007C0B3A" w:rsidRPr="00CD729C" w:rsidRDefault="00274BC7" w:rsidP="009B4BB6">
            <w:pPr>
              <w:pStyle w:val="EndnoteText"/>
              <w:keepNext/>
              <w:keepLines/>
              <w:widowControl w:val="0"/>
              <w:rPr>
                <w:color w:val="000000"/>
              </w:rPr>
            </w:pPr>
            <w:r w:rsidRPr="00CD729C">
              <w:rPr>
                <w:color w:val="000000"/>
              </w:rPr>
              <w:t>Metotreksāts</w:t>
            </w:r>
            <w:r w:rsidR="004B15B9" w:rsidRPr="00CD729C">
              <w:rPr>
                <w:color w:val="000000"/>
              </w:rPr>
              <w:t xml:space="preserve"> (pielāgojot pēc vecuma),</w:t>
            </w:r>
            <w:r w:rsidR="007C0B3A" w:rsidRPr="00CD729C">
              <w:rPr>
                <w:color w:val="000000"/>
              </w:rPr>
              <w:t xml:space="preserve"> </w:t>
            </w:r>
            <w:r w:rsidRPr="00CD729C">
              <w:rPr>
                <w:color w:val="000000"/>
              </w:rPr>
              <w:t xml:space="preserve">lietojot </w:t>
            </w:r>
            <w:r w:rsidR="004B15B9" w:rsidRPr="00CD729C">
              <w:rPr>
                <w:color w:val="000000"/>
              </w:rPr>
              <w:t>IT</w:t>
            </w:r>
            <w:r w:rsidR="007C0B3A" w:rsidRPr="00CD729C">
              <w:rPr>
                <w:color w:val="000000"/>
              </w:rPr>
              <w:t xml:space="preserve">: </w:t>
            </w:r>
            <w:r w:rsidRPr="00CD729C">
              <w:rPr>
                <w:color w:val="000000"/>
              </w:rPr>
              <w:t>VIENĪGI 1. dienā</w:t>
            </w:r>
          </w:p>
          <w:p w14:paraId="3D394724" w14:textId="77777777" w:rsidR="007C0B3A" w:rsidRPr="00CD729C" w:rsidRDefault="007C0B3A" w:rsidP="009B4BB6">
            <w:pPr>
              <w:pStyle w:val="EndnoteText"/>
              <w:keepNext/>
              <w:keepLines/>
              <w:widowControl w:val="0"/>
              <w:rPr>
                <w:color w:val="000000"/>
              </w:rPr>
            </w:pPr>
            <w:r w:rsidRPr="00CD729C">
              <w:rPr>
                <w:color w:val="000000"/>
              </w:rPr>
              <w:t>Tr</w:t>
            </w:r>
            <w:r w:rsidR="004B15B9" w:rsidRPr="00CD729C">
              <w:rPr>
                <w:color w:val="000000"/>
              </w:rPr>
              <w:t>īskārša</w:t>
            </w:r>
            <w:r w:rsidRPr="00CD729C">
              <w:rPr>
                <w:color w:val="000000"/>
              </w:rPr>
              <w:t xml:space="preserve"> </w:t>
            </w:r>
            <w:r w:rsidR="004B15B9" w:rsidRPr="00CD729C">
              <w:rPr>
                <w:color w:val="000000"/>
              </w:rPr>
              <w:t>terapija (pielāgojot pēc vecuma), lietojot IT</w:t>
            </w:r>
            <w:r w:rsidRPr="00CD729C">
              <w:rPr>
                <w:color w:val="000000"/>
              </w:rPr>
              <w:t xml:space="preserve">: </w:t>
            </w:r>
            <w:r w:rsidR="004B15B9" w:rsidRPr="00CD729C">
              <w:rPr>
                <w:color w:val="000000"/>
              </w:rPr>
              <w:t>8., 15. dienā</w:t>
            </w:r>
          </w:p>
        </w:tc>
      </w:tr>
      <w:tr w:rsidR="007C0B3A" w:rsidRPr="00CD729C" w14:paraId="3D39472D" w14:textId="77777777" w:rsidTr="00341FA1">
        <w:trPr>
          <w:cantSplit/>
        </w:trPr>
        <w:tc>
          <w:tcPr>
            <w:tcW w:w="2358" w:type="dxa"/>
            <w:shd w:val="clear" w:color="auto" w:fill="auto"/>
          </w:tcPr>
          <w:p w14:paraId="3D394726" w14:textId="77777777" w:rsidR="007C0B3A" w:rsidRPr="00CD729C" w:rsidRDefault="00500B2C" w:rsidP="009B4BB6">
            <w:pPr>
              <w:pStyle w:val="EndnoteText"/>
              <w:widowControl w:val="0"/>
              <w:rPr>
                <w:color w:val="000000"/>
              </w:rPr>
            </w:pPr>
            <w:r w:rsidRPr="00CD729C">
              <w:rPr>
                <w:color w:val="000000"/>
              </w:rPr>
              <w:t>Konsolidācijas terapija</w:t>
            </w:r>
            <w:r w:rsidR="007C0B3A" w:rsidRPr="00CD729C">
              <w:rPr>
                <w:color w:val="000000"/>
              </w:rPr>
              <w:t> 2</w:t>
            </w:r>
          </w:p>
          <w:p w14:paraId="3D394727" w14:textId="77777777" w:rsidR="007C0B3A" w:rsidRPr="00CD729C" w:rsidRDefault="007C0B3A" w:rsidP="009B4BB6">
            <w:pPr>
              <w:pStyle w:val="EndnoteText"/>
              <w:widowControl w:val="0"/>
              <w:rPr>
                <w:color w:val="000000"/>
              </w:rPr>
            </w:pPr>
            <w:r w:rsidRPr="00CD729C">
              <w:rPr>
                <w:color w:val="000000"/>
              </w:rPr>
              <w:t>(3 </w:t>
            </w:r>
            <w:r w:rsidR="00500B2C" w:rsidRPr="00CD729C">
              <w:rPr>
                <w:color w:val="000000"/>
              </w:rPr>
              <w:t>nedēļas</w:t>
            </w:r>
            <w:r w:rsidRPr="00CD729C">
              <w:rPr>
                <w:color w:val="000000"/>
              </w:rPr>
              <w:t>)</w:t>
            </w:r>
          </w:p>
        </w:tc>
        <w:tc>
          <w:tcPr>
            <w:tcW w:w="6929" w:type="dxa"/>
            <w:shd w:val="clear" w:color="auto" w:fill="auto"/>
          </w:tcPr>
          <w:p w14:paraId="3D394728" w14:textId="77777777" w:rsidR="007C0B3A" w:rsidRPr="00CD729C" w:rsidRDefault="00644418" w:rsidP="009B4BB6">
            <w:pPr>
              <w:pStyle w:val="EndnoteText"/>
              <w:widowControl w:val="0"/>
              <w:rPr>
                <w:color w:val="000000"/>
              </w:rPr>
            </w:pPr>
            <w:r w:rsidRPr="00CD729C">
              <w:rPr>
                <w:color w:val="000000"/>
              </w:rPr>
              <w:t xml:space="preserve">Metotreksāts </w:t>
            </w:r>
            <w:r w:rsidR="007C0B3A" w:rsidRPr="00CD729C">
              <w:rPr>
                <w:color w:val="000000"/>
              </w:rPr>
              <w:t>(5 g/m</w:t>
            </w:r>
            <w:r w:rsidR="007C0B3A" w:rsidRPr="00CD729C">
              <w:rPr>
                <w:color w:val="000000"/>
                <w:vertAlign w:val="superscript"/>
              </w:rPr>
              <w:t>2</w:t>
            </w:r>
            <w:r w:rsidR="007C0B3A" w:rsidRPr="00CD729C">
              <w:rPr>
                <w:color w:val="000000"/>
              </w:rPr>
              <w:t xml:space="preserve"> 24 </w:t>
            </w:r>
            <w:r w:rsidRPr="00CD729C">
              <w:rPr>
                <w:color w:val="000000"/>
              </w:rPr>
              <w:t>stundu laikā</w:t>
            </w:r>
            <w:r w:rsidR="007C0B3A" w:rsidRPr="00CD729C">
              <w:rPr>
                <w:color w:val="000000"/>
              </w:rPr>
              <w:t xml:space="preserve">, </w:t>
            </w:r>
            <w:r w:rsidRPr="00CD729C">
              <w:rPr>
                <w:color w:val="000000"/>
              </w:rPr>
              <w:t xml:space="preserve">lietojot </w:t>
            </w:r>
            <w:r w:rsidR="007C0B3A" w:rsidRPr="00CD729C">
              <w:rPr>
                <w:color w:val="000000"/>
              </w:rPr>
              <w:t>IV): 1</w:t>
            </w:r>
            <w:r w:rsidRPr="00CD729C">
              <w:rPr>
                <w:color w:val="000000"/>
              </w:rPr>
              <w:t>. dienā</w:t>
            </w:r>
          </w:p>
          <w:p w14:paraId="3D394729" w14:textId="77777777" w:rsidR="007C0B3A" w:rsidRPr="00CD729C" w:rsidRDefault="007C0B3A" w:rsidP="009B4BB6">
            <w:pPr>
              <w:pStyle w:val="EndnoteText"/>
              <w:widowControl w:val="0"/>
              <w:rPr>
                <w:color w:val="000000"/>
              </w:rPr>
            </w:pPr>
            <w:r w:rsidRPr="00CD729C">
              <w:rPr>
                <w:color w:val="000000"/>
              </w:rPr>
              <w:t>Le</w:t>
            </w:r>
            <w:r w:rsidR="00CB6614" w:rsidRPr="00CD729C">
              <w:rPr>
                <w:color w:val="000000"/>
              </w:rPr>
              <w:t>ik</w:t>
            </w:r>
            <w:r w:rsidRPr="00CD729C">
              <w:rPr>
                <w:color w:val="000000"/>
              </w:rPr>
              <w:t>ovor</w:t>
            </w:r>
            <w:r w:rsidR="00CB6614" w:rsidRPr="00CD729C">
              <w:rPr>
                <w:color w:val="000000"/>
              </w:rPr>
              <w:t>ī</w:t>
            </w:r>
            <w:r w:rsidRPr="00CD729C">
              <w:rPr>
                <w:color w:val="000000"/>
              </w:rPr>
              <w:t>n</w:t>
            </w:r>
            <w:r w:rsidR="00CB6614" w:rsidRPr="00CD729C">
              <w:rPr>
                <w:color w:val="000000"/>
              </w:rPr>
              <w:t>s</w:t>
            </w:r>
            <w:r w:rsidRPr="00CD729C">
              <w:rPr>
                <w:color w:val="000000"/>
              </w:rPr>
              <w:t xml:space="preserve"> (75 mg/m</w:t>
            </w:r>
            <w:r w:rsidRPr="00CD729C">
              <w:rPr>
                <w:color w:val="000000"/>
                <w:vertAlign w:val="superscript"/>
              </w:rPr>
              <w:t>2</w:t>
            </w:r>
            <w:r w:rsidRPr="00CD729C">
              <w:rPr>
                <w:color w:val="000000"/>
              </w:rPr>
              <w:t xml:space="preserve"> 36</w:t>
            </w:r>
            <w:r w:rsidR="00B03062" w:rsidRPr="00CD729C">
              <w:rPr>
                <w:color w:val="000000"/>
              </w:rPr>
              <w:t>.</w:t>
            </w:r>
            <w:r w:rsidR="00CB6614" w:rsidRPr="00CD729C">
              <w:rPr>
                <w:color w:val="000000"/>
              </w:rPr>
              <w:t> stundā</w:t>
            </w:r>
            <w:r w:rsidRPr="00CD729C">
              <w:rPr>
                <w:color w:val="000000"/>
              </w:rPr>
              <w:t xml:space="preserve">, </w:t>
            </w:r>
            <w:r w:rsidR="00CB6614" w:rsidRPr="00CD729C">
              <w:rPr>
                <w:color w:val="000000"/>
              </w:rPr>
              <w:t xml:space="preserve">lietojot </w:t>
            </w:r>
            <w:r w:rsidRPr="00CD729C">
              <w:rPr>
                <w:color w:val="000000"/>
              </w:rPr>
              <w:t>IV; 15 mg/m</w:t>
            </w:r>
            <w:r w:rsidRPr="00CD729C">
              <w:rPr>
                <w:color w:val="000000"/>
                <w:vertAlign w:val="superscript"/>
              </w:rPr>
              <w:t>2</w:t>
            </w:r>
            <w:r w:rsidR="00CB6614" w:rsidRPr="00CD729C">
              <w:rPr>
                <w:color w:val="000000"/>
              </w:rPr>
              <w:t>,</w:t>
            </w:r>
            <w:r w:rsidRPr="00CD729C">
              <w:rPr>
                <w:color w:val="000000"/>
              </w:rPr>
              <w:t xml:space="preserve"> </w:t>
            </w:r>
            <w:r w:rsidR="00CB6614" w:rsidRPr="00CD729C">
              <w:rPr>
                <w:color w:val="000000"/>
              </w:rPr>
              <w:t xml:space="preserve">lietojot </w:t>
            </w:r>
            <w:r w:rsidRPr="00CD729C">
              <w:rPr>
                <w:color w:val="000000"/>
              </w:rPr>
              <w:t xml:space="preserve">IV </w:t>
            </w:r>
            <w:r w:rsidR="00CB6614" w:rsidRPr="00CD729C">
              <w:rPr>
                <w:color w:val="000000"/>
              </w:rPr>
              <w:t>vai</w:t>
            </w:r>
            <w:r w:rsidRPr="00CD729C">
              <w:rPr>
                <w:color w:val="000000"/>
              </w:rPr>
              <w:t xml:space="preserve"> PO q6h x 6 d</w:t>
            </w:r>
            <w:r w:rsidR="00CB6614" w:rsidRPr="00CD729C">
              <w:rPr>
                <w:color w:val="000000"/>
              </w:rPr>
              <w:t>evas</w:t>
            </w:r>
            <w:r w:rsidRPr="00CD729C">
              <w:rPr>
                <w:color w:val="000000"/>
              </w:rPr>
              <w:t>)</w:t>
            </w:r>
            <w:r w:rsidR="00D3700E" w:rsidRPr="00CD729C">
              <w:rPr>
                <w:color w:val="000000"/>
              </w:rPr>
              <w:t xml:space="preserve"> </w:t>
            </w:r>
            <w:r w:rsidRPr="00CD729C">
              <w:rPr>
                <w:color w:val="000000"/>
              </w:rPr>
              <w:t xml:space="preserve">iii: </w:t>
            </w:r>
            <w:r w:rsidR="00CB6614" w:rsidRPr="00CD729C">
              <w:rPr>
                <w:color w:val="000000"/>
              </w:rPr>
              <w:t>2. un 3. dienā</w:t>
            </w:r>
          </w:p>
          <w:p w14:paraId="3D39472A" w14:textId="77777777" w:rsidR="007C0B3A" w:rsidRPr="00CD729C" w:rsidRDefault="00CB6614" w:rsidP="009B4BB6">
            <w:pPr>
              <w:pStyle w:val="EndnoteText"/>
              <w:widowControl w:val="0"/>
              <w:rPr>
                <w:color w:val="000000"/>
              </w:rPr>
            </w:pPr>
            <w:r w:rsidRPr="00CD729C">
              <w:rPr>
                <w:color w:val="000000"/>
              </w:rPr>
              <w:t>Trīskārša terapija (pielāgojot pēc vecuma), lietojot IT</w:t>
            </w:r>
            <w:r w:rsidR="007C0B3A" w:rsidRPr="00CD729C">
              <w:rPr>
                <w:color w:val="000000"/>
              </w:rPr>
              <w:t xml:space="preserve">: </w:t>
            </w:r>
            <w:r w:rsidRPr="00CD729C">
              <w:rPr>
                <w:color w:val="000000"/>
              </w:rPr>
              <w:t>1. dienā</w:t>
            </w:r>
          </w:p>
          <w:p w14:paraId="3D39472B" w14:textId="77777777" w:rsidR="007C0B3A" w:rsidRPr="00CD729C" w:rsidRDefault="007C0B3A" w:rsidP="009B4BB6">
            <w:pPr>
              <w:pStyle w:val="EndnoteText"/>
              <w:widowControl w:val="0"/>
              <w:rPr>
                <w:color w:val="000000"/>
              </w:rPr>
            </w:pPr>
            <w:r w:rsidRPr="00CD729C">
              <w:rPr>
                <w:color w:val="000000"/>
              </w:rPr>
              <w:t>ARA-C (3 g/m</w:t>
            </w:r>
            <w:r w:rsidRPr="00CD729C">
              <w:rPr>
                <w:color w:val="000000"/>
                <w:vertAlign w:val="superscript"/>
              </w:rPr>
              <w:t>2</w:t>
            </w:r>
            <w:r w:rsidRPr="00CD729C">
              <w:rPr>
                <w:color w:val="000000"/>
              </w:rPr>
              <w:t>/</w:t>
            </w:r>
            <w:r w:rsidR="00CB6614" w:rsidRPr="00CD729C">
              <w:rPr>
                <w:color w:val="000000"/>
              </w:rPr>
              <w:t>deva</w:t>
            </w:r>
            <w:r w:rsidRPr="00CD729C">
              <w:rPr>
                <w:color w:val="000000"/>
              </w:rPr>
              <w:t xml:space="preserve"> q 12 h x 4, </w:t>
            </w:r>
            <w:r w:rsidR="00CB6614" w:rsidRPr="00CD729C">
              <w:rPr>
                <w:color w:val="000000"/>
              </w:rPr>
              <w:t xml:space="preserve">lietojot </w:t>
            </w:r>
            <w:r w:rsidRPr="00CD729C">
              <w:rPr>
                <w:color w:val="000000"/>
              </w:rPr>
              <w:t xml:space="preserve">IV): </w:t>
            </w:r>
            <w:r w:rsidR="00CB6614" w:rsidRPr="00CD729C">
              <w:rPr>
                <w:color w:val="000000"/>
              </w:rPr>
              <w:t>2. un 3. dienā</w:t>
            </w:r>
          </w:p>
          <w:p w14:paraId="3D39472C" w14:textId="77777777" w:rsidR="007C0B3A" w:rsidRPr="00CD729C" w:rsidRDefault="007C0B3A" w:rsidP="009B4BB6">
            <w:pPr>
              <w:pStyle w:val="EndnoteText"/>
              <w:widowControl w:val="0"/>
              <w:rPr>
                <w:color w:val="000000"/>
              </w:rPr>
            </w:pPr>
            <w:r w:rsidRPr="00CD729C">
              <w:rPr>
                <w:color w:val="000000"/>
              </w:rPr>
              <w:t xml:space="preserve">G-CSF (5 μg/kg, </w:t>
            </w:r>
            <w:r w:rsidR="00CB6614" w:rsidRPr="00CD729C">
              <w:rPr>
                <w:color w:val="000000"/>
              </w:rPr>
              <w:t xml:space="preserve">lietojot </w:t>
            </w:r>
            <w:r w:rsidRPr="00CD729C">
              <w:rPr>
                <w:color w:val="000000"/>
              </w:rPr>
              <w:t xml:space="preserve">SC): </w:t>
            </w:r>
            <w:r w:rsidR="00CB6614" w:rsidRPr="00CD729C">
              <w:rPr>
                <w:color w:val="000000"/>
              </w:rPr>
              <w:t>4. </w:t>
            </w:r>
            <w:r w:rsidR="00D7130B" w:rsidRPr="00CD729C">
              <w:rPr>
                <w:color w:val="000000"/>
              </w:rPr>
              <w:noBreakHyphen/>
            </w:r>
            <w:r w:rsidR="00CB6614" w:rsidRPr="00CD729C">
              <w:rPr>
                <w:color w:val="000000"/>
              </w:rPr>
              <w:t>13. </w:t>
            </w:r>
            <w:r w:rsidRPr="00CD729C">
              <w:rPr>
                <w:color w:val="000000"/>
              </w:rPr>
              <w:t>d</w:t>
            </w:r>
            <w:r w:rsidR="00CB6614" w:rsidRPr="00CD729C">
              <w:rPr>
                <w:color w:val="000000"/>
              </w:rPr>
              <w:t>ienā vai</w:t>
            </w:r>
            <w:r w:rsidRPr="00CD729C">
              <w:rPr>
                <w:color w:val="000000"/>
              </w:rPr>
              <w:t xml:space="preserve"> </w:t>
            </w:r>
            <w:r w:rsidR="00CB6614" w:rsidRPr="00CD729C">
              <w:rPr>
                <w:color w:val="000000"/>
              </w:rPr>
              <w:t>līdz</w:t>
            </w:r>
            <w:r w:rsidRPr="00CD729C">
              <w:rPr>
                <w:color w:val="000000"/>
              </w:rPr>
              <w:t xml:space="preserve"> ANC &gt;1</w:t>
            </w:r>
            <w:r w:rsidR="00E53127" w:rsidRPr="00CD729C">
              <w:rPr>
                <w:color w:val="000000"/>
              </w:rPr>
              <w:t> </w:t>
            </w:r>
            <w:r w:rsidRPr="00CD729C">
              <w:rPr>
                <w:color w:val="000000"/>
              </w:rPr>
              <w:t xml:space="preserve">500 </w:t>
            </w:r>
            <w:r w:rsidR="00CB6614" w:rsidRPr="00CD729C">
              <w:rPr>
                <w:color w:val="000000"/>
              </w:rPr>
              <w:t>pēc zemākā rādītāja</w:t>
            </w:r>
          </w:p>
        </w:tc>
      </w:tr>
      <w:tr w:rsidR="007C0B3A" w:rsidRPr="00CD729C" w14:paraId="3D394737" w14:textId="77777777" w:rsidTr="00341FA1">
        <w:trPr>
          <w:cantSplit/>
        </w:trPr>
        <w:tc>
          <w:tcPr>
            <w:tcW w:w="2358" w:type="dxa"/>
            <w:shd w:val="clear" w:color="auto" w:fill="auto"/>
          </w:tcPr>
          <w:p w14:paraId="3D39472E" w14:textId="77777777" w:rsidR="007C0B3A" w:rsidRPr="00CD729C" w:rsidRDefault="00500B2C" w:rsidP="009B4BB6">
            <w:pPr>
              <w:pStyle w:val="EndnoteText"/>
              <w:widowControl w:val="0"/>
              <w:rPr>
                <w:color w:val="000000"/>
              </w:rPr>
            </w:pPr>
            <w:r w:rsidRPr="00CD729C">
              <w:rPr>
                <w:color w:val="000000"/>
              </w:rPr>
              <w:t>Atkārtotas indukcijas terapija</w:t>
            </w:r>
            <w:r w:rsidR="007C0B3A" w:rsidRPr="00CD729C">
              <w:rPr>
                <w:color w:val="000000"/>
              </w:rPr>
              <w:t> 1</w:t>
            </w:r>
          </w:p>
          <w:p w14:paraId="3D39472F" w14:textId="77777777" w:rsidR="007C0B3A" w:rsidRPr="00CD729C" w:rsidRDefault="007C0B3A" w:rsidP="009B4BB6">
            <w:pPr>
              <w:pStyle w:val="EndnoteText"/>
              <w:widowControl w:val="0"/>
              <w:rPr>
                <w:color w:val="000000"/>
              </w:rPr>
            </w:pPr>
            <w:r w:rsidRPr="00CD729C">
              <w:rPr>
                <w:color w:val="000000"/>
              </w:rPr>
              <w:t>(3 </w:t>
            </w:r>
            <w:r w:rsidR="00500B2C" w:rsidRPr="00CD729C">
              <w:rPr>
                <w:color w:val="000000"/>
              </w:rPr>
              <w:t>nedēļas</w:t>
            </w:r>
            <w:r w:rsidRPr="00CD729C">
              <w:rPr>
                <w:color w:val="000000"/>
              </w:rPr>
              <w:t>)</w:t>
            </w:r>
          </w:p>
        </w:tc>
        <w:tc>
          <w:tcPr>
            <w:tcW w:w="6929" w:type="dxa"/>
            <w:shd w:val="clear" w:color="auto" w:fill="auto"/>
          </w:tcPr>
          <w:p w14:paraId="3D394730" w14:textId="77777777" w:rsidR="007C0B3A" w:rsidRPr="00CD729C" w:rsidRDefault="007C0B3A" w:rsidP="009B4BB6">
            <w:pPr>
              <w:pStyle w:val="EndnoteText"/>
              <w:widowControl w:val="0"/>
              <w:rPr>
                <w:color w:val="000000"/>
              </w:rPr>
            </w:pPr>
            <w:r w:rsidRPr="00CD729C">
              <w:rPr>
                <w:color w:val="000000"/>
              </w:rPr>
              <w:t>VCR (1</w:t>
            </w:r>
            <w:r w:rsidR="00E53127" w:rsidRPr="00CD729C">
              <w:rPr>
                <w:color w:val="000000"/>
              </w:rPr>
              <w:t>,</w:t>
            </w:r>
            <w:r w:rsidRPr="00CD729C">
              <w:rPr>
                <w:color w:val="000000"/>
              </w:rPr>
              <w:t>5 mg/m</w:t>
            </w:r>
            <w:r w:rsidRPr="00CD729C">
              <w:rPr>
                <w:color w:val="000000"/>
                <w:vertAlign w:val="superscript"/>
              </w:rPr>
              <w:t>2</w:t>
            </w:r>
            <w:r w:rsidRPr="00CD729C">
              <w:rPr>
                <w:color w:val="000000"/>
              </w:rPr>
              <w:t>/</w:t>
            </w:r>
            <w:r w:rsidR="00E53127" w:rsidRPr="00CD729C">
              <w:rPr>
                <w:color w:val="000000"/>
              </w:rPr>
              <w:t>dienā</w:t>
            </w:r>
            <w:r w:rsidRPr="00CD729C">
              <w:rPr>
                <w:color w:val="000000"/>
              </w:rPr>
              <w:t>, IV): 1</w:t>
            </w:r>
            <w:r w:rsidR="00E53127" w:rsidRPr="00CD729C">
              <w:rPr>
                <w:color w:val="000000"/>
              </w:rPr>
              <w:t>.</w:t>
            </w:r>
            <w:r w:rsidRPr="00CD729C">
              <w:rPr>
                <w:color w:val="000000"/>
              </w:rPr>
              <w:t>, 8</w:t>
            </w:r>
            <w:r w:rsidR="00E53127" w:rsidRPr="00CD729C">
              <w:rPr>
                <w:color w:val="000000"/>
              </w:rPr>
              <w:t>.</w:t>
            </w:r>
            <w:r w:rsidRPr="00CD729C">
              <w:rPr>
                <w:color w:val="000000"/>
              </w:rPr>
              <w:t xml:space="preserve">, </w:t>
            </w:r>
            <w:r w:rsidR="00E53127" w:rsidRPr="00CD729C">
              <w:rPr>
                <w:color w:val="000000"/>
              </w:rPr>
              <w:t>un</w:t>
            </w:r>
            <w:r w:rsidRPr="00CD729C">
              <w:rPr>
                <w:color w:val="000000"/>
              </w:rPr>
              <w:t xml:space="preserve"> 15</w:t>
            </w:r>
            <w:r w:rsidR="00E53127" w:rsidRPr="00CD729C">
              <w:rPr>
                <w:color w:val="000000"/>
              </w:rPr>
              <w:t>. dienā</w:t>
            </w:r>
          </w:p>
          <w:p w14:paraId="3D394731" w14:textId="77777777" w:rsidR="007C0B3A" w:rsidRPr="00CD729C" w:rsidRDefault="007C0B3A" w:rsidP="009B4BB6">
            <w:pPr>
              <w:pStyle w:val="EndnoteText"/>
              <w:widowControl w:val="0"/>
              <w:rPr>
                <w:color w:val="000000"/>
              </w:rPr>
            </w:pPr>
            <w:r w:rsidRPr="00CD729C">
              <w:rPr>
                <w:color w:val="000000"/>
              </w:rPr>
              <w:t>DAUN (45 mg/m</w:t>
            </w:r>
            <w:r w:rsidRPr="00CD729C">
              <w:rPr>
                <w:color w:val="000000"/>
                <w:vertAlign w:val="superscript"/>
              </w:rPr>
              <w:t>2</w:t>
            </w:r>
            <w:r w:rsidRPr="00CD729C">
              <w:rPr>
                <w:color w:val="000000"/>
              </w:rPr>
              <w:t>/</w:t>
            </w:r>
            <w:r w:rsidR="00E53127" w:rsidRPr="00CD729C">
              <w:rPr>
                <w:color w:val="000000"/>
              </w:rPr>
              <w:t xml:space="preserve">dienā </w:t>
            </w:r>
            <w:r w:rsidRPr="00CD729C">
              <w:rPr>
                <w:i/>
                <w:color w:val="000000"/>
              </w:rPr>
              <w:t>bolus</w:t>
            </w:r>
            <w:r w:rsidRPr="00CD729C">
              <w:rPr>
                <w:color w:val="000000"/>
              </w:rPr>
              <w:t>, IV): 1</w:t>
            </w:r>
            <w:r w:rsidR="00E53127" w:rsidRPr="00CD729C">
              <w:rPr>
                <w:color w:val="000000"/>
              </w:rPr>
              <w:t>. un</w:t>
            </w:r>
            <w:r w:rsidRPr="00CD729C">
              <w:rPr>
                <w:color w:val="000000"/>
              </w:rPr>
              <w:t xml:space="preserve"> 2</w:t>
            </w:r>
            <w:r w:rsidR="00E53127" w:rsidRPr="00CD729C">
              <w:rPr>
                <w:color w:val="000000"/>
              </w:rPr>
              <w:t>. dienā</w:t>
            </w:r>
          </w:p>
          <w:p w14:paraId="3D394732" w14:textId="77777777" w:rsidR="007C0B3A" w:rsidRPr="00CD729C" w:rsidRDefault="007C0B3A" w:rsidP="009B4BB6">
            <w:pPr>
              <w:pStyle w:val="EndnoteText"/>
              <w:widowControl w:val="0"/>
              <w:rPr>
                <w:color w:val="000000"/>
              </w:rPr>
            </w:pPr>
            <w:r w:rsidRPr="00CD729C">
              <w:rPr>
                <w:color w:val="000000"/>
              </w:rPr>
              <w:t>CPM (250 mg/m</w:t>
            </w:r>
            <w:r w:rsidRPr="00CD729C">
              <w:rPr>
                <w:color w:val="000000"/>
                <w:vertAlign w:val="superscript"/>
              </w:rPr>
              <w:t>2</w:t>
            </w:r>
            <w:r w:rsidRPr="00CD729C">
              <w:rPr>
                <w:color w:val="000000"/>
              </w:rPr>
              <w:t>/</w:t>
            </w:r>
            <w:r w:rsidR="00E53127" w:rsidRPr="00CD729C">
              <w:rPr>
                <w:color w:val="000000"/>
              </w:rPr>
              <w:t xml:space="preserve">dienā </w:t>
            </w:r>
            <w:r w:rsidRPr="00CD729C">
              <w:rPr>
                <w:color w:val="000000"/>
              </w:rPr>
              <w:t>q12h x 4 d</w:t>
            </w:r>
            <w:r w:rsidR="00D3700E" w:rsidRPr="00CD729C">
              <w:rPr>
                <w:color w:val="000000"/>
              </w:rPr>
              <w:t>eva</w:t>
            </w:r>
            <w:r w:rsidRPr="00CD729C">
              <w:rPr>
                <w:color w:val="000000"/>
              </w:rPr>
              <w:t>s, IV): 3</w:t>
            </w:r>
            <w:r w:rsidR="00E53127" w:rsidRPr="00CD729C">
              <w:rPr>
                <w:color w:val="000000"/>
              </w:rPr>
              <w:t>. un</w:t>
            </w:r>
            <w:r w:rsidRPr="00CD729C">
              <w:rPr>
                <w:color w:val="000000"/>
              </w:rPr>
              <w:t xml:space="preserve"> 4</w:t>
            </w:r>
            <w:r w:rsidR="00E53127" w:rsidRPr="00CD729C">
              <w:rPr>
                <w:color w:val="000000"/>
              </w:rPr>
              <w:t>. dienā</w:t>
            </w:r>
          </w:p>
          <w:p w14:paraId="3D394733" w14:textId="77777777" w:rsidR="007C0B3A" w:rsidRPr="00CD729C" w:rsidRDefault="007C0B3A" w:rsidP="009B4BB6">
            <w:pPr>
              <w:pStyle w:val="EndnoteText"/>
              <w:widowControl w:val="0"/>
              <w:rPr>
                <w:color w:val="000000"/>
              </w:rPr>
            </w:pPr>
            <w:r w:rsidRPr="00CD729C">
              <w:rPr>
                <w:color w:val="000000"/>
              </w:rPr>
              <w:t>PEG-ASP (2</w:t>
            </w:r>
            <w:r w:rsidR="00E53127" w:rsidRPr="00CD729C">
              <w:rPr>
                <w:color w:val="000000"/>
              </w:rPr>
              <w:t> </w:t>
            </w:r>
            <w:r w:rsidRPr="00CD729C">
              <w:rPr>
                <w:color w:val="000000"/>
              </w:rPr>
              <w:t>500 </w:t>
            </w:r>
            <w:r w:rsidR="00E53127" w:rsidRPr="00CD729C">
              <w:rPr>
                <w:color w:val="000000"/>
              </w:rPr>
              <w:t>SV</w:t>
            </w:r>
            <w:r w:rsidRPr="00CD729C">
              <w:rPr>
                <w:color w:val="000000"/>
              </w:rPr>
              <w:t>/m</w:t>
            </w:r>
            <w:r w:rsidRPr="00CD729C">
              <w:rPr>
                <w:color w:val="000000"/>
                <w:vertAlign w:val="superscript"/>
              </w:rPr>
              <w:t>2</w:t>
            </w:r>
            <w:r w:rsidRPr="00CD729C">
              <w:rPr>
                <w:color w:val="000000"/>
              </w:rPr>
              <w:t xml:space="preserve">, </w:t>
            </w:r>
            <w:r w:rsidR="00E53127" w:rsidRPr="00CD729C">
              <w:rPr>
                <w:color w:val="000000"/>
              </w:rPr>
              <w:t xml:space="preserve">lietojot </w:t>
            </w:r>
            <w:r w:rsidRPr="00CD729C">
              <w:rPr>
                <w:color w:val="000000"/>
              </w:rPr>
              <w:t>IM): 4</w:t>
            </w:r>
            <w:r w:rsidR="00E53127" w:rsidRPr="00CD729C">
              <w:rPr>
                <w:color w:val="000000"/>
              </w:rPr>
              <w:t>. dienā</w:t>
            </w:r>
          </w:p>
          <w:p w14:paraId="3D394734" w14:textId="77777777" w:rsidR="007C0B3A" w:rsidRPr="00CD729C" w:rsidRDefault="007C0B3A" w:rsidP="009B4BB6">
            <w:pPr>
              <w:pStyle w:val="EndnoteText"/>
              <w:widowControl w:val="0"/>
              <w:rPr>
                <w:color w:val="000000"/>
              </w:rPr>
            </w:pPr>
            <w:r w:rsidRPr="00CD729C">
              <w:rPr>
                <w:color w:val="000000"/>
              </w:rPr>
              <w:t>G-CSF (5 μg/kg, SC): 5</w:t>
            </w:r>
            <w:r w:rsidR="00E53127" w:rsidRPr="00CD729C">
              <w:rPr>
                <w:color w:val="000000"/>
              </w:rPr>
              <w:t>.</w:t>
            </w:r>
            <w:r w:rsidRPr="00CD729C">
              <w:rPr>
                <w:color w:val="000000"/>
              </w:rPr>
              <w:noBreakHyphen/>
              <w:t>14</w:t>
            </w:r>
            <w:r w:rsidR="00E53127" w:rsidRPr="00CD729C">
              <w:rPr>
                <w:color w:val="000000"/>
              </w:rPr>
              <w:t>. dienā</w:t>
            </w:r>
            <w:r w:rsidRPr="00CD729C">
              <w:rPr>
                <w:color w:val="000000"/>
              </w:rPr>
              <w:t xml:space="preserve"> </w:t>
            </w:r>
            <w:r w:rsidR="00E53127" w:rsidRPr="00CD729C">
              <w:rPr>
                <w:color w:val="000000"/>
              </w:rPr>
              <w:t>vai līdz</w:t>
            </w:r>
            <w:r w:rsidRPr="00CD729C">
              <w:rPr>
                <w:color w:val="000000"/>
              </w:rPr>
              <w:t xml:space="preserve"> ANC &gt;1</w:t>
            </w:r>
            <w:r w:rsidR="00E53127" w:rsidRPr="00CD729C">
              <w:rPr>
                <w:color w:val="000000"/>
              </w:rPr>
              <w:t> </w:t>
            </w:r>
            <w:r w:rsidRPr="00CD729C">
              <w:rPr>
                <w:color w:val="000000"/>
              </w:rPr>
              <w:t xml:space="preserve">500 </w:t>
            </w:r>
            <w:r w:rsidR="00E53127" w:rsidRPr="00CD729C">
              <w:rPr>
                <w:color w:val="000000"/>
              </w:rPr>
              <w:t>pēc zemākā rādītāja</w:t>
            </w:r>
          </w:p>
          <w:p w14:paraId="3D394735" w14:textId="77777777" w:rsidR="007C0B3A" w:rsidRPr="00CD729C" w:rsidRDefault="00E53127" w:rsidP="009B4BB6">
            <w:pPr>
              <w:pStyle w:val="EndnoteText"/>
              <w:widowControl w:val="0"/>
              <w:rPr>
                <w:color w:val="000000"/>
              </w:rPr>
            </w:pPr>
            <w:r w:rsidRPr="00CD729C">
              <w:rPr>
                <w:color w:val="000000"/>
              </w:rPr>
              <w:t>Trīskārša terapija (pielāgojot pēc vecuma), lietojot IT</w:t>
            </w:r>
            <w:r w:rsidR="007C0B3A" w:rsidRPr="00CD729C">
              <w:rPr>
                <w:color w:val="000000"/>
              </w:rPr>
              <w:t xml:space="preserve">: </w:t>
            </w:r>
            <w:r w:rsidRPr="00CD729C">
              <w:rPr>
                <w:color w:val="000000"/>
              </w:rPr>
              <w:t>1. un</w:t>
            </w:r>
            <w:r w:rsidR="007C0B3A" w:rsidRPr="00CD729C">
              <w:rPr>
                <w:color w:val="000000"/>
              </w:rPr>
              <w:t xml:space="preserve"> 15</w:t>
            </w:r>
            <w:r w:rsidRPr="00CD729C">
              <w:rPr>
                <w:color w:val="000000"/>
              </w:rPr>
              <w:t>. dienā</w:t>
            </w:r>
          </w:p>
          <w:p w14:paraId="3D394736" w14:textId="77777777" w:rsidR="007C0B3A" w:rsidRPr="00CD729C" w:rsidRDefault="007C0B3A" w:rsidP="009B4BB6">
            <w:pPr>
              <w:pStyle w:val="EndnoteText"/>
              <w:widowControl w:val="0"/>
              <w:rPr>
                <w:color w:val="000000"/>
              </w:rPr>
            </w:pPr>
            <w:r w:rsidRPr="00CD729C">
              <w:rPr>
                <w:color w:val="000000"/>
              </w:rPr>
              <w:t>DEX (6 mg/m</w:t>
            </w:r>
            <w:r w:rsidRPr="00CD729C">
              <w:rPr>
                <w:color w:val="000000"/>
                <w:vertAlign w:val="superscript"/>
              </w:rPr>
              <w:t>2</w:t>
            </w:r>
            <w:r w:rsidRPr="00CD729C">
              <w:rPr>
                <w:color w:val="000000"/>
              </w:rPr>
              <w:t>/</w:t>
            </w:r>
            <w:r w:rsidR="00E53127" w:rsidRPr="00CD729C">
              <w:rPr>
                <w:color w:val="000000"/>
              </w:rPr>
              <w:t>dienā</w:t>
            </w:r>
            <w:r w:rsidRPr="00CD729C">
              <w:rPr>
                <w:color w:val="000000"/>
              </w:rPr>
              <w:t xml:space="preserve">, </w:t>
            </w:r>
            <w:r w:rsidR="00E53127" w:rsidRPr="00CD729C">
              <w:rPr>
                <w:color w:val="000000"/>
              </w:rPr>
              <w:t xml:space="preserve">lietojot </w:t>
            </w:r>
            <w:r w:rsidRPr="00CD729C">
              <w:rPr>
                <w:color w:val="000000"/>
              </w:rPr>
              <w:t>PO): 1</w:t>
            </w:r>
            <w:r w:rsidR="00E53127" w:rsidRPr="00CD729C">
              <w:rPr>
                <w:color w:val="000000"/>
              </w:rPr>
              <w:t>.</w:t>
            </w:r>
            <w:r w:rsidRPr="00CD729C">
              <w:rPr>
                <w:color w:val="000000"/>
              </w:rPr>
              <w:noBreakHyphen/>
              <w:t>7</w:t>
            </w:r>
            <w:r w:rsidR="00E53127" w:rsidRPr="00CD729C">
              <w:rPr>
                <w:color w:val="000000"/>
              </w:rPr>
              <w:t>. dienā</w:t>
            </w:r>
            <w:r w:rsidRPr="00CD729C">
              <w:rPr>
                <w:color w:val="000000"/>
              </w:rPr>
              <w:t xml:space="preserve"> </w:t>
            </w:r>
            <w:r w:rsidR="00E53127" w:rsidRPr="00CD729C">
              <w:rPr>
                <w:color w:val="000000"/>
              </w:rPr>
              <w:t>un</w:t>
            </w:r>
            <w:r w:rsidRPr="00CD729C">
              <w:rPr>
                <w:color w:val="000000"/>
              </w:rPr>
              <w:t xml:space="preserve"> 15</w:t>
            </w:r>
            <w:r w:rsidR="00E53127" w:rsidRPr="00CD729C">
              <w:rPr>
                <w:color w:val="000000"/>
              </w:rPr>
              <w:t>.</w:t>
            </w:r>
            <w:r w:rsidRPr="00CD729C">
              <w:rPr>
                <w:color w:val="000000"/>
              </w:rPr>
              <w:noBreakHyphen/>
              <w:t>21</w:t>
            </w:r>
            <w:r w:rsidR="00E53127" w:rsidRPr="00CD729C">
              <w:rPr>
                <w:color w:val="000000"/>
              </w:rPr>
              <w:t>. dienā</w:t>
            </w:r>
          </w:p>
        </w:tc>
      </w:tr>
      <w:tr w:rsidR="007C0B3A" w:rsidRPr="00CD729C" w14:paraId="3D394743" w14:textId="77777777" w:rsidTr="00341FA1">
        <w:trPr>
          <w:cantSplit/>
        </w:trPr>
        <w:tc>
          <w:tcPr>
            <w:tcW w:w="2358" w:type="dxa"/>
            <w:shd w:val="clear" w:color="auto" w:fill="auto"/>
          </w:tcPr>
          <w:p w14:paraId="3D394738" w14:textId="77777777" w:rsidR="007C0B3A" w:rsidRPr="00CD729C" w:rsidRDefault="007C0B3A" w:rsidP="009B4BB6">
            <w:pPr>
              <w:pStyle w:val="EndnoteText"/>
              <w:widowControl w:val="0"/>
              <w:rPr>
                <w:color w:val="000000"/>
              </w:rPr>
            </w:pPr>
            <w:r w:rsidRPr="00CD729C">
              <w:rPr>
                <w:color w:val="000000"/>
              </w:rPr>
              <w:lastRenderedPageBreak/>
              <w:t>Intensifi</w:t>
            </w:r>
            <w:r w:rsidR="0084621F" w:rsidRPr="00CD729C">
              <w:rPr>
                <w:color w:val="000000"/>
              </w:rPr>
              <w:t>kāc</w:t>
            </w:r>
            <w:r w:rsidRPr="00CD729C">
              <w:rPr>
                <w:color w:val="000000"/>
              </w:rPr>
              <w:t>i</w:t>
            </w:r>
            <w:r w:rsidR="0084621F" w:rsidRPr="00CD729C">
              <w:rPr>
                <w:color w:val="000000"/>
              </w:rPr>
              <w:t>jas</w:t>
            </w:r>
            <w:r w:rsidRPr="00CD729C">
              <w:rPr>
                <w:color w:val="000000"/>
              </w:rPr>
              <w:t xml:space="preserve"> </w:t>
            </w:r>
            <w:r w:rsidR="0084621F" w:rsidRPr="00CD729C">
              <w:rPr>
                <w:color w:val="000000"/>
              </w:rPr>
              <w:t>terapija </w:t>
            </w:r>
            <w:r w:rsidRPr="00CD729C">
              <w:rPr>
                <w:color w:val="000000"/>
              </w:rPr>
              <w:t>1</w:t>
            </w:r>
          </w:p>
          <w:p w14:paraId="3D394739" w14:textId="77777777" w:rsidR="007C0B3A" w:rsidRPr="00CD729C" w:rsidRDefault="007C0B3A" w:rsidP="009B4BB6">
            <w:pPr>
              <w:pStyle w:val="EndnoteText"/>
              <w:widowControl w:val="0"/>
              <w:rPr>
                <w:color w:val="000000"/>
              </w:rPr>
            </w:pPr>
            <w:r w:rsidRPr="00CD729C">
              <w:rPr>
                <w:color w:val="000000"/>
              </w:rPr>
              <w:t>(9 </w:t>
            </w:r>
            <w:r w:rsidR="00500B2C" w:rsidRPr="00CD729C">
              <w:rPr>
                <w:color w:val="000000"/>
              </w:rPr>
              <w:t>nedēļas</w:t>
            </w:r>
            <w:r w:rsidRPr="00CD729C">
              <w:rPr>
                <w:color w:val="000000"/>
              </w:rPr>
              <w:t>)</w:t>
            </w:r>
          </w:p>
        </w:tc>
        <w:tc>
          <w:tcPr>
            <w:tcW w:w="6929" w:type="dxa"/>
            <w:shd w:val="clear" w:color="auto" w:fill="auto"/>
          </w:tcPr>
          <w:p w14:paraId="3D39473A" w14:textId="77777777" w:rsidR="007C0B3A" w:rsidRPr="00CD729C" w:rsidRDefault="00FC00A5" w:rsidP="009B4BB6">
            <w:pPr>
              <w:pStyle w:val="EndnoteText"/>
              <w:widowControl w:val="0"/>
              <w:rPr>
                <w:color w:val="000000"/>
              </w:rPr>
            </w:pPr>
            <w:r w:rsidRPr="00CD729C">
              <w:rPr>
                <w:color w:val="000000"/>
              </w:rPr>
              <w:t xml:space="preserve">Metotreksāts </w:t>
            </w:r>
            <w:r w:rsidR="007C0B3A" w:rsidRPr="00CD729C">
              <w:rPr>
                <w:color w:val="000000"/>
              </w:rPr>
              <w:t>(5 g/m</w:t>
            </w:r>
            <w:r w:rsidR="007C0B3A" w:rsidRPr="00CD729C">
              <w:rPr>
                <w:color w:val="000000"/>
                <w:vertAlign w:val="superscript"/>
              </w:rPr>
              <w:t>2</w:t>
            </w:r>
            <w:r w:rsidR="007C0B3A" w:rsidRPr="00CD729C">
              <w:rPr>
                <w:color w:val="000000"/>
              </w:rPr>
              <w:t xml:space="preserve"> </w:t>
            </w:r>
            <w:r w:rsidRPr="00CD729C">
              <w:rPr>
                <w:color w:val="000000"/>
              </w:rPr>
              <w:t xml:space="preserve">24 stundu laikā, lietojot </w:t>
            </w:r>
            <w:r w:rsidR="007C0B3A" w:rsidRPr="00CD729C">
              <w:rPr>
                <w:color w:val="000000"/>
              </w:rPr>
              <w:t xml:space="preserve">IV): </w:t>
            </w:r>
            <w:r w:rsidRPr="00CD729C">
              <w:rPr>
                <w:color w:val="000000"/>
              </w:rPr>
              <w:t>1. un</w:t>
            </w:r>
            <w:r w:rsidR="007C0B3A" w:rsidRPr="00CD729C">
              <w:rPr>
                <w:color w:val="000000"/>
              </w:rPr>
              <w:t xml:space="preserve"> 15</w:t>
            </w:r>
            <w:r w:rsidRPr="00CD729C">
              <w:rPr>
                <w:color w:val="000000"/>
              </w:rPr>
              <w:t>. dienā</w:t>
            </w:r>
          </w:p>
          <w:p w14:paraId="3D39473B" w14:textId="77777777" w:rsidR="007C0B3A" w:rsidRPr="00CD729C" w:rsidRDefault="00E54C81" w:rsidP="009B4BB6">
            <w:pPr>
              <w:pStyle w:val="EndnoteText"/>
              <w:widowControl w:val="0"/>
              <w:rPr>
                <w:color w:val="000000"/>
              </w:rPr>
            </w:pPr>
            <w:r w:rsidRPr="00CD729C">
              <w:rPr>
                <w:color w:val="000000"/>
              </w:rPr>
              <w:t xml:space="preserve">Leikovorīns </w:t>
            </w:r>
            <w:r w:rsidR="007C0B3A" w:rsidRPr="00CD729C">
              <w:rPr>
                <w:color w:val="000000"/>
              </w:rPr>
              <w:t>(75 mg/m</w:t>
            </w:r>
            <w:r w:rsidR="007C0B3A" w:rsidRPr="00CD729C">
              <w:rPr>
                <w:color w:val="000000"/>
                <w:vertAlign w:val="superscript"/>
              </w:rPr>
              <w:t>2</w:t>
            </w:r>
            <w:r w:rsidR="007C0B3A" w:rsidRPr="00CD729C">
              <w:rPr>
                <w:color w:val="000000"/>
              </w:rPr>
              <w:t xml:space="preserve"> </w:t>
            </w:r>
            <w:r w:rsidR="00B03062" w:rsidRPr="00CD729C">
              <w:rPr>
                <w:color w:val="000000"/>
              </w:rPr>
              <w:t>36. stundā</w:t>
            </w:r>
            <w:r w:rsidR="007C0B3A" w:rsidRPr="00CD729C">
              <w:rPr>
                <w:color w:val="000000"/>
              </w:rPr>
              <w:t xml:space="preserve">, </w:t>
            </w:r>
            <w:r w:rsidRPr="00CD729C">
              <w:rPr>
                <w:color w:val="000000"/>
              </w:rPr>
              <w:t xml:space="preserve">lietojot </w:t>
            </w:r>
            <w:r w:rsidR="007C0B3A" w:rsidRPr="00CD729C">
              <w:rPr>
                <w:color w:val="000000"/>
              </w:rPr>
              <w:t>IV; 15 mg/m</w:t>
            </w:r>
            <w:r w:rsidR="007C0B3A" w:rsidRPr="00CD729C">
              <w:rPr>
                <w:color w:val="000000"/>
                <w:vertAlign w:val="superscript"/>
              </w:rPr>
              <w:t>2</w:t>
            </w:r>
            <w:r w:rsidRPr="00CD729C">
              <w:rPr>
                <w:color w:val="000000"/>
              </w:rPr>
              <w:t>,</w:t>
            </w:r>
            <w:r w:rsidR="007C0B3A" w:rsidRPr="00CD729C">
              <w:rPr>
                <w:color w:val="000000"/>
              </w:rPr>
              <w:t xml:space="preserve"> </w:t>
            </w:r>
            <w:r w:rsidRPr="00CD729C">
              <w:rPr>
                <w:color w:val="000000"/>
              </w:rPr>
              <w:t xml:space="preserve">lietojot </w:t>
            </w:r>
            <w:r w:rsidR="007C0B3A" w:rsidRPr="00CD729C">
              <w:rPr>
                <w:color w:val="000000"/>
              </w:rPr>
              <w:t xml:space="preserve">IV </w:t>
            </w:r>
            <w:r w:rsidRPr="00CD729C">
              <w:rPr>
                <w:color w:val="000000"/>
              </w:rPr>
              <w:t>vai</w:t>
            </w:r>
            <w:r w:rsidR="007C0B3A" w:rsidRPr="00CD729C">
              <w:rPr>
                <w:color w:val="000000"/>
              </w:rPr>
              <w:t xml:space="preserve"> PO q6h x 6 </w:t>
            </w:r>
            <w:r w:rsidRPr="00CD729C">
              <w:rPr>
                <w:color w:val="000000"/>
              </w:rPr>
              <w:t>devas</w:t>
            </w:r>
            <w:r w:rsidR="007C0B3A" w:rsidRPr="00CD729C">
              <w:rPr>
                <w:color w:val="000000"/>
              </w:rPr>
              <w:t>)</w:t>
            </w:r>
            <w:r w:rsidR="006C44AB" w:rsidRPr="00CD729C">
              <w:rPr>
                <w:color w:val="000000"/>
              </w:rPr>
              <w:t xml:space="preserve"> </w:t>
            </w:r>
            <w:r w:rsidR="007C0B3A" w:rsidRPr="00CD729C">
              <w:rPr>
                <w:color w:val="000000"/>
              </w:rPr>
              <w:t>iii: 2</w:t>
            </w:r>
            <w:r w:rsidRPr="00CD729C">
              <w:rPr>
                <w:color w:val="000000"/>
              </w:rPr>
              <w:t>.</w:t>
            </w:r>
            <w:r w:rsidR="007C0B3A" w:rsidRPr="00CD729C">
              <w:rPr>
                <w:color w:val="000000"/>
              </w:rPr>
              <w:t>, 3</w:t>
            </w:r>
            <w:r w:rsidRPr="00CD729C">
              <w:rPr>
                <w:color w:val="000000"/>
              </w:rPr>
              <w:t>.</w:t>
            </w:r>
            <w:r w:rsidR="007C0B3A" w:rsidRPr="00CD729C">
              <w:rPr>
                <w:color w:val="000000"/>
              </w:rPr>
              <w:t>, 16</w:t>
            </w:r>
            <w:r w:rsidRPr="00CD729C">
              <w:rPr>
                <w:color w:val="000000"/>
              </w:rPr>
              <w:t>.</w:t>
            </w:r>
            <w:r w:rsidR="007C0B3A" w:rsidRPr="00CD729C">
              <w:rPr>
                <w:color w:val="000000"/>
              </w:rPr>
              <w:t xml:space="preserve">, </w:t>
            </w:r>
            <w:r w:rsidRPr="00CD729C">
              <w:rPr>
                <w:color w:val="000000"/>
              </w:rPr>
              <w:t>un</w:t>
            </w:r>
            <w:r w:rsidR="007C0B3A" w:rsidRPr="00CD729C">
              <w:rPr>
                <w:color w:val="000000"/>
              </w:rPr>
              <w:t xml:space="preserve"> 17</w:t>
            </w:r>
            <w:r w:rsidRPr="00CD729C">
              <w:rPr>
                <w:color w:val="000000"/>
              </w:rPr>
              <w:t>. dienā</w:t>
            </w:r>
          </w:p>
          <w:p w14:paraId="3D39473C" w14:textId="77777777" w:rsidR="007C0B3A" w:rsidRPr="00CD729C" w:rsidRDefault="00E54C81" w:rsidP="009B4BB6">
            <w:pPr>
              <w:pStyle w:val="EndnoteText"/>
              <w:widowControl w:val="0"/>
              <w:rPr>
                <w:color w:val="000000"/>
              </w:rPr>
            </w:pPr>
            <w:r w:rsidRPr="00CD729C">
              <w:rPr>
                <w:color w:val="000000"/>
              </w:rPr>
              <w:t>Trīskārša terapija (pielāgojot pēc vecuma), lietojot IT</w:t>
            </w:r>
            <w:r w:rsidR="007C0B3A" w:rsidRPr="00CD729C">
              <w:rPr>
                <w:color w:val="000000"/>
              </w:rPr>
              <w:t xml:space="preserve">: </w:t>
            </w:r>
            <w:r w:rsidRPr="00CD729C">
              <w:rPr>
                <w:color w:val="000000"/>
              </w:rPr>
              <w:t>1. un 22. </w:t>
            </w:r>
            <w:r w:rsidR="007C0B3A" w:rsidRPr="00CD729C">
              <w:rPr>
                <w:color w:val="000000"/>
              </w:rPr>
              <w:t>d</w:t>
            </w:r>
            <w:r w:rsidRPr="00CD729C">
              <w:rPr>
                <w:color w:val="000000"/>
              </w:rPr>
              <w:t>ienā</w:t>
            </w:r>
          </w:p>
          <w:p w14:paraId="3D39473D" w14:textId="77777777" w:rsidR="007C0B3A" w:rsidRPr="00CD729C" w:rsidRDefault="007C0B3A" w:rsidP="009B4BB6">
            <w:pPr>
              <w:pStyle w:val="EndnoteText"/>
              <w:widowControl w:val="0"/>
              <w:rPr>
                <w:color w:val="000000"/>
              </w:rPr>
            </w:pPr>
            <w:r w:rsidRPr="00CD729C">
              <w:rPr>
                <w:color w:val="000000"/>
              </w:rPr>
              <w:t>VP-16 (100 mg/m</w:t>
            </w:r>
            <w:r w:rsidRPr="00CD729C">
              <w:rPr>
                <w:color w:val="000000"/>
                <w:vertAlign w:val="superscript"/>
              </w:rPr>
              <w:t>2</w:t>
            </w:r>
            <w:r w:rsidRPr="00CD729C">
              <w:rPr>
                <w:color w:val="000000"/>
              </w:rPr>
              <w:t>/</w:t>
            </w:r>
            <w:r w:rsidR="00FE05F8" w:rsidRPr="00CD729C">
              <w:rPr>
                <w:color w:val="000000"/>
              </w:rPr>
              <w:t>dienā</w:t>
            </w:r>
            <w:r w:rsidRPr="00CD729C">
              <w:rPr>
                <w:color w:val="000000"/>
              </w:rPr>
              <w:t xml:space="preserve">, </w:t>
            </w:r>
            <w:r w:rsidR="00FE05F8" w:rsidRPr="00CD729C">
              <w:rPr>
                <w:color w:val="000000"/>
              </w:rPr>
              <w:t xml:space="preserve">lietojot </w:t>
            </w:r>
            <w:r w:rsidRPr="00CD729C">
              <w:rPr>
                <w:color w:val="000000"/>
              </w:rPr>
              <w:t>IV): 22</w:t>
            </w:r>
            <w:r w:rsidR="00FE05F8" w:rsidRPr="00CD729C">
              <w:rPr>
                <w:color w:val="000000"/>
              </w:rPr>
              <w:t>.</w:t>
            </w:r>
            <w:r w:rsidRPr="00CD729C">
              <w:rPr>
                <w:color w:val="000000"/>
              </w:rPr>
              <w:noBreakHyphen/>
              <w:t>26</w:t>
            </w:r>
            <w:r w:rsidR="00FE05F8" w:rsidRPr="00CD729C">
              <w:rPr>
                <w:color w:val="000000"/>
              </w:rPr>
              <w:t>. dienā</w:t>
            </w:r>
          </w:p>
          <w:p w14:paraId="3D39473E" w14:textId="77777777" w:rsidR="007C0B3A" w:rsidRPr="00CD729C" w:rsidRDefault="007C0B3A" w:rsidP="009B4BB6">
            <w:pPr>
              <w:pStyle w:val="EndnoteText"/>
              <w:widowControl w:val="0"/>
              <w:rPr>
                <w:color w:val="000000"/>
              </w:rPr>
            </w:pPr>
            <w:r w:rsidRPr="00CD729C">
              <w:rPr>
                <w:color w:val="000000"/>
              </w:rPr>
              <w:t>CPM (300 mg/m</w:t>
            </w:r>
            <w:r w:rsidRPr="00CD729C">
              <w:rPr>
                <w:color w:val="000000"/>
                <w:vertAlign w:val="superscript"/>
              </w:rPr>
              <w:t>2</w:t>
            </w:r>
            <w:r w:rsidRPr="00CD729C">
              <w:rPr>
                <w:color w:val="000000"/>
              </w:rPr>
              <w:t>/</w:t>
            </w:r>
            <w:r w:rsidR="00FE05F8" w:rsidRPr="00CD729C">
              <w:rPr>
                <w:color w:val="000000"/>
              </w:rPr>
              <w:t>dienā</w:t>
            </w:r>
            <w:r w:rsidRPr="00CD729C">
              <w:rPr>
                <w:color w:val="000000"/>
              </w:rPr>
              <w:t xml:space="preserve">, </w:t>
            </w:r>
            <w:r w:rsidR="00FE05F8" w:rsidRPr="00CD729C">
              <w:rPr>
                <w:color w:val="000000"/>
              </w:rPr>
              <w:t xml:space="preserve">lietojot </w:t>
            </w:r>
            <w:r w:rsidRPr="00CD729C">
              <w:rPr>
                <w:color w:val="000000"/>
              </w:rPr>
              <w:t>IV): 22</w:t>
            </w:r>
            <w:r w:rsidR="00FE05F8" w:rsidRPr="00CD729C">
              <w:rPr>
                <w:color w:val="000000"/>
              </w:rPr>
              <w:t>.</w:t>
            </w:r>
            <w:r w:rsidRPr="00CD729C">
              <w:rPr>
                <w:color w:val="000000"/>
              </w:rPr>
              <w:noBreakHyphen/>
              <w:t>26</w:t>
            </w:r>
            <w:r w:rsidR="00FE05F8" w:rsidRPr="00CD729C">
              <w:rPr>
                <w:color w:val="000000"/>
              </w:rPr>
              <w:t>. dienā</w:t>
            </w:r>
          </w:p>
          <w:p w14:paraId="3D39473F" w14:textId="77777777" w:rsidR="007C0B3A" w:rsidRPr="00CD729C" w:rsidRDefault="007C0B3A" w:rsidP="009B4BB6">
            <w:pPr>
              <w:pStyle w:val="EndnoteText"/>
              <w:widowControl w:val="0"/>
              <w:rPr>
                <w:color w:val="000000"/>
              </w:rPr>
            </w:pPr>
            <w:r w:rsidRPr="00CD729C">
              <w:rPr>
                <w:color w:val="000000"/>
              </w:rPr>
              <w:t>MESNA (150 mg/m</w:t>
            </w:r>
            <w:r w:rsidRPr="00CD729C">
              <w:rPr>
                <w:color w:val="000000"/>
                <w:vertAlign w:val="superscript"/>
              </w:rPr>
              <w:t>2</w:t>
            </w:r>
            <w:r w:rsidRPr="00CD729C">
              <w:rPr>
                <w:color w:val="000000"/>
              </w:rPr>
              <w:t>/</w:t>
            </w:r>
            <w:r w:rsidR="00FE05F8" w:rsidRPr="00CD729C">
              <w:rPr>
                <w:color w:val="000000"/>
              </w:rPr>
              <w:t>dienā</w:t>
            </w:r>
            <w:r w:rsidRPr="00CD729C">
              <w:rPr>
                <w:color w:val="000000"/>
              </w:rPr>
              <w:t xml:space="preserve">, </w:t>
            </w:r>
            <w:r w:rsidR="00FE05F8" w:rsidRPr="00CD729C">
              <w:rPr>
                <w:color w:val="000000"/>
              </w:rPr>
              <w:t xml:space="preserve">lietojot </w:t>
            </w:r>
            <w:r w:rsidRPr="00CD729C">
              <w:rPr>
                <w:color w:val="000000"/>
              </w:rPr>
              <w:t>IV): 22</w:t>
            </w:r>
            <w:r w:rsidR="00FE05F8" w:rsidRPr="00CD729C">
              <w:rPr>
                <w:color w:val="000000"/>
              </w:rPr>
              <w:t>.</w:t>
            </w:r>
            <w:r w:rsidRPr="00CD729C">
              <w:rPr>
                <w:color w:val="000000"/>
              </w:rPr>
              <w:noBreakHyphen/>
              <w:t>26</w:t>
            </w:r>
            <w:r w:rsidR="00FE05F8" w:rsidRPr="00CD729C">
              <w:rPr>
                <w:color w:val="000000"/>
              </w:rPr>
              <w:t>. dienā</w:t>
            </w:r>
          </w:p>
          <w:p w14:paraId="3D394740" w14:textId="77777777" w:rsidR="007C0B3A" w:rsidRPr="00CD729C" w:rsidRDefault="007C0B3A" w:rsidP="009B4BB6">
            <w:pPr>
              <w:pStyle w:val="EndnoteText"/>
              <w:widowControl w:val="0"/>
              <w:rPr>
                <w:color w:val="000000"/>
              </w:rPr>
            </w:pPr>
            <w:r w:rsidRPr="00CD729C">
              <w:rPr>
                <w:color w:val="000000"/>
              </w:rPr>
              <w:t xml:space="preserve">G-CSF (5 μg/kg, </w:t>
            </w:r>
            <w:r w:rsidR="00FE05F8" w:rsidRPr="00CD729C">
              <w:rPr>
                <w:color w:val="000000"/>
              </w:rPr>
              <w:t xml:space="preserve">lietojot </w:t>
            </w:r>
            <w:r w:rsidRPr="00CD729C">
              <w:rPr>
                <w:color w:val="000000"/>
              </w:rPr>
              <w:t>SC): 27</w:t>
            </w:r>
            <w:r w:rsidR="00FE05F8" w:rsidRPr="00CD729C">
              <w:rPr>
                <w:color w:val="000000"/>
              </w:rPr>
              <w:t>.</w:t>
            </w:r>
            <w:r w:rsidR="00D7130B" w:rsidRPr="00CD729C">
              <w:rPr>
                <w:color w:val="000000"/>
              </w:rPr>
              <w:noBreakHyphen/>
            </w:r>
            <w:r w:rsidRPr="00CD729C">
              <w:rPr>
                <w:color w:val="000000"/>
              </w:rPr>
              <w:t>36</w:t>
            </w:r>
            <w:r w:rsidR="00FE05F8" w:rsidRPr="00CD729C">
              <w:rPr>
                <w:color w:val="000000"/>
              </w:rPr>
              <w:t>. dienā</w:t>
            </w:r>
            <w:r w:rsidRPr="00CD729C">
              <w:rPr>
                <w:color w:val="000000"/>
              </w:rPr>
              <w:t xml:space="preserve"> </w:t>
            </w:r>
            <w:r w:rsidR="00FE05F8" w:rsidRPr="00CD729C">
              <w:rPr>
                <w:color w:val="000000"/>
              </w:rPr>
              <w:t>vai līdz</w:t>
            </w:r>
            <w:r w:rsidRPr="00CD729C">
              <w:rPr>
                <w:color w:val="000000"/>
              </w:rPr>
              <w:t xml:space="preserve"> ANC &gt;1</w:t>
            </w:r>
            <w:r w:rsidR="00FE05F8" w:rsidRPr="00CD729C">
              <w:rPr>
                <w:color w:val="000000"/>
              </w:rPr>
              <w:t> </w:t>
            </w:r>
            <w:r w:rsidRPr="00CD729C">
              <w:rPr>
                <w:color w:val="000000"/>
              </w:rPr>
              <w:t xml:space="preserve">500 </w:t>
            </w:r>
            <w:r w:rsidR="00FE05F8" w:rsidRPr="00CD729C">
              <w:rPr>
                <w:color w:val="000000"/>
              </w:rPr>
              <w:t>pēc zemākā rādītāja</w:t>
            </w:r>
          </w:p>
          <w:p w14:paraId="3D394741" w14:textId="77777777" w:rsidR="007C0B3A" w:rsidRPr="00CD729C" w:rsidRDefault="007C0B3A" w:rsidP="009B4BB6">
            <w:pPr>
              <w:pStyle w:val="EndnoteText"/>
              <w:widowControl w:val="0"/>
              <w:rPr>
                <w:color w:val="000000"/>
              </w:rPr>
            </w:pPr>
            <w:r w:rsidRPr="00CD729C">
              <w:rPr>
                <w:color w:val="000000"/>
              </w:rPr>
              <w:t>ARA-C (3 g/m</w:t>
            </w:r>
            <w:r w:rsidRPr="00CD729C">
              <w:rPr>
                <w:color w:val="000000"/>
                <w:vertAlign w:val="superscript"/>
              </w:rPr>
              <w:t>2</w:t>
            </w:r>
            <w:r w:rsidRPr="00CD729C">
              <w:rPr>
                <w:color w:val="000000"/>
              </w:rPr>
              <w:t xml:space="preserve">, q12h, </w:t>
            </w:r>
            <w:r w:rsidR="00FE05F8" w:rsidRPr="00CD729C">
              <w:rPr>
                <w:color w:val="000000"/>
              </w:rPr>
              <w:t xml:space="preserve">lietojot </w:t>
            </w:r>
            <w:r w:rsidRPr="00CD729C">
              <w:rPr>
                <w:color w:val="000000"/>
              </w:rPr>
              <w:t>IV): 43</w:t>
            </w:r>
            <w:r w:rsidR="00FE05F8" w:rsidRPr="00CD729C">
              <w:rPr>
                <w:color w:val="000000"/>
              </w:rPr>
              <w:t>.</w:t>
            </w:r>
            <w:r w:rsidRPr="00CD729C">
              <w:rPr>
                <w:color w:val="000000"/>
              </w:rPr>
              <w:t>, 44</w:t>
            </w:r>
            <w:r w:rsidR="00FE05F8" w:rsidRPr="00CD729C">
              <w:rPr>
                <w:color w:val="000000"/>
              </w:rPr>
              <w:t>. dienā</w:t>
            </w:r>
          </w:p>
          <w:p w14:paraId="3D394742" w14:textId="77777777" w:rsidR="007C0B3A" w:rsidRPr="00CD729C" w:rsidRDefault="007C0B3A" w:rsidP="009B4BB6">
            <w:pPr>
              <w:pStyle w:val="EndnoteText"/>
              <w:widowControl w:val="0"/>
              <w:rPr>
                <w:color w:val="000000"/>
              </w:rPr>
            </w:pPr>
            <w:r w:rsidRPr="00CD729C">
              <w:rPr>
                <w:color w:val="000000"/>
              </w:rPr>
              <w:t>L-ASP (6</w:t>
            </w:r>
            <w:r w:rsidR="00FE05F8" w:rsidRPr="00CD729C">
              <w:rPr>
                <w:color w:val="000000"/>
              </w:rPr>
              <w:t> </w:t>
            </w:r>
            <w:r w:rsidRPr="00CD729C">
              <w:rPr>
                <w:color w:val="000000"/>
              </w:rPr>
              <w:t>000 </w:t>
            </w:r>
            <w:r w:rsidR="00FE05F8" w:rsidRPr="00CD729C">
              <w:rPr>
                <w:color w:val="000000"/>
              </w:rPr>
              <w:t>SV</w:t>
            </w:r>
            <w:r w:rsidRPr="00CD729C">
              <w:rPr>
                <w:color w:val="000000"/>
              </w:rPr>
              <w:t>/m</w:t>
            </w:r>
            <w:r w:rsidRPr="00CD729C">
              <w:rPr>
                <w:color w:val="000000"/>
                <w:vertAlign w:val="superscript"/>
              </w:rPr>
              <w:t>2</w:t>
            </w:r>
            <w:r w:rsidRPr="00CD729C">
              <w:rPr>
                <w:color w:val="000000"/>
              </w:rPr>
              <w:t xml:space="preserve">, </w:t>
            </w:r>
            <w:r w:rsidR="00FE05F8" w:rsidRPr="00CD729C">
              <w:rPr>
                <w:color w:val="000000"/>
              </w:rPr>
              <w:t xml:space="preserve">lietojot </w:t>
            </w:r>
            <w:r w:rsidRPr="00CD729C">
              <w:rPr>
                <w:color w:val="000000"/>
              </w:rPr>
              <w:t>IM): 44</w:t>
            </w:r>
            <w:r w:rsidR="00FE05F8" w:rsidRPr="00CD729C">
              <w:rPr>
                <w:color w:val="000000"/>
              </w:rPr>
              <w:t>. dienā</w:t>
            </w:r>
          </w:p>
        </w:tc>
      </w:tr>
      <w:tr w:rsidR="007C0B3A" w:rsidRPr="00CD729C" w14:paraId="3D39474D" w14:textId="77777777" w:rsidTr="00341FA1">
        <w:trPr>
          <w:cantSplit/>
        </w:trPr>
        <w:tc>
          <w:tcPr>
            <w:tcW w:w="2358" w:type="dxa"/>
            <w:shd w:val="clear" w:color="auto" w:fill="auto"/>
          </w:tcPr>
          <w:p w14:paraId="3D394744" w14:textId="77777777" w:rsidR="007C0B3A" w:rsidRPr="00CD729C" w:rsidRDefault="0084621F" w:rsidP="009B4BB6">
            <w:pPr>
              <w:pStyle w:val="EndnoteText"/>
              <w:widowControl w:val="0"/>
              <w:rPr>
                <w:color w:val="000000"/>
              </w:rPr>
            </w:pPr>
            <w:r w:rsidRPr="00CD729C">
              <w:rPr>
                <w:color w:val="000000"/>
              </w:rPr>
              <w:t>Atkārtotas indukcijas terapija</w:t>
            </w:r>
            <w:r w:rsidR="007C0B3A" w:rsidRPr="00CD729C">
              <w:rPr>
                <w:color w:val="000000"/>
              </w:rPr>
              <w:t> 2</w:t>
            </w:r>
          </w:p>
          <w:p w14:paraId="3D394745" w14:textId="77777777" w:rsidR="007C0B3A" w:rsidRPr="00CD729C" w:rsidRDefault="007C0B3A" w:rsidP="009B4BB6">
            <w:pPr>
              <w:pStyle w:val="EndnoteText"/>
              <w:widowControl w:val="0"/>
              <w:rPr>
                <w:color w:val="000000"/>
              </w:rPr>
            </w:pPr>
            <w:r w:rsidRPr="00CD729C">
              <w:rPr>
                <w:color w:val="000000"/>
              </w:rPr>
              <w:t>(3 </w:t>
            </w:r>
            <w:r w:rsidR="00500B2C" w:rsidRPr="00CD729C">
              <w:rPr>
                <w:color w:val="000000"/>
              </w:rPr>
              <w:t>nedēļas</w:t>
            </w:r>
            <w:r w:rsidRPr="00CD729C">
              <w:rPr>
                <w:color w:val="000000"/>
              </w:rPr>
              <w:t>)</w:t>
            </w:r>
          </w:p>
        </w:tc>
        <w:tc>
          <w:tcPr>
            <w:tcW w:w="6929" w:type="dxa"/>
            <w:shd w:val="clear" w:color="auto" w:fill="auto"/>
          </w:tcPr>
          <w:p w14:paraId="3D394746" w14:textId="77777777" w:rsidR="007C0B3A" w:rsidRPr="00CD729C" w:rsidRDefault="007C0B3A" w:rsidP="009B4BB6">
            <w:pPr>
              <w:pStyle w:val="EndnoteText"/>
              <w:widowControl w:val="0"/>
              <w:rPr>
                <w:color w:val="000000"/>
              </w:rPr>
            </w:pPr>
            <w:r w:rsidRPr="00CD729C">
              <w:rPr>
                <w:color w:val="000000"/>
              </w:rPr>
              <w:t>VCR (1</w:t>
            </w:r>
            <w:r w:rsidR="00FE05F8" w:rsidRPr="00CD729C">
              <w:rPr>
                <w:color w:val="000000"/>
              </w:rPr>
              <w:t>,</w:t>
            </w:r>
            <w:r w:rsidRPr="00CD729C">
              <w:rPr>
                <w:color w:val="000000"/>
              </w:rPr>
              <w:t>5 mg/m</w:t>
            </w:r>
            <w:r w:rsidRPr="00CD729C">
              <w:rPr>
                <w:color w:val="000000"/>
                <w:vertAlign w:val="superscript"/>
              </w:rPr>
              <w:t>2</w:t>
            </w:r>
            <w:r w:rsidRPr="00CD729C">
              <w:rPr>
                <w:color w:val="000000"/>
              </w:rPr>
              <w:t>/</w:t>
            </w:r>
            <w:r w:rsidR="00FE05F8" w:rsidRPr="00CD729C">
              <w:rPr>
                <w:color w:val="000000"/>
              </w:rPr>
              <w:t>dienā</w:t>
            </w:r>
            <w:r w:rsidRPr="00CD729C">
              <w:rPr>
                <w:color w:val="000000"/>
              </w:rPr>
              <w:t xml:space="preserve">, </w:t>
            </w:r>
            <w:r w:rsidR="00FE05F8" w:rsidRPr="00CD729C">
              <w:rPr>
                <w:color w:val="000000"/>
              </w:rPr>
              <w:t xml:space="preserve">lietojot </w:t>
            </w:r>
            <w:r w:rsidRPr="00CD729C">
              <w:rPr>
                <w:color w:val="000000"/>
              </w:rPr>
              <w:t>IV): 1</w:t>
            </w:r>
            <w:r w:rsidR="00AF2829" w:rsidRPr="00CD729C">
              <w:rPr>
                <w:color w:val="000000"/>
              </w:rPr>
              <w:t>.</w:t>
            </w:r>
            <w:r w:rsidRPr="00CD729C">
              <w:rPr>
                <w:color w:val="000000"/>
              </w:rPr>
              <w:t>, 8</w:t>
            </w:r>
            <w:r w:rsidR="00AF2829" w:rsidRPr="00CD729C">
              <w:rPr>
                <w:color w:val="000000"/>
              </w:rPr>
              <w:t>. un</w:t>
            </w:r>
            <w:r w:rsidRPr="00CD729C">
              <w:rPr>
                <w:color w:val="000000"/>
              </w:rPr>
              <w:t xml:space="preserve"> 15</w:t>
            </w:r>
            <w:r w:rsidR="00AF2829" w:rsidRPr="00CD729C">
              <w:rPr>
                <w:color w:val="000000"/>
              </w:rPr>
              <w:t>. dienā</w:t>
            </w:r>
          </w:p>
          <w:p w14:paraId="3D394747" w14:textId="77777777" w:rsidR="007C0B3A" w:rsidRPr="00CD729C" w:rsidRDefault="007C0B3A" w:rsidP="009B4BB6">
            <w:pPr>
              <w:pStyle w:val="EndnoteText"/>
              <w:widowControl w:val="0"/>
              <w:rPr>
                <w:color w:val="000000"/>
              </w:rPr>
            </w:pPr>
            <w:r w:rsidRPr="00CD729C">
              <w:rPr>
                <w:color w:val="000000"/>
              </w:rPr>
              <w:t>DAUN (45 mg/m</w:t>
            </w:r>
            <w:r w:rsidRPr="00CD729C">
              <w:rPr>
                <w:color w:val="000000"/>
                <w:vertAlign w:val="superscript"/>
              </w:rPr>
              <w:t>2</w:t>
            </w:r>
            <w:r w:rsidRPr="00CD729C">
              <w:rPr>
                <w:color w:val="000000"/>
              </w:rPr>
              <w:t>/</w:t>
            </w:r>
            <w:r w:rsidR="00FE05F8" w:rsidRPr="00CD729C">
              <w:rPr>
                <w:color w:val="000000"/>
              </w:rPr>
              <w:t>dienā</w:t>
            </w:r>
            <w:r w:rsidRPr="00CD729C">
              <w:rPr>
                <w:color w:val="000000"/>
              </w:rPr>
              <w:t xml:space="preserve"> </w:t>
            </w:r>
            <w:r w:rsidRPr="00CD729C">
              <w:rPr>
                <w:i/>
                <w:color w:val="000000"/>
              </w:rPr>
              <w:t>bolus</w:t>
            </w:r>
            <w:r w:rsidRPr="00CD729C">
              <w:rPr>
                <w:color w:val="000000"/>
              </w:rPr>
              <w:t>, IV): 1</w:t>
            </w:r>
            <w:r w:rsidR="00AF2829" w:rsidRPr="00CD729C">
              <w:rPr>
                <w:color w:val="000000"/>
              </w:rPr>
              <w:t>. un</w:t>
            </w:r>
            <w:r w:rsidRPr="00CD729C">
              <w:rPr>
                <w:color w:val="000000"/>
              </w:rPr>
              <w:t xml:space="preserve"> 2</w:t>
            </w:r>
            <w:r w:rsidR="00AF2829" w:rsidRPr="00CD729C">
              <w:rPr>
                <w:color w:val="000000"/>
              </w:rPr>
              <w:t>. dienā</w:t>
            </w:r>
          </w:p>
          <w:p w14:paraId="3D394748" w14:textId="77777777" w:rsidR="007C0B3A" w:rsidRPr="00CD729C" w:rsidRDefault="007C0B3A" w:rsidP="009B4BB6">
            <w:pPr>
              <w:pStyle w:val="EndnoteText"/>
              <w:widowControl w:val="0"/>
              <w:rPr>
                <w:color w:val="000000"/>
              </w:rPr>
            </w:pPr>
            <w:r w:rsidRPr="00CD729C">
              <w:rPr>
                <w:color w:val="000000"/>
              </w:rPr>
              <w:t>CPM (250 mg/m</w:t>
            </w:r>
            <w:r w:rsidRPr="00CD729C">
              <w:rPr>
                <w:color w:val="000000"/>
                <w:vertAlign w:val="superscript"/>
              </w:rPr>
              <w:t>2</w:t>
            </w:r>
            <w:r w:rsidRPr="00CD729C">
              <w:rPr>
                <w:color w:val="000000"/>
              </w:rPr>
              <w:t>/</w:t>
            </w:r>
            <w:r w:rsidR="00FE05F8" w:rsidRPr="00CD729C">
              <w:rPr>
                <w:color w:val="000000"/>
              </w:rPr>
              <w:t>deva</w:t>
            </w:r>
            <w:r w:rsidRPr="00CD729C">
              <w:rPr>
                <w:color w:val="000000"/>
              </w:rPr>
              <w:t xml:space="preserve"> q12h x 4</w:t>
            </w:r>
            <w:r w:rsidR="00FE05F8" w:rsidRPr="00CD729C">
              <w:rPr>
                <w:color w:val="000000"/>
              </w:rPr>
              <w:t> devas</w:t>
            </w:r>
            <w:r w:rsidRPr="00CD729C">
              <w:rPr>
                <w:color w:val="000000"/>
              </w:rPr>
              <w:t xml:space="preserve">, </w:t>
            </w:r>
            <w:r w:rsidR="00FE05F8" w:rsidRPr="00CD729C">
              <w:rPr>
                <w:color w:val="000000"/>
              </w:rPr>
              <w:t>lietojot IV</w:t>
            </w:r>
            <w:r w:rsidRPr="00CD729C">
              <w:rPr>
                <w:color w:val="000000"/>
              </w:rPr>
              <w:t>): 3</w:t>
            </w:r>
            <w:r w:rsidR="00AF2829" w:rsidRPr="00CD729C">
              <w:rPr>
                <w:color w:val="000000"/>
              </w:rPr>
              <w:t>. un</w:t>
            </w:r>
            <w:r w:rsidRPr="00CD729C">
              <w:rPr>
                <w:color w:val="000000"/>
              </w:rPr>
              <w:t xml:space="preserve"> 4</w:t>
            </w:r>
            <w:r w:rsidR="00AF2829" w:rsidRPr="00CD729C">
              <w:rPr>
                <w:color w:val="000000"/>
              </w:rPr>
              <w:t> dienā</w:t>
            </w:r>
          </w:p>
          <w:p w14:paraId="3D394749" w14:textId="77777777" w:rsidR="007C0B3A" w:rsidRPr="00CD729C" w:rsidRDefault="007C0B3A" w:rsidP="009B4BB6">
            <w:pPr>
              <w:pStyle w:val="EndnoteText"/>
              <w:widowControl w:val="0"/>
              <w:rPr>
                <w:color w:val="000000"/>
              </w:rPr>
            </w:pPr>
            <w:r w:rsidRPr="00CD729C">
              <w:rPr>
                <w:color w:val="000000"/>
              </w:rPr>
              <w:t>PEG-ASP (2</w:t>
            </w:r>
            <w:r w:rsidR="00FE05F8" w:rsidRPr="00CD729C">
              <w:rPr>
                <w:color w:val="000000"/>
              </w:rPr>
              <w:t> </w:t>
            </w:r>
            <w:r w:rsidRPr="00CD729C">
              <w:rPr>
                <w:color w:val="000000"/>
              </w:rPr>
              <w:t>500 </w:t>
            </w:r>
            <w:r w:rsidR="00FE05F8" w:rsidRPr="00CD729C">
              <w:rPr>
                <w:color w:val="000000"/>
              </w:rPr>
              <w:t>SV</w:t>
            </w:r>
            <w:r w:rsidRPr="00CD729C">
              <w:rPr>
                <w:color w:val="000000"/>
              </w:rPr>
              <w:t>/m</w:t>
            </w:r>
            <w:r w:rsidRPr="00CD729C">
              <w:rPr>
                <w:color w:val="000000"/>
                <w:vertAlign w:val="superscript"/>
              </w:rPr>
              <w:t>2</w:t>
            </w:r>
            <w:r w:rsidRPr="00CD729C">
              <w:rPr>
                <w:color w:val="000000"/>
              </w:rPr>
              <w:t xml:space="preserve">, </w:t>
            </w:r>
            <w:r w:rsidR="00FE05F8" w:rsidRPr="00CD729C">
              <w:rPr>
                <w:color w:val="000000"/>
              </w:rPr>
              <w:t xml:space="preserve">lietojot </w:t>
            </w:r>
            <w:r w:rsidRPr="00CD729C">
              <w:rPr>
                <w:color w:val="000000"/>
              </w:rPr>
              <w:t>IM): 4</w:t>
            </w:r>
            <w:r w:rsidR="00AF2829" w:rsidRPr="00CD729C">
              <w:rPr>
                <w:color w:val="000000"/>
              </w:rPr>
              <w:t>. dienā</w:t>
            </w:r>
          </w:p>
          <w:p w14:paraId="3D39474A" w14:textId="77777777" w:rsidR="007C0B3A" w:rsidRPr="00CD729C" w:rsidRDefault="007C0B3A" w:rsidP="009B4BB6">
            <w:pPr>
              <w:pStyle w:val="EndnoteText"/>
              <w:widowControl w:val="0"/>
              <w:rPr>
                <w:color w:val="000000"/>
              </w:rPr>
            </w:pPr>
            <w:r w:rsidRPr="00CD729C">
              <w:rPr>
                <w:color w:val="000000"/>
              </w:rPr>
              <w:t xml:space="preserve">G-CSF (5 μg/kg, </w:t>
            </w:r>
            <w:r w:rsidR="00FE05F8" w:rsidRPr="00CD729C">
              <w:rPr>
                <w:color w:val="000000"/>
              </w:rPr>
              <w:t xml:space="preserve">lietojot </w:t>
            </w:r>
            <w:r w:rsidRPr="00CD729C">
              <w:rPr>
                <w:color w:val="000000"/>
              </w:rPr>
              <w:t>SC): 5</w:t>
            </w:r>
            <w:r w:rsidR="00AF2829" w:rsidRPr="00CD729C">
              <w:rPr>
                <w:color w:val="000000"/>
              </w:rPr>
              <w:t>.</w:t>
            </w:r>
            <w:r w:rsidRPr="00CD729C">
              <w:rPr>
                <w:color w:val="000000"/>
              </w:rPr>
              <w:t>-14</w:t>
            </w:r>
            <w:r w:rsidR="00AF2829" w:rsidRPr="00CD729C">
              <w:rPr>
                <w:color w:val="000000"/>
              </w:rPr>
              <w:t>. dienā</w:t>
            </w:r>
            <w:r w:rsidRPr="00CD729C">
              <w:rPr>
                <w:color w:val="000000"/>
              </w:rPr>
              <w:t xml:space="preserve"> </w:t>
            </w:r>
            <w:r w:rsidR="00AF2829" w:rsidRPr="00CD729C">
              <w:rPr>
                <w:color w:val="000000"/>
              </w:rPr>
              <w:t>vai līdz</w:t>
            </w:r>
            <w:r w:rsidRPr="00CD729C">
              <w:rPr>
                <w:color w:val="000000"/>
              </w:rPr>
              <w:t xml:space="preserve"> ANC &gt;1</w:t>
            </w:r>
            <w:r w:rsidR="00FE05F8" w:rsidRPr="00CD729C">
              <w:rPr>
                <w:color w:val="000000"/>
              </w:rPr>
              <w:t> </w:t>
            </w:r>
            <w:r w:rsidRPr="00CD729C">
              <w:rPr>
                <w:color w:val="000000"/>
              </w:rPr>
              <w:t xml:space="preserve">500 </w:t>
            </w:r>
            <w:r w:rsidR="00FE05F8" w:rsidRPr="00CD729C">
              <w:rPr>
                <w:color w:val="000000"/>
              </w:rPr>
              <w:t>pēc zemākā rādītāja</w:t>
            </w:r>
          </w:p>
          <w:p w14:paraId="3D39474B" w14:textId="77777777" w:rsidR="007C0B3A" w:rsidRPr="00CD729C" w:rsidRDefault="00FC00A5" w:rsidP="009B4BB6">
            <w:pPr>
              <w:pStyle w:val="EndnoteText"/>
              <w:widowControl w:val="0"/>
              <w:rPr>
                <w:color w:val="000000"/>
              </w:rPr>
            </w:pPr>
            <w:r w:rsidRPr="00CD729C">
              <w:rPr>
                <w:color w:val="000000"/>
              </w:rPr>
              <w:t>Trīskārša terapija (pielāgojot pēc vecuma), lietojot IT</w:t>
            </w:r>
            <w:r w:rsidR="007C0B3A" w:rsidRPr="00CD729C">
              <w:rPr>
                <w:color w:val="000000"/>
              </w:rPr>
              <w:t xml:space="preserve">: </w:t>
            </w:r>
            <w:r w:rsidRPr="00CD729C">
              <w:rPr>
                <w:color w:val="000000"/>
              </w:rPr>
              <w:t>1. un 15. dienā</w:t>
            </w:r>
          </w:p>
          <w:p w14:paraId="3D39474C" w14:textId="77777777" w:rsidR="007C0B3A" w:rsidRPr="00CD729C" w:rsidRDefault="007C0B3A" w:rsidP="009B4BB6">
            <w:pPr>
              <w:pStyle w:val="EndnoteText"/>
              <w:widowControl w:val="0"/>
              <w:rPr>
                <w:color w:val="000000"/>
              </w:rPr>
            </w:pPr>
            <w:r w:rsidRPr="00CD729C">
              <w:rPr>
                <w:color w:val="000000"/>
              </w:rPr>
              <w:t>DEX (6 mg/m</w:t>
            </w:r>
            <w:r w:rsidRPr="00CD729C">
              <w:rPr>
                <w:color w:val="000000"/>
                <w:vertAlign w:val="superscript"/>
              </w:rPr>
              <w:t>2</w:t>
            </w:r>
            <w:r w:rsidRPr="00CD729C">
              <w:rPr>
                <w:color w:val="000000"/>
              </w:rPr>
              <w:t>/</w:t>
            </w:r>
            <w:r w:rsidR="00FE05F8" w:rsidRPr="00CD729C">
              <w:rPr>
                <w:color w:val="000000"/>
              </w:rPr>
              <w:t>dienā</w:t>
            </w:r>
            <w:r w:rsidRPr="00CD729C">
              <w:rPr>
                <w:color w:val="000000"/>
              </w:rPr>
              <w:t xml:space="preserve">, </w:t>
            </w:r>
            <w:r w:rsidR="00FE05F8" w:rsidRPr="00CD729C">
              <w:rPr>
                <w:color w:val="000000"/>
              </w:rPr>
              <w:t xml:space="preserve">lietojot </w:t>
            </w:r>
            <w:r w:rsidRPr="00CD729C">
              <w:rPr>
                <w:color w:val="000000"/>
              </w:rPr>
              <w:t>PO): 1</w:t>
            </w:r>
            <w:r w:rsidR="00AF2829" w:rsidRPr="00CD729C">
              <w:rPr>
                <w:color w:val="000000"/>
              </w:rPr>
              <w:t>.</w:t>
            </w:r>
            <w:r w:rsidRPr="00CD729C">
              <w:rPr>
                <w:color w:val="000000"/>
              </w:rPr>
              <w:noBreakHyphen/>
              <w:t>7</w:t>
            </w:r>
            <w:r w:rsidR="00AF2829" w:rsidRPr="00CD729C">
              <w:rPr>
                <w:color w:val="000000"/>
              </w:rPr>
              <w:t>. dienā</w:t>
            </w:r>
            <w:r w:rsidRPr="00CD729C">
              <w:rPr>
                <w:color w:val="000000"/>
              </w:rPr>
              <w:t xml:space="preserve"> </w:t>
            </w:r>
            <w:r w:rsidR="00AF2829" w:rsidRPr="00CD729C">
              <w:rPr>
                <w:color w:val="000000"/>
              </w:rPr>
              <w:t>un</w:t>
            </w:r>
            <w:r w:rsidRPr="00CD729C">
              <w:rPr>
                <w:color w:val="000000"/>
              </w:rPr>
              <w:t xml:space="preserve"> 15</w:t>
            </w:r>
            <w:r w:rsidR="00AF2829" w:rsidRPr="00CD729C">
              <w:rPr>
                <w:color w:val="000000"/>
              </w:rPr>
              <w:t>.</w:t>
            </w:r>
            <w:r w:rsidRPr="00CD729C">
              <w:rPr>
                <w:color w:val="000000"/>
              </w:rPr>
              <w:noBreakHyphen/>
              <w:t>21</w:t>
            </w:r>
            <w:r w:rsidR="00AF2829" w:rsidRPr="00CD729C">
              <w:rPr>
                <w:color w:val="000000"/>
              </w:rPr>
              <w:t>. dienā</w:t>
            </w:r>
          </w:p>
        </w:tc>
      </w:tr>
      <w:tr w:rsidR="007C0B3A" w:rsidRPr="00CD729C" w14:paraId="3D394759" w14:textId="77777777" w:rsidTr="00341FA1">
        <w:trPr>
          <w:cantSplit/>
        </w:trPr>
        <w:tc>
          <w:tcPr>
            <w:tcW w:w="2358" w:type="dxa"/>
            <w:shd w:val="clear" w:color="auto" w:fill="auto"/>
          </w:tcPr>
          <w:p w14:paraId="3D39474E" w14:textId="77777777" w:rsidR="007C0B3A" w:rsidRPr="00CD729C" w:rsidRDefault="0084621F" w:rsidP="009B4BB6">
            <w:pPr>
              <w:pStyle w:val="EndnoteText"/>
              <w:widowControl w:val="0"/>
              <w:rPr>
                <w:color w:val="000000"/>
              </w:rPr>
            </w:pPr>
            <w:r w:rsidRPr="00CD729C">
              <w:rPr>
                <w:color w:val="000000"/>
              </w:rPr>
              <w:t>Intensifikācijas terapija </w:t>
            </w:r>
            <w:r w:rsidR="007C0B3A" w:rsidRPr="00CD729C">
              <w:rPr>
                <w:color w:val="000000"/>
              </w:rPr>
              <w:t>2</w:t>
            </w:r>
          </w:p>
          <w:p w14:paraId="3D39474F" w14:textId="77777777" w:rsidR="007C0B3A" w:rsidRPr="00CD729C" w:rsidRDefault="007C0B3A" w:rsidP="009B4BB6">
            <w:pPr>
              <w:pStyle w:val="EndnoteText"/>
              <w:widowControl w:val="0"/>
              <w:rPr>
                <w:color w:val="000000"/>
              </w:rPr>
            </w:pPr>
            <w:r w:rsidRPr="00CD729C">
              <w:rPr>
                <w:color w:val="000000"/>
              </w:rPr>
              <w:t>(9 </w:t>
            </w:r>
            <w:r w:rsidR="00500B2C" w:rsidRPr="00CD729C">
              <w:rPr>
                <w:color w:val="000000"/>
              </w:rPr>
              <w:t>nedēļas</w:t>
            </w:r>
            <w:r w:rsidRPr="00CD729C">
              <w:rPr>
                <w:color w:val="000000"/>
              </w:rPr>
              <w:t>)</w:t>
            </w:r>
          </w:p>
        </w:tc>
        <w:tc>
          <w:tcPr>
            <w:tcW w:w="6929" w:type="dxa"/>
            <w:shd w:val="clear" w:color="auto" w:fill="auto"/>
          </w:tcPr>
          <w:p w14:paraId="3D394750" w14:textId="77777777" w:rsidR="007C0B3A" w:rsidRPr="00CD729C" w:rsidRDefault="000C1B8B" w:rsidP="009B4BB6">
            <w:pPr>
              <w:pStyle w:val="EndnoteText"/>
              <w:widowControl w:val="0"/>
              <w:rPr>
                <w:color w:val="000000"/>
              </w:rPr>
            </w:pPr>
            <w:r w:rsidRPr="00CD729C">
              <w:rPr>
                <w:color w:val="000000"/>
              </w:rPr>
              <w:t xml:space="preserve">Metotreksāts </w:t>
            </w:r>
            <w:r w:rsidR="007C0B3A" w:rsidRPr="00CD729C">
              <w:rPr>
                <w:color w:val="000000"/>
              </w:rPr>
              <w:t>(5 g/m</w:t>
            </w:r>
            <w:r w:rsidR="007C0B3A" w:rsidRPr="00CD729C">
              <w:rPr>
                <w:color w:val="000000"/>
                <w:vertAlign w:val="superscript"/>
              </w:rPr>
              <w:t>2</w:t>
            </w:r>
            <w:r w:rsidR="007C0B3A" w:rsidRPr="00CD729C">
              <w:rPr>
                <w:color w:val="000000"/>
              </w:rPr>
              <w:t xml:space="preserve"> </w:t>
            </w:r>
            <w:r w:rsidRPr="00CD729C">
              <w:rPr>
                <w:color w:val="000000"/>
              </w:rPr>
              <w:t xml:space="preserve">24 stundu laikā, lietojot </w:t>
            </w:r>
            <w:r w:rsidR="007C0B3A" w:rsidRPr="00CD729C">
              <w:rPr>
                <w:color w:val="000000"/>
              </w:rPr>
              <w:t>IV): 1</w:t>
            </w:r>
            <w:r w:rsidRPr="00CD729C">
              <w:rPr>
                <w:color w:val="000000"/>
              </w:rPr>
              <w:t>. un</w:t>
            </w:r>
            <w:r w:rsidR="007C0B3A" w:rsidRPr="00CD729C">
              <w:rPr>
                <w:color w:val="000000"/>
              </w:rPr>
              <w:t xml:space="preserve"> 15</w:t>
            </w:r>
            <w:r w:rsidRPr="00CD729C">
              <w:rPr>
                <w:color w:val="000000"/>
              </w:rPr>
              <w:t>. dienā</w:t>
            </w:r>
          </w:p>
          <w:p w14:paraId="3D394751" w14:textId="77777777" w:rsidR="007C0B3A" w:rsidRPr="00CD729C" w:rsidRDefault="000C1B8B" w:rsidP="009B4BB6">
            <w:pPr>
              <w:pStyle w:val="EndnoteText"/>
              <w:widowControl w:val="0"/>
              <w:rPr>
                <w:color w:val="000000"/>
              </w:rPr>
            </w:pPr>
            <w:r w:rsidRPr="00CD729C">
              <w:rPr>
                <w:color w:val="000000"/>
              </w:rPr>
              <w:t xml:space="preserve">Leikovorīns </w:t>
            </w:r>
            <w:r w:rsidR="007C0B3A" w:rsidRPr="00CD729C">
              <w:rPr>
                <w:color w:val="000000"/>
              </w:rPr>
              <w:t>(75 mg/m</w:t>
            </w:r>
            <w:r w:rsidR="007C0B3A" w:rsidRPr="00CD729C">
              <w:rPr>
                <w:color w:val="000000"/>
                <w:vertAlign w:val="superscript"/>
              </w:rPr>
              <w:t>2</w:t>
            </w:r>
            <w:r w:rsidR="007C0B3A" w:rsidRPr="00CD729C">
              <w:rPr>
                <w:color w:val="000000"/>
              </w:rPr>
              <w:t xml:space="preserve"> </w:t>
            </w:r>
            <w:r w:rsidR="00B03062" w:rsidRPr="00CD729C">
              <w:rPr>
                <w:color w:val="000000"/>
              </w:rPr>
              <w:t>36. stundā</w:t>
            </w:r>
            <w:r w:rsidR="0030212A" w:rsidRPr="00CD729C">
              <w:rPr>
                <w:color w:val="000000"/>
              </w:rPr>
              <w:t xml:space="preserve">, lietojot </w:t>
            </w:r>
            <w:r w:rsidR="007C0B3A" w:rsidRPr="00CD729C">
              <w:rPr>
                <w:color w:val="000000"/>
              </w:rPr>
              <w:t>IV; 15 mg/m</w:t>
            </w:r>
            <w:r w:rsidR="007C0B3A" w:rsidRPr="00CD729C">
              <w:rPr>
                <w:color w:val="000000"/>
                <w:vertAlign w:val="superscript"/>
              </w:rPr>
              <w:t>2</w:t>
            </w:r>
            <w:r w:rsidR="0030212A" w:rsidRPr="00CD729C">
              <w:rPr>
                <w:color w:val="000000"/>
              </w:rPr>
              <w:t>, lietojot</w:t>
            </w:r>
            <w:r w:rsidR="007C0B3A" w:rsidRPr="00CD729C">
              <w:rPr>
                <w:color w:val="000000"/>
              </w:rPr>
              <w:t xml:space="preserve"> IV </w:t>
            </w:r>
            <w:r w:rsidR="0030212A" w:rsidRPr="00CD729C">
              <w:rPr>
                <w:color w:val="000000"/>
              </w:rPr>
              <w:t>vai</w:t>
            </w:r>
            <w:r w:rsidR="007C0B3A" w:rsidRPr="00CD729C">
              <w:rPr>
                <w:color w:val="000000"/>
              </w:rPr>
              <w:t xml:space="preserve"> PO q6h x 6 </w:t>
            </w:r>
            <w:r w:rsidR="0030212A" w:rsidRPr="00CD729C">
              <w:rPr>
                <w:color w:val="000000"/>
              </w:rPr>
              <w:t>devas</w:t>
            </w:r>
            <w:r w:rsidR="007C0B3A" w:rsidRPr="00CD729C">
              <w:rPr>
                <w:color w:val="000000"/>
              </w:rPr>
              <w:t>)</w:t>
            </w:r>
            <w:r w:rsidR="006C44AB" w:rsidRPr="00CD729C">
              <w:rPr>
                <w:color w:val="000000"/>
              </w:rPr>
              <w:t xml:space="preserve"> </w:t>
            </w:r>
            <w:r w:rsidR="007C0B3A" w:rsidRPr="00CD729C">
              <w:rPr>
                <w:color w:val="000000"/>
              </w:rPr>
              <w:t>iii: 2</w:t>
            </w:r>
            <w:r w:rsidR="0030212A" w:rsidRPr="00CD729C">
              <w:rPr>
                <w:color w:val="000000"/>
              </w:rPr>
              <w:t>.</w:t>
            </w:r>
            <w:r w:rsidR="007C0B3A" w:rsidRPr="00CD729C">
              <w:rPr>
                <w:color w:val="000000"/>
              </w:rPr>
              <w:t>, 3</w:t>
            </w:r>
            <w:r w:rsidR="0030212A" w:rsidRPr="00CD729C">
              <w:rPr>
                <w:color w:val="000000"/>
              </w:rPr>
              <w:t>.</w:t>
            </w:r>
            <w:r w:rsidR="007C0B3A" w:rsidRPr="00CD729C">
              <w:rPr>
                <w:color w:val="000000"/>
              </w:rPr>
              <w:t>, 16</w:t>
            </w:r>
            <w:r w:rsidR="0030212A" w:rsidRPr="00CD729C">
              <w:rPr>
                <w:color w:val="000000"/>
              </w:rPr>
              <w:t>.</w:t>
            </w:r>
            <w:r w:rsidR="007C0B3A" w:rsidRPr="00CD729C">
              <w:rPr>
                <w:color w:val="000000"/>
              </w:rPr>
              <w:t xml:space="preserve">, </w:t>
            </w:r>
            <w:r w:rsidR="0030212A" w:rsidRPr="00CD729C">
              <w:rPr>
                <w:color w:val="000000"/>
              </w:rPr>
              <w:t>un</w:t>
            </w:r>
            <w:r w:rsidR="007C0B3A" w:rsidRPr="00CD729C">
              <w:rPr>
                <w:color w:val="000000"/>
              </w:rPr>
              <w:t xml:space="preserve"> 17</w:t>
            </w:r>
            <w:r w:rsidR="0030212A" w:rsidRPr="00CD729C">
              <w:rPr>
                <w:color w:val="000000"/>
              </w:rPr>
              <w:t>. dienā</w:t>
            </w:r>
          </w:p>
          <w:p w14:paraId="3D394752" w14:textId="77777777" w:rsidR="007C0B3A" w:rsidRPr="00CD729C" w:rsidRDefault="00FC00A5" w:rsidP="009B4BB6">
            <w:pPr>
              <w:pStyle w:val="EndnoteText"/>
              <w:widowControl w:val="0"/>
              <w:rPr>
                <w:color w:val="000000"/>
              </w:rPr>
            </w:pPr>
            <w:r w:rsidRPr="00CD729C">
              <w:rPr>
                <w:color w:val="000000"/>
              </w:rPr>
              <w:t>Trīskārša terapija (pielāgojot pēc vecuma), lietojot IT</w:t>
            </w:r>
            <w:r w:rsidR="007C0B3A" w:rsidRPr="00CD729C">
              <w:rPr>
                <w:color w:val="000000"/>
              </w:rPr>
              <w:t xml:space="preserve">: </w:t>
            </w:r>
            <w:r w:rsidRPr="00CD729C">
              <w:rPr>
                <w:color w:val="000000"/>
              </w:rPr>
              <w:t>1. dienā</w:t>
            </w:r>
            <w:r w:rsidR="007C0B3A" w:rsidRPr="00CD729C">
              <w:rPr>
                <w:color w:val="000000"/>
              </w:rPr>
              <w:t xml:space="preserve"> </w:t>
            </w:r>
            <w:r w:rsidRPr="00CD729C">
              <w:rPr>
                <w:color w:val="000000"/>
              </w:rPr>
              <w:t>un</w:t>
            </w:r>
            <w:r w:rsidR="007C0B3A" w:rsidRPr="00CD729C">
              <w:rPr>
                <w:color w:val="000000"/>
              </w:rPr>
              <w:t xml:space="preserve"> 22</w:t>
            </w:r>
            <w:r w:rsidRPr="00CD729C">
              <w:rPr>
                <w:color w:val="000000"/>
              </w:rPr>
              <w:t>. dienā</w:t>
            </w:r>
          </w:p>
          <w:p w14:paraId="3D394753" w14:textId="77777777" w:rsidR="007C0B3A" w:rsidRPr="00CD729C" w:rsidRDefault="007C0B3A" w:rsidP="009B4BB6">
            <w:pPr>
              <w:pStyle w:val="EndnoteText"/>
              <w:widowControl w:val="0"/>
              <w:rPr>
                <w:color w:val="000000"/>
              </w:rPr>
            </w:pPr>
            <w:r w:rsidRPr="00CD729C">
              <w:rPr>
                <w:color w:val="000000"/>
              </w:rPr>
              <w:t>VP-16 (100 mg/m</w:t>
            </w:r>
            <w:r w:rsidRPr="00CD729C">
              <w:rPr>
                <w:color w:val="000000"/>
                <w:vertAlign w:val="superscript"/>
              </w:rPr>
              <w:t>2</w:t>
            </w:r>
            <w:r w:rsidRPr="00CD729C">
              <w:rPr>
                <w:color w:val="000000"/>
              </w:rPr>
              <w:t>/</w:t>
            </w:r>
            <w:r w:rsidR="0030212A" w:rsidRPr="00CD729C">
              <w:rPr>
                <w:color w:val="000000"/>
              </w:rPr>
              <w:t>dienā</w:t>
            </w:r>
            <w:r w:rsidRPr="00CD729C">
              <w:rPr>
                <w:color w:val="000000"/>
              </w:rPr>
              <w:t xml:space="preserve">, </w:t>
            </w:r>
            <w:r w:rsidR="0030212A" w:rsidRPr="00CD729C">
              <w:rPr>
                <w:color w:val="000000"/>
              </w:rPr>
              <w:t xml:space="preserve">lietojot </w:t>
            </w:r>
            <w:r w:rsidRPr="00CD729C">
              <w:rPr>
                <w:color w:val="000000"/>
              </w:rPr>
              <w:t>IV): 22</w:t>
            </w:r>
            <w:r w:rsidR="0030212A" w:rsidRPr="00CD729C">
              <w:rPr>
                <w:color w:val="000000"/>
              </w:rPr>
              <w:t>.</w:t>
            </w:r>
            <w:r w:rsidRPr="00CD729C">
              <w:rPr>
                <w:color w:val="000000"/>
              </w:rPr>
              <w:noBreakHyphen/>
              <w:t>26</w:t>
            </w:r>
            <w:r w:rsidR="0030212A" w:rsidRPr="00CD729C">
              <w:rPr>
                <w:color w:val="000000"/>
              </w:rPr>
              <w:t>. dienā</w:t>
            </w:r>
          </w:p>
          <w:p w14:paraId="3D394754" w14:textId="77777777" w:rsidR="007C0B3A" w:rsidRPr="00CD729C" w:rsidRDefault="007C0B3A" w:rsidP="009B4BB6">
            <w:pPr>
              <w:pStyle w:val="EndnoteText"/>
              <w:widowControl w:val="0"/>
              <w:rPr>
                <w:color w:val="000000"/>
              </w:rPr>
            </w:pPr>
            <w:r w:rsidRPr="00CD729C">
              <w:rPr>
                <w:color w:val="000000"/>
              </w:rPr>
              <w:t>CPM (300 mg/m</w:t>
            </w:r>
            <w:r w:rsidRPr="00CD729C">
              <w:rPr>
                <w:color w:val="000000"/>
                <w:vertAlign w:val="superscript"/>
              </w:rPr>
              <w:t>2</w:t>
            </w:r>
            <w:r w:rsidRPr="00CD729C">
              <w:rPr>
                <w:color w:val="000000"/>
              </w:rPr>
              <w:t>/</w:t>
            </w:r>
            <w:r w:rsidR="0030212A" w:rsidRPr="00CD729C">
              <w:rPr>
                <w:color w:val="000000"/>
              </w:rPr>
              <w:t>dienā</w:t>
            </w:r>
            <w:r w:rsidRPr="00CD729C">
              <w:rPr>
                <w:color w:val="000000"/>
              </w:rPr>
              <w:t xml:space="preserve">, </w:t>
            </w:r>
            <w:r w:rsidR="0030212A" w:rsidRPr="00CD729C">
              <w:rPr>
                <w:color w:val="000000"/>
              </w:rPr>
              <w:t xml:space="preserve">lietojot </w:t>
            </w:r>
            <w:r w:rsidRPr="00CD729C">
              <w:rPr>
                <w:color w:val="000000"/>
              </w:rPr>
              <w:t>IV): 22</w:t>
            </w:r>
            <w:r w:rsidR="0030212A" w:rsidRPr="00CD729C">
              <w:rPr>
                <w:color w:val="000000"/>
              </w:rPr>
              <w:t>.</w:t>
            </w:r>
            <w:r w:rsidRPr="00CD729C">
              <w:rPr>
                <w:color w:val="000000"/>
              </w:rPr>
              <w:noBreakHyphen/>
              <w:t>26</w:t>
            </w:r>
            <w:r w:rsidR="0030212A" w:rsidRPr="00CD729C">
              <w:rPr>
                <w:color w:val="000000"/>
              </w:rPr>
              <w:t>. dienā</w:t>
            </w:r>
          </w:p>
          <w:p w14:paraId="3D394755" w14:textId="77777777" w:rsidR="007C0B3A" w:rsidRPr="00CD729C" w:rsidRDefault="007C0B3A" w:rsidP="009B4BB6">
            <w:pPr>
              <w:pStyle w:val="EndnoteText"/>
              <w:widowControl w:val="0"/>
              <w:rPr>
                <w:color w:val="000000"/>
              </w:rPr>
            </w:pPr>
            <w:r w:rsidRPr="00CD729C">
              <w:rPr>
                <w:color w:val="000000"/>
              </w:rPr>
              <w:t>MESNA (150 mg/m</w:t>
            </w:r>
            <w:r w:rsidRPr="00CD729C">
              <w:rPr>
                <w:color w:val="000000"/>
                <w:vertAlign w:val="superscript"/>
              </w:rPr>
              <w:t>2</w:t>
            </w:r>
            <w:r w:rsidRPr="00CD729C">
              <w:rPr>
                <w:color w:val="000000"/>
              </w:rPr>
              <w:t>/</w:t>
            </w:r>
            <w:r w:rsidR="0030212A" w:rsidRPr="00CD729C">
              <w:rPr>
                <w:color w:val="000000"/>
              </w:rPr>
              <w:t>dienā</w:t>
            </w:r>
            <w:r w:rsidRPr="00CD729C">
              <w:rPr>
                <w:color w:val="000000"/>
              </w:rPr>
              <w:t xml:space="preserve">, </w:t>
            </w:r>
            <w:r w:rsidR="0030212A" w:rsidRPr="00CD729C">
              <w:rPr>
                <w:color w:val="000000"/>
              </w:rPr>
              <w:t xml:space="preserve">lietojot </w:t>
            </w:r>
            <w:r w:rsidRPr="00CD729C">
              <w:rPr>
                <w:color w:val="000000"/>
              </w:rPr>
              <w:t>IV): 22</w:t>
            </w:r>
            <w:r w:rsidR="0030212A" w:rsidRPr="00CD729C">
              <w:rPr>
                <w:color w:val="000000"/>
              </w:rPr>
              <w:t>.</w:t>
            </w:r>
            <w:r w:rsidRPr="00CD729C">
              <w:rPr>
                <w:color w:val="000000"/>
              </w:rPr>
              <w:noBreakHyphen/>
              <w:t>26</w:t>
            </w:r>
            <w:r w:rsidR="0030212A" w:rsidRPr="00CD729C">
              <w:rPr>
                <w:color w:val="000000"/>
              </w:rPr>
              <w:t>. dienā</w:t>
            </w:r>
          </w:p>
          <w:p w14:paraId="3D394756" w14:textId="77777777" w:rsidR="007C0B3A" w:rsidRPr="00CD729C" w:rsidRDefault="007C0B3A" w:rsidP="009B4BB6">
            <w:pPr>
              <w:pStyle w:val="EndnoteText"/>
              <w:widowControl w:val="0"/>
              <w:rPr>
                <w:color w:val="000000"/>
              </w:rPr>
            </w:pPr>
            <w:r w:rsidRPr="00CD729C">
              <w:rPr>
                <w:color w:val="000000"/>
              </w:rPr>
              <w:t xml:space="preserve">G-CSF (5 μg/kg, </w:t>
            </w:r>
            <w:r w:rsidR="0030212A" w:rsidRPr="00CD729C">
              <w:rPr>
                <w:color w:val="000000"/>
              </w:rPr>
              <w:t xml:space="preserve">lietojot </w:t>
            </w:r>
            <w:r w:rsidRPr="00CD729C">
              <w:rPr>
                <w:color w:val="000000"/>
              </w:rPr>
              <w:t>SC): 27</w:t>
            </w:r>
            <w:r w:rsidR="0030212A" w:rsidRPr="00CD729C">
              <w:rPr>
                <w:color w:val="000000"/>
              </w:rPr>
              <w:t>.</w:t>
            </w:r>
            <w:r w:rsidRPr="00CD729C">
              <w:rPr>
                <w:color w:val="000000"/>
              </w:rPr>
              <w:noBreakHyphen/>
              <w:t>36</w:t>
            </w:r>
            <w:r w:rsidR="0030212A" w:rsidRPr="00CD729C">
              <w:rPr>
                <w:color w:val="000000"/>
              </w:rPr>
              <w:t>. dienā</w:t>
            </w:r>
            <w:r w:rsidRPr="00CD729C">
              <w:rPr>
                <w:color w:val="000000"/>
              </w:rPr>
              <w:t xml:space="preserve"> </w:t>
            </w:r>
            <w:r w:rsidR="0030212A" w:rsidRPr="00CD729C">
              <w:rPr>
                <w:color w:val="000000"/>
              </w:rPr>
              <w:t>vai līdz</w:t>
            </w:r>
            <w:r w:rsidRPr="00CD729C">
              <w:rPr>
                <w:color w:val="000000"/>
              </w:rPr>
              <w:t xml:space="preserve"> ANC &gt;1</w:t>
            </w:r>
            <w:r w:rsidR="0030212A" w:rsidRPr="00CD729C">
              <w:rPr>
                <w:color w:val="000000"/>
              </w:rPr>
              <w:t> </w:t>
            </w:r>
            <w:r w:rsidRPr="00CD729C">
              <w:rPr>
                <w:color w:val="000000"/>
              </w:rPr>
              <w:t>500 </w:t>
            </w:r>
            <w:r w:rsidR="0030212A" w:rsidRPr="00CD729C">
              <w:rPr>
                <w:color w:val="000000"/>
              </w:rPr>
              <w:t>pēc zemākā rādītāja</w:t>
            </w:r>
          </w:p>
          <w:p w14:paraId="3D394757" w14:textId="77777777" w:rsidR="007C0B3A" w:rsidRPr="00CD729C" w:rsidRDefault="007C0B3A" w:rsidP="009B4BB6">
            <w:pPr>
              <w:pStyle w:val="EndnoteText"/>
              <w:widowControl w:val="0"/>
              <w:rPr>
                <w:color w:val="000000"/>
              </w:rPr>
            </w:pPr>
            <w:r w:rsidRPr="00CD729C">
              <w:rPr>
                <w:color w:val="000000"/>
              </w:rPr>
              <w:t>ARA-C (3</w:t>
            </w:r>
            <w:r w:rsidR="0030212A" w:rsidRPr="00CD729C">
              <w:rPr>
                <w:color w:val="000000"/>
              </w:rPr>
              <w:t> </w:t>
            </w:r>
            <w:r w:rsidRPr="00CD729C">
              <w:rPr>
                <w:color w:val="000000"/>
              </w:rPr>
              <w:t>g/m</w:t>
            </w:r>
            <w:r w:rsidRPr="00CD729C">
              <w:rPr>
                <w:color w:val="000000"/>
                <w:vertAlign w:val="superscript"/>
              </w:rPr>
              <w:t>2</w:t>
            </w:r>
            <w:r w:rsidRPr="00CD729C">
              <w:rPr>
                <w:color w:val="000000"/>
              </w:rPr>
              <w:t xml:space="preserve">, q12h, </w:t>
            </w:r>
            <w:r w:rsidR="0030212A" w:rsidRPr="00CD729C">
              <w:rPr>
                <w:color w:val="000000"/>
              </w:rPr>
              <w:t xml:space="preserve">lietojot </w:t>
            </w:r>
            <w:r w:rsidRPr="00CD729C">
              <w:rPr>
                <w:color w:val="000000"/>
              </w:rPr>
              <w:t>IV): 43</w:t>
            </w:r>
            <w:r w:rsidR="0030212A" w:rsidRPr="00CD729C">
              <w:rPr>
                <w:color w:val="000000"/>
              </w:rPr>
              <w:t>.</w:t>
            </w:r>
            <w:r w:rsidRPr="00CD729C">
              <w:rPr>
                <w:color w:val="000000"/>
              </w:rPr>
              <w:t>, 44</w:t>
            </w:r>
            <w:r w:rsidR="0030212A" w:rsidRPr="00CD729C">
              <w:rPr>
                <w:color w:val="000000"/>
              </w:rPr>
              <w:t>. dienā</w:t>
            </w:r>
          </w:p>
          <w:p w14:paraId="3D394758" w14:textId="77777777" w:rsidR="007C0B3A" w:rsidRPr="00CD729C" w:rsidRDefault="007C0B3A" w:rsidP="009B4BB6">
            <w:pPr>
              <w:pStyle w:val="EndnoteText"/>
              <w:widowControl w:val="0"/>
              <w:rPr>
                <w:color w:val="000000"/>
              </w:rPr>
            </w:pPr>
            <w:r w:rsidRPr="00CD729C">
              <w:rPr>
                <w:color w:val="000000"/>
              </w:rPr>
              <w:t>L-ASP (6</w:t>
            </w:r>
            <w:r w:rsidR="0030212A" w:rsidRPr="00CD729C">
              <w:rPr>
                <w:color w:val="000000"/>
              </w:rPr>
              <w:t> </w:t>
            </w:r>
            <w:r w:rsidRPr="00CD729C">
              <w:rPr>
                <w:color w:val="000000"/>
              </w:rPr>
              <w:t>000 </w:t>
            </w:r>
            <w:r w:rsidR="0030212A" w:rsidRPr="00CD729C">
              <w:rPr>
                <w:color w:val="000000"/>
              </w:rPr>
              <w:t>SV</w:t>
            </w:r>
            <w:r w:rsidRPr="00CD729C">
              <w:rPr>
                <w:color w:val="000000"/>
              </w:rPr>
              <w:t>/m</w:t>
            </w:r>
            <w:r w:rsidRPr="00CD729C">
              <w:rPr>
                <w:color w:val="000000"/>
                <w:vertAlign w:val="superscript"/>
              </w:rPr>
              <w:t>2</w:t>
            </w:r>
            <w:r w:rsidRPr="00CD729C">
              <w:rPr>
                <w:color w:val="000000"/>
              </w:rPr>
              <w:t xml:space="preserve">, </w:t>
            </w:r>
            <w:r w:rsidR="0030212A" w:rsidRPr="00CD729C">
              <w:rPr>
                <w:color w:val="000000"/>
              </w:rPr>
              <w:t xml:space="preserve">lietojot </w:t>
            </w:r>
            <w:r w:rsidRPr="00CD729C">
              <w:rPr>
                <w:color w:val="000000"/>
              </w:rPr>
              <w:t>IM): 44</w:t>
            </w:r>
            <w:r w:rsidR="0030212A" w:rsidRPr="00CD729C">
              <w:rPr>
                <w:color w:val="000000"/>
              </w:rPr>
              <w:t> dienā</w:t>
            </w:r>
          </w:p>
        </w:tc>
      </w:tr>
      <w:tr w:rsidR="007C0B3A" w:rsidRPr="00CD729C" w14:paraId="3D394768" w14:textId="77777777" w:rsidTr="00341FA1">
        <w:trPr>
          <w:cantSplit/>
        </w:trPr>
        <w:tc>
          <w:tcPr>
            <w:tcW w:w="2358" w:type="dxa"/>
            <w:shd w:val="clear" w:color="auto" w:fill="auto"/>
          </w:tcPr>
          <w:p w14:paraId="3D39475A" w14:textId="77777777" w:rsidR="007C0B3A" w:rsidRPr="00CD729C" w:rsidRDefault="0084621F" w:rsidP="009B4BB6">
            <w:pPr>
              <w:pStyle w:val="EndnoteText"/>
              <w:widowControl w:val="0"/>
              <w:rPr>
                <w:color w:val="000000"/>
              </w:rPr>
            </w:pPr>
            <w:r w:rsidRPr="00CD729C">
              <w:rPr>
                <w:color w:val="000000"/>
              </w:rPr>
              <w:t>Uzturošā terapija</w:t>
            </w:r>
          </w:p>
          <w:p w14:paraId="3D39475B" w14:textId="77777777" w:rsidR="007C0B3A" w:rsidRPr="00CD729C" w:rsidRDefault="007C0B3A" w:rsidP="009B4BB6">
            <w:pPr>
              <w:pStyle w:val="EndnoteText"/>
              <w:widowControl w:val="0"/>
              <w:rPr>
                <w:color w:val="000000"/>
              </w:rPr>
            </w:pPr>
            <w:r w:rsidRPr="00CD729C">
              <w:rPr>
                <w:color w:val="000000"/>
              </w:rPr>
              <w:t>(8-</w:t>
            </w:r>
            <w:r w:rsidR="00500B2C" w:rsidRPr="00CD729C">
              <w:rPr>
                <w:color w:val="000000"/>
              </w:rPr>
              <w:t>nedēļu cikli</w:t>
            </w:r>
            <w:r w:rsidRPr="00CD729C">
              <w:rPr>
                <w:color w:val="000000"/>
              </w:rPr>
              <w:t>)</w:t>
            </w:r>
          </w:p>
          <w:p w14:paraId="3D39475C" w14:textId="77777777" w:rsidR="007C0B3A" w:rsidRPr="00CD729C" w:rsidRDefault="007C0B3A" w:rsidP="009B4BB6">
            <w:pPr>
              <w:pStyle w:val="EndnoteText"/>
              <w:widowControl w:val="0"/>
              <w:rPr>
                <w:color w:val="000000"/>
              </w:rPr>
            </w:pPr>
            <w:r w:rsidRPr="00CD729C">
              <w:rPr>
                <w:color w:val="000000"/>
              </w:rPr>
              <w:t>C</w:t>
            </w:r>
            <w:r w:rsidR="00500B2C" w:rsidRPr="00CD729C">
              <w:rPr>
                <w:color w:val="000000"/>
              </w:rPr>
              <w:t>ikli</w:t>
            </w:r>
            <w:r w:rsidRPr="00CD729C">
              <w:rPr>
                <w:color w:val="000000"/>
              </w:rPr>
              <w:t> 1–4</w:t>
            </w:r>
          </w:p>
        </w:tc>
        <w:tc>
          <w:tcPr>
            <w:tcW w:w="6929" w:type="dxa"/>
            <w:shd w:val="clear" w:color="auto" w:fill="auto"/>
          </w:tcPr>
          <w:p w14:paraId="3D39475D" w14:textId="77777777" w:rsidR="007C0B3A" w:rsidRPr="00CD729C" w:rsidRDefault="007C0B3A" w:rsidP="009B4BB6">
            <w:pPr>
              <w:pStyle w:val="EndnoteText"/>
              <w:widowControl w:val="0"/>
              <w:rPr>
                <w:color w:val="000000"/>
              </w:rPr>
            </w:pPr>
            <w:r w:rsidRPr="00CD729C">
              <w:rPr>
                <w:color w:val="000000"/>
              </w:rPr>
              <w:t>MTX (5 g/m</w:t>
            </w:r>
            <w:r w:rsidRPr="00CD729C">
              <w:rPr>
                <w:color w:val="000000"/>
                <w:vertAlign w:val="superscript"/>
              </w:rPr>
              <w:t>2</w:t>
            </w:r>
            <w:r w:rsidRPr="00CD729C">
              <w:rPr>
                <w:color w:val="000000"/>
              </w:rPr>
              <w:t xml:space="preserve"> 24 </w:t>
            </w:r>
            <w:r w:rsidR="00FC00A5" w:rsidRPr="00CD729C">
              <w:rPr>
                <w:color w:val="000000"/>
              </w:rPr>
              <w:t>stundu laikā</w:t>
            </w:r>
            <w:r w:rsidRPr="00CD729C">
              <w:rPr>
                <w:color w:val="000000"/>
              </w:rPr>
              <w:t xml:space="preserve">, </w:t>
            </w:r>
            <w:r w:rsidR="00FC00A5" w:rsidRPr="00CD729C">
              <w:rPr>
                <w:color w:val="000000"/>
              </w:rPr>
              <w:t xml:space="preserve">lietojot </w:t>
            </w:r>
            <w:r w:rsidRPr="00CD729C">
              <w:rPr>
                <w:color w:val="000000"/>
              </w:rPr>
              <w:t>IV): 1</w:t>
            </w:r>
            <w:r w:rsidR="00FC00A5" w:rsidRPr="00CD729C">
              <w:rPr>
                <w:color w:val="000000"/>
              </w:rPr>
              <w:t>. dienā</w:t>
            </w:r>
          </w:p>
          <w:p w14:paraId="3D39475E" w14:textId="77777777" w:rsidR="007C0B3A" w:rsidRPr="00CD729C" w:rsidRDefault="007C0B3A" w:rsidP="009B4BB6">
            <w:pPr>
              <w:pStyle w:val="EndnoteText"/>
              <w:widowControl w:val="0"/>
              <w:rPr>
                <w:color w:val="000000"/>
              </w:rPr>
            </w:pPr>
            <w:r w:rsidRPr="00CD729C">
              <w:rPr>
                <w:color w:val="000000"/>
              </w:rPr>
              <w:t>Le</w:t>
            </w:r>
            <w:r w:rsidR="00FC00A5" w:rsidRPr="00CD729C">
              <w:rPr>
                <w:color w:val="000000"/>
              </w:rPr>
              <w:t>ik</w:t>
            </w:r>
            <w:r w:rsidRPr="00CD729C">
              <w:rPr>
                <w:color w:val="000000"/>
              </w:rPr>
              <w:t>ovor</w:t>
            </w:r>
            <w:r w:rsidR="00FC00A5" w:rsidRPr="00CD729C">
              <w:rPr>
                <w:color w:val="000000"/>
              </w:rPr>
              <w:t>ī</w:t>
            </w:r>
            <w:r w:rsidRPr="00CD729C">
              <w:rPr>
                <w:color w:val="000000"/>
              </w:rPr>
              <w:t>n</w:t>
            </w:r>
            <w:r w:rsidR="00FC00A5" w:rsidRPr="00CD729C">
              <w:rPr>
                <w:color w:val="000000"/>
              </w:rPr>
              <w:t>s</w:t>
            </w:r>
            <w:r w:rsidRPr="00CD729C">
              <w:rPr>
                <w:color w:val="000000"/>
              </w:rPr>
              <w:t xml:space="preserve"> (75 mg/m</w:t>
            </w:r>
            <w:r w:rsidRPr="00CD729C">
              <w:rPr>
                <w:color w:val="000000"/>
                <w:vertAlign w:val="superscript"/>
              </w:rPr>
              <w:t>2</w:t>
            </w:r>
            <w:r w:rsidRPr="00CD729C">
              <w:rPr>
                <w:color w:val="000000"/>
              </w:rPr>
              <w:t xml:space="preserve"> 36</w:t>
            </w:r>
            <w:r w:rsidR="00FC00A5" w:rsidRPr="00CD729C">
              <w:rPr>
                <w:color w:val="000000"/>
              </w:rPr>
              <w:t>. stundā</w:t>
            </w:r>
            <w:r w:rsidRPr="00CD729C">
              <w:rPr>
                <w:color w:val="000000"/>
              </w:rPr>
              <w:t xml:space="preserve">, </w:t>
            </w:r>
            <w:r w:rsidR="00FC00A5" w:rsidRPr="00CD729C">
              <w:rPr>
                <w:color w:val="000000"/>
              </w:rPr>
              <w:t xml:space="preserve">lietojot </w:t>
            </w:r>
            <w:r w:rsidRPr="00CD729C">
              <w:rPr>
                <w:color w:val="000000"/>
              </w:rPr>
              <w:t>IV; 15 mg/m</w:t>
            </w:r>
            <w:r w:rsidRPr="00CD729C">
              <w:rPr>
                <w:color w:val="000000"/>
                <w:vertAlign w:val="superscript"/>
              </w:rPr>
              <w:t>2</w:t>
            </w:r>
            <w:r w:rsidRPr="00CD729C">
              <w:rPr>
                <w:color w:val="000000"/>
              </w:rPr>
              <w:t xml:space="preserve"> </w:t>
            </w:r>
            <w:r w:rsidR="00FC00A5" w:rsidRPr="00CD729C">
              <w:rPr>
                <w:color w:val="000000"/>
              </w:rPr>
              <w:t xml:space="preserve">lietojot </w:t>
            </w:r>
            <w:r w:rsidRPr="00CD729C">
              <w:rPr>
                <w:color w:val="000000"/>
              </w:rPr>
              <w:t xml:space="preserve">IV </w:t>
            </w:r>
            <w:r w:rsidR="00FC00A5" w:rsidRPr="00CD729C">
              <w:rPr>
                <w:color w:val="000000"/>
              </w:rPr>
              <w:t>vai</w:t>
            </w:r>
            <w:r w:rsidRPr="00CD729C">
              <w:rPr>
                <w:color w:val="000000"/>
              </w:rPr>
              <w:t xml:space="preserve"> PO q6h x 6</w:t>
            </w:r>
            <w:r w:rsidR="00FC00A5" w:rsidRPr="00CD729C">
              <w:rPr>
                <w:color w:val="000000"/>
              </w:rPr>
              <w:t> </w:t>
            </w:r>
            <w:r w:rsidRPr="00CD729C">
              <w:rPr>
                <w:color w:val="000000"/>
              </w:rPr>
              <w:t>d</w:t>
            </w:r>
            <w:r w:rsidR="00FC00A5" w:rsidRPr="00CD729C">
              <w:rPr>
                <w:color w:val="000000"/>
              </w:rPr>
              <w:t>evas</w:t>
            </w:r>
            <w:r w:rsidRPr="00CD729C">
              <w:rPr>
                <w:color w:val="000000"/>
              </w:rPr>
              <w:t>)</w:t>
            </w:r>
            <w:r w:rsidR="006C44AB" w:rsidRPr="00CD729C">
              <w:rPr>
                <w:color w:val="000000"/>
              </w:rPr>
              <w:t xml:space="preserve"> </w:t>
            </w:r>
            <w:r w:rsidRPr="00CD729C">
              <w:rPr>
                <w:color w:val="000000"/>
              </w:rPr>
              <w:t>iii: 2</w:t>
            </w:r>
            <w:r w:rsidR="00FC00A5" w:rsidRPr="00CD729C">
              <w:rPr>
                <w:color w:val="000000"/>
              </w:rPr>
              <w:t>. un</w:t>
            </w:r>
            <w:r w:rsidRPr="00CD729C">
              <w:rPr>
                <w:color w:val="000000"/>
              </w:rPr>
              <w:t xml:space="preserve"> 3</w:t>
            </w:r>
            <w:r w:rsidR="00FC00A5" w:rsidRPr="00CD729C">
              <w:rPr>
                <w:color w:val="000000"/>
              </w:rPr>
              <w:t>. dienā</w:t>
            </w:r>
          </w:p>
          <w:p w14:paraId="3D39475F" w14:textId="77777777" w:rsidR="007C0B3A" w:rsidRPr="00CD729C" w:rsidRDefault="00FC00A5" w:rsidP="009B4BB6">
            <w:pPr>
              <w:pStyle w:val="EndnoteText"/>
              <w:widowControl w:val="0"/>
              <w:rPr>
                <w:color w:val="000000"/>
              </w:rPr>
            </w:pPr>
            <w:r w:rsidRPr="00CD729C">
              <w:rPr>
                <w:color w:val="000000"/>
              </w:rPr>
              <w:t>Trīskārša terapija (pielāgojot pēc vecuma), lietojot IT</w:t>
            </w:r>
            <w:r w:rsidR="007C0B3A" w:rsidRPr="00CD729C">
              <w:rPr>
                <w:color w:val="000000"/>
              </w:rPr>
              <w:t>: 1</w:t>
            </w:r>
            <w:r w:rsidRPr="00CD729C">
              <w:rPr>
                <w:color w:val="000000"/>
              </w:rPr>
              <w:t>.</w:t>
            </w:r>
            <w:r w:rsidR="007C0B3A" w:rsidRPr="00CD729C">
              <w:rPr>
                <w:color w:val="000000"/>
              </w:rPr>
              <w:t>, 29</w:t>
            </w:r>
            <w:r w:rsidRPr="00CD729C">
              <w:rPr>
                <w:color w:val="000000"/>
              </w:rPr>
              <w:t>. dienā</w:t>
            </w:r>
          </w:p>
          <w:p w14:paraId="3D394760" w14:textId="77777777" w:rsidR="007C0B3A" w:rsidRPr="00CD729C" w:rsidRDefault="007C0B3A" w:rsidP="009B4BB6">
            <w:pPr>
              <w:pStyle w:val="EndnoteText"/>
              <w:widowControl w:val="0"/>
              <w:rPr>
                <w:color w:val="000000"/>
              </w:rPr>
            </w:pPr>
            <w:r w:rsidRPr="00CD729C">
              <w:rPr>
                <w:color w:val="000000"/>
              </w:rPr>
              <w:t>VCR (1.5 mg/m</w:t>
            </w:r>
            <w:r w:rsidRPr="00CD729C">
              <w:rPr>
                <w:color w:val="000000"/>
                <w:vertAlign w:val="superscript"/>
              </w:rPr>
              <w:t>2</w:t>
            </w:r>
            <w:r w:rsidRPr="00CD729C">
              <w:rPr>
                <w:color w:val="000000"/>
              </w:rPr>
              <w:t xml:space="preserve">, </w:t>
            </w:r>
            <w:r w:rsidR="0030212A" w:rsidRPr="00CD729C">
              <w:rPr>
                <w:color w:val="000000"/>
              </w:rPr>
              <w:t xml:space="preserve">lietojot </w:t>
            </w:r>
            <w:r w:rsidRPr="00CD729C">
              <w:rPr>
                <w:color w:val="000000"/>
              </w:rPr>
              <w:t>IV): 1</w:t>
            </w:r>
            <w:r w:rsidR="0030212A" w:rsidRPr="00CD729C">
              <w:rPr>
                <w:color w:val="000000"/>
              </w:rPr>
              <w:t>.</w:t>
            </w:r>
            <w:r w:rsidRPr="00CD729C">
              <w:rPr>
                <w:color w:val="000000"/>
              </w:rPr>
              <w:t>, 29</w:t>
            </w:r>
            <w:r w:rsidR="0030212A" w:rsidRPr="00CD729C">
              <w:rPr>
                <w:color w:val="000000"/>
              </w:rPr>
              <w:t>. dienā</w:t>
            </w:r>
          </w:p>
          <w:p w14:paraId="3D394761" w14:textId="77777777" w:rsidR="007C0B3A" w:rsidRPr="00CD729C" w:rsidRDefault="007C0B3A" w:rsidP="009B4BB6">
            <w:pPr>
              <w:pStyle w:val="EndnoteText"/>
              <w:widowControl w:val="0"/>
              <w:rPr>
                <w:color w:val="000000"/>
              </w:rPr>
            </w:pPr>
            <w:r w:rsidRPr="00CD729C">
              <w:rPr>
                <w:color w:val="000000"/>
              </w:rPr>
              <w:t>DEX (6 mg/m</w:t>
            </w:r>
            <w:r w:rsidRPr="00CD729C">
              <w:rPr>
                <w:color w:val="000000"/>
                <w:vertAlign w:val="superscript"/>
              </w:rPr>
              <w:t>2</w:t>
            </w:r>
            <w:r w:rsidRPr="00CD729C">
              <w:rPr>
                <w:color w:val="000000"/>
              </w:rPr>
              <w:t>/</w:t>
            </w:r>
            <w:r w:rsidR="0030212A" w:rsidRPr="00CD729C">
              <w:rPr>
                <w:color w:val="000000"/>
              </w:rPr>
              <w:t>dienā, lietojot</w:t>
            </w:r>
            <w:r w:rsidRPr="00CD729C">
              <w:rPr>
                <w:color w:val="000000"/>
              </w:rPr>
              <w:t xml:space="preserve"> PO): 1</w:t>
            </w:r>
            <w:r w:rsidR="0030212A" w:rsidRPr="00CD729C">
              <w:rPr>
                <w:color w:val="000000"/>
              </w:rPr>
              <w:t>.</w:t>
            </w:r>
            <w:r w:rsidRPr="00CD729C">
              <w:rPr>
                <w:color w:val="000000"/>
              </w:rPr>
              <w:noBreakHyphen/>
              <w:t>5</w:t>
            </w:r>
            <w:r w:rsidR="0030212A" w:rsidRPr="00CD729C">
              <w:rPr>
                <w:color w:val="000000"/>
              </w:rPr>
              <w:t>.</w:t>
            </w:r>
            <w:r w:rsidRPr="00CD729C">
              <w:rPr>
                <w:color w:val="000000"/>
              </w:rPr>
              <w:t>; 29</w:t>
            </w:r>
            <w:r w:rsidR="0030212A" w:rsidRPr="00CD729C">
              <w:rPr>
                <w:color w:val="000000"/>
              </w:rPr>
              <w:t>.</w:t>
            </w:r>
            <w:r w:rsidRPr="00CD729C">
              <w:rPr>
                <w:color w:val="000000"/>
              </w:rPr>
              <w:noBreakHyphen/>
              <w:t>33</w:t>
            </w:r>
            <w:r w:rsidR="0030212A" w:rsidRPr="00CD729C">
              <w:rPr>
                <w:color w:val="000000"/>
              </w:rPr>
              <w:t>. dienā</w:t>
            </w:r>
          </w:p>
          <w:p w14:paraId="3D394762" w14:textId="77777777" w:rsidR="007C0B3A" w:rsidRPr="00CD729C" w:rsidRDefault="007C0B3A" w:rsidP="009B4BB6">
            <w:pPr>
              <w:pStyle w:val="EndnoteText"/>
              <w:widowControl w:val="0"/>
              <w:rPr>
                <w:color w:val="000000"/>
              </w:rPr>
            </w:pPr>
            <w:r w:rsidRPr="00CD729C">
              <w:rPr>
                <w:color w:val="000000"/>
              </w:rPr>
              <w:t>6-MP (75 mg/m</w:t>
            </w:r>
            <w:r w:rsidRPr="00CD729C">
              <w:rPr>
                <w:color w:val="000000"/>
                <w:vertAlign w:val="superscript"/>
              </w:rPr>
              <w:t>2</w:t>
            </w:r>
            <w:r w:rsidRPr="00CD729C">
              <w:rPr>
                <w:color w:val="000000"/>
              </w:rPr>
              <w:t>/</w:t>
            </w:r>
            <w:r w:rsidR="0030212A" w:rsidRPr="00CD729C">
              <w:rPr>
                <w:color w:val="000000"/>
              </w:rPr>
              <w:t>dienā</w:t>
            </w:r>
            <w:r w:rsidRPr="00CD729C">
              <w:rPr>
                <w:color w:val="000000"/>
              </w:rPr>
              <w:t>, PO): 8</w:t>
            </w:r>
            <w:r w:rsidR="0030212A" w:rsidRPr="00CD729C">
              <w:rPr>
                <w:color w:val="000000"/>
              </w:rPr>
              <w:t>.</w:t>
            </w:r>
            <w:r w:rsidRPr="00CD729C">
              <w:rPr>
                <w:color w:val="000000"/>
              </w:rPr>
              <w:t>-28</w:t>
            </w:r>
            <w:r w:rsidR="0030212A" w:rsidRPr="00CD729C">
              <w:rPr>
                <w:color w:val="000000"/>
              </w:rPr>
              <w:t>. dienā</w:t>
            </w:r>
          </w:p>
          <w:p w14:paraId="3D394763" w14:textId="77777777" w:rsidR="007C0B3A" w:rsidRPr="00CD729C" w:rsidRDefault="0030212A" w:rsidP="009B4BB6">
            <w:pPr>
              <w:pStyle w:val="EndnoteText"/>
              <w:widowControl w:val="0"/>
              <w:rPr>
                <w:color w:val="000000"/>
              </w:rPr>
            </w:pPr>
            <w:r w:rsidRPr="00CD729C">
              <w:rPr>
                <w:color w:val="000000"/>
              </w:rPr>
              <w:t xml:space="preserve">Metotreksāts </w:t>
            </w:r>
            <w:r w:rsidR="007C0B3A" w:rsidRPr="00CD729C">
              <w:rPr>
                <w:color w:val="000000"/>
              </w:rPr>
              <w:t>(20 mg/m</w:t>
            </w:r>
            <w:r w:rsidR="007C0B3A" w:rsidRPr="00CD729C">
              <w:rPr>
                <w:color w:val="000000"/>
                <w:vertAlign w:val="superscript"/>
              </w:rPr>
              <w:t>2</w:t>
            </w:r>
            <w:r w:rsidR="007C0B3A" w:rsidRPr="00CD729C">
              <w:rPr>
                <w:color w:val="000000"/>
              </w:rPr>
              <w:t>/</w:t>
            </w:r>
            <w:r w:rsidRPr="00CD729C">
              <w:rPr>
                <w:color w:val="000000"/>
              </w:rPr>
              <w:t>nedēļā</w:t>
            </w:r>
            <w:r w:rsidR="007C0B3A" w:rsidRPr="00CD729C">
              <w:rPr>
                <w:color w:val="000000"/>
              </w:rPr>
              <w:t xml:space="preserve">, </w:t>
            </w:r>
            <w:r w:rsidRPr="00CD729C">
              <w:rPr>
                <w:color w:val="000000"/>
              </w:rPr>
              <w:t xml:space="preserve">lietojot </w:t>
            </w:r>
            <w:r w:rsidR="007C0B3A" w:rsidRPr="00CD729C">
              <w:rPr>
                <w:color w:val="000000"/>
              </w:rPr>
              <w:t>PO): 8</w:t>
            </w:r>
            <w:r w:rsidRPr="00CD729C">
              <w:rPr>
                <w:color w:val="000000"/>
              </w:rPr>
              <w:t>.</w:t>
            </w:r>
            <w:r w:rsidR="007C0B3A" w:rsidRPr="00CD729C">
              <w:rPr>
                <w:color w:val="000000"/>
              </w:rPr>
              <w:t>, 15</w:t>
            </w:r>
            <w:r w:rsidRPr="00CD729C">
              <w:rPr>
                <w:color w:val="000000"/>
              </w:rPr>
              <w:t>.</w:t>
            </w:r>
            <w:r w:rsidR="007C0B3A" w:rsidRPr="00CD729C">
              <w:rPr>
                <w:color w:val="000000"/>
              </w:rPr>
              <w:t>, 22</w:t>
            </w:r>
            <w:r w:rsidRPr="00CD729C">
              <w:rPr>
                <w:color w:val="000000"/>
              </w:rPr>
              <w:t>. dienā</w:t>
            </w:r>
          </w:p>
          <w:p w14:paraId="3D394764" w14:textId="77777777" w:rsidR="007C0B3A" w:rsidRPr="00CD729C" w:rsidRDefault="007C0B3A" w:rsidP="009B4BB6">
            <w:pPr>
              <w:pStyle w:val="EndnoteText"/>
              <w:widowControl w:val="0"/>
              <w:rPr>
                <w:color w:val="000000"/>
              </w:rPr>
            </w:pPr>
            <w:r w:rsidRPr="00CD729C">
              <w:rPr>
                <w:color w:val="000000"/>
              </w:rPr>
              <w:t>VP-16 (100 mg/m</w:t>
            </w:r>
            <w:r w:rsidRPr="00CD729C">
              <w:rPr>
                <w:color w:val="000000"/>
                <w:vertAlign w:val="superscript"/>
              </w:rPr>
              <w:t>2</w:t>
            </w:r>
            <w:r w:rsidRPr="00CD729C">
              <w:rPr>
                <w:color w:val="000000"/>
              </w:rPr>
              <w:t xml:space="preserve">, </w:t>
            </w:r>
            <w:r w:rsidR="0030212A" w:rsidRPr="00CD729C">
              <w:rPr>
                <w:color w:val="000000"/>
              </w:rPr>
              <w:t xml:space="preserve">lietojot </w:t>
            </w:r>
            <w:r w:rsidRPr="00CD729C">
              <w:rPr>
                <w:color w:val="000000"/>
              </w:rPr>
              <w:t>IV): 29</w:t>
            </w:r>
            <w:r w:rsidR="0030212A" w:rsidRPr="00CD729C">
              <w:rPr>
                <w:color w:val="000000"/>
              </w:rPr>
              <w:t>.</w:t>
            </w:r>
            <w:r w:rsidRPr="00CD729C">
              <w:rPr>
                <w:color w:val="000000"/>
              </w:rPr>
              <w:noBreakHyphen/>
              <w:t>33</w:t>
            </w:r>
            <w:r w:rsidR="0030212A" w:rsidRPr="00CD729C">
              <w:rPr>
                <w:color w:val="000000"/>
              </w:rPr>
              <w:t>. dienā</w:t>
            </w:r>
          </w:p>
          <w:p w14:paraId="3D394765" w14:textId="77777777" w:rsidR="007C0B3A" w:rsidRPr="00CD729C" w:rsidRDefault="007C0B3A" w:rsidP="009B4BB6">
            <w:pPr>
              <w:pStyle w:val="EndnoteText"/>
              <w:widowControl w:val="0"/>
              <w:rPr>
                <w:color w:val="000000"/>
              </w:rPr>
            </w:pPr>
            <w:r w:rsidRPr="00CD729C">
              <w:rPr>
                <w:color w:val="000000"/>
              </w:rPr>
              <w:t>CPM (300 mg/m</w:t>
            </w:r>
            <w:r w:rsidRPr="00CD729C">
              <w:rPr>
                <w:color w:val="000000"/>
                <w:vertAlign w:val="superscript"/>
              </w:rPr>
              <w:t>2</w:t>
            </w:r>
            <w:r w:rsidRPr="00CD729C">
              <w:rPr>
                <w:color w:val="000000"/>
              </w:rPr>
              <w:t xml:space="preserve">, </w:t>
            </w:r>
            <w:r w:rsidR="0030212A" w:rsidRPr="00CD729C">
              <w:rPr>
                <w:color w:val="000000"/>
              </w:rPr>
              <w:t xml:space="preserve">lietojot </w:t>
            </w:r>
            <w:r w:rsidRPr="00CD729C">
              <w:rPr>
                <w:color w:val="000000"/>
              </w:rPr>
              <w:t>IV): 29</w:t>
            </w:r>
            <w:r w:rsidR="0030212A" w:rsidRPr="00CD729C">
              <w:rPr>
                <w:color w:val="000000"/>
              </w:rPr>
              <w:t>.</w:t>
            </w:r>
            <w:r w:rsidRPr="00CD729C">
              <w:rPr>
                <w:color w:val="000000"/>
              </w:rPr>
              <w:noBreakHyphen/>
              <w:t>33</w:t>
            </w:r>
            <w:r w:rsidR="0030212A" w:rsidRPr="00CD729C">
              <w:rPr>
                <w:color w:val="000000"/>
              </w:rPr>
              <w:t>. dienā</w:t>
            </w:r>
          </w:p>
          <w:p w14:paraId="3D394766" w14:textId="77777777" w:rsidR="007C0B3A" w:rsidRPr="00CD729C" w:rsidRDefault="007C0B3A" w:rsidP="009B4BB6">
            <w:pPr>
              <w:pStyle w:val="EndnoteText"/>
              <w:widowControl w:val="0"/>
              <w:rPr>
                <w:color w:val="000000"/>
              </w:rPr>
            </w:pPr>
            <w:r w:rsidRPr="00CD729C">
              <w:rPr>
                <w:color w:val="000000"/>
              </w:rPr>
              <w:t>M</w:t>
            </w:r>
            <w:r w:rsidR="00AC671F" w:rsidRPr="00CD729C">
              <w:rPr>
                <w:color w:val="000000"/>
              </w:rPr>
              <w:t>ESNA</w:t>
            </w:r>
            <w:r w:rsidRPr="00CD729C">
              <w:rPr>
                <w:color w:val="000000"/>
              </w:rPr>
              <w:t xml:space="preserve"> IV 29</w:t>
            </w:r>
            <w:r w:rsidR="0030212A" w:rsidRPr="00CD729C">
              <w:rPr>
                <w:color w:val="000000"/>
              </w:rPr>
              <w:t>.</w:t>
            </w:r>
            <w:r w:rsidRPr="00CD729C">
              <w:rPr>
                <w:color w:val="000000"/>
              </w:rPr>
              <w:noBreakHyphen/>
              <w:t>33</w:t>
            </w:r>
            <w:r w:rsidR="0030212A" w:rsidRPr="00CD729C">
              <w:rPr>
                <w:color w:val="000000"/>
              </w:rPr>
              <w:t>. dienā</w:t>
            </w:r>
          </w:p>
          <w:p w14:paraId="3D394767" w14:textId="77777777" w:rsidR="007C0B3A" w:rsidRPr="00CD729C" w:rsidRDefault="007C0B3A" w:rsidP="009B4BB6">
            <w:pPr>
              <w:pStyle w:val="EndnoteText"/>
              <w:widowControl w:val="0"/>
              <w:rPr>
                <w:color w:val="000000"/>
              </w:rPr>
            </w:pPr>
            <w:r w:rsidRPr="00CD729C">
              <w:rPr>
                <w:color w:val="000000"/>
              </w:rPr>
              <w:t xml:space="preserve">G-CSF (5 μg/kg, </w:t>
            </w:r>
            <w:r w:rsidR="0030212A" w:rsidRPr="00CD729C">
              <w:rPr>
                <w:color w:val="000000"/>
              </w:rPr>
              <w:t xml:space="preserve">lietojot </w:t>
            </w:r>
            <w:r w:rsidRPr="00CD729C">
              <w:rPr>
                <w:color w:val="000000"/>
              </w:rPr>
              <w:t>SC): 34</w:t>
            </w:r>
            <w:r w:rsidR="0030212A" w:rsidRPr="00CD729C">
              <w:rPr>
                <w:color w:val="000000"/>
              </w:rPr>
              <w:t>.</w:t>
            </w:r>
            <w:r w:rsidRPr="00CD729C">
              <w:rPr>
                <w:color w:val="000000"/>
              </w:rPr>
              <w:noBreakHyphen/>
              <w:t>43</w:t>
            </w:r>
            <w:r w:rsidR="0030212A" w:rsidRPr="00CD729C">
              <w:rPr>
                <w:color w:val="000000"/>
              </w:rPr>
              <w:t>. dienā</w:t>
            </w:r>
          </w:p>
        </w:tc>
      </w:tr>
      <w:tr w:rsidR="007C0B3A" w:rsidRPr="00CD729C" w14:paraId="3D394773" w14:textId="77777777" w:rsidTr="00341FA1">
        <w:trPr>
          <w:cantSplit/>
        </w:trPr>
        <w:tc>
          <w:tcPr>
            <w:tcW w:w="2358" w:type="dxa"/>
            <w:shd w:val="clear" w:color="auto" w:fill="auto"/>
          </w:tcPr>
          <w:p w14:paraId="3D394769" w14:textId="77777777" w:rsidR="007C0B3A" w:rsidRPr="00CD729C" w:rsidRDefault="0084621F" w:rsidP="009B4BB6">
            <w:pPr>
              <w:pStyle w:val="EndnoteText"/>
              <w:widowControl w:val="0"/>
              <w:rPr>
                <w:color w:val="000000"/>
              </w:rPr>
            </w:pPr>
            <w:r w:rsidRPr="00CD729C">
              <w:rPr>
                <w:color w:val="000000"/>
              </w:rPr>
              <w:t>Uzturošā terapija</w:t>
            </w:r>
          </w:p>
          <w:p w14:paraId="3D39476A" w14:textId="77777777" w:rsidR="007C0B3A" w:rsidRPr="00CD729C" w:rsidRDefault="007C0B3A" w:rsidP="009B4BB6">
            <w:pPr>
              <w:pStyle w:val="EndnoteText"/>
              <w:widowControl w:val="0"/>
              <w:rPr>
                <w:color w:val="000000"/>
              </w:rPr>
            </w:pPr>
            <w:r w:rsidRPr="00CD729C">
              <w:rPr>
                <w:color w:val="000000"/>
              </w:rPr>
              <w:t>(8-</w:t>
            </w:r>
            <w:r w:rsidR="00500B2C" w:rsidRPr="00CD729C">
              <w:rPr>
                <w:color w:val="000000"/>
              </w:rPr>
              <w:t>nedēļu cikli</w:t>
            </w:r>
            <w:r w:rsidRPr="00CD729C">
              <w:rPr>
                <w:color w:val="000000"/>
              </w:rPr>
              <w:t>)</w:t>
            </w:r>
          </w:p>
          <w:p w14:paraId="3D39476B" w14:textId="77777777" w:rsidR="007C0B3A" w:rsidRPr="00CD729C" w:rsidRDefault="00500B2C" w:rsidP="009B4BB6">
            <w:pPr>
              <w:pStyle w:val="EndnoteText"/>
              <w:widowControl w:val="0"/>
              <w:rPr>
                <w:color w:val="000000"/>
              </w:rPr>
            </w:pPr>
            <w:r w:rsidRPr="00CD729C">
              <w:rPr>
                <w:color w:val="000000"/>
              </w:rPr>
              <w:t>Cikls </w:t>
            </w:r>
            <w:r w:rsidR="007C0B3A" w:rsidRPr="00CD729C">
              <w:rPr>
                <w:color w:val="000000"/>
              </w:rPr>
              <w:t>5</w:t>
            </w:r>
          </w:p>
        </w:tc>
        <w:tc>
          <w:tcPr>
            <w:tcW w:w="6929" w:type="dxa"/>
            <w:shd w:val="clear" w:color="auto" w:fill="auto"/>
          </w:tcPr>
          <w:p w14:paraId="3D39476C" w14:textId="77777777" w:rsidR="007C0B3A" w:rsidRPr="00CD729C" w:rsidRDefault="006C44AB" w:rsidP="009B4BB6">
            <w:pPr>
              <w:pStyle w:val="EndnoteText"/>
              <w:widowControl w:val="0"/>
              <w:rPr>
                <w:color w:val="000000"/>
              </w:rPr>
            </w:pPr>
            <w:r w:rsidRPr="00CD729C">
              <w:rPr>
                <w:color w:val="000000"/>
              </w:rPr>
              <w:t>Kraniālā</w:t>
            </w:r>
            <w:r w:rsidR="00245751" w:rsidRPr="00CD729C">
              <w:rPr>
                <w:color w:val="000000"/>
              </w:rPr>
              <w:t xml:space="preserve"> apstarošana</w:t>
            </w:r>
            <w:r w:rsidR="007C0B3A" w:rsidRPr="00CD729C">
              <w:rPr>
                <w:color w:val="000000"/>
              </w:rPr>
              <w:t xml:space="preserve"> (</w:t>
            </w:r>
            <w:r w:rsidR="00245751" w:rsidRPr="00CD729C">
              <w:rPr>
                <w:color w:val="000000"/>
              </w:rPr>
              <w:t>vienīgi 5. kohortā</w:t>
            </w:r>
            <w:r w:rsidR="007C0B3A" w:rsidRPr="00CD729C">
              <w:rPr>
                <w:color w:val="000000"/>
              </w:rPr>
              <w:t>)</w:t>
            </w:r>
          </w:p>
          <w:p w14:paraId="3D39476D" w14:textId="77777777" w:rsidR="007C0B3A" w:rsidRPr="00CD729C" w:rsidRDefault="007C0B3A" w:rsidP="009B4BB6">
            <w:pPr>
              <w:pStyle w:val="EndnoteText"/>
              <w:widowControl w:val="0"/>
              <w:rPr>
                <w:color w:val="000000"/>
              </w:rPr>
            </w:pPr>
            <w:r w:rsidRPr="00CD729C">
              <w:rPr>
                <w:color w:val="000000"/>
              </w:rPr>
              <w:t>12 Gy 8 </w:t>
            </w:r>
            <w:r w:rsidR="009F3313" w:rsidRPr="00CD729C">
              <w:rPr>
                <w:color w:val="000000"/>
              </w:rPr>
              <w:t>daļās</w:t>
            </w:r>
            <w:r w:rsidRPr="00CD729C">
              <w:rPr>
                <w:color w:val="000000"/>
              </w:rPr>
              <w:t xml:space="preserve"> </w:t>
            </w:r>
            <w:r w:rsidR="00245751" w:rsidRPr="00CD729C">
              <w:rPr>
                <w:color w:val="000000"/>
              </w:rPr>
              <w:t xml:space="preserve">visiem pacientiem, kuriem </w:t>
            </w:r>
            <w:r w:rsidR="00B03062" w:rsidRPr="00CD729C">
              <w:rPr>
                <w:color w:val="000000"/>
              </w:rPr>
              <w:t xml:space="preserve">diagnozē </w:t>
            </w:r>
            <w:r w:rsidR="00245751" w:rsidRPr="00CD729C">
              <w:rPr>
                <w:color w:val="000000"/>
              </w:rPr>
              <w:t>ir</w:t>
            </w:r>
            <w:r w:rsidRPr="00CD729C">
              <w:rPr>
                <w:color w:val="000000"/>
              </w:rPr>
              <w:t xml:space="preserve"> CNS1 </w:t>
            </w:r>
            <w:r w:rsidR="00245751" w:rsidRPr="00CD729C">
              <w:rPr>
                <w:color w:val="000000"/>
              </w:rPr>
              <w:t>un</w:t>
            </w:r>
            <w:r w:rsidR="00B03062" w:rsidRPr="00CD729C">
              <w:rPr>
                <w:color w:val="000000"/>
              </w:rPr>
              <w:t xml:space="preserve"> CNS2</w:t>
            </w:r>
          </w:p>
          <w:p w14:paraId="3D39476E" w14:textId="77777777" w:rsidR="007C0B3A" w:rsidRPr="00CD729C" w:rsidRDefault="007C0B3A" w:rsidP="009B4BB6">
            <w:pPr>
              <w:pStyle w:val="EndnoteText"/>
              <w:widowControl w:val="0"/>
              <w:rPr>
                <w:color w:val="000000"/>
              </w:rPr>
            </w:pPr>
            <w:r w:rsidRPr="00CD729C">
              <w:rPr>
                <w:color w:val="000000"/>
              </w:rPr>
              <w:t>18 Gy 10 </w:t>
            </w:r>
            <w:r w:rsidR="009F3313" w:rsidRPr="00CD729C">
              <w:rPr>
                <w:color w:val="000000"/>
              </w:rPr>
              <w:t>daļās</w:t>
            </w:r>
            <w:r w:rsidRPr="00CD729C">
              <w:rPr>
                <w:color w:val="000000"/>
              </w:rPr>
              <w:t xml:space="preserve"> </w:t>
            </w:r>
            <w:r w:rsidR="00245751" w:rsidRPr="00CD729C">
              <w:rPr>
                <w:color w:val="000000"/>
              </w:rPr>
              <w:t xml:space="preserve">visiem pacientiem, kuriem </w:t>
            </w:r>
            <w:r w:rsidR="00B03062" w:rsidRPr="00CD729C">
              <w:rPr>
                <w:color w:val="000000"/>
              </w:rPr>
              <w:t xml:space="preserve">diagnozē </w:t>
            </w:r>
            <w:r w:rsidR="00245751" w:rsidRPr="00CD729C">
              <w:rPr>
                <w:color w:val="000000"/>
              </w:rPr>
              <w:t xml:space="preserve">ir </w:t>
            </w:r>
            <w:r w:rsidR="00B03062" w:rsidRPr="00CD729C">
              <w:rPr>
                <w:color w:val="000000"/>
              </w:rPr>
              <w:t>CNS3</w:t>
            </w:r>
          </w:p>
          <w:p w14:paraId="3D39476F" w14:textId="77777777" w:rsidR="007C0B3A" w:rsidRPr="00CD729C" w:rsidRDefault="007C0B3A" w:rsidP="009B4BB6">
            <w:pPr>
              <w:pStyle w:val="EndnoteText"/>
              <w:widowControl w:val="0"/>
              <w:rPr>
                <w:color w:val="000000"/>
              </w:rPr>
            </w:pPr>
            <w:r w:rsidRPr="00CD729C">
              <w:rPr>
                <w:color w:val="000000"/>
              </w:rPr>
              <w:t>VCR (1</w:t>
            </w:r>
            <w:r w:rsidR="00245751" w:rsidRPr="00CD729C">
              <w:rPr>
                <w:color w:val="000000"/>
              </w:rPr>
              <w:t>,</w:t>
            </w:r>
            <w:r w:rsidRPr="00CD729C">
              <w:rPr>
                <w:color w:val="000000"/>
              </w:rPr>
              <w:t>5 mg/m</w:t>
            </w:r>
            <w:r w:rsidRPr="00CD729C">
              <w:rPr>
                <w:color w:val="000000"/>
                <w:vertAlign w:val="superscript"/>
              </w:rPr>
              <w:t>2</w:t>
            </w:r>
            <w:r w:rsidRPr="00CD729C">
              <w:rPr>
                <w:color w:val="000000"/>
              </w:rPr>
              <w:t>/</w:t>
            </w:r>
            <w:r w:rsidR="00245751" w:rsidRPr="00CD729C">
              <w:rPr>
                <w:color w:val="000000"/>
              </w:rPr>
              <w:t>dienā</w:t>
            </w:r>
            <w:r w:rsidRPr="00CD729C">
              <w:rPr>
                <w:color w:val="000000"/>
              </w:rPr>
              <w:t xml:space="preserve">, </w:t>
            </w:r>
            <w:r w:rsidR="00245751" w:rsidRPr="00CD729C">
              <w:rPr>
                <w:color w:val="000000"/>
              </w:rPr>
              <w:t xml:space="preserve">lietojot </w:t>
            </w:r>
            <w:r w:rsidRPr="00CD729C">
              <w:rPr>
                <w:color w:val="000000"/>
              </w:rPr>
              <w:t>IV): 1</w:t>
            </w:r>
            <w:r w:rsidR="009F3313" w:rsidRPr="00CD729C">
              <w:rPr>
                <w:color w:val="000000"/>
              </w:rPr>
              <w:t>.</w:t>
            </w:r>
            <w:r w:rsidRPr="00CD729C">
              <w:rPr>
                <w:color w:val="000000"/>
              </w:rPr>
              <w:t>, 29</w:t>
            </w:r>
            <w:r w:rsidR="009F3313" w:rsidRPr="00CD729C">
              <w:rPr>
                <w:color w:val="000000"/>
              </w:rPr>
              <w:t>. dienā</w:t>
            </w:r>
          </w:p>
          <w:p w14:paraId="3D394770" w14:textId="77777777" w:rsidR="007C0B3A" w:rsidRPr="00CD729C" w:rsidRDefault="007C0B3A" w:rsidP="009B4BB6">
            <w:pPr>
              <w:pStyle w:val="EndnoteText"/>
              <w:widowControl w:val="0"/>
              <w:rPr>
                <w:color w:val="000000"/>
              </w:rPr>
            </w:pPr>
            <w:r w:rsidRPr="00CD729C">
              <w:rPr>
                <w:color w:val="000000"/>
              </w:rPr>
              <w:t>DEX (6</w:t>
            </w:r>
            <w:r w:rsidR="00245751" w:rsidRPr="00CD729C">
              <w:rPr>
                <w:color w:val="000000"/>
              </w:rPr>
              <w:t> </w:t>
            </w:r>
            <w:r w:rsidRPr="00CD729C">
              <w:rPr>
                <w:color w:val="000000"/>
              </w:rPr>
              <w:t>mg/m</w:t>
            </w:r>
            <w:r w:rsidRPr="00CD729C">
              <w:rPr>
                <w:color w:val="000000"/>
                <w:vertAlign w:val="superscript"/>
              </w:rPr>
              <w:t>2</w:t>
            </w:r>
            <w:r w:rsidRPr="00CD729C">
              <w:rPr>
                <w:color w:val="000000"/>
              </w:rPr>
              <w:t>/</w:t>
            </w:r>
            <w:r w:rsidR="00245751" w:rsidRPr="00CD729C">
              <w:rPr>
                <w:color w:val="000000"/>
              </w:rPr>
              <w:t>dienā</w:t>
            </w:r>
            <w:r w:rsidRPr="00CD729C">
              <w:rPr>
                <w:color w:val="000000"/>
              </w:rPr>
              <w:t xml:space="preserve">, </w:t>
            </w:r>
            <w:r w:rsidR="00245751" w:rsidRPr="00CD729C">
              <w:rPr>
                <w:color w:val="000000"/>
              </w:rPr>
              <w:t xml:space="preserve">lietojot </w:t>
            </w:r>
            <w:r w:rsidRPr="00CD729C">
              <w:rPr>
                <w:color w:val="000000"/>
              </w:rPr>
              <w:t>PO): 1</w:t>
            </w:r>
            <w:r w:rsidR="009F3313" w:rsidRPr="00CD729C">
              <w:rPr>
                <w:color w:val="000000"/>
              </w:rPr>
              <w:t>.</w:t>
            </w:r>
            <w:r w:rsidRPr="00CD729C">
              <w:rPr>
                <w:color w:val="000000"/>
              </w:rPr>
              <w:noBreakHyphen/>
              <w:t>5</w:t>
            </w:r>
            <w:r w:rsidR="009F3313" w:rsidRPr="00CD729C">
              <w:rPr>
                <w:color w:val="000000"/>
              </w:rPr>
              <w:t>.</w:t>
            </w:r>
            <w:r w:rsidRPr="00CD729C">
              <w:rPr>
                <w:color w:val="000000"/>
              </w:rPr>
              <w:t>; 29</w:t>
            </w:r>
            <w:r w:rsidR="009F3313" w:rsidRPr="00CD729C">
              <w:rPr>
                <w:color w:val="000000"/>
              </w:rPr>
              <w:t>.</w:t>
            </w:r>
            <w:r w:rsidRPr="00CD729C">
              <w:rPr>
                <w:color w:val="000000"/>
              </w:rPr>
              <w:noBreakHyphen/>
              <w:t>33</w:t>
            </w:r>
            <w:r w:rsidR="009F3313" w:rsidRPr="00CD729C">
              <w:rPr>
                <w:color w:val="000000"/>
              </w:rPr>
              <w:t>. dienā</w:t>
            </w:r>
          </w:p>
          <w:p w14:paraId="3D394771" w14:textId="77777777" w:rsidR="007C0B3A" w:rsidRPr="00CD729C" w:rsidRDefault="007C0B3A" w:rsidP="009B4BB6">
            <w:pPr>
              <w:pStyle w:val="EndnoteText"/>
              <w:widowControl w:val="0"/>
              <w:rPr>
                <w:color w:val="000000"/>
              </w:rPr>
            </w:pPr>
            <w:r w:rsidRPr="00CD729C">
              <w:rPr>
                <w:color w:val="000000"/>
              </w:rPr>
              <w:t>6-MP (75 mg/m</w:t>
            </w:r>
            <w:r w:rsidRPr="00CD729C">
              <w:rPr>
                <w:color w:val="000000"/>
                <w:vertAlign w:val="superscript"/>
              </w:rPr>
              <w:t>2</w:t>
            </w:r>
            <w:r w:rsidRPr="00CD729C">
              <w:rPr>
                <w:color w:val="000000"/>
              </w:rPr>
              <w:t>/</w:t>
            </w:r>
            <w:r w:rsidR="00245751" w:rsidRPr="00CD729C">
              <w:rPr>
                <w:color w:val="000000"/>
              </w:rPr>
              <w:t>dienā</w:t>
            </w:r>
            <w:r w:rsidRPr="00CD729C">
              <w:rPr>
                <w:color w:val="000000"/>
              </w:rPr>
              <w:t xml:space="preserve">, </w:t>
            </w:r>
            <w:r w:rsidR="00245751" w:rsidRPr="00CD729C">
              <w:rPr>
                <w:color w:val="000000"/>
              </w:rPr>
              <w:t xml:space="preserve">lietojot </w:t>
            </w:r>
            <w:r w:rsidRPr="00CD729C">
              <w:rPr>
                <w:color w:val="000000"/>
              </w:rPr>
              <w:t>PO): 11</w:t>
            </w:r>
            <w:r w:rsidR="009F3313" w:rsidRPr="00CD729C">
              <w:rPr>
                <w:color w:val="000000"/>
              </w:rPr>
              <w:t>.</w:t>
            </w:r>
            <w:r w:rsidRPr="00CD729C">
              <w:rPr>
                <w:color w:val="000000"/>
              </w:rPr>
              <w:noBreakHyphen/>
              <w:t>56</w:t>
            </w:r>
            <w:r w:rsidR="009F3313" w:rsidRPr="00CD729C">
              <w:rPr>
                <w:color w:val="000000"/>
              </w:rPr>
              <w:t>. dienā</w:t>
            </w:r>
            <w:r w:rsidRPr="00CD729C">
              <w:rPr>
                <w:color w:val="000000"/>
              </w:rPr>
              <w:t xml:space="preserve"> (</w:t>
            </w:r>
            <w:r w:rsidR="002B1603" w:rsidRPr="00CD729C">
              <w:rPr>
                <w:color w:val="000000"/>
              </w:rPr>
              <w:t xml:space="preserve">sākot ar 5. cikla 1. dienu </w:t>
            </w:r>
            <w:r w:rsidR="00684218" w:rsidRPr="00CD729C">
              <w:rPr>
                <w:color w:val="000000"/>
              </w:rPr>
              <w:t>pārtraukt</w:t>
            </w:r>
            <w:r w:rsidRPr="00CD729C">
              <w:rPr>
                <w:color w:val="000000"/>
              </w:rPr>
              <w:t xml:space="preserve"> 6-MP </w:t>
            </w:r>
            <w:r w:rsidR="00684218" w:rsidRPr="00CD729C">
              <w:rPr>
                <w:color w:val="000000"/>
              </w:rPr>
              <w:t xml:space="preserve">lietošanu </w:t>
            </w:r>
            <w:r w:rsidRPr="00CD729C">
              <w:rPr>
                <w:color w:val="000000"/>
              </w:rPr>
              <w:t>6</w:t>
            </w:r>
            <w:r w:rsidR="00684218" w:rsidRPr="00CD729C">
              <w:rPr>
                <w:color w:val="000000"/>
              </w:rPr>
              <w:t>.</w:t>
            </w:r>
            <w:r w:rsidRPr="00CD729C">
              <w:rPr>
                <w:color w:val="000000"/>
              </w:rPr>
              <w:noBreakHyphen/>
              <w:t>10</w:t>
            </w:r>
            <w:r w:rsidR="00684218" w:rsidRPr="00CD729C">
              <w:rPr>
                <w:color w:val="000000"/>
              </w:rPr>
              <w:t>. dienā</w:t>
            </w:r>
            <w:r w:rsidRPr="00CD729C">
              <w:rPr>
                <w:color w:val="000000"/>
              </w:rPr>
              <w:t xml:space="preserve"> </w:t>
            </w:r>
            <w:r w:rsidR="00684218" w:rsidRPr="00CD729C">
              <w:rPr>
                <w:color w:val="000000"/>
              </w:rPr>
              <w:t xml:space="preserve">veicot </w:t>
            </w:r>
            <w:r w:rsidR="006C44AB" w:rsidRPr="00CD729C">
              <w:rPr>
                <w:color w:val="000000"/>
              </w:rPr>
              <w:t>kraniālo</w:t>
            </w:r>
            <w:r w:rsidR="00684218" w:rsidRPr="00CD729C">
              <w:rPr>
                <w:color w:val="000000"/>
              </w:rPr>
              <w:t xml:space="preserve"> apstarošanu</w:t>
            </w:r>
            <w:r w:rsidRPr="00CD729C">
              <w:rPr>
                <w:color w:val="000000"/>
              </w:rPr>
              <w:t xml:space="preserve">. </w:t>
            </w:r>
            <w:r w:rsidR="00684218" w:rsidRPr="00CD729C">
              <w:rPr>
                <w:color w:val="000000"/>
              </w:rPr>
              <w:t xml:space="preserve">Sākt </w:t>
            </w:r>
            <w:r w:rsidRPr="00CD729C">
              <w:rPr>
                <w:color w:val="000000"/>
              </w:rPr>
              <w:t xml:space="preserve">6-MP </w:t>
            </w:r>
            <w:r w:rsidR="00684218" w:rsidRPr="00CD729C">
              <w:rPr>
                <w:color w:val="000000"/>
              </w:rPr>
              <w:t xml:space="preserve">lietošanu 1. dienā pēc </w:t>
            </w:r>
            <w:r w:rsidR="006C44AB" w:rsidRPr="00CD729C">
              <w:rPr>
                <w:color w:val="000000"/>
              </w:rPr>
              <w:t>kraniālās</w:t>
            </w:r>
            <w:r w:rsidR="00684218" w:rsidRPr="00CD729C">
              <w:rPr>
                <w:color w:val="000000"/>
              </w:rPr>
              <w:t xml:space="preserve"> apstarošanas </w:t>
            </w:r>
            <w:r w:rsidR="002B1603" w:rsidRPr="00CD729C">
              <w:rPr>
                <w:color w:val="000000"/>
              </w:rPr>
              <w:t>beigām</w:t>
            </w:r>
            <w:r w:rsidR="00684218" w:rsidRPr="00CD729C">
              <w:rPr>
                <w:color w:val="000000"/>
              </w:rPr>
              <w:t>.</w:t>
            </w:r>
            <w:r w:rsidRPr="00CD729C">
              <w:rPr>
                <w:color w:val="000000"/>
              </w:rPr>
              <w:t>)</w:t>
            </w:r>
          </w:p>
          <w:p w14:paraId="3D394772" w14:textId="77777777" w:rsidR="007C0B3A" w:rsidRPr="00CD729C" w:rsidRDefault="009F3313" w:rsidP="009B4BB6">
            <w:pPr>
              <w:pStyle w:val="EndnoteText"/>
              <w:widowControl w:val="0"/>
              <w:rPr>
                <w:color w:val="000000"/>
              </w:rPr>
            </w:pPr>
            <w:r w:rsidRPr="00CD729C">
              <w:rPr>
                <w:color w:val="000000"/>
              </w:rPr>
              <w:t>Metotreksāts</w:t>
            </w:r>
            <w:r w:rsidR="007C0B3A" w:rsidRPr="00CD729C">
              <w:rPr>
                <w:color w:val="000000"/>
              </w:rPr>
              <w:t xml:space="preserve"> (20 mg/m</w:t>
            </w:r>
            <w:r w:rsidR="007C0B3A" w:rsidRPr="00CD729C">
              <w:rPr>
                <w:color w:val="000000"/>
                <w:vertAlign w:val="superscript"/>
              </w:rPr>
              <w:t>2</w:t>
            </w:r>
            <w:r w:rsidR="007C0B3A" w:rsidRPr="00CD729C">
              <w:rPr>
                <w:color w:val="000000"/>
              </w:rPr>
              <w:t>/</w:t>
            </w:r>
            <w:r w:rsidRPr="00CD729C">
              <w:rPr>
                <w:color w:val="000000"/>
              </w:rPr>
              <w:t>nedēļā</w:t>
            </w:r>
            <w:r w:rsidR="007C0B3A" w:rsidRPr="00CD729C">
              <w:rPr>
                <w:color w:val="000000"/>
              </w:rPr>
              <w:t xml:space="preserve">, </w:t>
            </w:r>
            <w:r w:rsidRPr="00CD729C">
              <w:rPr>
                <w:color w:val="000000"/>
              </w:rPr>
              <w:t xml:space="preserve">lietojot </w:t>
            </w:r>
            <w:r w:rsidR="007C0B3A" w:rsidRPr="00CD729C">
              <w:rPr>
                <w:color w:val="000000"/>
              </w:rPr>
              <w:t>PO): 8</w:t>
            </w:r>
            <w:r w:rsidRPr="00CD729C">
              <w:rPr>
                <w:color w:val="000000"/>
              </w:rPr>
              <w:t>.</w:t>
            </w:r>
            <w:r w:rsidR="007C0B3A" w:rsidRPr="00CD729C">
              <w:rPr>
                <w:color w:val="000000"/>
              </w:rPr>
              <w:t>, 15</w:t>
            </w:r>
            <w:r w:rsidRPr="00CD729C">
              <w:rPr>
                <w:color w:val="000000"/>
              </w:rPr>
              <w:t>.</w:t>
            </w:r>
            <w:r w:rsidR="007C0B3A" w:rsidRPr="00CD729C">
              <w:rPr>
                <w:color w:val="000000"/>
              </w:rPr>
              <w:t>, 22</w:t>
            </w:r>
            <w:r w:rsidRPr="00CD729C">
              <w:rPr>
                <w:color w:val="000000"/>
              </w:rPr>
              <w:t>.</w:t>
            </w:r>
            <w:r w:rsidR="007C0B3A" w:rsidRPr="00CD729C">
              <w:rPr>
                <w:color w:val="000000"/>
              </w:rPr>
              <w:t>, 29</w:t>
            </w:r>
            <w:r w:rsidRPr="00CD729C">
              <w:rPr>
                <w:color w:val="000000"/>
              </w:rPr>
              <w:t>.</w:t>
            </w:r>
            <w:r w:rsidR="007C0B3A" w:rsidRPr="00CD729C">
              <w:rPr>
                <w:color w:val="000000"/>
              </w:rPr>
              <w:t>, 36</w:t>
            </w:r>
            <w:r w:rsidRPr="00CD729C">
              <w:rPr>
                <w:color w:val="000000"/>
              </w:rPr>
              <w:t>.</w:t>
            </w:r>
            <w:r w:rsidR="007C0B3A" w:rsidRPr="00CD729C">
              <w:rPr>
                <w:color w:val="000000"/>
              </w:rPr>
              <w:t>, 43</w:t>
            </w:r>
            <w:r w:rsidRPr="00CD729C">
              <w:rPr>
                <w:color w:val="000000"/>
              </w:rPr>
              <w:t>.</w:t>
            </w:r>
            <w:r w:rsidR="007C0B3A" w:rsidRPr="00CD729C">
              <w:rPr>
                <w:color w:val="000000"/>
              </w:rPr>
              <w:t>, 50</w:t>
            </w:r>
            <w:r w:rsidRPr="00CD729C">
              <w:rPr>
                <w:color w:val="000000"/>
              </w:rPr>
              <w:t>. dienā</w:t>
            </w:r>
          </w:p>
        </w:tc>
      </w:tr>
      <w:tr w:rsidR="007C0B3A" w:rsidRPr="00CD729C" w14:paraId="3D39477B" w14:textId="77777777" w:rsidTr="00341FA1">
        <w:trPr>
          <w:cantSplit/>
        </w:trPr>
        <w:tc>
          <w:tcPr>
            <w:tcW w:w="2358" w:type="dxa"/>
            <w:shd w:val="clear" w:color="auto" w:fill="auto"/>
          </w:tcPr>
          <w:p w14:paraId="3D394774" w14:textId="77777777" w:rsidR="007C0B3A" w:rsidRPr="00CD729C" w:rsidRDefault="0084621F" w:rsidP="009B4BB6">
            <w:pPr>
              <w:pStyle w:val="EndnoteText"/>
              <w:keepNext/>
              <w:keepLines/>
              <w:widowControl w:val="0"/>
              <w:rPr>
                <w:color w:val="000000"/>
              </w:rPr>
            </w:pPr>
            <w:r w:rsidRPr="00CD729C">
              <w:rPr>
                <w:color w:val="000000"/>
              </w:rPr>
              <w:lastRenderedPageBreak/>
              <w:t>Uzturošā terapija</w:t>
            </w:r>
          </w:p>
          <w:p w14:paraId="3D394775" w14:textId="77777777" w:rsidR="007C0B3A" w:rsidRPr="00CD729C" w:rsidRDefault="007C0B3A" w:rsidP="009B4BB6">
            <w:pPr>
              <w:pStyle w:val="EndnoteText"/>
              <w:keepNext/>
              <w:keepLines/>
              <w:widowControl w:val="0"/>
              <w:rPr>
                <w:color w:val="000000"/>
              </w:rPr>
            </w:pPr>
            <w:r w:rsidRPr="00CD729C">
              <w:rPr>
                <w:color w:val="000000"/>
              </w:rPr>
              <w:t>(8-</w:t>
            </w:r>
            <w:r w:rsidR="00500B2C" w:rsidRPr="00CD729C">
              <w:rPr>
                <w:color w:val="000000"/>
              </w:rPr>
              <w:t>nedēļu cikli</w:t>
            </w:r>
            <w:r w:rsidRPr="00CD729C">
              <w:rPr>
                <w:color w:val="000000"/>
              </w:rPr>
              <w:t>)</w:t>
            </w:r>
          </w:p>
          <w:p w14:paraId="3D394776" w14:textId="77777777" w:rsidR="007C0B3A" w:rsidRPr="00CD729C" w:rsidRDefault="00500B2C" w:rsidP="009B4BB6">
            <w:pPr>
              <w:pStyle w:val="EndnoteText"/>
              <w:keepNext/>
              <w:keepLines/>
              <w:widowControl w:val="0"/>
              <w:rPr>
                <w:color w:val="000000"/>
              </w:rPr>
            </w:pPr>
            <w:r w:rsidRPr="00CD729C">
              <w:rPr>
                <w:color w:val="000000"/>
              </w:rPr>
              <w:t>Cikli </w:t>
            </w:r>
            <w:r w:rsidR="007C0B3A" w:rsidRPr="00CD729C">
              <w:rPr>
                <w:color w:val="000000"/>
              </w:rPr>
              <w:t>6</w:t>
            </w:r>
            <w:r w:rsidR="007C0B3A" w:rsidRPr="00CD729C">
              <w:rPr>
                <w:color w:val="000000"/>
              </w:rPr>
              <w:noBreakHyphen/>
              <w:t>12</w:t>
            </w:r>
          </w:p>
        </w:tc>
        <w:tc>
          <w:tcPr>
            <w:tcW w:w="6929" w:type="dxa"/>
            <w:shd w:val="clear" w:color="auto" w:fill="auto"/>
          </w:tcPr>
          <w:p w14:paraId="3D394777" w14:textId="77777777" w:rsidR="007C0B3A" w:rsidRPr="00CD729C" w:rsidRDefault="007C0B3A" w:rsidP="009B4BB6">
            <w:pPr>
              <w:pStyle w:val="EndnoteText"/>
              <w:keepNext/>
              <w:keepLines/>
              <w:widowControl w:val="0"/>
              <w:rPr>
                <w:color w:val="000000"/>
              </w:rPr>
            </w:pPr>
            <w:r w:rsidRPr="00CD729C">
              <w:rPr>
                <w:color w:val="000000"/>
              </w:rPr>
              <w:t>VCR (1</w:t>
            </w:r>
            <w:r w:rsidR="00867C5E" w:rsidRPr="00CD729C">
              <w:rPr>
                <w:color w:val="000000"/>
              </w:rPr>
              <w:t>,</w:t>
            </w:r>
            <w:r w:rsidRPr="00CD729C">
              <w:rPr>
                <w:color w:val="000000"/>
              </w:rPr>
              <w:t>5 mg/m</w:t>
            </w:r>
            <w:r w:rsidRPr="00CD729C">
              <w:rPr>
                <w:color w:val="000000"/>
                <w:vertAlign w:val="superscript"/>
              </w:rPr>
              <w:t>2</w:t>
            </w:r>
            <w:r w:rsidRPr="00CD729C">
              <w:rPr>
                <w:color w:val="000000"/>
              </w:rPr>
              <w:t>/</w:t>
            </w:r>
            <w:r w:rsidR="00867C5E" w:rsidRPr="00CD729C">
              <w:rPr>
                <w:color w:val="000000"/>
              </w:rPr>
              <w:t>dienā</w:t>
            </w:r>
            <w:r w:rsidRPr="00CD729C">
              <w:rPr>
                <w:color w:val="000000"/>
              </w:rPr>
              <w:t xml:space="preserve">, </w:t>
            </w:r>
            <w:r w:rsidR="00867C5E" w:rsidRPr="00CD729C">
              <w:rPr>
                <w:color w:val="000000"/>
              </w:rPr>
              <w:t xml:space="preserve">lietojot </w:t>
            </w:r>
            <w:r w:rsidRPr="00CD729C">
              <w:rPr>
                <w:color w:val="000000"/>
              </w:rPr>
              <w:t>IV): 1</w:t>
            </w:r>
            <w:r w:rsidR="00867C5E" w:rsidRPr="00CD729C">
              <w:rPr>
                <w:color w:val="000000"/>
              </w:rPr>
              <w:t>.</w:t>
            </w:r>
            <w:r w:rsidRPr="00CD729C">
              <w:rPr>
                <w:color w:val="000000"/>
              </w:rPr>
              <w:t>, 29</w:t>
            </w:r>
            <w:r w:rsidR="00867C5E" w:rsidRPr="00CD729C">
              <w:rPr>
                <w:color w:val="000000"/>
              </w:rPr>
              <w:t>. dienā</w:t>
            </w:r>
          </w:p>
          <w:p w14:paraId="3D394778" w14:textId="77777777" w:rsidR="007C0B3A" w:rsidRPr="00CD729C" w:rsidRDefault="007C0B3A" w:rsidP="009B4BB6">
            <w:pPr>
              <w:pStyle w:val="EndnoteText"/>
              <w:keepNext/>
              <w:keepLines/>
              <w:widowControl w:val="0"/>
              <w:rPr>
                <w:color w:val="000000"/>
              </w:rPr>
            </w:pPr>
            <w:r w:rsidRPr="00CD729C">
              <w:rPr>
                <w:color w:val="000000"/>
              </w:rPr>
              <w:t>DEX (6 mg/m</w:t>
            </w:r>
            <w:r w:rsidRPr="00CD729C">
              <w:rPr>
                <w:color w:val="000000"/>
                <w:vertAlign w:val="superscript"/>
              </w:rPr>
              <w:t>2</w:t>
            </w:r>
            <w:r w:rsidRPr="00CD729C">
              <w:rPr>
                <w:color w:val="000000"/>
              </w:rPr>
              <w:t>/</w:t>
            </w:r>
            <w:r w:rsidR="00867C5E" w:rsidRPr="00CD729C">
              <w:rPr>
                <w:color w:val="000000"/>
              </w:rPr>
              <w:t>dienā</w:t>
            </w:r>
            <w:r w:rsidRPr="00CD729C">
              <w:rPr>
                <w:color w:val="000000"/>
              </w:rPr>
              <w:t xml:space="preserve">, </w:t>
            </w:r>
            <w:r w:rsidR="00867C5E" w:rsidRPr="00CD729C">
              <w:rPr>
                <w:color w:val="000000"/>
              </w:rPr>
              <w:t xml:space="preserve">lietojot </w:t>
            </w:r>
            <w:r w:rsidRPr="00CD729C">
              <w:rPr>
                <w:color w:val="000000"/>
              </w:rPr>
              <w:t>PO): 1</w:t>
            </w:r>
            <w:r w:rsidR="00867C5E" w:rsidRPr="00CD729C">
              <w:rPr>
                <w:color w:val="000000"/>
              </w:rPr>
              <w:t>.</w:t>
            </w:r>
            <w:r w:rsidRPr="00CD729C">
              <w:rPr>
                <w:color w:val="000000"/>
              </w:rPr>
              <w:noBreakHyphen/>
              <w:t>5</w:t>
            </w:r>
            <w:r w:rsidR="00867C5E" w:rsidRPr="00CD729C">
              <w:rPr>
                <w:color w:val="000000"/>
              </w:rPr>
              <w:t>.</w:t>
            </w:r>
            <w:r w:rsidRPr="00CD729C">
              <w:rPr>
                <w:color w:val="000000"/>
              </w:rPr>
              <w:t>; 29</w:t>
            </w:r>
            <w:r w:rsidR="00867C5E" w:rsidRPr="00CD729C">
              <w:rPr>
                <w:color w:val="000000"/>
              </w:rPr>
              <w:t>.</w:t>
            </w:r>
            <w:r w:rsidRPr="00CD729C">
              <w:rPr>
                <w:color w:val="000000"/>
              </w:rPr>
              <w:noBreakHyphen/>
              <w:t>33</w:t>
            </w:r>
            <w:r w:rsidR="00867C5E" w:rsidRPr="00CD729C">
              <w:rPr>
                <w:color w:val="000000"/>
              </w:rPr>
              <w:t>. dienā</w:t>
            </w:r>
          </w:p>
          <w:p w14:paraId="3D394779" w14:textId="77777777" w:rsidR="007C0B3A" w:rsidRPr="00CD729C" w:rsidRDefault="007C0B3A" w:rsidP="009B4BB6">
            <w:pPr>
              <w:pStyle w:val="EndnoteText"/>
              <w:keepNext/>
              <w:keepLines/>
              <w:widowControl w:val="0"/>
              <w:rPr>
                <w:color w:val="000000"/>
              </w:rPr>
            </w:pPr>
            <w:r w:rsidRPr="00CD729C">
              <w:rPr>
                <w:color w:val="000000"/>
              </w:rPr>
              <w:t>6-MP (75 mg/m</w:t>
            </w:r>
            <w:r w:rsidRPr="00CD729C">
              <w:rPr>
                <w:color w:val="000000"/>
                <w:vertAlign w:val="superscript"/>
              </w:rPr>
              <w:t>2</w:t>
            </w:r>
            <w:r w:rsidRPr="00CD729C">
              <w:rPr>
                <w:color w:val="000000"/>
              </w:rPr>
              <w:t>/</w:t>
            </w:r>
            <w:r w:rsidR="00867C5E" w:rsidRPr="00CD729C">
              <w:rPr>
                <w:color w:val="000000"/>
              </w:rPr>
              <w:t>dienā</w:t>
            </w:r>
            <w:r w:rsidRPr="00CD729C">
              <w:rPr>
                <w:color w:val="000000"/>
              </w:rPr>
              <w:t xml:space="preserve">, </w:t>
            </w:r>
            <w:r w:rsidR="00867C5E" w:rsidRPr="00CD729C">
              <w:rPr>
                <w:color w:val="000000"/>
              </w:rPr>
              <w:t xml:space="preserve">lietojot </w:t>
            </w:r>
            <w:r w:rsidRPr="00CD729C">
              <w:rPr>
                <w:color w:val="000000"/>
              </w:rPr>
              <w:t>PO): 1</w:t>
            </w:r>
            <w:r w:rsidR="00867C5E" w:rsidRPr="00CD729C">
              <w:rPr>
                <w:color w:val="000000"/>
              </w:rPr>
              <w:t>.</w:t>
            </w:r>
            <w:r w:rsidRPr="00CD729C">
              <w:rPr>
                <w:color w:val="000000"/>
              </w:rPr>
              <w:noBreakHyphen/>
              <w:t>56</w:t>
            </w:r>
            <w:r w:rsidR="00867C5E" w:rsidRPr="00CD729C">
              <w:rPr>
                <w:color w:val="000000"/>
              </w:rPr>
              <w:t>. dienā</w:t>
            </w:r>
          </w:p>
          <w:p w14:paraId="3D39477A" w14:textId="77777777" w:rsidR="007C0B3A" w:rsidRPr="00CD729C" w:rsidRDefault="00867C5E" w:rsidP="009B4BB6">
            <w:pPr>
              <w:pStyle w:val="EndnoteText"/>
              <w:keepNext/>
              <w:keepLines/>
              <w:widowControl w:val="0"/>
              <w:rPr>
                <w:color w:val="000000"/>
              </w:rPr>
            </w:pPr>
            <w:r w:rsidRPr="00CD729C">
              <w:rPr>
                <w:color w:val="000000"/>
              </w:rPr>
              <w:t>Metotreksāts</w:t>
            </w:r>
            <w:r w:rsidR="007C0B3A" w:rsidRPr="00CD729C">
              <w:rPr>
                <w:color w:val="000000"/>
              </w:rPr>
              <w:t xml:space="preserve"> (20 mg/m</w:t>
            </w:r>
            <w:r w:rsidR="007C0B3A" w:rsidRPr="00CD729C">
              <w:rPr>
                <w:color w:val="000000"/>
                <w:vertAlign w:val="superscript"/>
              </w:rPr>
              <w:t>2</w:t>
            </w:r>
            <w:r w:rsidR="007C0B3A" w:rsidRPr="00CD729C">
              <w:rPr>
                <w:color w:val="000000"/>
              </w:rPr>
              <w:t>/</w:t>
            </w:r>
            <w:r w:rsidRPr="00CD729C">
              <w:rPr>
                <w:color w:val="000000"/>
              </w:rPr>
              <w:t>nedēļā</w:t>
            </w:r>
            <w:r w:rsidR="007C0B3A" w:rsidRPr="00CD729C">
              <w:rPr>
                <w:color w:val="000000"/>
              </w:rPr>
              <w:t xml:space="preserve">, </w:t>
            </w:r>
            <w:r w:rsidRPr="00CD729C">
              <w:rPr>
                <w:color w:val="000000"/>
              </w:rPr>
              <w:t xml:space="preserve">lietojot </w:t>
            </w:r>
            <w:r w:rsidR="007C0B3A" w:rsidRPr="00CD729C">
              <w:rPr>
                <w:color w:val="000000"/>
              </w:rPr>
              <w:t>PO): 1</w:t>
            </w:r>
            <w:r w:rsidRPr="00CD729C">
              <w:rPr>
                <w:color w:val="000000"/>
              </w:rPr>
              <w:t>.</w:t>
            </w:r>
            <w:r w:rsidR="007C0B3A" w:rsidRPr="00CD729C">
              <w:rPr>
                <w:color w:val="000000"/>
              </w:rPr>
              <w:t>, 8</w:t>
            </w:r>
            <w:r w:rsidRPr="00CD729C">
              <w:rPr>
                <w:color w:val="000000"/>
              </w:rPr>
              <w:t>.</w:t>
            </w:r>
            <w:r w:rsidR="007C0B3A" w:rsidRPr="00CD729C">
              <w:rPr>
                <w:color w:val="000000"/>
              </w:rPr>
              <w:t>, 15</w:t>
            </w:r>
            <w:r w:rsidRPr="00CD729C">
              <w:rPr>
                <w:color w:val="000000"/>
              </w:rPr>
              <w:t>.</w:t>
            </w:r>
            <w:r w:rsidR="007C0B3A" w:rsidRPr="00CD729C">
              <w:rPr>
                <w:color w:val="000000"/>
              </w:rPr>
              <w:t>, 22</w:t>
            </w:r>
            <w:r w:rsidRPr="00CD729C">
              <w:rPr>
                <w:color w:val="000000"/>
              </w:rPr>
              <w:t>.</w:t>
            </w:r>
            <w:r w:rsidR="007C0B3A" w:rsidRPr="00CD729C">
              <w:rPr>
                <w:color w:val="000000"/>
              </w:rPr>
              <w:t>, 29</w:t>
            </w:r>
            <w:r w:rsidRPr="00CD729C">
              <w:rPr>
                <w:color w:val="000000"/>
              </w:rPr>
              <w:t>.</w:t>
            </w:r>
            <w:r w:rsidR="007C0B3A" w:rsidRPr="00CD729C">
              <w:rPr>
                <w:color w:val="000000"/>
              </w:rPr>
              <w:t>, 36</w:t>
            </w:r>
            <w:r w:rsidRPr="00CD729C">
              <w:rPr>
                <w:color w:val="000000"/>
              </w:rPr>
              <w:t>.</w:t>
            </w:r>
            <w:r w:rsidR="007C0B3A" w:rsidRPr="00CD729C">
              <w:rPr>
                <w:color w:val="000000"/>
              </w:rPr>
              <w:t>, 43</w:t>
            </w:r>
            <w:r w:rsidRPr="00CD729C">
              <w:rPr>
                <w:color w:val="000000"/>
              </w:rPr>
              <w:t>.</w:t>
            </w:r>
            <w:r w:rsidR="007C0B3A" w:rsidRPr="00CD729C">
              <w:rPr>
                <w:color w:val="000000"/>
              </w:rPr>
              <w:t>, 50</w:t>
            </w:r>
            <w:r w:rsidRPr="00CD729C">
              <w:rPr>
                <w:color w:val="000000"/>
              </w:rPr>
              <w:t>. dienā</w:t>
            </w:r>
          </w:p>
        </w:tc>
      </w:tr>
    </w:tbl>
    <w:p w14:paraId="3D39477C" w14:textId="77777777" w:rsidR="007C0B3A" w:rsidRPr="00CD729C" w:rsidRDefault="007C0B3A" w:rsidP="009B4BB6">
      <w:pPr>
        <w:pStyle w:val="EndnoteText"/>
        <w:keepNext/>
        <w:keepLines/>
        <w:widowControl w:val="0"/>
        <w:rPr>
          <w:color w:val="000000"/>
          <w:szCs w:val="22"/>
        </w:rPr>
      </w:pPr>
      <w:r w:rsidRPr="00CD729C">
        <w:rPr>
          <w:color w:val="000000"/>
          <w:szCs w:val="22"/>
        </w:rPr>
        <w:t>G-CSF = granuloc</w:t>
      </w:r>
      <w:r w:rsidR="00AB6D0C" w:rsidRPr="00CD729C">
        <w:rPr>
          <w:color w:val="000000"/>
          <w:szCs w:val="22"/>
        </w:rPr>
        <w:t>ītu</w:t>
      </w:r>
      <w:r w:rsidRPr="00CD729C">
        <w:rPr>
          <w:color w:val="000000"/>
          <w:szCs w:val="22"/>
        </w:rPr>
        <w:t xml:space="preserve"> </w:t>
      </w:r>
      <w:r w:rsidR="00AB6D0C" w:rsidRPr="00CD729C">
        <w:rPr>
          <w:color w:val="000000"/>
          <w:szCs w:val="22"/>
        </w:rPr>
        <w:t>koloniju</w:t>
      </w:r>
      <w:r w:rsidRPr="00CD729C">
        <w:rPr>
          <w:color w:val="000000"/>
          <w:szCs w:val="22"/>
        </w:rPr>
        <w:t xml:space="preserve"> </w:t>
      </w:r>
      <w:r w:rsidR="00AB6D0C" w:rsidRPr="00CD729C">
        <w:rPr>
          <w:color w:val="000000"/>
          <w:szCs w:val="22"/>
        </w:rPr>
        <w:t>stimulējošais faktors</w:t>
      </w:r>
      <w:r w:rsidRPr="00CD729C">
        <w:rPr>
          <w:color w:val="000000"/>
          <w:szCs w:val="22"/>
        </w:rPr>
        <w:t>, VP-16 = etopos</w:t>
      </w:r>
      <w:r w:rsidR="00AB6D0C" w:rsidRPr="00CD729C">
        <w:rPr>
          <w:color w:val="000000"/>
          <w:szCs w:val="22"/>
        </w:rPr>
        <w:t>ī</w:t>
      </w:r>
      <w:r w:rsidRPr="00CD729C">
        <w:rPr>
          <w:color w:val="000000"/>
          <w:szCs w:val="22"/>
        </w:rPr>
        <w:t>d</w:t>
      </w:r>
      <w:r w:rsidR="00AB6D0C" w:rsidRPr="00CD729C">
        <w:rPr>
          <w:color w:val="000000"/>
          <w:szCs w:val="22"/>
        </w:rPr>
        <w:t>s</w:t>
      </w:r>
      <w:r w:rsidRPr="00CD729C">
        <w:rPr>
          <w:color w:val="000000"/>
          <w:szCs w:val="22"/>
        </w:rPr>
        <w:t xml:space="preserve">, MTX = </w:t>
      </w:r>
      <w:r w:rsidR="00AB6D0C" w:rsidRPr="00CD729C">
        <w:rPr>
          <w:color w:val="000000"/>
          <w:szCs w:val="22"/>
        </w:rPr>
        <w:t>metotreksāts</w:t>
      </w:r>
      <w:r w:rsidRPr="00CD729C">
        <w:rPr>
          <w:color w:val="000000"/>
          <w:szCs w:val="22"/>
        </w:rPr>
        <w:t xml:space="preserve">, IV = </w:t>
      </w:r>
      <w:r w:rsidR="00AB6D0C" w:rsidRPr="00CD729C">
        <w:rPr>
          <w:color w:val="000000"/>
          <w:szCs w:val="22"/>
        </w:rPr>
        <w:t>intravenozi</w:t>
      </w:r>
      <w:r w:rsidRPr="00CD729C">
        <w:rPr>
          <w:color w:val="000000"/>
          <w:szCs w:val="22"/>
        </w:rPr>
        <w:t xml:space="preserve">, SC = </w:t>
      </w:r>
      <w:r w:rsidR="00AB6D0C" w:rsidRPr="00CD729C">
        <w:rPr>
          <w:color w:val="000000"/>
          <w:szCs w:val="22"/>
        </w:rPr>
        <w:t>subkutāni</w:t>
      </w:r>
      <w:r w:rsidRPr="00CD729C">
        <w:rPr>
          <w:color w:val="000000"/>
          <w:szCs w:val="22"/>
        </w:rPr>
        <w:t xml:space="preserve">, IT = </w:t>
      </w:r>
      <w:r w:rsidR="00D51DBE" w:rsidRPr="00CD729C">
        <w:rPr>
          <w:color w:val="000000"/>
          <w:szCs w:val="22"/>
        </w:rPr>
        <w:t>intratekāli</w:t>
      </w:r>
      <w:r w:rsidRPr="00CD729C">
        <w:rPr>
          <w:color w:val="000000"/>
          <w:szCs w:val="22"/>
        </w:rPr>
        <w:t xml:space="preserve">, PO = </w:t>
      </w:r>
      <w:r w:rsidR="00AB6D0C" w:rsidRPr="00CD729C">
        <w:rPr>
          <w:color w:val="000000"/>
          <w:szCs w:val="22"/>
        </w:rPr>
        <w:t>perorāli</w:t>
      </w:r>
      <w:r w:rsidRPr="00CD729C">
        <w:rPr>
          <w:color w:val="000000"/>
          <w:szCs w:val="22"/>
        </w:rPr>
        <w:t xml:space="preserve">, IM = </w:t>
      </w:r>
      <w:r w:rsidR="00AB6D0C" w:rsidRPr="00CD729C">
        <w:rPr>
          <w:color w:val="000000"/>
          <w:szCs w:val="22"/>
        </w:rPr>
        <w:t>intramuskulāri</w:t>
      </w:r>
      <w:r w:rsidRPr="00CD729C">
        <w:rPr>
          <w:color w:val="000000"/>
          <w:szCs w:val="22"/>
        </w:rPr>
        <w:t xml:space="preserve">, ARA-C = </w:t>
      </w:r>
      <w:r w:rsidR="00AB6D0C" w:rsidRPr="00CD729C">
        <w:rPr>
          <w:color w:val="000000"/>
          <w:szCs w:val="22"/>
        </w:rPr>
        <w:t>citozīna arabinozīds</w:t>
      </w:r>
      <w:r w:rsidRPr="00CD729C">
        <w:rPr>
          <w:color w:val="000000"/>
          <w:szCs w:val="22"/>
        </w:rPr>
        <w:t xml:space="preserve">, CPM = </w:t>
      </w:r>
      <w:r w:rsidR="00AB6D0C" w:rsidRPr="00CD729C">
        <w:rPr>
          <w:color w:val="000000"/>
          <w:szCs w:val="22"/>
        </w:rPr>
        <w:t>ciklofosfamīds</w:t>
      </w:r>
      <w:r w:rsidRPr="00CD729C">
        <w:rPr>
          <w:color w:val="000000"/>
          <w:szCs w:val="22"/>
        </w:rPr>
        <w:t xml:space="preserve">, VCR = </w:t>
      </w:r>
      <w:r w:rsidR="00AB6D0C" w:rsidRPr="00CD729C">
        <w:rPr>
          <w:color w:val="000000"/>
          <w:szCs w:val="22"/>
        </w:rPr>
        <w:t>vinkristīns</w:t>
      </w:r>
      <w:r w:rsidRPr="00CD729C">
        <w:rPr>
          <w:color w:val="000000"/>
          <w:szCs w:val="22"/>
        </w:rPr>
        <w:t xml:space="preserve">, DEX = </w:t>
      </w:r>
      <w:r w:rsidR="00AB6D0C" w:rsidRPr="00CD729C">
        <w:rPr>
          <w:color w:val="000000"/>
          <w:szCs w:val="22"/>
        </w:rPr>
        <w:t>deksametazons</w:t>
      </w:r>
      <w:r w:rsidRPr="00CD729C">
        <w:rPr>
          <w:color w:val="000000"/>
          <w:szCs w:val="22"/>
        </w:rPr>
        <w:t xml:space="preserve">, DAUN = </w:t>
      </w:r>
      <w:r w:rsidR="00AB6D0C" w:rsidRPr="00CD729C">
        <w:rPr>
          <w:color w:val="000000"/>
          <w:szCs w:val="22"/>
        </w:rPr>
        <w:t xml:space="preserve">daunorubicīns </w:t>
      </w:r>
      <w:r w:rsidRPr="00CD729C">
        <w:rPr>
          <w:color w:val="000000"/>
          <w:szCs w:val="22"/>
        </w:rPr>
        <w:t>, 6-MP = 6-</w:t>
      </w:r>
      <w:r w:rsidR="00AB6D0C" w:rsidRPr="00CD729C">
        <w:rPr>
          <w:color w:val="000000"/>
          <w:szCs w:val="22"/>
        </w:rPr>
        <w:t>merkaptopurīns</w:t>
      </w:r>
      <w:r w:rsidRPr="00CD729C">
        <w:rPr>
          <w:color w:val="000000"/>
          <w:szCs w:val="22"/>
        </w:rPr>
        <w:t xml:space="preserve">, </w:t>
      </w:r>
      <w:r w:rsidRPr="00CD729C">
        <w:rPr>
          <w:i/>
          <w:color w:val="000000"/>
          <w:szCs w:val="22"/>
        </w:rPr>
        <w:t>E.Coli</w:t>
      </w:r>
      <w:r w:rsidRPr="00CD729C">
        <w:rPr>
          <w:color w:val="000000"/>
          <w:szCs w:val="22"/>
        </w:rPr>
        <w:t xml:space="preserve"> L-ASP = L-asparagin</w:t>
      </w:r>
      <w:r w:rsidR="00BB7592" w:rsidRPr="00CD729C">
        <w:rPr>
          <w:color w:val="000000"/>
          <w:szCs w:val="22"/>
        </w:rPr>
        <w:t>āze</w:t>
      </w:r>
      <w:r w:rsidRPr="00CD729C">
        <w:rPr>
          <w:color w:val="000000"/>
          <w:szCs w:val="22"/>
        </w:rPr>
        <w:t>, PEG-ASP = PEG asparagin</w:t>
      </w:r>
      <w:r w:rsidR="00BB7592" w:rsidRPr="00CD729C">
        <w:rPr>
          <w:color w:val="000000"/>
          <w:szCs w:val="22"/>
        </w:rPr>
        <w:t>āz</w:t>
      </w:r>
      <w:r w:rsidRPr="00CD729C">
        <w:rPr>
          <w:color w:val="000000"/>
          <w:szCs w:val="22"/>
        </w:rPr>
        <w:t>e, MESNA= 2-mer</w:t>
      </w:r>
      <w:r w:rsidR="00BB7592" w:rsidRPr="00CD729C">
        <w:rPr>
          <w:color w:val="000000"/>
          <w:szCs w:val="22"/>
        </w:rPr>
        <w:t>k</w:t>
      </w:r>
      <w:r w:rsidRPr="00CD729C">
        <w:rPr>
          <w:color w:val="000000"/>
          <w:szCs w:val="22"/>
        </w:rPr>
        <w:t>aptoet</w:t>
      </w:r>
      <w:r w:rsidR="00BB7592" w:rsidRPr="00CD729C">
        <w:rPr>
          <w:color w:val="000000"/>
          <w:szCs w:val="22"/>
        </w:rPr>
        <w:t>ā</w:t>
      </w:r>
      <w:r w:rsidRPr="00CD729C">
        <w:rPr>
          <w:color w:val="000000"/>
          <w:szCs w:val="22"/>
        </w:rPr>
        <w:t>nsulfon</w:t>
      </w:r>
      <w:r w:rsidR="00BB7592" w:rsidRPr="00CD729C">
        <w:rPr>
          <w:color w:val="000000"/>
          <w:szCs w:val="22"/>
        </w:rPr>
        <w:t>ā</w:t>
      </w:r>
      <w:r w:rsidRPr="00CD729C">
        <w:rPr>
          <w:color w:val="000000"/>
          <w:szCs w:val="22"/>
        </w:rPr>
        <w:t>t</w:t>
      </w:r>
      <w:r w:rsidR="00BB7592" w:rsidRPr="00CD729C">
        <w:rPr>
          <w:color w:val="000000"/>
          <w:szCs w:val="22"/>
        </w:rPr>
        <w:t>a</w:t>
      </w:r>
      <w:r w:rsidRPr="00CD729C">
        <w:rPr>
          <w:color w:val="000000"/>
          <w:szCs w:val="22"/>
        </w:rPr>
        <w:t xml:space="preserve"> </w:t>
      </w:r>
      <w:r w:rsidR="00BB7592" w:rsidRPr="00CD729C">
        <w:rPr>
          <w:color w:val="000000"/>
          <w:szCs w:val="22"/>
        </w:rPr>
        <w:t>nātrija sāls</w:t>
      </w:r>
      <w:r w:rsidRPr="00CD729C">
        <w:rPr>
          <w:color w:val="000000"/>
          <w:szCs w:val="22"/>
        </w:rPr>
        <w:t xml:space="preserve">, iii= </w:t>
      </w:r>
      <w:r w:rsidR="00D51DBE" w:rsidRPr="00CD729C">
        <w:rPr>
          <w:color w:val="000000"/>
          <w:szCs w:val="22"/>
        </w:rPr>
        <w:t>vai</w:t>
      </w:r>
      <w:r w:rsidRPr="00CD729C">
        <w:rPr>
          <w:color w:val="000000"/>
          <w:szCs w:val="22"/>
        </w:rPr>
        <w:t xml:space="preserve"> </w:t>
      </w:r>
      <w:r w:rsidR="00D51DBE" w:rsidRPr="00CD729C">
        <w:rPr>
          <w:color w:val="000000"/>
          <w:szCs w:val="22"/>
        </w:rPr>
        <w:t>kamēr</w:t>
      </w:r>
      <w:r w:rsidRPr="00CD729C">
        <w:rPr>
          <w:color w:val="000000"/>
          <w:szCs w:val="22"/>
        </w:rPr>
        <w:t xml:space="preserve"> MTX </w:t>
      </w:r>
      <w:r w:rsidR="00D51DBE" w:rsidRPr="00CD729C">
        <w:rPr>
          <w:color w:val="000000"/>
          <w:szCs w:val="22"/>
        </w:rPr>
        <w:t>līmenis</w:t>
      </w:r>
      <w:r w:rsidRPr="00CD729C">
        <w:rPr>
          <w:color w:val="000000"/>
          <w:szCs w:val="22"/>
        </w:rPr>
        <w:t xml:space="preserve"> </w:t>
      </w:r>
      <w:r w:rsidR="00D51DBE" w:rsidRPr="00CD729C">
        <w:rPr>
          <w:color w:val="000000"/>
          <w:szCs w:val="22"/>
        </w:rPr>
        <w:t>ir</w:t>
      </w:r>
      <w:r w:rsidRPr="00CD729C">
        <w:rPr>
          <w:color w:val="000000"/>
          <w:szCs w:val="22"/>
        </w:rPr>
        <w:t xml:space="preserve"> &lt;0</w:t>
      </w:r>
      <w:r w:rsidR="00D51DBE" w:rsidRPr="00CD729C">
        <w:rPr>
          <w:color w:val="000000"/>
          <w:szCs w:val="22"/>
        </w:rPr>
        <w:t>,</w:t>
      </w:r>
      <w:r w:rsidRPr="00CD729C">
        <w:rPr>
          <w:color w:val="000000"/>
          <w:szCs w:val="22"/>
        </w:rPr>
        <w:t xml:space="preserve">1 µM, q6h = </w:t>
      </w:r>
      <w:r w:rsidR="00D51DBE" w:rsidRPr="00CD729C">
        <w:rPr>
          <w:color w:val="000000"/>
          <w:szCs w:val="22"/>
        </w:rPr>
        <w:t>ik pēc</w:t>
      </w:r>
      <w:r w:rsidRPr="00CD729C">
        <w:rPr>
          <w:color w:val="000000"/>
          <w:szCs w:val="22"/>
        </w:rPr>
        <w:t xml:space="preserve"> 6 </w:t>
      </w:r>
      <w:r w:rsidR="00D51DBE" w:rsidRPr="00CD729C">
        <w:rPr>
          <w:color w:val="000000"/>
          <w:szCs w:val="22"/>
        </w:rPr>
        <w:t>stundām</w:t>
      </w:r>
      <w:r w:rsidRPr="00CD729C">
        <w:rPr>
          <w:color w:val="000000"/>
          <w:szCs w:val="22"/>
        </w:rPr>
        <w:t xml:space="preserve">, Gy= </w:t>
      </w:r>
      <w:r w:rsidR="00D51DBE" w:rsidRPr="00CD729C">
        <w:rPr>
          <w:color w:val="000000"/>
          <w:szCs w:val="22"/>
        </w:rPr>
        <w:t>g</w:t>
      </w:r>
      <w:r w:rsidRPr="00CD729C">
        <w:rPr>
          <w:color w:val="000000"/>
          <w:szCs w:val="22"/>
        </w:rPr>
        <w:t>r</w:t>
      </w:r>
      <w:r w:rsidR="00D51DBE" w:rsidRPr="00CD729C">
        <w:rPr>
          <w:color w:val="000000"/>
          <w:szCs w:val="22"/>
        </w:rPr>
        <w:t>ejs</w:t>
      </w:r>
    </w:p>
    <w:p w14:paraId="3D39477D" w14:textId="77777777" w:rsidR="007C0B3A" w:rsidRPr="00CD729C" w:rsidRDefault="007C0B3A" w:rsidP="009B4BB6">
      <w:pPr>
        <w:pStyle w:val="EndnoteText"/>
        <w:widowControl w:val="0"/>
        <w:rPr>
          <w:color w:val="000000"/>
          <w:sz w:val="20"/>
        </w:rPr>
      </w:pPr>
    </w:p>
    <w:p w14:paraId="3D39477E" w14:textId="77777777" w:rsidR="007C0B3A" w:rsidRPr="00CD729C" w:rsidRDefault="00BA1617" w:rsidP="009B4BB6">
      <w:pPr>
        <w:pStyle w:val="EndnoteText"/>
        <w:widowControl w:val="0"/>
        <w:rPr>
          <w:color w:val="000000"/>
        </w:rPr>
      </w:pPr>
      <w:r w:rsidRPr="00CD729C">
        <w:rPr>
          <w:color w:val="000000"/>
          <w:szCs w:val="22"/>
        </w:rPr>
        <w:t>Pētījums</w:t>
      </w:r>
      <w:r w:rsidR="007C0B3A" w:rsidRPr="00CD729C">
        <w:rPr>
          <w:color w:val="000000"/>
          <w:szCs w:val="22"/>
        </w:rPr>
        <w:t xml:space="preserve"> AIT07 </w:t>
      </w:r>
      <w:r w:rsidRPr="00CD729C">
        <w:rPr>
          <w:color w:val="000000"/>
          <w:szCs w:val="22"/>
        </w:rPr>
        <w:t xml:space="preserve">bija </w:t>
      </w:r>
      <w:r w:rsidRPr="00CD729C">
        <w:t xml:space="preserve">daudzcentru, atvērta tipa, randomizēts II/III fāzes pētījums, kurā tika iekļauti 128 pacienti (vecumā no 1 līdz 18 gadiem), un kuri tika ārstēti ar imatinibu kombinācijā ar </w:t>
      </w:r>
      <w:r w:rsidR="0063767F" w:rsidRPr="00CD729C">
        <w:t>ķīmijterapiju</w:t>
      </w:r>
      <w:r w:rsidRPr="00CD729C">
        <w:t xml:space="preserve">. Drošuma dati no šī klīniskā pētījuma </w:t>
      </w:r>
      <w:r w:rsidR="00EC61D5" w:rsidRPr="00CD729C">
        <w:t xml:space="preserve">atbilst </w:t>
      </w:r>
      <w:r w:rsidR="008C023B" w:rsidRPr="00CD729C">
        <w:t>imatiniba drošuma profil</w:t>
      </w:r>
      <w:r w:rsidR="00EC61D5" w:rsidRPr="00CD729C">
        <w:t>am</w:t>
      </w:r>
      <w:r w:rsidR="008C023B" w:rsidRPr="00CD729C">
        <w:t xml:space="preserve"> </w:t>
      </w:r>
      <w:r w:rsidR="008C023B" w:rsidRPr="00CD729C">
        <w:rPr>
          <w:color w:val="000000"/>
          <w:szCs w:val="22"/>
        </w:rPr>
        <w:t xml:space="preserve">Ph+ ALL </w:t>
      </w:r>
      <w:r w:rsidR="008C023B" w:rsidRPr="00CD729C">
        <w:t>pacientiem</w:t>
      </w:r>
      <w:r w:rsidR="007C0B3A" w:rsidRPr="00CD729C">
        <w:rPr>
          <w:color w:val="000000"/>
          <w:szCs w:val="22"/>
        </w:rPr>
        <w:t>.</w:t>
      </w:r>
    </w:p>
    <w:p w14:paraId="3D39477F" w14:textId="77777777" w:rsidR="00863031" w:rsidRPr="00CD729C" w:rsidRDefault="00863031" w:rsidP="009B4BB6">
      <w:pPr>
        <w:widowControl w:val="0"/>
        <w:spacing w:line="240" w:lineRule="auto"/>
        <w:rPr>
          <w:color w:val="000000"/>
        </w:rPr>
      </w:pPr>
    </w:p>
    <w:p w14:paraId="3D394780" w14:textId="77777777" w:rsidR="00863031" w:rsidRPr="00CD729C" w:rsidRDefault="00863031" w:rsidP="009B4BB6">
      <w:pPr>
        <w:pStyle w:val="Text"/>
        <w:widowControl w:val="0"/>
        <w:spacing w:before="0"/>
        <w:jc w:val="left"/>
        <w:rPr>
          <w:color w:val="000000"/>
          <w:sz w:val="22"/>
          <w:szCs w:val="22"/>
          <w:lang w:val="lv-LV"/>
        </w:rPr>
      </w:pPr>
      <w:r w:rsidRPr="00CD729C">
        <w:rPr>
          <w:i/>
          <w:color w:val="000000"/>
          <w:sz w:val="22"/>
          <w:szCs w:val="22"/>
          <w:lang w:val="lv-LV"/>
        </w:rPr>
        <w:t>Recidivējošs/refraktārs Ph+ ALL:</w:t>
      </w:r>
      <w:r w:rsidRPr="00CD729C">
        <w:rPr>
          <w:color w:val="000000"/>
          <w:sz w:val="22"/>
          <w:szCs w:val="22"/>
          <w:lang w:val="lv-LV"/>
        </w:rPr>
        <w:t xml:space="preserve"> kad imatinibs tika lietots kā vienīgais līdzeklis pacientiem ar recidivējošu/refraktāru Ph+ ALL, 53 no 411 pacientiem, kuriem varēja novērtēt atbildes reakciju, hematoloģisku atbildes reakciju konstatēja 30% (9% pilnīgu), nozīmīgu citoģenētisku atbildes reakciju 23%. (Jāpiezīmē, ka no 411 pacientiem 353 tika ārstēti paplašinātas pieejas programmas ietvaros bez apkopotiem primārās atbildes reakcijas datiem.) Vidējais laiks līdz progresēšanai kopējā 411 pacientu grupā ar recidivējošu/refraktāru Ph+ ALL svārstījās no 2,6 līdz 3,1 mēnešiem, un vidējā kopējā dzīvildze 401 novērtējamiem pacientiem svārstījās no 4,9 līdz 9 mēnešiem. Atkārtotā analīzē iekļaujot </w:t>
      </w:r>
      <w:r w:rsidR="00F2490C" w:rsidRPr="00CD729C">
        <w:rPr>
          <w:color w:val="000000"/>
          <w:sz w:val="22"/>
          <w:szCs w:val="22"/>
          <w:lang w:val="lv-LV"/>
        </w:rPr>
        <w:t xml:space="preserve">pacientu grupu no </w:t>
      </w:r>
      <w:r w:rsidRPr="00CD729C">
        <w:rPr>
          <w:color w:val="000000"/>
          <w:sz w:val="22"/>
          <w:szCs w:val="22"/>
          <w:lang w:val="lv-LV"/>
        </w:rPr>
        <w:t>55 gadu vecu</w:t>
      </w:r>
      <w:r w:rsidR="00F2490C" w:rsidRPr="00CD729C">
        <w:rPr>
          <w:color w:val="000000"/>
          <w:sz w:val="22"/>
          <w:szCs w:val="22"/>
          <w:lang w:val="lv-LV"/>
        </w:rPr>
        <w:t xml:space="preserve">ma </w:t>
      </w:r>
      <w:r w:rsidRPr="00CD729C">
        <w:rPr>
          <w:color w:val="000000"/>
          <w:sz w:val="22"/>
          <w:szCs w:val="22"/>
          <w:lang w:val="lv-LV"/>
        </w:rPr>
        <w:t>iegūtie rezultāti bija līdzīgi.</w:t>
      </w:r>
    </w:p>
    <w:p w14:paraId="3D394781" w14:textId="77777777" w:rsidR="004C7DC2" w:rsidRPr="00CD729C" w:rsidRDefault="004C7DC2" w:rsidP="009B4BB6">
      <w:pPr>
        <w:pStyle w:val="EndnoteText"/>
        <w:widowControl w:val="0"/>
        <w:rPr>
          <w:color w:val="000000"/>
          <w:u w:val="single"/>
        </w:rPr>
      </w:pPr>
    </w:p>
    <w:p w14:paraId="3D394782" w14:textId="77777777" w:rsidR="00645B56" w:rsidRPr="00CD729C" w:rsidRDefault="00645B56" w:rsidP="009B4BB6">
      <w:pPr>
        <w:pStyle w:val="EndnoteText"/>
        <w:keepNext/>
        <w:widowControl w:val="0"/>
        <w:rPr>
          <w:color w:val="000000"/>
          <w:u w:val="single"/>
        </w:rPr>
      </w:pPr>
      <w:r w:rsidRPr="00CD729C">
        <w:rPr>
          <w:color w:val="000000"/>
          <w:u w:val="single"/>
        </w:rPr>
        <w:t>MDS/MPD klīniskie pētījumi</w:t>
      </w:r>
    </w:p>
    <w:p w14:paraId="3D394783" w14:textId="77777777" w:rsidR="007428DF" w:rsidRDefault="00645B56" w:rsidP="009B4BB6">
      <w:pPr>
        <w:widowControl w:val="0"/>
        <w:spacing w:line="240" w:lineRule="auto"/>
        <w:rPr>
          <w:rFonts w:eastAsia="MS Mincho"/>
          <w:color w:val="000000"/>
          <w:lang w:eastAsia="ja-JP"/>
        </w:rPr>
      </w:pPr>
      <w:r w:rsidRPr="00CD729C">
        <w:rPr>
          <w:color w:val="000000"/>
          <w:szCs w:val="22"/>
        </w:rPr>
        <w:t>Pieredze Glivec lietošanai šajā indikācijā ir ļoti ierobežota un ir balstīta uz noteikto hematoloģisko un citoģenētisko atbildes reakciju rādītājiem.</w:t>
      </w:r>
      <w:r w:rsidR="00EF45AF" w:rsidRPr="00CD729C">
        <w:rPr>
          <w:color w:val="000000"/>
          <w:szCs w:val="22"/>
        </w:rPr>
        <w:t xml:space="preserve"> Nav klīnisko pētījumu, kas apstiprinātu klīnisku ieguvumu dzīvildzes pagarināšanā.</w:t>
      </w:r>
      <w:r w:rsidR="000304C2" w:rsidRPr="00CD729C">
        <w:rPr>
          <w:color w:val="000000"/>
          <w:szCs w:val="22"/>
        </w:rPr>
        <w:t xml:space="preserve"> </w:t>
      </w:r>
      <w:r w:rsidR="000304C2" w:rsidRPr="00CD729C">
        <w:rPr>
          <w:rFonts w:eastAsia="MS Mincho"/>
          <w:color w:val="000000"/>
          <w:lang w:eastAsia="ja-JP"/>
        </w:rPr>
        <w:t xml:space="preserve">Tika veikts viens atklāts, daudzcentru, II fāzes klīniskais pētījums (pētījums B2225), kurā Glivec tika pārbaudīts dažādu pacientu grupās, kuri cieta no dzīvību apdraudošām slimībām, saistītām ar Abl, Kit vai PDGFR proteīnu tirozīnkināzēm. Šajā pētījumā piedalījās 7 pacienti ar MDS/MPD, kuri tika ārstēti ar Glivec devu 400 mg dienā. Trīs pacienti sasniedza pilnīgu hematoloģisko atbildes reakciju (CHR) un viens pacients sasniedza daļēju hematoloģisko atbildes reakciju (PHR). Tajā pat laikā veicot oriģinālo datu analīzi, trim no četriem pacientiem, kuriem konstatēta PDGFR gēnu pārkārtošanās, novēroja hematoloģisko atbildes reakciju (2 CHR un 1 PHR). </w:t>
      </w:r>
      <w:r w:rsidR="00D6144F" w:rsidRPr="00CD729C">
        <w:rPr>
          <w:rFonts w:eastAsia="MS Mincho"/>
          <w:color w:val="000000"/>
          <w:lang w:eastAsia="ja-JP"/>
        </w:rPr>
        <w:t>Šo</w:t>
      </w:r>
      <w:r w:rsidR="002A5994" w:rsidRPr="00CD729C">
        <w:rPr>
          <w:rFonts w:eastAsia="MS Mincho"/>
          <w:color w:val="000000"/>
          <w:lang w:eastAsia="ja-JP"/>
        </w:rPr>
        <w:t xml:space="preserve"> pacientu vecums svārstījās no 20 līdz 72 gadiem.</w:t>
      </w:r>
    </w:p>
    <w:p w14:paraId="3D394784" w14:textId="77777777" w:rsidR="007428DF" w:rsidRDefault="007428DF" w:rsidP="009B4BB6">
      <w:pPr>
        <w:widowControl w:val="0"/>
        <w:spacing w:line="240" w:lineRule="auto"/>
        <w:rPr>
          <w:rFonts w:eastAsia="MS Mincho"/>
          <w:color w:val="000000"/>
          <w:lang w:eastAsia="ja-JP"/>
        </w:rPr>
      </w:pPr>
    </w:p>
    <w:p w14:paraId="3D394785" w14:textId="77777777" w:rsidR="007428DF" w:rsidRPr="006939BA" w:rsidRDefault="006939BA" w:rsidP="009B4BB6">
      <w:pPr>
        <w:widowControl w:val="0"/>
        <w:spacing w:line="240" w:lineRule="auto"/>
        <w:rPr>
          <w:rFonts w:eastAsia="MS Mincho"/>
          <w:color w:val="000000"/>
          <w:lang w:eastAsia="ja-JP"/>
        </w:rPr>
      </w:pPr>
      <w:r>
        <w:rPr>
          <w:rFonts w:eastAsia="MS Mincho"/>
          <w:color w:val="000000"/>
          <w:lang w:eastAsia="ja-JP"/>
        </w:rPr>
        <w:t xml:space="preserve">Pacientiem, kuriem ir </w:t>
      </w:r>
      <w:r w:rsidRPr="00D35446">
        <w:rPr>
          <w:rFonts w:eastAsia="MS Mincho"/>
          <w:color w:val="000000"/>
          <w:lang w:eastAsia="ja-JP"/>
        </w:rPr>
        <w:t>mieloproliferatīvi jaunveidojumi ar PDGFR-</w:t>
      </w:r>
      <w:r w:rsidRPr="00D35446">
        <w:rPr>
          <w:rFonts w:eastAsia="TimesNewRoman"/>
          <w:szCs w:val="22"/>
        </w:rPr>
        <w:t xml:space="preserve"> </w:t>
      </w:r>
      <w:r w:rsidRPr="00D35446">
        <w:rPr>
          <w:rFonts w:eastAsia="TimesNewRoman"/>
          <w:szCs w:val="22"/>
          <w:lang w:val="en-US"/>
        </w:rPr>
        <w:t>β</w:t>
      </w:r>
      <w:r w:rsidRPr="00D35446">
        <w:rPr>
          <w:rFonts w:eastAsia="TimesNewRoman"/>
          <w:szCs w:val="22"/>
        </w:rPr>
        <w:t xml:space="preserve"> pārkārtošanos un kurus ārstēja ar Glivec, izveidoja novērojumu</w:t>
      </w:r>
      <w:r w:rsidR="004F64B7" w:rsidRPr="00D35446">
        <w:rPr>
          <w:rFonts w:eastAsia="TimesNewRoman"/>
          <w:szCs w:val="22"/>
        </w:rPr>
        <w:t xml:space="preserve"> datu</w:t>
      </w:r>
      <w:r w:rsidRPr="00D35446">
        <w:rPr>
          <w:rFonts w:eastAsia="TimesNewRoman"/>
          <w:szCs w:val="22"/>
        </w:rPr>
        <w:t xml:space="preserve"> reģistru (pētījums L2401), lai apkopotu ilgtermiņa drošuma un efektivitātes datus.</w:t>
      </w:r>
      <w:r w:rsidR="00FE35B4" w:rsidRPr="00D35446">
        <w:rPr>
          <w:rFonts w:eastAsia="TimesNewRoman"/>
          <w:szCs w:val="22"/>
        </w:rPr>
        <w:t xml:space="preserve"> 23 pacienti, kuri iekļauti šajā reģistrā, saņēma mediāno Glivec dienas devu 264 mg (diapazons: 100 līdz 400 mg) ar mediāno ilgumu 7,2 gadi (diapazons: 0,1 līdz 12,7 gadi). Šī reģistra </w:t>
      </w:r>
      <w:r w:rsidR="001F757C" w:rsidRPr="00D35446">
        <w:rPr>
          <w:rFonts w:eastAsia="TimesNewRoman"/>
          <w:szCs w:val="22"/>
        </w:rPr>
        <w:t xml:space="preserve">novērojošā rakstura dēļ hematoloģiskie, citoģenētiskie un molekulārie izvērtējuma dati </w:t>
      </w:r>
      <w:r w:rsidR="0095756E" w:rsidRPr="00D35446">
        <w:rPr>
          <w:rFonts w:eastAsia="TimesNewRoman"/>
          <w:szCs w:val="22"/>
        </w:rPr>
        <w:t xml:space="preserve">no 23 iekļautajiem pacientiem </w:t>
      </w:r>
      <w:r w:rsidR="001F757C" w:rsidRPr="00D35446">
        <w:rPr>
          <w:rFonts w:eastAsia="TimesNewRoman"/>
          <w:szCs w:val="22"/>
        </w:rPr>
        <w:t>bija pieejami attiecīgi 22, 9 un 17 .</w:t>
      </w:r>
      <w:r w:rsidR="00465B1A" w:rsidRPr="00D35446">
        <w:rPr>
          <w:rFonts w:eastAsia="TimesNewRoman"/>
          <w:szCs w:val="22"/>
        </w:rPr>
        <w:t xml:space="preserve"> Konservatīvi </w:t>
      </w:r>
      <w:r w:rsidR="00C82716" w:rsidRPr="00D35446">
        <w:rPr>
          <w:rFonts w:eastAsia="TimesNewRoman"/>
          <w:szCs w:val="22"/>
        </w:rPr>
        <w:t>pieņemot</w:t>
      </w:r>
      <w:r w:rsidR="00465B1A" w:rsidRPr="00D35446">
        <w:rPr>
          <w:rFonts w:eastAsia="TimesNewRoman"/>
          <w:szCs w:val="22"/>
        </w:rPr>
        <w:t>, ka pacienti, kuriem trūka datu, bija bez atbildes reakcijas, CHR novēroja attiecīgi 20/23 (87%) pacientiem, C</w:t>
      </w:r>
      <w:r w:rsidR="00BF5E30" w:rsidRPr="00D35446">
        <w:rPr>
          <w:rFonts w:eastAsia="TimesNewRoman"/>
          <w:szCs w:val="22"/>
        </w:rPr>
        <w:t>c</w:t>
      </w:r>
      <w:r w:rsidR="00465B1A" w:rsidRPr="00D35446">
        <w:rPr>
          <w:rFonts w:eastAsia="TimesNewRoman"/>
          <w:szCs w:val="22"/>
        </w:rPr>
        <w:t>yR</w:t>
      </w:r>
      <w:r w:rsidR="00BF5E30" w:rsidRPr="00D35446">
        <w:rPr>
          <w:rFonts w:eastAsia="TimesNewRoman"/>
          <w:szCs w:val="22"/>
        </w:rPr>
        <w:t> </w:t>
      </w:r>
      <w:r w:rsidR="00465B1A" w:rsidRPr="00D35446">
        <w:rPr>
          <w:rFonts w:eastAsia="TimesNewRoman"/>
          <w:szCs w:val="22"/>
        </w:rPr>
        <w:t>-</w:t>
      </w:r>
      <w:r w:rsidR="00BF5E30" w:rsidRPr="00D35446">
        <w:rPr>
          <w:rFonts w:eastAsia="TimesNewRoman"/>
          <w:szCs w:val="22"/>
        </w:rPr>
        <w:t> </w:t>
      </w:r>
      <w:r w:rsidR="00465B1A" w:rsidRPr="00D35446">
        <w:rPr>
          <w:rFonts w:eastAsia="TimesNewRoman"/>
          <w:szCs w:val="22"/>
        </w:rPr>
        <w:t>9/23 (39,1%) pacientiem un MR 11/23 (47,8%) pacientiem.</w:t>
      </w:r>
      <w:r w:rsidR="00352E24" w:rsidRPr="00D35446">
        <w:rPr>
          <w:rFonts w:eastAsia="TimesNewRoman"/>
          <w:szCs w:val="22"/>
        </w:rPr>
        <w:t xml:space="preserve"> Kad atbildes reakciju biežumu </w:t>
      </w:r>
      <w:r w:rsidR="00AD1DD2" w:rsidRPr="00D35446">
        <w:rPr>
          <w:rFonts w:eastAsia="TimesNewRoman"/>
          <w:szCs w:val="22"/>
        </w:rPr>
        <w:t>ap</w:t>
      </w:r>
      <w:r w:rsidR="00352E24" w:rsidRPr="00D35446">
        <w:rPr>
          <w:rFonts w:eastAsia="TimesNewRoman"/>
          <w:szCs w:val="22"/>
        </w:rPr>
        <w:t xml:space="preserve">rēķināja pacientiem, kuriem ir vismaz viens derīgs izvērtējums, CHR, CCyR un MR atbildes reakcijas biežums bija attiecīgi </w:t>
      </w:r>
      <w:r w:rsidR="000438E6" w:rsidRPr="00D35446">
        <w:rPr>
          <w:rFonts w:eastAsia="TimesNewRoman"/>
          <w:szCs w:val="22"/>
        </w:rPr>
        <w:t>20</w:t>
      </w:r>
      <w:r w:rsidR="00352E24" w:rsidRPr="00D35446">
        <w:rPr>
          <w:rFonts w:eastAsia="TimesNewRoman"/>
          <w:szCs w:val="22"/>
        </w:rPr>
        <w:t>/22 (90</w:t>
      </w:r>
      <w:r w:rsidR="001254D2" w:rsidRPr="00D35446">
        <w:rPr>
          <w:rFonts w:eastAsia="TimesNewRoman"/>
          <w:szCs w:val="22"/>
        </w:rPr>
        <w:t>,</w:t>
      </w:r>
      <w:r w:rsidR="00E01287" w:rsidRPr="00D35446">
        <w:rPr>
          <w:rFonts w:eastAsia="TimesNewRoman"/>
          <w:szCs w:val="22"/>
        </w:rPr>
        <w:t>9</w:t>
      </w:r>
      <w:r w:rsidR="00352E24" w:rsidRPr="00D35446">
        <w:rPr>
          <w:rFonts w:eastAsia="TimesNewRoman"/>
          <w:szCs w:val="22"/>
        </w:rPr>
        <w:t>%), 9/9 (100%) un 11/17 (64,7%).</w:t>
      </w:r>
    </w:p>
    <w:p w14:paraId="3D394786" w14:textId="77777777" w:rsidR="007428DF" w:rsidRDefault="007428DF" w:rsidP="009B4BB6">
      <w:pPr>
        <w:widowControl w:val="0"/>
        <w:spacing w:line="240" w:lineRule="auto"/>
        <w:rPr>
          <w:rFonts w:eastAsia="MS Mincho"/>
          <w:color w:val="000000"/>
          <w:lang w:eastAsia="ja-JP"/>
        </w:rPr>
      </w:pPr>
    </w:p>
    <w:p w14:paraId="3D394787" w14:textId="77777777" w:rsidR="00EF45AF" w:rsidRPr="00CD729C" w:rsidRDefault="002A5994" w:rsidP="009B4BB6">
      <w:pPr>
        <w:widowControl w:val="0"/>
        <w:spacing w:line="240" w:lineRule="auto"/>
        <w:rPr>
          <w:color w:val="000000"/>
          <w:szCs w:val="22"/>
        </w:rPr>
      </w:pPr>
      <w:r w:rsidRPr="00CD729C">
        <w:rPr>
          <w:rFonts w:eastAsia="MS Mincho"/>
          <w:color w:val="000000"/>
          <w:lang w:eastAsia="ja-JP"/>
        </w:rPr>
        <w:t xml:space="preserve">Vēl par 24 pacientiem ar MDS/MPD tika ziņots </w:t>
      </w:r>
      <w:r w:rsidRPr="00CD729C">
        <w:rPr>
          <w:color w:val="000000"/>
        </w:rPr>
        <w:t xml:space="preserve">13 publicētos gadījumu ziņojumos. 21 pacients saņēma Glivec 400 mg dienas devā, bet trīs pacienti saņēma mazākas devas. </w:t>
      </w:r>
      <w:r w:rsidR="00D6144F" w:rsidRPr="00CD729C">
        <w:rPr>
          <w:color w:val="000000"/>
        </w:rPr>
        <w:t xml:space="preserve">Vienpadsmit pacientiem tika konstatēta </w:t>
      </w:r>
      <w:r w:rsidR="00D6144F" w:rsidRPr="00CD729C">
        <w:rPr>
          <w:rFonts w:eastAsia="MS Mincho"/>
          <w:color w:val="000000"/>
          <w:lang w:eastAsia="ja-JP"/>
        </w:rPr>
        <w:t>PDGFR gēnu pārkārtošanās, no kuriem 9 pacienti sasniedza CHR un 1 pacients sasniedza PHR. Šo pacientu vecums svārstījās no 2 līdz 79 gadiem. Nesenā publikācija sniedza papildus informāciju par 6 no šiem 11 pacientiem, ka visiem viņiem novēroja citoģenētisku remisiju (32</w:t>
      </w:r>
      <w:r w:rsidR="00D6144F" w:rsidRPr="00CD729C">
        <w:rPr>
          <w:color w:val="000000"/>
          <w:szCs w:val="22"/>
        </w:rPr>
        <w:noBreakHyphen/>
      </w:r>
      <w:r w:rsidR="00D6144F" w:rsidRPr="00CD729C">
        <w:rPr>
          <w:rFonts w:eastAsia="MS Mincho"/>
          <w:color w:val="000000"/>
          <w:lang w:eastAsia="ja-JP"/>
        </w:rPr>
        <w:t xml:space="preserve">38 mēnešu periodā). </w:t>
      </w:r>
      <w:r w:rsidR="00FC10D7" w:rsidRPr="00CD729C">
        <w:rPr>
          <w:rFonts w:eastAsia="MS Mincho"/>
          <w:color w:val="000000"/>
          <w:lang w:eastAsia="ja-JP"/>
        </w:rPr>
        <w:t>Vēl šajā publikācijā sniegta informācija par ilgtermiņa datiem 12 </w:t>
      </w:r>
      <w:r w:rsidR="009D7F0C" w:rsidRPr="00CD729C">
        <w:rPr>
          <w:rFonts w:eastAsia="MS Mincho"/>
          <w:color w:val="000000"/>
          <w:lang w:eastAsia="ja-JP"/>
        </w:rPr>
        <w:t xml:space="preserve">MDS/MPD </w:t>
      </w:r>
      <w:r w:rsidR="00FC10D7" w:rsidRPr="00CD729C">
        <w:rPr>
          <w:rFonts w:eastAsia="MS Mincho"/>
          <w:color w:val="000000"/>
          <w:lang w:eastAsia="ja-JP"/>
        </w:rPr>
        <w:t>slimniekiem ar PDGFR gēnu pārkārtošan</w:t>
      </w:r>
      <w:r w:rsidR="009D7F0C" w:rsidRPr="00CD729C">
        <w:rPr>
          <w:rFonts w:eastAsia="MS Mincho"/>
          <w:color w:val="000000"/>
          <w:lang w:eastAsia="ja-JP"/>
        </w:rPr>
        <w:t>o</w:t>
      </w:r>
      <w:r w:rsidR="00FC10D7" w:rsidRPr="00CD729C">
        <w:rPr>
          <w:rFonts w:eastAsia="MS Mincho"/>
          <w:color w:val="000000"/>
          <w:lang w:eastAsia="ja-JP"/>
        </w:rPr>
        <w:t xml:space="preserve">s (5 pacienti no pētījuma B2225). </w:t>
      </w:r>
      <w:r w:rsidR="00F72C18" w:rsidRPr="00CD729C">
        <w:rPr>
          <w:rFonts w:eastAsia="MS Mincho"/>
          <w:color w:val="000000"/>
          <w:lang w:eastAsia="ja-JP"/>
        </w:rPr>
        <w:t>Šie pacienti saņēma Glivec vidēji 47 mēnešus (laika posmā no 24 dienām līdz 60 mēnešiem).</w:t>
      </w:r>
      <w:r w:rsidR="00893F5E" w:rsidRPr="00CD729C">
        <w:rPr>
          <w:rFonts w:eastAsia="MS Mincho"/>
          <w:color w:val="000000"/>
          <w:lang w:eastAsia="ja-JP"/>
        </w:rPr>
        <w:t xml:space="preserve">6 no šiem pacientiem </w:t>
      </w:r>
      <w:r w:rsidR="00893F5E" w:rsidRPr="00CD729C">
        <w:rPr>
          <w:rFonts w:eastAsia="MS Mincho"/>
          <w:color w:val="000000"/>
          <w:lang w:eastAsia="ja-JP"/>
        </w:rPr>
        <w:lastRenderedPageBreak/>
        <w:t xml:space="preserve">lietošanas ilgums tagad jau pārsniedz 4 gadus. </w:t>
      </w:r>
      <w:r w:rsidR="002F6AE9" w:rsidRPr="00CD729C">
        <w:rPr>
          <w:rFonts w:eastAsia="MS Mincho"/>
          <w:color w:val="000000"/>
          <w:lang w:eastAsia="ja-JP"/>
        </w:rPr>
        <w:t xml:space="preserve">Vienpadsmit pacientiem novēroja strauju CHR; desmit pacientiem novēroja pilnīgu citoģenētisko anomāliju izzušanu un </w:t>
      </w:r>
      <w:r w:rsidR="00B54120" w:rsidRPr="00CD729C">
        <w:rPr>
          <w:color w:val="000000"/>
          <w:szCs w:val="22"/>
        </w:rPr>
        <w:t xml:space="preserve">saplūšanas </w:t>
      </w:r>
      <w:r w:rsidR="002F6AE9" w:rsidRPr="00CD729C">
        <w:rPr>
          <w:rFonts w:eastAsia="MS Mincho"/>
          <w:color w:val="000000"/>
          <w:lang w:eastAsia="ja-JP"/>
        </w:rPr>
        <w:t>transkripta samazinājumu vai izzušanu pēc RT-PCR mēr</w:t>
      </w:r>
      <w:r w:rsidR="009D7F0C" w:rsidRPr="00CD729C">
        <w:rPr>
          <w:rFonts w:eastAsia="MS Mincho"/>
          <w:color w:val="000000"/>
          <w:lang w:eastAsia="ja-JP"/>
        </w:rPr>
        <w:t>ī</w:t>
      </w:r>
      <w:r w:rsidR="002F6AE9" w:rsidRPr="00CD729C">
        <w:rPr>
          <w:rFonts w:eastAsia="MS Mincho"/>
          <w:color w:val="000000"/>
          <w:lang w:eastAsia="ja-JP"/>
        </w:rPr>
        <w:t>jumu rezultātiem.</w:t>
      </w:r>
      <w:r w:rsidR="00D94AF7" w:rsidRPr="00CD729C">
        <w:rPr>
          <w:rFonts w:eastAsia="MS Mincho"/>
          <w:color w:val="000000"/>
          <w:lang w:eastAsia="ja-JP"/>
        </w:rPr>
        <w:t xml:space="preserve"> Hematoloģiskās atbildes reakcijas turpinājās vidēji 49 mēnešus (19</w:t>
      </w:r>
      <w:r w:rsidR="00D94AF7" w:rsidRPr="00CD729C">
        <w:rPr>
          <w:color w:val="000000"/>
          <w:szCs w:val="22"/>
        </w:rPr>
        <w:noBreakHyphen/>
      </w:r>
      <w:r w:rsidR="00D94AF7" w:rsidRPr="00CD729C">
        <w:rPr>
          <w:rFonts w:eastAsia="MS Mincho"/>
          <w:color w:val="000000"/>
          <w:lang w:eastAsia="ja-JP"/>
        </w:rPr>
        <w:t>60 interv</w:t>
      </w:r>
      <w:r w:rsidR="00F13FAC" w:rsidRPr="00CD729C">
        <w:rPr>
          <w:rFonts w:eastAsia="MS Mincho"/>
          <w:color w:val="000000"/>
          <w:lang w:eastAsia="ja-JP"/>
        </w:rPr>
        <w:t>ā</w:t>
      </w:r>
      <w:r w:rsidR="00D94AF7" w:rsidRPr="00CD729C">
        <w:rPr>
          <w:rFonts w:eastAsia="MS Mincho"/>
          <w:color w:val="000000"/>
          <w:lang w:eastAsia="ja-JP"/>
        </w:rPr>
        <w:t>lā) un citoģenētiskās atbildes reakcijas – attiecīgi 47 mēnešus (16</w:t>
      </w:r>
      <w:r w:rsidR="00D94AF7" w:rsidRPr="00CD729C">
        <w:rPr>
          <w:color w:val="000000"/>
          <w:szCs w:val="22"/>
        </w:rPr>
        <w:noBreakHyphen/>
        <w:t>59</w:t>
      </w:r>
      <w:r w:rsidR="00D94AF7" w:rsidRPr="00CD729C">
        <w:rPr>
          <w:rFonts w:eastAsia="MS Mincho"/>
          <w:color w:val="000000"/>
          <w:lang w:eastAsia="ja-JP"/>
        </w:rPr>
        <w:t> interv</w:t>
      </w:r>
      <w:r w:rsidR="00F13FAC" w:rsidRPr="00CD729C">
        <w:rPr>
          <w:rFonts w:eastAsia="MS Mincho"/>
          <w:color w:val="000000"/>
          <w:lang w:eastAsia="ja-JP"/>
        </w:rPr>
        <w:t>ā</w:t>
      </w:r>
      <w:r w:rsidR="00D94AF7" w:rsidRPr="00CD729C">
        <w:rPr>
          <w:rFonts w:eastAsia="MS Mincho"/>
          <w:color w:val="000000"/>
          <w:lang w:eastAsia="ja-JP"/>
        </w:rPr>
        <w:t>lā)</w:t>
      </w:r>
      <w:r w:rsidR="003F1DC8" w:rsidRPr="00CD729C">
        <w:rPr>
          <w:rFonts w:eastAsia="MS Mincho"/>
          <w:color w:val="000000"/>
          <w:lang w:eastAsia="ja-JP"/>
        </w:rPr>
        <w:t>.</w:t>
      </w:r>
      <w:r w:rsidR="00D94AF7" w:rsidRPr="00CD729C">
        <w:rPr>
          <w:rFonts w:eastAsia="MS Mincho"/>
          <w:color w:val="000000"/>
          <w:lang w:eastAsia="ja-JP"/>
        </w:rPr>
        <w:t xml:space="preserve"> </w:t>
      </w:r>
      <w:r w:rsidR="003F1DC8" w:rsidRPr="00CD729C">
        <w:rPr>
          <w:rFonts w:eastAsia="MS Mincho"/>
          <w:color w:val="000000"/>
          <w:lang w:eastAsia="ja-JP"/>
        </w:rPr>
        <w:t>Kopējā dzīvildze pēc diagnozes uzstādīšanas ir 65 mēneši (25</w:t>
      </w:r>
      <w:r w:rsidR="003F1DC8" w:rsidRPr="00CD729C">
        <w:rPr>
          <w:color w:val="000000"/>
          <w:szCs w:val="22"/>
        </w:rPr>
        <w:noBreakHyphen/>
      </w:r>
      <w:r w:rsidR="003F1DC8" w:rsidRPr="00CD729C">
        <w:rPr>
          <w:rFonts w:eastAsia="MS Mincho"/>
          <w:color w:val="000000"/>
          <w:lang w:eastAsia="ja-JP"/>
        </w:rPr>
        <w:t>234 intervālā).</w:t>
      </w:r>
      <w:r w:rsidR="00B57E44" w:rsidRPr="00CD729C">
        <w:rPr>
          <w:rFonts w:eastAsia="MS Mincho"/>
          <w:color w:val="000000"/>
          <w:lang w:eastAsia="ja-JP"/>
        </w:rPr>
        <w:t xml:space="preserve"> </w:t>
      </w:r>
      <w:r w:rsidR="00592DD0" w:rsidRPr="00CD729C">
        <w:rPr>
          <w:rFonts w:eastAsia="MS Mincho"/>
          <w:color w:val="000000"/>
          <w:lang w:eastAsia="ja-JP"/>
        </w:rPr>
        <w:t>Glivec lietošana pacientiem bez ģenētiskas translokācijas kopumā nesniedza nekādu uzlabojumu.</w:t>
      </w:r>
    </w:p>
    <w:p w14:paraId="3D394788" w14:textId="77777777" w:rsidR="00EE0671" w:rsidRPr="00CD729C" w:rsidRDefault="00EE0671" w:rsidP="009B4BB6">
      <w:pPr>
        <w:pStyle w:val="EndnoteText"/>
        <w:widowControl w:val="0"/>
        <w:tabs>
          <w:tab w:val="clear" w:pos="567"/>
        </w:tabs>
        <w:rPr>
          <w:color w:val="000000"/>
          <w:szCs w:val="22"/>
        </w:rPr>
      </w:pPr>
    </w:p>
    <w:p w14:paraId="3D394789" w14:textId="77777777" w:rsidR="00A41292" w:rsidRPr="00CD729C" w:rsidRDefault="00C23BF6" w:rsidP="009B4BB6">
      <w:pPr>
        <w:widowControl w:val="0"/>
        <w:tabs>
          <w:tab w:val="clear" w:pos="567"/>
        </w:tabs>
        <w:spacing w:line="240" w:lineRule="auto"/>
        <w:rPr>
          <w:color w:val="000000"/>
          <w:szCs w:val="22"/>
        </w:rPr>
      </w:pPr>
      <w:r w:rsidRPr="00CD729C">
        <w:rPr>
          <w:color w:val="000000"/>
          <w:szCs w:val="22"/>
        </w:rPr>
        <w:t>K</w:t>
      </w:r>
      <w:r w:rsidR="00A41292" w:rsidRPr="00CD729C">
        <w:rPr>
          <w:color w:val="000000"/>
          <w:szCs w:val="22"/>
        </w:rPr>
        <w:t>ontrolēti klīniskie pētījumi pediatrijas pacientiem ar MDS/MPD</w:t>
      </w:r>
      <w:r w:rsidRPr="00CD729C">
        <w:rPr>
          <w:color w:val="000000"/>
          <w:szCs w:val="22"/>
        </w:rPr>
        <w:t xml:space="preserve"> nav veikti</w:t>
      </w:r>
      <w:r w:rsidR="00A41292" w:rsidRPr="00CD729C">
        <w:rPr>
          <w:color w:val="000000"/>
          <w:szCs w:val="22"/>
        </w:rPr>
        <w:t xml:space="preserve">. 4 publikācijās ziņots par </w:t>
      </w:r>
      <w:r w:rsidR="00C40C5E" w:rsidRPr="00CD729C">
        <w:rPr>
          <w:color w:val="000000"/>
          <w:szCs w:val="22"/>
        </w:rPr>
        <w:t>pieciem (</w:t>
      </w:r>
      <w:r w:rsidR="00A41292" w:rsidRPr="00CD729C">
        <w:rPr>
          <w:color w:val="000000"/>
          <w:szCs w:val="22"/>
        </w:rPr>
        <w:t>5</w:t>
      </w:r>
      <w:r w:rsidR="00C40C5E" w:rsidRPr="00CD729C">
        <w:rPr>
          <w:color w:val="000000"/>
          <w:szCs w:val="22"/>
        </w:rPr>
        <w:t>) </w:t>
      </w:r>
      <w:r w:rsidR="00A41292" w:rsidRPr="00CD729C">
        <w:rPr>
          <w:color w:val="000000"/>
          <w:szCs w:val="22"/>
        </w:rPr>
        <w:t>pacientiem</w:t>
      </w:r>
      <w:r w:rsidR="000A45ED" w:rsidRPr="00CD729C">
        <w:rPr>
          <w:rFonts w:eastAsia="MS Mincho"/>
          <w:color w:val="000000"/>
          <w:lang w:eastAsia="ja-JP"/>
        </w:rPr>
        <w:t xml:space="preserve"> ar </w:t>
      </w:r>
      <w:r w:rsidR="000A45ED" w:rsidRPr="00CD729C">
        <w:rPr>
          <w:color w:val="000000"/>
          <w:szCs w:val="22"/>
        </w:rPr>
        <w:t>MDS/MPD</w:t>
      </w:r>
      <w:r w:rsidRPr="00CD729C">
        <w:rPr>
          <w:color w:val="000000"/>
          <w:szCs w:val="22"/>
        </w:rPr>
        <w:t>, kas</w:t>
      </w:r>
      <w:r w:rsidR="000A45ED" w:rsidRPr="00CD729C">
        <w:rPr>
          <w:color w:val="000000"/>
          <w:szCs w:val="22"/>
        </w:rPr>
        <w:t xml:space="preserve"> saistīta </w:t>
      </w:r>
      <w:r w:rsidRPr="00CD729C">
        <w:rPr>
          <w:color w:val="000000"/>
          <w:szCs w:val="22"/>
        </w:rPr>
        <w:t xml:space="preserve">ar </w:t>
      </w:r>
      <w:r w:rsidR="000A45ED" w:rsidRPr="00CD729C">
        <w:rPr>
          <w:rFonts w:eastAsia="MS Mincho"/>
          <w:color w:val="000000"/>
          <w:lang w:eastAsia="ja-JP"/>
        </w:rPr>
        <w:t>PDGFR gēnu pārkārtošan</w:t>
      </w:r>
      <w:r w:rsidRPr="00CD729C">
        <w:rPr>
          <w:rFonts w:eastAsia="MS Mincho"/>
          <w:color w:val="000000"/>
          <w:lang w:eastAsia="ja-JP"/>
        </w:rPr>
        <w:t>o</w:t>
      </w:r>
      <w:r w:rsidR="000A45ED" w:rsidRPr="00CD729C">
        <w:rPr>
          <w:rFonts w:eastAsia="MS Mincho"/>
          <w:color w:val="000000"/>
          <w:lang w:eastAsia="ja-JP"/>
        </w:rPr>
        <w:t>s. Šo pacientu vecums bija robežās no 3 mēnešiem līdz 4 gadiem</w:t>
      </w:r>
      <w:r w:rsidRPr="00CD729C">
        <w:rPr>
          <w:rFonts w:eastAsia="MS Mincho"/>
          <w:color w:val="000000"/>
          <w:lang w:eastAsia="ja-JP"/>
        </w:rPr>
        <w:t>,</w:t>
      </w:r>
      <w:r w:rsidR="000A45ED" w:rsidRPr="00CD729C">
        <w:rPr>
          <w:rFonts w:eastAsia="MS Mincho"/>
          <w:color w:val="000000"/>
          <w:lang w:eastAsia="ja-JP"/>
        </w:rPr>
        <w:t xml:space="preserve"> un </w:t>
      </w:r>
      <w:r w:rsidR="00BF4334" w:rsidRPr="00CD729C">
        <w:rPr>
          <w:rFonts w:eastAsia="MS Mincho"/>
          <w:color w:val="000000"/>
          <w:lang w:eastAsia="ja-JP"/>
        </w:rPr>
        <w:t>izmantot</w:t>
      </w:r>
      <w:r w:rsidR="00C40C5E" w:rsidRPr="00CD729C">
        <w:rPr>
          <w:rFonts w:eastAsia="MS Mincho"/>
          <w:color w:val="000000"/>
          <w:lang w:eastAsia="ja-JP"/>
        </w:rPr>
        <w:t>ā</w:t>
      </w:r>
      <w:r w:rsidR="00BF4334" w:rsidRPr="00CD729C">
        <w:rPr>
          <w:rFonts w:eastAsia="MS Mincho"/>
          <w:color w:val="000000"/>
          <w:lang w:eastAsia="ja-JP"/>
        </w:rPr>
        <w:t xml:space="preserve"> </w:t>
      </w:r>
      <w:r w:rsidR="000A45ED" w:rsidRPr="00CD729C">
        <w:rPr>
          <w:rFonts w:eastAsia="MS Mincho"/>
          <w:color w:val="000000"/>
          <w:lang w:eastAsia="ja-JP"/>
        </w:rPr>
        <w:t>imatinib</w:t>
      </w:r>
      <w:r w:rsidR="00BF4334" w:rsidRPr="00CD729C">
        <w:rPr>
          <w:rFonts w:eastAsia="MS Mincho"/>
          <w:color w:val="000000"/>
          <w:lang w:eastAsia="ja-JP"/>
        </w:rPr>
        <w:t>a dev</w:t>
      </w:r>
      <w:r w:rsidR="00C40C5E" w:rsidRPr="00CD729C">
        <w:rPr>
          <w:rFonts w:eastAsia="MS Mincho"/>
          <w:color w:val="000000"/>
          <w:lang w:eastAsia="ja-JP"/>
        </w:rPr>
        <w:t xml:space="preserve">a bija </w:t>
      </w:r>
      <w:r w:rsidR="00C40C5E" w:rsidRPr="00CD729C">
        <w:rPr>
          <w:color w:val="000000"/>
          <w:szCs w:val="22"/>
        </w:rPr>
        <w:t xml:space="preserve">50 mg dienā </w:t>
      </w:r>
      <w:r w:rsidR="00254B49" w:rsidRPr="00CD729C">
        <w:rPr>
          <w:color w:val="000000"/>
          <w:szCs w:val="22"/>
        </w:rPr>
        <w:t>vai</w:t>
      </w:r>
      <w:r w:rsidR="00BF4334" w:rsidRPr="00CD729C">
        <w:rPr>
          <w:rFonts w:eastAsia="MS Mincho"/>
          <w:color w:val="000000"/>
          <w:lang w:eastAsia="ja-JP"/>
        </w:rPr>
        <w:t xml:space="preserve"> robež</w:t>
      </w:r>
      <w:r w:rsidR="00C40C5E" w:rsidRPr="00CD729C">
        <w:rPr>
          <w:rFonts w:eastAsia="MS Mincho"/>
          <w:color w:val="000000"/>
          <w:lang w:eastAsia="ja-JP"/>
        </w:rPr>
        <w:t>ā</w:t>
      </w:r>
      <w:r w:rsidR="00BF4334" w:rsidRPr="00CD729C">
        <w:rPr>
          <w:rFonts w:eastAsia="MS Mincho"/>
          <w:color w:val="000000"/>
          <w:lang w:eastAsia="ja-JP"/>
        </w:rPr>
        <w:t xml:space="preserve">s </w:t>
      </w:r>
      <w:r w:rsidR="000A45ED" w:rsidRPr="00CD729C">
        <w:rPr>
          <w:rFonts w:eastAsia="MS Mincho"/>
          <w:color w:val="000000"/>
          <w:lang w:eastAsia="ja-JP"/>
        </w:rPr>
        <w:t xml:space="preserve">no </w:t>
      </w:r>
      <w:r w:rsidR="000A45ED" w:rsidRPr="00CD729C">
        <w:rPr>
          <w:color w:val="000000"/>
          <w:szCs w:val="22"/>
        </w:rPr>
        <w:t>92,5</w:t>
      </w:r>
      <w:r w:rsidR="00BF4334" w:rsidRPr="00CD729C">
        <w:rPr>
          <w:color w:val="000000"/>
          <w:szCs w:val="22"/>
        </w:rPr>
        <w:t xml:space="preserve"> līdz </w:t>
      </w:r>
      <w:r w:rsidR="000A45ED" w:rsidRPr="00CD729C">
        <w:rPr>
          <w:color w:val="000000"/>
          <w:szCs w:val="22"/>
        </w:rPr>
        <w:t>340 mg/m</w:t>
      </w:r>
      <w:r w:rsidR="000A45ED" w:rsidRPr="00CD729C">
        <w:rPr>
          <w:color w:val="000000"/>
          <w:szCs w:val="22"/>
          <w:vertAlign w:val="superscript"/>
        </w:rPr>
        <w:t>2</w:t>
      </w:r>
      <w:r w:rsidR="000A45ED" w:rsidRPr="00CD729C">
        <w:rPr>
          <w:color w:val="000000"/>
          <w:szCs w:val="22"/>
        </w:rPr>
        <w:t xml:space="preserve"> dienā. Visi pacienti sasniedza </w:t>
      </w:r>
      <w:r w:rsidR="000A45ED" w:rsidRPr="00CD729C">
        <w:rPr>
          <w:rFonts w:eastAsia="MS Mincho"/>
          <w:color w:val="000000"/>
          <w:lang w:eastAsia="ja-JP"/>
        </w:rPr>
        <w:t>hematoloģisku, citoģenētisku un/vai klīnisku atbildes reakciju.</w:t>
      </w:r>
    </w:p>
    <w:p w14:paraId="3D39478A" w14:textId="77777777" w:rsidR="00EE0671" w:rsidRPr="00CD729C" w:rsidRDefault="00EE0671" w:rsidP="009B4BB6">
      <w:pPr>
        <w:widowControl w:val="0"/>
        <w:spacing w:line="240" w:lineRule="auto"/>
      </w:pPr>
    </w:p>
    <w:p w14:paraId="3D39478B" w14:textId="77777777" w:rsidR="002C1697" w:rsidRPr="00CD729C" w:rsidRDefault="002C1697" w:rsidP="009B4BB6">
      <w:pPr>
        <w:pStyle w:val="EndnoteText"/>
        <w:keepNext/>
        <w:widowControl w:val="0"/>
        <w:rPr>
          <w:color w:val="000000"/>
          <w:szCs w:val="22"/>
          <w:u w:val="single"/>
        </w:rPr>
      </w:pPr>
      <w:r w:rsidRPr="00CD729C">
        <w:rPr>
          <w:color w:val="000000"/>
          <w:szCs w:val="22"/>
          <w:u w:val="single"/>
        </w:rPr>
        <w:t>HES/CEL klīniskie pētījumi</w:t>
      </w:r>
    </w:p>
    <w:p w14:paraId="3D39478C" w14:textId="77777777" w:rsidR="002C1697" w:rsidRPr="00CD729C" w:rsidRDefault="002C1697" w:rsidP="009B4BB6">
      <w:pPr>
        <w:widowControl w:val="0"/>
        <w:spacing w:line="240" w:lineRule="auto"/>
        <w:rPr>
          <w:rFonts w:eastAsia="MS Mincho"/>
          <w:color w:val="000000"/>
          <w:szCs w:val="22"/>
          <w:lang w:eastAsia="ja-JP"/>
        </w:rPr>
      </w:pPr>
      <w:r w:rsidRPr="00CD729C">
        <w:rPr>
          <w:rFonts w:eastAsia="MS Mincho"/>
          <w:color w:val="000000"/>
          <w:szCs w:val="22"/>
          <w:lang w:eastAsia="ja-JP"/>
        </w:rPr>
        <w:t xml:space="preserve">Tika veikts viens atklāts, daudzcentru, II fāzes klīniskais pētījums (pētījums B2225) </w:t>
      </w:r>
      <w:r w:rsidRPr="00CD729C">
        <w:rPr>
          <w:color w:val="000000"/>
          <w:szCs w:val="22"/>
        </w:rPr>
        <w:t>Glivec novērtēšanai dažādām pacientu grupām</w:t>
      </w:r>
      <w:r w:rsidRPr="00CD729C">
        <w:rPr>
          <w:rFonts w:eastAsia="MS Mincho"/>
          <w:color w:val="000000"/>
          <w:szCs w:val="22"/>
          <w:lang w:eastAsia="ja-JP"/>
        </w:rPr>
        <w:t xml:space="preserve">, </w:t>
      </w:r>
      <w:r w:rsidRPr="00CD729C">
        <w:rPr>
          <w:color w:val="000000"/>
          <w:szCs w:val="22"/>
        </w:rPr>
        <w:t xml:space="preserve">kurās iekļauti pacienti, kas </w:t>
      </w:r>
      <w:r w:rsidRPr="00CD729C">
        <w:rPr>
          <w:rFonts w:eastAsia="MS Mincho"/>
          <w:color w:val="000000"/>
          <w:szCs w:val="22"/>
          <w:lang w:eastAsia="ja-JP"/>
        </w:rPr>
        <w:t xml:space="preserve">slimo ar dzīvībai bīstamām slimībām, kas saistītas ar Abl, Kit vai PDGFR proteīnu tirozīnkināzēm. Šajā pētījumā </w:t>
      </w:r>
      <w:r w:rsidRPr="00CD729C">
        <w:rPr>
          <w:color w:val="000000"/>
          <w:szCs w:val="22"/>
        </w:rPr>
        <w:t>14 pacienti ar HES/CEL tika ārstēti ar 100</w:t>
      </w:r>
      <w:r w:rsidRPr="00CD729C">
        <w:rPr>
          <w:color w:val="000000"/>
          <w:szCs w:val="22"/>
        </w:rPr>
        <w:noBreakHyphen/>
        <w:t xml:space="preserve">1 000 mg Glivec dienā. </w:t>
      </w:r>
      <w:r w:rsidR="00B54120" w:rsidRPr="00CD729C">
        <w:rPr>
          <w:color w:val="000000"/>
          <w:szCs w:val="22"/>
        </w:rPr>
        <w:t>Vēl par 162 pacientiem ar HES/CEL ziņots 35 publicētos gadījuma ziņojumos un ziņojumu sērijās. Šie pacienti saņēma Glivec pa 75</w:t>
      </w:r>
      <w:r w:rsidR="00B54120" w:rsidRPr="00CD729C">
        <w:rPr>
          <w:color w:val="000000"/>
          <w:szCs w:val="22"/>
        </w:rPr>
        <w:noBreakHyphen/>
        <w:t>800 mg dienā. Citoģenētiskas patoloģijas novērtēja 117 pacientiem no kopējās 176 pacientu grupas. 61 no šiem 117 pacientiem konstatēja FIP1L1-PDGFR</w:t>
      </w:r>
      <w:r w:rsidR="00B54120" w:rsidRPr="00CD729C">
        <w:rPr>
          <w:color w:val="000000"/>
          <w:szCs w:val="22"/>
        </w:rPr>
        <w:sym w:font="Symbol" w:char="F061"/>
      </w:r>
      <w:r w:rsidR="00B54120" w:rsidRPr="00CD729C">
        <w:rPr>
          <w:color w:val="000000"/>
          <w:szCs w:val="22"/>
        </w:rPr>
        <w:t xml:space="preserve"> saplūšanas kināzi. Bez tam 3 citās publikācijās tika minēti četri HES pacienti ar pozitīvu FIP1L1-PDGFRα. Visi 65 pacienti ar pozitīvu FIP1L1-PDGFRα saplūšanas kināzi CHR, kas saglabājās vairākus mēnešus (laika posmā to 1+ līdz 44+ mēnešiem vadoties pēc ziņojumu saņemšanas brīža). Kā minēts nesen veiktajās publikācijās 21 no šiem 65 pacientiem sasniedza arī pilnīgu molekulār</w:t>
      </w:r>
      <w:r w:rsidR="004F06D0" w:rsidRPr="00CD729C">
        <w:rPr>
          <w:color w:val="000000"/>
          <w:szCs w:val="22"/>
        </w:rPr>
        <w:t>o</w:t>
      </w:r>
      <w:r w:rsidR="00B54120" w:rsidRPr="00CD729C">
        <w:rPr>
          <w:color w:val="000000"/>
          <w:szCs w:val="22"/>
        </w:rPr>
        <w:t xml:space="preserve"> remisiju ar vidējo ilgumu 28 mēneši (13</w:t>
      </w:r>
      <w:r w:rsidR="00B54120" w:rsidRPr="00CD729C">
        <w:rPr>
          <w:color w:val="000000"/>
          <w:szCs w:val="22"/>
        </w:rPr>
        <w:noBreakHyphen/>
        <w:t xml:space="preserve">67 mēnešu laika posmā). </w:t>
      </w:r>
      <w:r w:rsidR="0026609B" w:rsidRPr="00CD729C">
        <w:rPr>
          <w:rFonts w:eastAsia="MS Mincho"/>
          <w:color w:val="000000"/>
          <w:lang w:eastAsia="ja-JP"/>
        </w:rPr>
        <w:t xml:space="preserve">Šo pacientu vecums svārstījās no 25 līdz 72 gadiem. </w:t>
      </w:r>
      <w:r w:rsidR="0026609B" w:rsidRPr="00CD729C">
        <w:rPr>
          <w:color w:val="000000"/>
          <w:szCs w:val="22"/>
        </w:rPr>
        <w:t>Turklāt gadījumu aprakstos pētnieki ziņoja par simptomu un citu orgānu patoloģiju uzlabošanos. Uzlabošanās tika novērota sirds, nervu, ādas/zemādas audu, elpošanas/krūšu kurvja/videnes, muskuļu un skeleta/saistaudu/asinsvadu un gastrointestinālo orgānu sistēmās.</w:t>
      </w:r>
    </w:p>
    <w:p w14:paraId="3D39478D" w14:textId="77777777" w:rsidR="00EE0671" w:rsidRPr="00CD729C" w:rsidRDefault="00EE0671" w:rsidP="009B4BB6">
      <w:pPr>
        <w:widowControl w:val="0"/>
        <w:spacing w:line="240" w:lineRule="auto"/>
        <w:rPr>
          <w:color w:val="000000"/>
          <w:szCs w:val="22"/>
        </w:rPr>
      </w:pPr>
    </w:p>
    <w:p w14:paraId="3D39478E" w14:textId="77777777" w:rsidR="006F13A2" w:rsidRPr="00CD729C" w:rsidRDefault="00C23BF6" w:rsidP="009B4BB6">
      <w:pPr>
        <w:widowControl w:val="0"/>
        <w:tabs>
          <w:tab w:val="clear" w:pos="567"/>
        </w:tabs>
        <w:spacing w:line="240" w:lineRule="auto"/>
        <w:rPr>
          <w:color w:val="000000"/>
          <w:szCs w:val="22"/>
        </w:rPr>
      </w:pPr>
      <w:r w:rsidRPr="00CD729C">
        <w:rPr>
          <w:color w:val="000000"/>
          <w:szCs w:val="22"/>
        </w:rPr>
        <w:t>K</w:t>
      </w:r>
      <w:r w:rsidR="006F13A2" w:rsidRPr="00CD729C">
        <w:rPr>
          <w:color w:val="000000"/>
          <w:szCs w:val="22"/>
        </w:rPr>
        <w:t>ontrolēti klīniskie pētījumi pediatrijas pacientiem ar HES/CEL</w:t>
      </w:r>
      <w:r w:rsidRPr="00CD729C">
        <w:rPr>
          <w:color w:val="000000"/>
          <w:szCs w:val="22"/>
        </w:rPr>
        <w:t xml:space="preserve"> nav veikti</w:t>
      </w:r>
      <w:r w:rsidR="006F13A2" w:rsidRPr="00CD729C">
        <w:rPr>
          <w:color w:val="000000"/>
          <w:szCs w:val="22"/>
        </w:rPr>
        <w:t xml:space="preserve">. 3 publikācijās ziņots par </w:t>
      </w:r>
      <w:r w:rsidR="00C41357" w:rsidRPr="00CD729C">
        <w:rPr>
          <w:color w:val="000000"/>
          <w:szCs w:val="22"/>
        </w:rPr>
        <w:t>trim (</w:t>
      </w:r>
      <w:r w:rsidR="006F13A2" w:rsidRPr="00CD729C">
        <w:rPr>
          <w:color w:val="000000"/>
          <w:szCs w:val="22"/>
        </w:rPr>
        <w:t>3</w:t>
      </w:r>
      <w:r w:rsidR="00C41357" w:rsidRPr="00CD729C">
        <w:rPr>
          <w:color w:val="000000"/>
          <w:szCs w:val="22"/>
        </w:rPr>
        <w:t>)</w:t>
      </w:r>
      <w:r w:rsidR="006F13A2" w:rsidRPr="00CD729C">
        <w:rPr>
          <w:color w:val="000000"/>
          <w:szCs w:val="22"/>
        </w:rPr>
        <w:t> pacientiem</w:t>
      </w:r>
      <w:r w:rsidR="006F13A2" w:rsidRPr="00CD729C">
        <w:rPr>
          <w:rFonts w:eastAsia="MS Mincho"/>
          <w:color w:val="000000"/>
          <w:lang w:eastAsia="ja-JP"/>
        </w:rPr>
        <w:t xml:space="preserve"> ar </w:t>
      </w:r>
      <w:r w:rsidR="006F13A2" w:rsidRPr="00CD729C">
        <w:rPr>
          <w:color w:val="000000"/>
          <w:szCs w:val="22"/>
        </w:rPr>
        <w:t>HES un CEL</w:t>
      </w:r>
      <w:r w:rsidRPr="00CD729C">
        <w:rPr>
          <w:color w:val="000000"/>
          <w:szCs w:val="22"/>
        </w:rPr>
        <w:t>, kas</w:t>
      </w:r>
      <w:r w:rsidR="006F13A2" w:rsidRPr="00CD729C">
        <w:rPr>
          <w:color w:val="000000"/>
          <w:szCs w:val="22"/>
        </w:rPr>
        <w:t xml:space="preserve"> saistīta </w:t>
      </w:r>
      <w:r w:rsidRPr="00CD729C">
        <w:rPr>
          <w:color w:val="000000"/>
          <w:szCs w:val="22"/>
        </w:rPr>
        <w:t xml:space="preserve">ar </w:t>
      </w:r>
      <w:r w:rsidR="006F13A2" w:rsidRPr="00CD729C">
        <w:rPr>
          <w:rFonts w:eastAsia="MS Mincho"/>
          <w:color w:val="000000"/>
          <w:lang w:eastAsia="ja-JP"/>
        </w:rPr>
        <w:t>PDGFR gēnu pārkārtošan</w:t>
      </w:r>
      <w:r w:rsidRPr="00CD729C">
        <w:rPr>
          <w:rFonts w:eastAsia="MS Mincho"/>
          <w:color w:val="000000"/>
          <w:lang w:eastAsia="ja-JP"/>
        </w:rPr>
        <w:t>o</w:t>
      </w:r>
      <w:r w:rsidR="006F13A2" w:rsidRPr="00CD729C">
        <w:rPr>
          <w:rFonts w:eastAsia="MS Mincho"/>
          <w:color w:val="000000"/>
          <w:lang w:eastAsia="ja-JP"/>
        </w:rPr>
        <w:t>s. Šo pacientu vecums bija robežās no 2 līdz 16 gadiem</w:t>
      </w:r>
      <w:r w:rsidR="006A57A7" w:rsidRPr="00CD729C">
        <w:rPr>
          <w:rFonts w:eastAsia="MS Mincho"/>
          <w:color w:val="000000"/>
          <w:lang w:eastAsia="ja-JP"/>
        </w:rPr>
        <w:t>,</w:t>
      </w:r>
      <w:r w:rsidR="006F13A2" w:rsidRPr="00CD729C">
        <w:rPr>
          <w:rFonts w:eastAsia="MS Mincho"/>
          <w:color w:val="000000"/>
          <w:lang w:eastAsia="ja-JP"/>
        </w:rPr>
        <w:t xml:space="preserve"> un izmantot</w:t>
      </w:r>
      <w:r w:rsidR="00C41357" w:rsidRPr="00CD729C">
        <w:rPr>
          <w:rFonts w:eastAsia="MS Mincho"/>
          <w:color w:val="000000"/>
          <w:lang w:eastAsia="ja-JP"/>
        </w:rPr>
        <w:t>ā</w:t>
      </w:r>
      <w:r w:rsidR="006F13A2" w:rsidRPr="00CD729C">
        <w:rPr>
          <w:rFonts w:eastAsia="MS Mincho"/>
          <w:color w:val="000000"/>
          <w:lang w:eastAsia="ja-JP"/>
        </w:rPr>
        <w:t xml:space="preserve"> imatiniba dev</w:t>
      </w:r>
      <w:r w:rsidR="00C41357" w:rsidRPr="00CD729C">
        <w:rPr>
          <w:rFonts w:eastAsia="MS Mincho"/>
          <w:color w:val="000000"/>
          <w:lang w:eastAsia="ja-JP"/>
        </w:rPr>
        <w:t>a bija</w:t>
      </w:r>
      <w:r w:rsidR="006F13A2" w:rsidRPr="00CD729C">
        <w:rPr>
          <w:rFonts w:eastAsia="MS Mincho"/>
          <w:color w:val="000000"/>
          <w:lang w:eastAsia="ja-JP"/>
        </w:rPr>
        <w:t xml:space="preserve"> </w:t>
      </w:r>
      <w:r w:rsidR="00C41357" w:rsidRPr="00CD729C">
        <w:rPr>
          <w:color w:val="000000"/>
          <w:szCs w:val="22"/>
        </w:rPr>
        <w:t>300 mg/m</w:t>
      </w:r>
      <w:r w:rsidR="00C41357" w:rsidRPr="00CD729C">
        <w:rPr>
          <w:color w:val="000000"/>
          <w:szCs w:val="22"/>
          <w:vertAlign w:val="superscript"/>
        </w:rPr>
        <w:t>2</w:t>
      </w:r>
      <w:r w:rsidR="00C41357" w:rsidRPr="00CD729C">
        <w:rPr>
          <w:color w:val="000000"/>
          <w:szCs w:val="22"/>
        </w:rPr>
        <w:t xml:space="preserve"> dienā </w:t>
      </w:r>
      <w:r w:rsidR="00254B49" w:rsidRPr="00CD729C">
        <w:rPr>
          <w:color w:val="000000"/>
          <w:szCs w:val="22"/>
        </w:rPr>
        <w:t>vai</w:t>
      </w:r>
      <w:r w:rsidR="00C41357" w:rsidRPr="00CD729C">
        <w:rPr>
          <w:color w:val="000000"/>
          <w:szCs w:val="22"/>
        </w:rPr>
        <w:t xml:space="preserve"> </w:t>
      </w:r>
      <w:r w:rsidR="006F13A2" w:rsidRPr="00CD729C">
        <w:rPr>
          <w:rFonts w:eastAsia="MS Mincho"/>
          <w:color w:val="000000"/>
          <w:lang w:eastAsia="ja-JP"/>
        </w:rPr>
        <w:t>robež</w:t>
      </w:r>
      <w:r w:rsidR="00C41357" w:rsidRPr="00CD729C">
        <w:rPr>
          <w:rFonts w:eastAsia="MS Mincho"/>
          <w:color w:val="000000"/>
          <w:lang w:eastAsia="ja-JP"/>
        </w:rPr>
        <w:t>ā</w:t>
      </w:r>
      <w:r w:rsidR="006F13A2" w:rsidRPr="00CD729C">
        <w:rPr>
          <w:rFonts w:eastAsia="MS Mincho"/>
          <w:color w:val="000000"/>
          <w:lang w:eastAsia="ja-JP"/>
        </w:rPr>
        <w:t xml:space="preserve">s no </w:t>
      </w:r>
      <w:r w:rsidR="006F13A2" w:rsidRPr="00CD729C">
        <w:rPr>
          <w:color w:val="000000"/>
          <w:szCs w:val="22"/>
        </w:rPr>
        <w:t xml:space="preserve">200 līdz 400 mg dienā. Visi pacienti sasniedza </w:t>
      </w:r>
      <w:r w:rsidR="0008524E" w:rsidRPr="00CD729C">
        <w:rPr>
          <w:color w:val="000000"/>
          <w:szCs w:val="22"/>
        </w:rPr>
        <w:t xml:space="preserve">pilnīgu </w:t>
      </w:r>
      <w:r w:rsidR="006F13A2" w:rsidRPr="00CD729C">
        <w:rPr>
          <w:rFonts w:eastAsia="MS Mincho"/>
          <w:color w:val="000000"/>
          <w:lang w:eastAsia="ja-JP"/>
        </w:rPr>
        <w:t>hematoloģisku, pilnīgu citoģenētisku un/vai pilnīgu molekulāru atbildes reakciju.</w:t>
      </w:r>
    </w:p>
    <w:p w14:paraId="3D39478F" w14:textId="77777777" w:rsidR="00EE0671" w:rsidRPr="00CD729C" w:rsidRDefault="00EE0671" w:rsidP="009B4BB6">
      <w:pPr>
        <w:widowControl w:val="0"/>
        <w:spacing w:line="240" w:lineRule="auto"/>
        <w:rPr>
          <w:color w:val="000000"/>
          <w:szCs w:val="22"/>
        </w:rPr>
      </w:pPr>
    </w:p>
    <w:p w14:paraId="3D394790" w14:textId="77777777" w:rsidR="00563C1C" w:rsidRPr="00CD729C" w:rsidRDefault="00563C1C" w:rsidP="009B4BB6">
      <w:pPr>
        <w:keepNext/>
        <w:widowControl w:val="0"/>
        <w:tabs>
          <w:tab w:val="clear" w:pos="567"/>
        </w:tabs>
        <w:spacing w:line="240" w:lineRule="auto"/>
        <w:rPr>
          <w:color w:val="000000"/>
          <w:szCs w:val="22"/>
          <w:u w:val="single"/>
        </w:rPr>
      </w:pPr>
      <w:r w:rsidRPr="00CD729C">
        <w:rPr>
          <w:color w:val="000000"/>
          <w:szCs w:val="22"/>
          <w:u w:val="single"/>
        </w:rPr>
        <w:t>Nerezecējama un/vai metastazēj</w:t>
      </w:r>
      <w:r w:rsidR="000272C2" w:rsidRPr="00CD729C">
        <w:rPr>
          <w:color w:val="000000"/>
          <w:szCs w:val="22"/>
          <w:u w:val="single"/>
        </w:rPr>
        <w:t>o</w:t>
      </w:r>
      <w:r w:rsidRPr="00CD729C">
        <w:rPr>
          <w:color w:val="000000"/>
          <w:szCs w:val="22"/>
          <w:u w:val="single"/>
        </w:rPr>
        <w:t>ša GIST klīniskie pētījumi</w:t>
      </w:r>
    </w:p>
    <w:p w14:paraId="3D394791" w14:textId="77777777" w:rsidR="005117C7" w:rsidRPr="00CD729C" w:rsidRDefault="005117C7" w:rsidP="009B4BB6">
      <w:pPr>
        <w:widowControl w:val="0"/>
        <w:spacing w:line="240" w:lineRule="auto"/>
        <w:rPr>
          <w:color w:val="000000"/>
          <w:szCs w:val="22"/>
        </w:rPr>
      </w:pPr>
      <w:r w:rsidRPr="00CD729C">
        <w:rPr>
          <w:color w:val="000000"/>
          <w:szCs w:val="22"/>
        </w:rPr>
        <w:t xml:space="preserve">Ar pacientiem ar nerezecējamu vai metastazējušu ļaundabīgu kuņģa – zarnu trakta stromas audzēju GIST) ir veikts viens starptautisks II fāzes atklāts randomizēts, nekontrolēts pētījums. Šajā pētījumā tika iekļauti 147 pacienti, kas randomizēti līdz pat 36 mēnešus ilgi saņēma 400 vai 600 mg preparāta (perorāli, </w:t>
      </w:r>
      <w:r w:rsidR="00DE5EA7" w:rsidRPr="00CD729C">
        <w:rPr>
          <w:color w:val="000000"/>
          <w:szCs w:val="22"/>
        </w:rPr>
        <w:t>reizi dienā</w:t>
      </w:r>
      <w:r w:rsidRPr="00CD729C">
        <w:rPr>
          <w:color w:val="000000"/>
          <w:szCs w:val="22"/>
        </w:rPr>
        <w:t>). Šo pacientu vecums bija robežās no 18 līdz 83 gadiem un patoloģija tika diagnosticēta kā Kit pozitīva GIST, kas nav rezecējama un/vai ir metastazējusi. Imunohistoķīmiskās analīzes tika veiktas pēc parastās metodes, izmantojot Kit antivielas (A-4502, trušu poliklonālais antiserums, 1:100, DAKO korporācija, Carpinteria, Kalifornija), atbilstoši analīzēm ar avidīna – biotīna – peroksidāzes kompleksa metodi, pēc antigēna atgūšanas.</w:t>
      </w:r>
    </w:p>
    <w:p w14:paraId="3D394792" w14:textId="77777777" w:rsidR="005117C7" w:rsidRPr="00CD729C" w:rsidRDefault="005117C7" w:rsidP="009B4BB6">
      <w:pPr>
        <w:widowControl w:val="0"/>
        <w:spacing w:line="240" w:lineRule="auto"/>
        <w:rPr>
          <w:color w:val="000000"/>
          <w:szCs w:val="22"/>
        </w:rPr>
      </w:pPr>
    </w:p>
    <w:p w14:paraId="3D394793" w14:textId="77777777" w:rsidR="005117C7" w:rsidRPr="00CD729C" w:rsidRDefault="005117C7" w:rsidP="009B4BB6">
      <w:pPr>
        <w:widowControl w:val="0"/>
        <w:spacing w:line="240" w:lineRule="auto"/>
        <w:rPr>
          <w:color w:val="000000"/>
          <w:szCs w:val="22"/>
        </w:rPr>
      </w:pPr>
      <w:r w:rsidRPr="00CD729C">
        <w:rPr>
          <w:color w:val="000000"/>
          <w:szCs w:val="22"/>
        </w:rPr>
        <w:t>Primāros efektivitātes pierādījumus pamato objektīvā atbildes reakcijas pakāpe. Bija nepieciešams, lai vismaz vienā patoloģijas vietā audzējs būtu izmērāms. Atbildes reakciju vērtē pēc Dienvidrietumu Onkoloģijas (pētniecības) Grupas (</w:t>
      </w:r>
      <w:r w:rsidRPr="00CD729C">
        <w:rPr>
          <w:i/>
          <w:color w:val="000000"/>
          <w:szCs w:val="22"/>
        </w:rPr>
        <w:t>Southwestern Oncology Group</w:t>
      </w:r>
      <w:r w:rsidRPr="00CD729C">
        <w:rPr>
          <w:color w:val="000000"/>
          <w:szCs w:val="22"/>
        </w:rPr>
        <w:t xml:space="preserve"> - SWOG) kritērijiem. Iegūtie rezultāti ir apkopoti </w:t>
      </w:r>
      <w:r w:rsidR="00037637" w:rsidRPr="00CD729C">
        <w:rPr>
          <w:color w:val="000000"/>
          <w:szCs w:val="22"/>
        </w:rPr>
        <w:t>t</w:t>
      </w:r>
      <w:r w:rsidRPr="00CD729C">
        <w:rPr>
          <w:color w:val="000000"/>
          <w:szCs w:val="22"/>
        </w:rPr>
        <w:t>abulā Nr. </w:t>
      </w:r>
      <w:r w:rsidR="00E63C12" w:rsidRPr="00CD729C">
        <w:rPr>
          <w:color w:val="000000"/>
          <w:szCs w:val="22"/>
        </w:rPr>
        <w:t>6</w:t>
      </w:r>
      <w:r w:rsidRPr="00CD729C">
        <w:rPr>
          <w:color w:val="000000"/>
          <w:szCs w:val="22"/>
        </w:rPr>
        <w:t>.</w:t>
      </w:r>
    </w:p>
    <w:p w14:paraId="3D394794" w14:textId="77777777" w:rsidR="005117C7" w:rsidRPr="00CD729C" w:rsidRDefault="005117C7" w:rsidP="009B4BB6">
      <w:pPr>
        <w:widowControl w:val="0"/>
        <w:spacing w:line="240" w:lineRule="auto"/>
        <w:rPr>
          <w:color w:val="000000"/>
          <w:szCs w:val="22"/>
        </w:rPr>
      </w:pPr>
    </w:p>
    <w:p w14:paraId="3D394795" w14:textId="77777777" w:rsidR="005117C7" w:rsidRPr="00CD729C" w:rsidRDefault="005117C7" w:rsidP="009B4BB6">
      <w:pPr>
        <w:keepNext/>
        <w:keepLines/>
        <w:widowControl w:val="0"/>
        <w:tabs>
          <w:tab w:val="clear" w:pos="567"/>
          <w:tab w:val="left" w:pos="1701"/>
        </w:tabs>
        <w:spacing w:line="240" w:lineRule="auto"/>
        <w:rPr>
          <w:b/>
          <w:color w:val="000000"/>
          <w:szCs w:val="22"/>
        </w:rPr>
      </w:pPr>
      <w:r w:rsidRPr="00CD729C">
        <w:rPr>
          <w:b/>
          <w:color w:val="000000"/>
          <w:szCs w:val="22"/>
        </w:rPr>
        <w:lastRenderedPageBreak/>
        <w:t>Tabulā Nr. </w:t>
      </w:r>
      <w:r w:rsidR="00E63C12" w:rsidRPr="00CD729C">
        <w:rPr>
          <w:b/>
          <w:color w:val="000000"/>
          <w:szCs w:val="22"/>
        </w:rPr>
        <w:t>6</w:t>
      </w:r>
      <w:r w:rsidRPr="00CD729C">
        <w:rPr>
          <w:b/>
          <w:color w:val="000000"/>
          <w:szCs w:val="22"/>
        </w:rPr>
        <w:tab/>
        <w:t>Labākā audzēja atbildes reakcija GIST pētījumā Nr. STIB2222</w:t>
      </w:r>
    </w:p>
    <w:p w14:paraId="3D394796" w14:textId="77777777" w:rsidR="005117C7" w:rsidRPr="00CD729C" w:rsidRDefault="005117C7" w:rsidP="009B4BB6">
      <w:pPr>
        <w:keepNext/>
        <w:keepLines/>
        <w:widowControl w:val="0"/>
        <w:spacing w:line="240" w:lineRule="auto"/>
        <w:rPr>
          <w:color w:val="000000"/>
          <w:szCs w:val="22"/>
        </w:rPr>
      </w:pPr>
    </w:p>
    <w:tbl>
      <w:tblPr>
        <w:tblW w:w="0" w:type="auto"/>
        <w:tblLayout w:type="fixed"/>
        <w:tblLook w:val="0000" w:firstRow="0" w:lastRow="0" w:firstColumn="0" w:lastColumn="0" w:noHBand="0" w:noVBand="0"/>
      </w:tblPr>
      <w:tblGrid>
        <w:gridCol w:w="4643"/>
        <w:gridCol w:w="4643"/>
      </w:tblGrid>
      <w:tr w:rsidR="005117C7" w:rsidRPr="00CD729C" w14:paraId="3D394799" w14:textId="77777777" w:rsidTr="009B4BB6">
        <w:trPr>
          <w:cantSplit/>
        </w:trPr>
        <w:tc>
          <w:tcPr>
            <w:tcW w:w="4643" w:type="dxa"/>
            <w:tcBorders>
              <w:top w:val="single" w:sz="4" w:space="0" w:color="auto"/>
            </w:tcBorders>
          </w:tcPr>
          <w:p w14:paraId="3D394797" w14:textId="77777777" w:rsidR="005117C7" w:rsidRPr="00CD729C" w:rsidRDefault="005117C7" w:rsidP="009B4BB6">
            <w:pPr>
              <w:keepNext/>
              <w:keepLines/>
              <w:widowControl w:val="0"/>
              <w:spacing w:line="240" w:lineRule="auto"/>
              <w:rPr>
                <w:color w:val="000000"/>
                <w:szCs w:val="22"/>
              </w:rPr>
            </w:pPr>
          </w:p>
        </w:tc>
        <w:tc>
          <w:tcPr>
            <w:tcW w:w="4643" w:type="dxa"/>
            <w:tcBorders>
              <w:top w:val="single" w:sz="4" w:space="0" w:color="auto"/>
            </w:tcBorders>
          </w:tcPr>
          <w:p w14:paraId="3D394798"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Visi devu lielumi (n = 147)</w:t>
            </w:r>
          </w:p>
        </w:tc>
      </w:tr>
      <w:tr w:rsidR="005117C7" w:rsidRPr="00CD729C" w14:paraId="3D39479C" w14:textId="77777777" w:rsidTr="009B4BB6">
        <w:trPr>
          <w:cantSplit/>
        </w:trPr>
        <w:tc>
          <w:tcPr>
            <w:tcW w:w="4643" w:type="dxa"/>
          </w:tcPr>
          <w:p w14:paraId="3D39479A" w14:textId="77777777" w:rsidR="005117C7" w:rsidRPr="00CD729C" w:rsidRDefault="005117C7" w:rsidP="009B4BB6">
            <w:pPr>
              <w:keepNext/>
              <w:keepLines/>
              <w:widowControl w:val="0"/>
              <w:spacing w:line="240" w:lineRule="auto"/>
              <w:rPr>
                <w:color w:val="000000"/>
                <w:szCs w:val="22"/>
              </w:rPr>
            </w:pPr>
          </w:p>
        </w:tc>
        <w:tc>
          <w:tcPr>
            <w:tcW w:w="4643" w:type="dxa"/>
          </w:tcPr>
          <w:p w14:paraId="3D39479B"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400 mg (n = 73)</w:t>
            </w:r>
          </w:p>
        </w:tc>
      </w:tr>
      <w:tr w:rsidR="005117C7" w:rsidRPr="00CD729C" w14:paraId="3D39479F" w14:textId="77777777" w:rsidTr="009B4BB6">
        <w:trPr>
          <w:cantSplit/>
        </w:trPr>
        <w:tc>
          <w:tcPr>
            <w:tcW w:w="4643" w:type="dxa"/>
          </w:tcPr>
          <w:p w14:paraId="3D39479D" w14:textId="77777777" w:rsidR="005117C7" w:rsidRPr="00CD729C" w:rsidRDefault="005117C7" w:rsidP="009B4BB6">
            <w:pPr>
              <w:keepNext/>
              <w:keepLines/>
              <w:widowControl w:val="0"/>
              <w:spacing w:line="240" w:lineRule="auto"/>
              <w:rPr>
                <w:color w:val="000000"/>
                <w:szCs w:val="22"/>
              </w:rPr>
            </w:pPr>
          </w:p>
        </w:tc>
        <w:tc>
          <w:tcPr>
            <w:tcW w:w="4643" w:type="dxa"/>
          </w:tcPr>
          <w:p w14:paraId="3D39479E"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600 mg (n = 74)</w:t>
            </w:r>
          </w:p>
        </w:tc>
      </w:tr>
      <w:tr w:rsidR="005117C7" w:rsidRPr="00CD729C" w14:paraId="3D3947A2" w14:textId="77777777" w:rsidTr="009B4BB6">
        <w:trPr>
          <w:cantSplit/>
        </w:trPr>
        <w:tc>
          <w:tcPr>
            <w:tcW w:w="4643" w:type="dxa"/>
            <w:tcBorders>
              <w:bottom w:val="single" w:sz="4" w:space="0" w:color="auto"/>
            </w:tcBorders>
          </w:tcPr>
          <w:p w14:paraId="3D3947A0" w14:textId="77777777" w:rsidR="005117C7" w:rsidRPr="00CD729C" w:rsidRDefault="005117C7" w:rsidP="009B4BB6">
            <w:pPr>
              <w:keepNext/>
              <w:keepLines/>
              <w:widowControl w:val="0"/>
              <w:spacing w:line="240" w:lineRule="auto"/>
              <w:rPr>
                <w:color w:val="000000"/>
                <w:szCs w:val="22"/>
              </w:rPr>
            </w:pPr>
            <w:r w:rsidRPr="00CD729C">
              <w:rPr>
                <w:color w:val="000000"/>
                <w:szCs w:val="22"/>
              </w:rPr>
              <w:t>Labākā atbildes reakcija</w:t>
            </w:r>
          </w:p>
        </w:tc>
        <w:tc>
          <w:tcPr>
            <w:tcW w:w="4643" w:type="dxa"/>
            <w:tcBorders>
              <w:bottom w:val="single" w:sz="4" w:space="0" w:color="auto"/>
            </w:tcBorders>
          </w:tcPr>
          <w:p w14:paraId="3D3947A1"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n (%)</w:t>
            </w:r>
          </w:p>
        </w:tc>
      </w:tr>
      <w:tr w:rsidR="005117C7" w:rsidRPr="00CD729C" w14:paraId="3D3947A5" w14:textId="77777777" w:rsidTr="009B4BB6">
        <w:trPr>
          <w:cantSplit/>
        </w:trPr>
        <w:tc>
          <w:tcPr>
            <w:tcW w:w="4643" w:type="dxa"/>
          </w:tcPr>
          <w:p w14:paraId="3D3947A3" w14:textId="77777777" w:rsidR="005117C7" w:rsidRPr="00CD729C" w:rsidRDefault="005117C7" w:rsidP="009B4BB6">
            <w:pPr>
              <w:keepNext/>
              <w:keepLines/>
              <w:widowControl w:val="0"/>
              <w:spacing w:line="240" w:lineRule="auto"/>
              <w:rPr>
                <w:color w:val="000000"/>
                <w:szCs w:val="22"/>
              </w:rPr>
            </w:pPr>
            <w:r w:rsidRPr="00CD729C">
              <w:rPr>
                <w:color w:val="000000"/>
                <w:szCs w:val="22"/>
              </w:rPr>
              <w:t>Pilnīga atbildes reakcija</w:t>
            </w:r>
          </w:p>
        </w:tc>
        <w:tc>
          <w:tcPr>
            <w:tcW w:w="4643" w:type="dxa"/>
          </w:tcPr>
          <w:p w14:paraId="3D3947A4"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1 (0,7)</w:t>
            </w:r>
          </w:p>
        </w:tc>
      </w:tr>
      <w:tr w:rsidR="005117C7" w:rsidRPr="00CD729C" w14:paraId="3D3947A8" w14:textId="77777777" w:rsidTr="009B4BB6">
        <w:trPr>
          <w:cantSplit/>
        </w:trPr>
        <w:tc>
          <w:tcPr>
            <w:tcW w:w="4643" w:type="dxa"/>
          </w:tcPr>
          <w:p w14:paraId="3D3947A6" w14:textId="77777777" w:rsidR="005117C7" w:rsidRPr="00CD729C" w:rsidRDefault="005117C7" w:rsidP="009B4BB6">
            <w:pPr>
              <w:keepNext/>
              <w:keepLines/>
              <w:widowControl w:val="0"/>
              <w:spacing w:line="240" w:lineRule="auto"/>
              <w:rPr>
                <w:color w:val="000000"/>
                <w:szCs w:val="22"/>
              </w:rPr>
            </w:pPr>
            <w:r w:rsidRPr="00CD729C">
              <w:rPr>
                <w:color w:val="000000"/>
                <w:szCs w:val="22"/>
              </w:rPr>
              <w:t>Daļēja atbildes reakcija</w:t>
            </w:r>
          </w:p>
        </w:tc>
        <w:tc>
          <w:tcPr>
            <w:tcW w:w="4643" w:type="dxa"/>
          </w:tcPr>
          <w:p w14:paraId="3D3947A7" w14:textId="77777777" w:rsidR="005117C7" w:rsidRPr="00CD729C" w:rsidRDefault="009E093E" w:rsidP="009B4BB6">
            <w:pPr>
              <w:keepNext/>
              <w:keepLines/>
              <w:widowControl w:val="0"/>
              <w:spacing w:line="240" w:lineRule="auto"/>
              <w:jc w:val="center"/>
              <w:rPr>
                <w:color w:val="000000"/>
                <w:szCs w:val="22"/>
              </w:rPr>
            </w:pPr>
            <w:r w:rsidRPr="00CD729C">
              <w:rPr>
                <w:color w:val="000000"/>
                <w:szCs w:val="22"/>
              </w:rPr>
              <w:t>98 (66,7)</w:t>
            </w:r>
          </w:p>
        </w:tc>
      </w:tr>
      <w:tr w:rsidR="005117C7" w:rsidRPr="00CD729C" w14:paraId="3D3947AB" w14:textId="77777777" w:rsidTr="009B4BB6">
        <w:trPr>
          <w:cantSplit/>
        </w:trPr>
        <w:tc>
          <w:tcPr>
            <w:tcW w:w="4643" w:type="dxa"/>
          </w:tcPr>
          <w:p w14:paraId="3D3947A9" w14:textId="77777777" w:rsidR="005117C7" w:rsidRPr="00CD729C" w:rsidRDefault="005117C7" w:rsidP="009B4BB6">
            <w:pPr>
              <w:keepNext/>
              <w:keepLines/>
              <w:widowControl w:val="0"/>
              <w:spacing w:line="240" w:lineRule="auto"/>
              <w:rPr>
                <w:color w:val="000000"/>
                <w:szCs w:val="22"/>
              </w:rPr>
            </w:pPr>
            <w:r w:rsidRPr="00CD729C">
              <w:rPr>
                <w:color w:val="000000"/>
                <w:szCs w:val="22"/>
              </w:rPr>
              <w:t>Slimības (stāvokļa) stabilizācija</w:t>
            </w:r>
          </w:p>
        </w:tc>
        <w:tc>
          <w:tcPr>
            <w:tcW w:w="4643" w:type="dxa"/>
          </w:tcPr>
          <w:p w14:paraId="3D3947AA" w14:textId="77777777" w:rsidR="005117C7" w:rsidRPr="00CD729C" w:rsidRDefault="009E093E" w:rsidP="009B4BB6">
            <w:pPr>
              <w:keepNext/>
              <w:keepLines/>
              <w:widowControl w:val="0"/>
              <w:spacing w:line="240" w:lineRule="auto"/>
              <w:jc w:val="center"/>
              <w:rPr>
                <w:color w:val="000000"/>
                <w:szCs w:val="22"/>
              </w:rPr>
            </w:pPr>
            <w:r w:rsidRPr="00CD729C">
              <w:rPr>
                <w:color w:val="000000"/>
                <w:szCs w:val="22"/>
              </w:rPr>
              <w:t>23 (15,6)</w:t>
            </w:r>
          </w:p>
        </w:tc>
      </w:tr>
      <w:tr w:rsidR="005117C7" w:rsidRPr="00CD729C" w14:paraId="3D3947AE" w14:textId="77777777" w:rsidTr="009B4BB6">
        <w:trPr>
          <w:cantSplit/>
        </w:trPr>
        <w:tc>
          <w:tcPr>
            <w:tcW w:w="4643" w:type="dxa"/>
          </w:tcPr>
          <w:p w14:paraId="3D3947AC" w14:textId="77777777" w:rsidR="005117C7" w:rsidRPr="00CD729C" w:rsidRDefault="005117C7" w:rsidP="009B4BB6">
            <w:pPr>
              <w:keepNext/>
              <w:keepLines/>
              <w:widowControl w:val="0"/>
              <w:spacing w:line="240" w:lineRule="auto"/>
              <w:rPr>
                <w:color w:val="000000"/>
                <w:szCs w:val="22"/>
              </w:rPr>
            </w:pPr>
            <w:r w:rsidRPr="00CD729C">
              <w:rPr>
                <w:color w:val="000000"/>
                <w:szCs w:val="22"/>
              </w:rPr>
              <w:t>Slimības (stāvokļa) progresija</w:t>
            </w:r>
          </w:p>
        </w:tc>
        <w:tc>
          <w:tcPr>
            <w:tcW w:w="4643" w:type="dxa"/>
          </w:tcPr>
          <w:p w14:paraId="3D3947AD"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18 (12,2)</w:t>
            </w:r>
          </w:p>
        </w:tc>
      </w:tr>
      <w:tr w:rsidR="005117C7" w:rsidRPr="00CD729C" w14:paraId="3D3947B1" w14:textId="77777777" w:rsidTr="009B4BB6">
        <w:trPr>
          <w:cantSplit/>
        </w:trPr>
        <w:tc>
          <w:tcPr>
            <w:tcW w:w="4643" w:type="dxa"/>
          </w:tcPr>
          <w:p w14:paraId="3D3947AF" w14:textId="77777777" w:rsidR="005117C7" w:rsidRPr="00CD729C" w:rsidRDefault="005117C7" w:rsidP="009B4BB6">
            <w:pPr>
              <w:keepNext/>
              <w:keepLines/>
              <w:widowControl w:val="0"/>
              <w:spacing w:line="240" w:lineRule="auto"/>
              <w:rPr>
                <w:color w:val="000000"/>
                <w:szCs w:val="22"/>
              </w:rPr>
            </w:pPr>
            <w:r w:rsidRPr="00CD729C">
              <w:rPr>
                <w:color w:val="000000"/>
                <w:szCs w:val="22"/>
              </w:rPr>
              <w:t>Nav vērtējams</w:t>
            </w:r>
          </w:p>
        </w:tc>
        <w:tc>
          <w:tcPr>
            <w:tcW w:w="4643" w:type="dxa"/>
          </w:tcPr>
          <w:p w14:paraId="3D3947B0" w14:textId="77777777" w:rsidR="005117C7" w:rsidRPr="00CD729C" w:rsidRDefault="009E093E" w:rsidP="009B4BB6">
            <w:pPr>
              <w:keepNext/>
              <w:keepLines/>
              <w:widowControl w:val="0"/>
              <w:spacing w:line="240" w:lineRule="auto"/>
              <w:jc w:val="center"/>
              <w:rPr>
                <w:color w:val="000000"/>
                <w:szCs w:val="22"/>
              </w:rPr>
            </w:pPr>
            <w:r w:rsidRPr="00CD729C">
              <w:rPr>
                <w:color w:val="000000"/>
                <w:szCs w:val="22"/>
              </w:rPr>
              <w:t>5 (3,4)</w:t>
            </w:r>
          </w:p>
        </w:tc>
      </w:tr>
      <w:tr w:rsidR="005117C7" w:rsidRPr="00CD729C" w14:paraId="3D3947B4" w14:textId="77777777" w:rsidTr="009B4BB6">
        <w:trPr>
          <w:cantSplit/>
        </w:trPr>
        <w:tc>
          <w:tcPr>
            <w:tcW w:w="4643" w:type="dxa"/>
            <w:tcBorders>
              <w:bottom w:val="single" w:sz="4" w:space="0" w:color="auto"/>
            </w:tcBorders>
          </w:tcPr>
          <w:p w14:paraId="3D3947B2" w14:textId="77777777" w:rsidR="005117C7" w:rsidRPr="00CD729C" w:rsidRDefault="005117C7" w:rsidP="009B4BB6">
            <w:pPr>
              <w:keepNext/>
              <w:keepLines/>
              <w:widowControl w:val="0"/>
              <w:spacing w:line="240" w:lineRule="auto"/>
              <w:rPr>
                <w:color w:val="000000"/>
                <w:szCs w:val="22"/>
              </w:rPr>
            </w:pPr>
            <w:r w:rsidRPr="00CD729C">
              <w:rPr>
                <w:color w:val="000000"/>
                <w:szCs w:val="22"/>
              </w:rPr>
              <w:t>Nav zināms</w:t>
            </w:r>
          </w:p>
        </w:tc>
        <w:tc>
          <w:tcPr>
            <w:tcW w:w="4643" w:type="dxa"/>
            <w:tcBorders>
              <w:bottom w:val="single" w:sz="4" w:space="0" w:color="auto"/>
            </w:tcBorders>
          </w:tcPr>
          <w:p w14:paraId="3D3947B3" w14:textId="77777777" w:rsidR="005117C7" w:rsidRPr="00CD729C" w:rsidRDefault="005117C7" w:rsidP="009B4BB6">
            <w:pPr>
              <w:keepNext/>
              <w:keepLines/>
              <w:widowControl w:val="0"/>
              <w:spacing w:line="240" w:lineRule="auto"/>
              <w:jc w:val="center"/>
              <w:rPr>
                <w:color w:val="000000"/>
                <w:szCs w:val="22"/>
              </w:rPr>
            </w:pPr>
            <w:r w:rsidRPr="00CD729C">
              <w:rPr>
                <w:color w:val="000000"/>
                <w:szCs w:val="22"/>
              </w:rPr>
              <w:t>2 (1,4)</w:t>
            </w:r>
          </w:p>
        </w:tc>
      </w:tr>
    </w:tbl>
    <w:p w14:paraId="3D3947B5" w14:textId="77777777" w:rsidR="005117C7" w:rsidRPr="00CD729C" w:rsidRDefault="005117C7" w:rsidP="009B4BB6">
      <w:pPr>
        <w:widowControl w:val="0"/>
        <w:spacing w:line="240" w:lineRule="auto"/>
        <w:rPr>
          <w:color w:val="000000"/>
          <w:szCs w:val="22"/>
        </w:rPr>
      </w:pPr>
    </w:p>
    <w:p w14:paraId="3D3947B6" w14:textId="77777777" w:rsidR="005117C7" w:rsidRPr="00CD729C" w:rsidRDefault="005117C7" w:rsidP="009B4BB6">
      <w:pPr>
        <w:widowControl w:val="0"/>
        <w:spacing w:line="240" w:lineRule="auto"/>
        <w:rPr>
          <w:color w:val="000000"/>
          <w:szCs w:val="22"/>
        </w:rPr>
      </w:pPr>
      <w:r w:rsidRPr="00CD729C">
        <w:rPr>
          <w:color w:val="000000"/>
          <w:szCs w:val="22"/>
        </w:rPr>
        <w:t xml:space="preserve">Abās devu grupās reakcijas pakāpes atšķirības nav novērotas. </w:t>
      </w:r>
      <w:r w:rsidR="00FA0ED9" w:rsidRPr="00CD729C">
        <w:rPr>
          <w:color w:val="000000"/>
          <w:szCs w:val="22"/>
        </w:rPr>
        <w:t>N</w:t>
      </w:r>
      <w:r w:rsidRPr="00CD729C">
        <w:rPr>
          <w:color w:val="000000"/>
          <w:szCs w:val="22"/>
        </w:rPr>
        <w:t>ozīmīgs skaits pacientu, kam bija stabila slimība starpanalīzes laikā, sasniedza daļēju atbildreakciju, veicot ilgāku ārstēšanu (vidējais novērošanas ilgums 31</w:t>
      </w:r>
      <w:r w:rsidR="00E825C0" w:rsidRPr="00CD729C">
        <w:rPr>
          <w:color w:val="000000"/>
          <w:szCs w:val="22"/>
        </w:rPr>
        <w:t> </w:t>
      </w:r>
      <w:r w:rsidRPr="00CD729C">
        <w:rPr>
          <w:color w:val="000000"/>
          <w:szCs w:val="22"/>
        </w:rPr>
        <w:t>mēnesis). Vidējais laiks līdz atbildes reakcijai bija 13</w:t>
      </w:r>
      <w:r w:rsidR="00E825C0" w:rsidRPr="00CD729C">
        <w:rPr>
          <w:color w:val="000000"/>
          <w:szCs w:val="22"/>
        </w:rPr>
        <w:t> </w:t>
      </w:r>
      <w:r w:rsidRPr="00CD729C">
        <w:rPr>
          <w:color w:val="000000"/>
          <w:szCs w:val="22"/>
        </w:rPr>
        <w:t>nedēļas (95% TI 12–23). Vidējais laiks līdz terapijas neefektivitātei pacientiem ar atbildes reakciju bija 122</w:t>
      </w:r>
      <w:r w:rsidR="00E825C0" w:rsidRPr="00CD729C">
        <w:rPr>
          <w:color w:val="000000"/>
          <w:szCs w:val="22"/>
        </w:rPr>
        <w:t> </w:t>
      </w:r>
      <w:r w:rsidRPr="00CD729C">
        <w:rPr>
          <w:color w:val="000000"/>
          <w:szCs w:val="22"/>
        </w:rPr>
        <w:t>nedēļas (95% TI 106–147), bet kopējā pētījuma populācijā tas bija 84</w:t>
      </w:r>
      <w:r w:rsidR="00731DC1" w:rsidRPr="00CD729C">
        <w:rPr>
          <w:color w:val="000000"/>
          <w:szCs w:val="22"/>
        </w:rPr>
        <w:t> </w:t>
      </w:r>
      <w:r w:rsidRPr="00CD729C">
        <w:rPr>
          <w:color w:val="000000"/>
          <w:szCs w:val="22"/>
        </w:rPr>
        <w:t>nedēļas (95% TI 71–109). Vidējā kopējā dzīvildze netika sasniegta. Kaplāna-</w:t>
      </w:r>
      <w:r w:rsidR="00576614" w:rsidRPr="00CD729C">
        <w:rPr>
          <w:color w:val="000000"/>
          <w:szCs w:val="22"/>
        </w:rPr>
        <w:t>M</w:t>
      </w:r>
      <w:r w:rsidRPr="00CD729C">
        <w:rPr>
          <w:color w:val="000000"/>
          <w:szCs w:val="22"/>
        </w:rPr>
        <w:t>eijera aprēķinātā dzīvildze pēc 36</w:t>
      </w:r>
      <w:r w:rsidR="00731DC1" w:rsidRPr="00CD729C">
        <w:rPr>
          <w:color w:val="000000"/>
          <w:szCs w:val="22"/>
        </w:rPr>
        <w:t> </w:t>
      </w:r>
      <w:r w:rsidRPr="00CD729C">
        <w:rPr>
          <w:color w:val="000000"/>
          <w:szCs w:val="22"/>
        </w:rPr>
        <w:t>mēnešus ilgas novērošanas ir 68%.</w:t>
      </w:r>
    </w:p>
    <w:p w14:paraId="3D3947B7" w14:textId="77777777" w:rsidR="005117C7" w:rsidRPr="00CD729C" w:rsidRDefault="005117C7" w:rsidP="009B4BB6">
      <w:pPr>
        <w:widowControl w:val="0"/>
        <w:spacing w:line="240" w:lineRule="auto"/>
        <w:rPr>
          <w:color w:val="000000"/>
          <w:szCs w:val="22"/>
        </w:rPr>
      </w:pPr>
    </w:p>
    <w:p w14:paraId="3D3947B8" w14:textId="77777777" w:rsidR="005117C7" w:rsidRPr="00CD729C" w:rsidRDefault="005117C7" w:rsidP="009B4BB6">
      <w:pPr>
        <w:widowControl w:val="0"/>
        <w:spacing w:line="240" w:lineRule="auto"/>
        <w:rPr>
          <w:color w:val="000000"/>
          <w:szCs w:val="22"/>
        </w:rPr>
      </w:pPr>
      <w:r w:rsidRPr="00CD729C">
        <w:rPr>
          <w:color w:val="000000"/>
          <w:szCs w:val="22"/>
        </w:rPr>
        <w:t>Divos klīniskajos pētījumos (B2222</w:t>
      </w:r>
      <w:r w:rsidR="005F78CA" w:rsidRPr="00CD729C">
        <w:rPr>
          <w:color w:val="000000"/>
          <w:szCs w:val="22"/>
        </w:rPr>
        <w:t> </w:t>
      </w:r>
      <w:r w:rsidRPr="00CD729C">
        <w:rPr>
          <w:color w:val="000000"/>
          <w:szCs w:val="22"/>
        </w:rPr>
        <w:t>pētījumā un S0033</w:t>
      </w:r>
      <w:r w:rsidR="005F78CA" w:rsidRPr="00CD729C">
        <w:rPr>
          <w:color w:val="000000"/>
          <w:szCs w:val="22"/>
        </w:rPr>
        <w:t> </w:t>
      </w:r>
      <w:r w:rsidRPr="00CD729C">
        <w:rPr>
          <w:color w:val="000000"/>
          <w:szCs w:val="22"/>
        </w:rPr>
        <w:t>starpgrupu pētījumā)</w:t>
      </w:r>
      <w:r w:rsidR="00576614" w:rsidRPr="00CD729C">
        <w:rPr>
          <w:color w:val="000000"/>
          <w:szCs w:val="22"/>
        </w:rPr>
        <w:t xml:space="preserve"> </w:t>
      </w:r>
      <w:r w:rsidRPr="00CD729C">
        <w:rPr>
          <w:color w:val="000000"/>
          <w:szCs w:val="22"/>
        </w:rPr>
        <w:t>Glivec dienas deva tika palielināta līdz 800</w:t>
      </w:r>
      <w:r w:rsidR="00731DC1" w:rsidRPr="00CD729C">
        <w:rPr>
          <w:color w:val="000000"/>
          <w:szCs w:val="22"/>
        </w:rPr>
        <w:t> </w:t>
      </w:r>
      <w:r w:rsidRPr="00CD729C">
        <w:rPr>
          <w:color w:val="000000"/>
          <w:szCs w:val="22"/>
        </w:rPr>
        <w:t>mg pacientiem, kam bija vērojama progresēšana, lietojot mazākas (400</w:t>
      </w:r>
      <w:r w:rsidR="00576614" w:rsidRPr="00CD729C">
        <w:rPr>
          <w:color w:val="000000"/>
          <w:szCs w:val="22"/>
        </w:rPr>
        <w:t> </w:t>
      </w:r>
      <w:r w:rsidRPr="00CD729C">
        <w:rPr>
          <w:color w:val="000000"/>
          <w:szCs w:val="22"/>
        </w:rPr>
        <w:t>mg vai 600</w:t>
      </w:r>
      <w:r w:rsidR="00576614" w:rsidRPr="00CD729C">
        <w:rPr>
          <w:color w:val="000000"/>
          <w:szCs w:val="22"/>
        </w:rPr>
        <w:t> </w:t>
      </w:r>
      <w:r w:rsidRPr="00CD729C">
        <w:rPr>
          <w:color w:val="000000"/>
          <w:szCs w:val="22"/>
        </w:rPr>
        <w:t>mg) dienas devas. Dienas deva līdz 800</w:t>
      </w:r>
      <w:r w:rsidR="00576614" w:rsidRPr="00CD729C">
        <w:rPr>
          <w:color w:val="000000"/>
          <w:szCs w:val="22"/>
        </w:rPr>
        <w:t> </w:t>
      </w:r>
      <w:r w:rsidRPr="00CD729C">
        <w:rPr>
          <w:color w:val="000000"/>
          <w:szCs w:val="22"/>
        </w:rPr>
        <w:t>mg tika palielināta kopumā 103</w:t>
      </w:r>
      <w:r w:rsidR="008966CD" w:rsidRPr="00CD729C">
        <w:rPr>
          <w:color w:val="000000"/>
          <w:szCs w:val="22"/>
        </w:rPr>
        <w:t> </w:t>
      </w:r>
      <w:r w:rsidRPr="00CD729C">
        <w:rPr>
          <w:color w:val="000000"/>
          <w:szCs w:val="22"/>
        </w:rPr>
        <w:t>pacientiem; 6</w:t>
      </w:r>
      <w:r w:rsidR="008966CD" w:rsidRPr="00CD729C">
        <w:rPr>
          <w:color w:val="000000"/>
          <w:szCs w:val="22"/>
        </w:rPr>
        <w:t> </w:t>
      </w:r>
      <w:r w:rsidRPr="00CD729C">
        <w:rPr>
          <w:color w:val="000000"/>
          <w:szCs w:val="22"/>
        </w:rPr>
        <w:t xml:space="preserve">pacienti sasniedza daļēju atbildes </w:t>
      </w:r>
      <w:r w:rsidR="00DD2211" w:rsidRPr="00CD729C">
        <w:rPr>
          <w:color w:val="000000"/>
          <w:szCs w:val="22"/>
        </w:rPr>
        <w:t>reakciju</w:t>
      </w:r>
      <w:r w:rsidRPr="00CD729C">
        <w:rPr>
          <w:color w:val="000000"/>
          <w:szCs w:val="22"/>
        </w:rPr>
        <w:t xml:space="preserve"> un 21 – slimības stabilizāciju pēc devas palielināšanas ar kopējo klīni</w:t>
      </w:r>
      <w:r w:rsidR="00576614" w:rsidRPr="00CD729C">
        <w:rPr>
          <w:color w:val="000000"/>
          <w:szCs w:val="22"/>
        </w:rPr>
        <w:t>sk</w:t>
      </w:r>
      <w:r w:rsidRPr="00CD729C">
        <w:rPr>
          <w:color w:val="000000"/>
          <w:szCs w:val="22"/>
        </w:rPr>
        <w:t>o ieguvumu 26%. Pieejamie droš</w:t>
      </w:r>
      <w:r w:rsidR="00743B0B">
        <w:rPr>
          <w:color w:val="000000"/>
          <w:szCs w:val="22"/>
        </w:rPr>
        <w:t>uma</w:t>
      </w:r>
      <w:r w:rsidRPr="00CD729C">
        <w:rPr>
          <w:color w:val="000000"/>
          <w:szCs w:val="22"/>
        </w:rPr>
        <w:t xml:space="preserve"> dati liecina, ka devas palielināšana līdz 800</w:t>
      </w:r>
      <w:r w:rsidR="00576614" w:rsidRPr="00CD729C">
        <w:rPr>
          <w:color w:val="000000"/>
          <w:szCs w:val="22"/>
        </w:rPr>
        <w:t> </w:t>
      </w:r>
      <w:r w:rsidRPr="00CD729C">
        <w:rPr>
          <w:color w:val="000000"/>
          <w:szCs w:val="22"/>
        </w:rPr>
        <w:t>mg dienā pacientiem, kam slimība progresē, lietojot mazākas (400</w:t>
      </w:r>
      <w:r w:rsidR="00576614" w:rsidRPr="00CD729C">
        <w:rPr>
          <w:color w:val="000000"/>
          <w:szCs w:val="22"/>
        </w:rPr>
        <w:t> </w:t>
      </w:r>
      <w:r w:rsidRPr="00CD729C">
        <w:rPr>
          <w:color w:val="000000"/>
          <w:szCs w:val="22"/>
        </w:rPr>
        <w:t>mg vai 600</w:t>
      </w:r>
      <w:r w:rsidR="00576614" w:rsidRPr="00CD729C">
        <w:rPr>
          <w:color w:val="000000"/>
          <w:szCs w:val="22"/>
        </w:rPr>
        <w:t> </w:t>
      </w:r>
      <w:r w:rsidRPr="00CD729C">
        <w:rPr>
          <w:color w:val="000000"/>
          <w:szCs w:val="22"/>
        </w:rPr>
        <w:t>mg) dienas devas, neietekmē Glivec droš</w:t>
      </w:r>
      <w:r w:rsidR="00743B0B">
        <w:rPr>
          <w:color w:val="000000"/>
          <w:szCs w:val="22"/>
        </w:rPr>
        <w:t>uma</w:t>
      </w:r>
      <w:r w:rsidRPr="00CD729C">
        <w:rPr>
          <w:color w:val="000000"/>
          <w:szCs w:val="22"/>
        </w:rPr>
        <w:t xml:space="preserve"> īpašības.</w:t>
      </w:r>
    </w:p>
    <w:p w14:paraId="3D3947B9" w14:textId="77777777" w:rsidR="00563C1C" w:rsidRPr="00CD729C" w:rsidRDefault="00563C1C" w:rsidP="009B4BB6">
      <w:pPr>
        <w:widowControl w:val="0"/>
        <w:spacing w:line="240" w:lineRule="auto"/>
        <w:rPr>
          <w:color w:val="000000"/>
          <w:szCs w:val="22"/>
        </w:rPr>
      </w:pPr>
    </w:p>
    <w:p w14:paraId="3D3947BA" w14:textId="77777777" w:rsidR="00563C1C" w:rsidRPr="00CD729C" w:rsidRDefault="00563C1C" w:rsidP="009B4BB6">
      <w:pPr>
        <w:keepNext/>
        <w:widowControl w:val="0"/>
        <w:spacing w:line="240" w:lineRule="auto"/>
        <w:rPr>
          <w:snapToGrid w:val="0"/>
          <w:color w:val="000000"/>
          <w:szCs w:val="22"/>
        </w:rPr>
      </w:pPr>
      <w:r w:rsidRPr="00CD729C">
        <w:rPr>
          <w:color w:val="000000"/>
          <w:szCs w:val="22"/>
          <w:u w:val="single"/>
        </w:rPr>
        <w:t>Adjuvanta GIST klīniskie pētījumi</w:t>
      </w:r>
    </w:p>
    <w:p w14:paraId="3D3947BB" w14:textId="14AA13CE" w:rsidR="00563C1C" w:rsidRPr="00CD729C" w:rsidRDefault="00563C1C" w:rsidP="009B4BB6">
      <w:pPr>
        <w:pStyle w:val="Text"/>
        <w:widowControl w:val="0"/>
        <w:spacing w:before="0"/>
        <w:jc w:val="left"/>
        <w:rPr>
          <w:rFonts w:eastAsia="MS Mincho"/>
          <w:color w:val="000000"/>
          <w:sz w:val="22"/>
          <w:szCs w:val="22"/>
          <w:lang w:val="lv-LV" w:eastAsia="ja-JP"/>
        </w:rPr>
      </w:pPr>
      <w:r w:rsidRPr="00CD729C">
        <w:rPr>
          <w:rFonts w:eastAsia="MS Mincho"/>
          <w:color w:val="000000"/>
          <w:sz w:val="22"/>
          <w:szCs w:val="22"/>
          <w:lang w:val="lv-LV" w:eastAsia="ja-JP"/>
        </w:rPr>
        <w:t>Glivec adjuvanta lietošana pētīta daudzcentru, dubultmaskētā, ilgstošā, placebo kontrolētā III fāzes pētījumā (Z9001), kurā piedalījās 773 pacienti. Šo pacientu vecums svārstījās no 18 līdz 91 gadiem. Pētījumā iekļāva pacientus ar primār</w:t>
      </w:r>
      <w:r w:rsidR="008F3539" w:rsidRPr="00CD729C">
        <w:rPr>
          <w:rFonts w:eastAsia="MS Mincho"/>
          <w:color w:val="000000"/>
          <w:sz w:val="22"/>
          <w:szCs w:val="22"/>
          <w:lang w:val="lv-LV" w:eastAsia="ja-JP"/>
        </w:rPr>
        <w:t>a</w:t>
      </w:r>
      <w:r w:rsidRPr="00CD729C">
        <w:rPr>
          <w:rFonts w:eastAsia="MS Mincho"/>
          <w:color w:val="000000"/>
          <w:sz w:val="22"/>
          <w:szCs w:val="22"/>
          <w:lang w:val="lv-LV" w:eastAsia="ja-JP"/>
        </w:rPr>
        <w:t xml:space="preserve"> GIST histoloģisko diagnozi </w:t>
      </w:r>
      <w:r w:rsidR="00C23AAA">
        <w:rPr>
          <w:rFonts w:eastAsia="MS Mincho"/>
          <w:color w:val="000000"/>
          <w:sz w:val="22"/>
          <w:szCs w:val="22"/>
          <w:lang w:val="lv-LV" w:eastAsia="ja-JP"/>
        </w:rPr>
        <w:t>ar</w:t>
      </w:r>
      <w:r w:rsidR="00C23AAA" w:rsidRPr="00CD729C">
        <w:rPr>
          <w:rFonts w:eastAsia="MS Mincho"/>
          <w:color w:val="000000"/>
          <w:sz w:val="22"/>
          <w:szCs w:val="22"/>
          <w:lang w:val="lv-LV" w:eastAsia="ja-JP"/>
        </w:rPr>
        <w:t xml:space="preserve"> </w:t>
      </w:r>
      <w:r w:rsidRPr="00CD729C">
        <w:rPr>
          <w:rFonts w:eastAsia="MS Mincho"/>
          <w:color w:val="000000"/>
          <w:sz w:val="22"/>
          <w:szCs w:val="22"/>
          <w:lang w:val="lv-LV" w:eastAsia="ja-JP"/>
        </w:rPr>
        <w:t xml:space="preserve">Kit proteīna </w:t>
      </w:r>
      <w:r w:rsidR="00C23AAA">
        <w:rPr>
          <w:rFonts w:eastAsia="MS Mincho"/>
          <w:color w:val="000000"/>
          <w:sz w:val="22"/>
          <w:szCs w:val="22"/>
          <w:lang w:val="lv-LV" w:eastAsia="ja-JP"/>
        </w:rPr>
        <w:t xml:space="preserve">ekspresiju atbilstoši </w:t>
      </w:r>
      <w:r w:rsidRPr="00CD729C">
        <w:rPr>
          <w:rFonts w:eastAsia="MS Mincho"/>
          <w:color w:val="000000"/>
          <w:sz w:val="22"/>
          <w:szCs w:val="22"/>
          <w:lang w:val="lv-LV" w:eastAsia="ja-JP"/>
        </w:rPr>
        <w:t>imunoķīmijas datiem un audzēja maksimālo lielumu ≥3 cm, un pilnīgu primārā GIST rezekciju 14</w:t>
      </w:r>
      <w:r w:rsidRPr="00CD729C">
        <w:rPr>
          <w:rFonts w:eastAsia="MS Mincho"/>
          <w:color w:val="000000"/>
          <w:sz w:val="22"/>
          <w:szCs w:val="22"/>
          <w:lang w:val="lv-LV" w:eastAsia="ja-JP"/>
        </w:rPr>
        <w:noBreakHyphen/>
        <w:t>70 dienu laikā pirms reģistrācijas pētījumam. Pēc primārā GIST rezekcijas, pacienti tika randomizēti vienā no divām pētījuma grupām: Glivec 400 mg/dienā grupā vai atbilstošā placebo grupā ar dalības ilgumu viens gads.</w:t>
      </w:r>
    </w:p>
    <w:p w14:paraId="3D3947BC" w14:textId="77777777" w:rsidR="00563C1C" w:rsidRPr="00CD729C" w:rsidRDefault="00563C1C" w:rsidP="009B4BB6">
      <w:pPr>
        <w:pStyle w:val="Text"/>
        <w:widowControl w:val="0"/>
        <w:spacing w:before="0"/>
        <w:jc w:val="left"/>
        <w:rPr>
          <w:rFonts w:eastAsia="MS Mincho"/>
          <w:color w:val="000000"/>
          <w:sz w:val="22"/>
          <w:szCs w:val="22"/>
          <w:lang w:val="lv-LV" w:eastAsia="ja-JP"/>
        </w:rPr>
      </w:pPr>
    </w:p>
    <w:p w14:paraId="3D3947BD" w14:textId="77777777" w:rsidR="00563C1C" w:rsidRPr="00CD729C" w:rsidRDefault="00563C1C" w:rsidP="009B4BB6">
      <w:pPr>
        <w:pStyle w:val="Text"/>
        <w:widowControl w:val="0"/>
        <w:spacing w:before="0"/>
        <w:jc w:val="left"/>
        <w:rPr>
          <w:rFonts w:eastAsia="MS Mincho"/>
          <w:color w:val="000000"/>
          <w:sz w:val="22"/>
          <w:szCs w:val="22"/>
          <w:lang w:val="lv-LV" w:eastAsia="ja-JP"/>
        </w:rPr>
      </w:pPr>
      <w:r w:rsidRPr="00CD729C">
        <w:rPr>
          <w:rFonts w:eastAsia="MS Mincho"/>
          <w:color w:val="000000"/>
          <w:sz w:val="22"/>
          <w:szCs w:val="22"/>
          <w:lang w:val="lv-LV" w:eastAsia="ja-JP"/>
        </w:rPr>
        <w:t>Pētījuma primārais mērķ</w:t>
      </w:r>
      <w:r w:rsidR="00FB7F15" w:rsidRPr="00CD729C">
        <w:rPr>
          <w:rFonts w:eastAsia="MS Mincho"/>
          <w:color w:val="000000"/>
          <w:sz w:val="22"/>
          <w:szCs w:val="22"/>
          <w:lang w:val="lv-LV" w:eastAsia="ja-JP"/>
        </w:rPr>
        <w:t>a kritērijs</w:t>
      </w:r>
      <w:r w:rsidRPr="00CD729C">
        <w:rPr>
          <w:rFonts w:eastAsia="MS Mincho"/>
          <w:color w:val="000000"/>
          <w:sz w:val="22"/>
          <w:szCs w:val="22"/>
          <w:lang w:val="lv-LV" w:eastAsia="ja-JP"/>
        </w:rPr>
        <w:t xml:space="preserve"> bija dzīvildze bez recidīva (</w:t>
      </w:r>
      <w:r w:rsidRPr="00CD729C">
        <w:rPr>
          <w:rFonts w:eastAsia="MS Mincho"/>
          <w:i/>
          <w:color w:val="000000"/>
          <w:sz w:val="22"/>
          <w:szCs w:val="22"/>
          <w:lang w:val="lv-LV" w:eastAsia="ja-JP"/>
        </w:rPr>
        <w:t>recurrence-free survival</w:t>
      </w:r>
      <w:r w:rsidRPr="00CD729C">
        <w:rPr>
          <w:rFonts w:eastAsia="MS Mincho"/>
          <w:color w:val="000000"/>
          <w:sz w:val="22"/>
          <w:szCs w:val="22"/>
          <w:lang w:val="lv-LV" w:eastAsia="ja-JP"/>
        </w:rPr>
        <w:t xml:space="preserve"> -RFS), kas definēts kā laika posms no pacienta randomizācijas brīža pētījumā līdz recidīva diagnosticēšanas vai nāves brīdim.</w:t>
      </w:r>
    </w:p>
    <w:p w14:paraId="3D3947BE" w14:textId="77777777" w:rsidR="00563C1C" w:rsidRPr="00CD729C" w:rsidRDefault="00563C1C" w:rsidP="009B4BB6">
      <w:pPr>
        <w:pStyle w:val="Text"/>
        <w:widowControl w:val="0"/>
        <w:spacing w:before="0"/>
        <w:jc w:val="left"/>
        <w:rPr>
          <w:rFonts w:eastAsia="MS Mincho"/>
          <w:color w:val="000000"/>
          <w:sz w:val="22"/>
          <w:szCs w:val="22"/>
          <w:lang w:val="lv-LV" w:eastAsia="ja-JP"/>
        </w:rPr>
      </w:pPr>
    </w:p>
    <w:p w14:paraId="3D3947BF" w14:textId="77777777" w:rsidR="00563C1C" w:rsidRPr="00CD729C" w:rsidRDefault="00563C1C" w:rsidP="009B4BB6">
      <w:pPr>
        <w:pStyle w:val="Text"/>
        <w:widowControl w:val="0"/>
        <w:spacing w:before="0"/>
        <w:jc w:val="left"/>
        <w:rPr>
          <w:rFonts w:eastAsia="MS Mincho"/>
          <w:color w:val="000000"/>
          <w:sz w:val="22"/>
          <w:szCs w:val="22"/>
          <w:lang w:val="lv-LV" w:eastAsia="ja-JP"/>
        </w:rPr>
      </w:pPr>
      <w:r w:rsidRPr="00CD729C">
        <w:rPr>
          <w:rFonts w:eastAsia="MS Mincho"/>
          <w:color w:val="000000"/>
          <w:sz w:val="22"/>
          <w:szCs w:val="22"/>
          <w:lang w:val="lv-LV" w:eastAsia="ja-JP"/>
        </w:rPr>
        <w:t>Glivec ievērojami pagarināja RFS, kā rezultātā 75% pacientu Glivec grupā dzīvildze bez recidīva bija 38 mēneši, salīdzinot ar 20 mēnešiem placebo grupā (95% TI, attiecīgi [30 - nav nosakāms] un [14 - nav nosakāms]); (riska attiecība = 0,398 [0,259</w:t>
      </w:r>
      <w:r w:rsidRPr="00CD729C">
        <w:rPr>
          <w:rFonts w:eastAsia="MS Mincho"/>
          <w:color w:val="000000"/>
          <w:sz w:val="22"/>
          <w:szCs w:val="22"/>
          <w:lang w:val="lv-LV" w:eastAsia="ja-JP"/>
        </w:rPr>
        <w:noBreakHyphen/>
        <w:t>0,610], p&lt;0,0001). Kopumā viena gada laikā Glivec grupā novēroja labākus RFS rezultātus (97,7%), salīdzinot ar placebo grupu (82,3%) (p&lt;0,0001). Tādēļ recidīvu gadījumu risks tika samazināts aptuveni par 89% salīdzinot ar placebo grupu (riska attiecība = 0,113 [0,049</w:t>
      </w:r>
      <w:r w:rsidRPr="00CD729C">
        <w:rPr>
          <w:rFonts w:eastAsia="MS Mincho"/>
          <w:color w:val="000000"/>
          <w:sz w:val="22"/>
          <w:szCs w:val="22"/>
          <w:lang w:val="lv-LV" w:eastAsia="ja-JP"/>
        </w:rPr>
        <w:noBreakHyphen/>
        <w:t>0,264]).</w:t>
      </w:r>
    </w:p>
    <w:p w14:paraId="3D3947C0" w14:textId="77777777" w:rsidR="00563C1C" w:rsidRPr="00CD729C" w:rsidRDefault="00563C1C" w:rsidP="009B4BB6">
      <w:pPr>
        <w:pStyle w:val="Text"/>
        <w:widowControl w:val="0"/>
        <w:spacing w:before="0"/>
        <w:jc w:val="left"/>
        <w:rPr>
          <w:rFonts w:eastAsia="MS Mincho"/>
          <w:color w:val="000000"/>
          <w:sz w:val="22"/>
          <w:szCs w:val="22"/>
          <w:lang w:val="lv-LV" w:eastAsia="ja-JP"/>
        </w:rPr>
      </w:pPr>
    </w:p>
    <w:p w14:paraId="3D3947C1" w14:textId="77777777" w:rsidR="00563C1C" w:rsidRPr="00CD729C" w:rsidRDefault="00563C1C" w:rsidP="009B4BB6">
      <w:pPr>
        <w:pStyle w:val="Text"/>
        <w:widowControl w:val="0"/>
        <w:spacing w:before="0"/>
        <w:jc w:val="left"/>
        <w:rPr>
          <w:color w:val="000000"/>
          <w:sz w:val="22"/>
          <w:szCs w:val="22"/>
          <w:lang w:val="lv-LV"/>
        </w:rPr>
      </w:pPr>
      <w:r w:rsidRPr="00CD729C">
        <w:rPr>
          <w:rFonts w:eastAsia="MS Mincho"/>
          <w:color w:val="000000"/>
          <w:sz w:val="22"/>
          <w:szCs w:val="22"/>
          <w:lang w:val="lv-LV" w:eastAsia="ja-JP"/>
        </w:rPr>
        <w:t xml:space="preserve">Recidīva risku pacientiem pēc primārā GIST audzēja rezekcijas attiecīgi izvērtēja </w:t>
      </w:r>
      <w:r w:rsidR="00B33C51" w:rsidRPr="00CD729C">
        <w:rPr>
          <w:rFonts w:eastAsia="MS Mincho"/>
          <w:color w:val="000000"/>
          <w:sz w:val="22"/>
          <w:szCs w:val="22"/>
          <w:lang w:val="lv-LV" w:eastAsia="ja-JP"/>
        </w:rPr>
        <w:t>pamatojoties</w:t>
      </w:r>
      <w:r w:rsidRPr="00CD729C">
        <w:rPr>
          <w:rFonts w:eastAsia="MS Mincho"/>
          <w:color w:val="000000"/>
          <w:sz w:val="22"/>
          <w:szCs w:val="22"/>
          <w:lang w:val="lv-LV" w:eastAsia="ja-JP"/>
        </w:rPr>
        <w:t xml:space="preserve"> uz sekojošiem prognostiskiem faktoriem: audzēja izmēriem, mitotisko indeksu, audzēja lokalizāciju. Mitotiskā indeksa dati bija pieejami par 556 no </w:t>
      </w:r>
      <w:r w:rsidR="008E72E2" w:rsidRPr="00CD729C">
        <w:rPr>
          <w:rFonts w:eastAsia="MS Mincho"/>
          <w:color w:val="000000"/>
          <w:sz w:val="22"/>
          <w:szCs w:val="22"/>
          <w:lang w:val="lv-LV" w:eastAsia="ja-JP"/>
        </w:rPr>
        <w:t>713</w:t>
      </w:r>
      <w:r w:rsidRPr="00CD729C">
        <w:rPr>
          <w:rFonts w:eastAsia="MS Mincho"/>
          <w:color w:val="000000"/>
          <w:sz w:val="22"/>
          <w:szCs w:val="22"/>
          <w:lang w:val="lv-LV" w:eastAsia="ja-JP"/>
        </w:rPr>
        <w:t> ITT (</w:t>
      </w:r>
      <w:r w:rsidRPr="00CD729C">
        <w:rPr>
          <w:rFonts w:eastAsia="MS Mincho"/>
          <w:i/>
          <w:color w:val="000000"/>
          <w:sz w:val="22"/>
          <w:szCs w:val="22"/>
          <w:lang w:val="lv-LV" w:eastAsia="ja-JP"/>
        </w:rPr>
        <w:t>intention-to-treat</w:t>
      </w:r>
      <w:r w:rsidRPr="00CD729C">
        <w:rPr>
          <w:rFonts w:eastAsia="MS Mincho"/>
          <w:color w:val="000000"/>
          <w:sz w:val="22"/>
          <w:szCs w:val="22"/>
          <w:lang w:val="lv-LV" w:eastAsia="ja-JP"/>
        </w:rPr>
        <w:t xml:space="preserve"> – ar nolūku ārstēt) grupas pacientiem. Apakšgrupu analīžu, kas veiktas saskaņā ar </w:t>
      </w:r>
      <w:r w:rsidR="003D0698" w:rsidRPr="00CD729C">
        <w:rPr>
          <w:rFonts w:eastAsia="MS Mincho"/>
          <w:color w:val="000000"/>
          <w:sz w:val="22"/>
          <w:szCs w:val="22"/>
          <w:lang w:val="lv-LV" w:eastAsia="ja-JP"/>
        </w:rPr>
        <w:t xml:space="preserve">Amerikas Savienoto Valstu </w:t>
      </w:r>
      <w:r w:rsidR="00CD6841" w:rsidRPr="00CD729C">
        <w:rPr>
          <w:rFonts w:eastAsia="MS Mincho"/>
          <w:color w:val="000000"/>
          <w:sz w:val="22"/>
          <w:szCs w:val="22"/>
          <w:lang w:val="lv-LV" w:eastAsia="ja-JP"/>
        </w:rPr>
        <w:t>N</w:t>
      </w:r>
      <w:r w:rsidR="003D0698" w:rsidRPr="00CD729C">
        <w:rPr>
          <w:rFonts w:eastAsia="MS Mincho"/>
          <w:color w:val="000000"/>
          <w:sz w:val="22"/>
          <w:szCs w:val="22"/>
          <w:lang w:val="lv-LV" w:eastAsia="ja-JP"/>
        </w:rPr>
        <w:t>acionālo veselības institūtu (</w:t>
      </w:r>
      <w:r w:rsidR="003D0698" w:rsidRPr="00CD729C">
        <w:rPr>
          <w:rFonts w:eastAsia="MS Mincho"/>
          <w:i/>
          <w:color w:val="000000"/>
          <w:sz w:val="22"/>
          <w:szCs w:val="22"/>
          <w:lang w:val="lv-LV" w:eastAsia="ja-JP"/>
        </w:rPr>
        <w:t>United States National Institutes of Health</w:t>
      </w:r>
      <w:r w:rsidR="003D0698" w:rsidRPr="00CD729C">
        <w:rPr>
          <w:rFonts w:eastAsia="MS Mincho"/>
          <w:color w:val="000000"/>
          <w:sz w:val="22"/>
          <w:szCs w:val="22"/>
          <w:lang w:val="lv-LV" w:eastAsia="ja-JP"/>
        </w:rPr>
        <w:t xml:space="preserve"> - NIH) </w:t>
      </w:r>
      <w:r w:rsidR="00100E43" w:rsidRPr="00CD729C">
        <w:rPr>
          <w:rFonts w:eastAsia="MS Mincho"/>
          <w:color w:val="000000"/>
          <w:sz w:val="22"/>
          <w:szCs w:val="22"/>
          <w:lang w:val="lv-LV" w:eastAsia="ja-JP"/>
        </w:rPr>
        <w:t xml:space="preserve">un </w:t>
      </w:r>
      <w:r w:rsidRPr="00CD729C">
        <w:rPr>
          <w:rFonts w:eastAsia="MS Mincho"/>
          <w:color w:val="000000"/>
          <w:sz w:val="22"/>
          <w:szCs w:val="22"/>
          <w:lang w:val="lv-LV" w:eastAsia="ja-JP"/>
        </w:rPr>
        <w:t>Bruņoto spēku patoloģiskās izpētes institūta (</w:t>
      </w:r>
      <w:r w:rsidRPr="00CD729C">
        <w:rPr>
          <w:rFonts w:eastAsia="MS Mincho"/>
          <w:i/>
          <w:color w:val="000000"/>
          <w:sz w:val="22"/>
          <w:szCs w:val="22"/>
          <w:lang w:val="lv-LV" w:eastAsia="ja-JP"/>
        </w:rPr>
        <w:t>Armed Forces Institute of Pathology</w:t>
      </w:r>
      <w:r w:rsidRPr="00CD729C">
        <w:rPr>
          <w:rFonts w:eastAsia="MS Mincho"/>
          <w:color w:val="000000"/>
          <w:sz w:val="22"/>
          <w:szCs w:val="22"/>
          <w:lang w:val="lv-LV" w:eastAsia="ja-JP"/>
        </w:rPr>
        <w:t xml:space="preserve"> - AFIP) riska klasifikācijas kritērijiem, rezultāti </w:t>
      </w:r>
      <w:r w:rsidRPr="00CD729C">
        <w:rPr>
          <w:color w:val="000000"/>
          <w:sz w:val="22"/>
          <w:szCs w:val="22"/>
          <w:lang w:val="lv-LV"/>
        </w:rPr>
        <w:t>apkopoti tabulā Nr. </w:t>
      </w:r>
      <w:r w:rsidR="00E63C12" w:rsidRPr="00CD729C">
        <w:rPr>
          <w:color w:val="000000"/>
          <w:sz w:val="22"/>
          <w:szCs w:val="22"/>
          <w:lang w:val="lv-LV"/>
        </w:rPr>
        <w:t>7</w:t>
      </w:r>
      <w:r w:rsidRPr="00CD729C">
        <w:rPr>
          <w:color w:val="000000"/>
          <w:sz w:val="22"/>
          <w:szCs w:val="22"/>
          <w:lang w:val="lv-LV"/>
        </w:rPr>
        <w:t>.</w:t>
      </w:r>
      <w:r w:rsidR="00236385" w:rsidRPr="00CD729C">
        <w:rPr>
          <w:color w:val="000000"/>
          <w:sz w:val="22"/>
          <w:szCs w:val="22"/>
          <w:lang w:val="lv-LV"/>
        </w:rPr>
        <w:t xml:space="preserve"> </w:t>
      </w:r>
      <w:r w:rsidR="00100E43" w:rsidRPr="00CD729C">
        <w:rPr>
          <w:color w:val="000000"/>
          <w:sz w:val="22"/>
          <w:szCs w:val="22"/>
          <w:lang w:val="lv-LV"/>
        </w:rPr>
        <w:t>Zema un ļoti zema riska grupās ieguvums netika konstatēts</w:t>
      </w:r>
      <w:r w:rsidR="00236385" w:rsidRPr="00CD729C">
        <w:rPr>
          <w:color w:val="000000"/>
          <w:sz w:val="22"/>
          <w:szCs w:val="22"/>
          <w:lang w:val="lv-LV"/>
        </w:rPr>
        <w:t xml:space="preserve">. </w:t>
      </w:r>
      <w:r w:rsidR="00800D82" w:rsidRPr="00CD729C">
        <w:rPr>
          <w:color w:val="000000"/>
          <w:sz w:val="22"/>
          <w:szCs w:val="22"/>
          <w:lang w:val="lv-LV"/>
        </w:rPr>
        <w:t>Netika konstatēta</w:t>
      </w:r>
      <w:r w:rsidR="00100E43" w:rsidRPr="00CD729C">
        <w:rPr>
          <w:color w:val="000000"/>
          <w:sz w:val="22"/>
          <w:szCs w:val="22"/>
          <w:lang w:val="lv-LV"/>
        </w:rPr>
        <w:t xml:space="preserve"> kopējās dzīvildzes uzlabošanās</w:t>
      </w:r>
      <w:r w:rsidR="00236385" w:rsidRPr="00CD729C">
        <w:rPr>
          <w:color w:val="000000"/>
          <w:sz w:val="22"/>
          <w:szCs w:val="22"/>
          <w:lang w:val="lv-LV"/>
        </w:rPr>
        <w:t>.</w:t>
      </w:r>
    </w:p>
    <w:p w14:paraId="3D3947C2" w14:textId="77777777" w:rsidR="00236385" w:rsidRPr="00CD729C" w:rsidRDefault="00236385" w:rsidP="009B4BB6">
      <w:pPr>
        <w:pStyle w:val="Text"/>
        <w:widowControl w:val="0"/>
        <w:spacing w:before="0"/>
        <w:jc w:val="left"/>
        <w:rPr>
          <w:sz w:val="22"/>
          <w:szCs w:val="22"/>
          <w:lang w:val="lv-LV"/>
        </w:rPr>
      </w:pPr>
    </w:p>
    <w:p w14:paraId="3D3947C3" w14:textId="77777777" w:rsidR="00236385" w:rsidRPr="00CD729C" w:rsidRDefault="00100E43" w:rsidP="009B4BB6">
      <w:pPr>
        <w:pStyle w:val="Heading6"/>
        <w:keepLines/>
        <w:widowControl w:val="0"/>
        <w:tabs>
          <w:tab w:val="clear" w:pos="567"/>
          <w:tab w:val="clear" w:pos="4536"/>
          <w:tab w:val="left" w:pos="1134"/>
        </w:tabs>
        <w:spacing w:line="240" w:lineRule="auto"/>
        <w:ind w:left="1701" w:hanging="1701"/>
        <w:rPr>
          <w:rFonts w:eastAsia="MS Mincho"/>
          <w:b/>
          <w:i w:val="0"/>
          <w:color w:val="000000"/>
          <w:szCs w:val="22"/>
          <w:lang w:eastAsia="ja-JP"/>
        </w:rPr>
      </w:pPr>
      <w:r w:rsidRPr="00CD729C">
        <w:rPr>
          <w:rFonts w:eastAsia="MS Mincho"/>
          <w:b/>
          <w:i w:val="0"/>
          <w:color w:val="000000"/>
          <w:szCs w:val="22"/>
          <w:lang w:eastAsia="ja-JP"/>
        </w:rPr>
        <w:t>Tabul</w:t>
      </w:r>
      <w:r w:rsidR="00964BDC" w:rsidRPr="00CD729C">
        <w:rPr>
          <w:rFonts w:eastAsia="MS Mincho"/>
          <w:b/>
          <w:i w:val="0"/>
          <w:color w:val="000000"/>
          <w:szCs w:val="22"/>
          <w:lang w:eastAsia="ja-JP"/>
        </w:rPr>
        <w:t>a</w:t>
      </w:r>
      <w:r w:rsidRPr="00CD729C">
        <w:rPr>
          <w:rFonts w:eastAsia="MS Mincho"/>
          <w:b/>
          <w:i w:val="0"/>
          <w:color w:val="000000"/>
          <w:szCs w:val="22"/>
          <w:lang w:eastAsia="ja-JP"/>
        </w:rPr>
        <w:t xml:space="preserve"> Nr. </w:t>
      </w:r>
      <w:r w:rsidR="00E63C12" w:rsidRPr="00CD729C">
        <w:rPr>
          <w:rFonts w:eastAsia="MS Mincho"/>
          <w:b/>
          <w:i w:val="0"/>
          <w:color w:val="000000"/>
          <w:szCs w:val="22"/>
          <w:lang w:eastAsia="ja-JP"/>
        </w:rPr>
        <w:t>7</w:t>
      </w:r>
      <w:r w:rsidR="00236385" w:rsidRPr="00CD729C">
        <w:rPr>
          <w:rFonts w:eastAsia="MS Mincho"/>
          <w:b/>
          <w:i w:val="0"/>
          <w:color w:val="000000"/>
          <w:szCs w:val="22"/>
          <w:lang w:eastAsia="ja-JP"/>
        </w:rPr>
        <w:tab/>
      </w:r>
      <w:r w:rsidRPr="00CD729C">
        <w:rPr>
          <w:rFonts w:eastAsia="MS Mincho"/>
          <w:b/>
          <w:i w:val="0"/>
          <w:color w:val="000000"/>
          <w:szCs w:val="22"/>
          <w:lang w:eastAsia="ja-JP"/>
        </w:rPr>
        <w:t xml:space="preserve">Kopsavilkums par pētījuma </w:t>
      </w:r>
      <w:r w:rsidR="00236385" w:rsidRPr="00CD729C">
        <w:rPr>
          <w:rFonts w:eastAsia="MS Mincho"/>
          <w:b/>
          <w:i w:val="0"/>
          <w:color w:val="000000"/>
          <w:szCs w:val="22"/>
          <w:lang w:eastAsia="ja-JP"/>
        </w:rPr>
        <w:t xml:space="preserve">Z9001 RFS </w:t>
      </w:r>
      <w:r w:rsidRPr="00CD729C">
        <w:rPr>
          <w:rFonts w:eastAsia="MS Mincho"/>
          <w:b/>
          <w:i w:val="0"/>
          <w:color w:val="000000"/>
          <w:szCs w:val="22"/>
          <w:lang w:eastAsia="ja-JP"/>
        </w:rPr>
        <w:t>analīžu rezultātiem pēc</w:t>
      </w:r>
      <w:r w:rsidR="00236385" w:rsidRPr="00CD729C">
        <w:rPr>
          <w:rFonts w:eastAsia="MS Mincho"/>
          <w:b/>
          <w:i w:val="0"/>
          <w:color w:val="000000"/>
          <w:szCs w:val="22"/>
          <w:lang w:eastAsia="ja-JP"/>
        </w:rPr>
        <w:t xml:space="preserve"> NIH </w:t>
      </w:r>
      <w:r w:rsidRPr="00CD729C">
        <w:rPr>
          <w:rFonts w:eastAsia="MS Mincho"/>
          <w:b/>
          <w:i w:val="0"/>
          <w:color w:val="000000"/>
          <w:szCs w:val="22"/>
          <w:lang w:eastAsia="ja-JP"/>
        </w:rPr>
        <w:t>un</w:t>
      </w:r>
      <w:r w:rsidR="00236385" w:rsidRPr="00CD729C">
        <w:rPr>
          <w:rFonts w:eastAsia="MS Mincho"/>
          <w:b/>
          <w:i w:val="0"/>
          <w:color w:val="000000"/>
          <w:szCs w:val="22"/>
          <w:lang w:eastAsia="ja-JP"/>
        </w:rPr>
        <w:t xml:space="preserve"> AFIP </w:t>
      </w:r>
      <w:r w:rsidRPr="00CD729C">
        <w:rPr>
          <w:rFonts w:eastAsia="MS Mincho"/>
          <w:b/>
          <w:i w:val="0"/>
          <w:color w:val="000000"/>
          <w:szCs w:val="22"/>
          <w:lang w:eastAsia="ja-JP"/>
        </w:rPr>
        <w:t>riska klasifikācijas kritērijiem</w:t>
      </w:r>
    </w:p>
    <w:p w14:paraId="3D3947C4" w14:textId="77777777" w:rsidR="00226560" w:rsidRPr="00CD729C" w:rsidRDefault="00226560" w:rsidP="009B4BB6">
      <w:pPr>
        <w:keepNext/>
        <w:keepLines/>
        <w:widowControl w:val="0"/>
        <w:spacing w:line="240" w:lineRule="auto"/>
        <w:rPr>
          <w:rFonts w:eastAsia="MS Mincho"/>
          <w:lang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250"/>
        <w:gridCol w:w="986"/>
        <w:gridCol w:w="2083"/>
        <w:gridCol w:w="1800"/>
        <w:gridCol w:w="1440"/>
        <w:gridCol w:w="1360"/>
      </w:tblGrid>
      <w:tr w:rsidR="00226560" w:rsidRPr="00CD729C" w14:paraId="3D3947CC" w14:textId="77777777" w:rsidTr="009B4BB6">
        <w:trPr>
          <w:cantSplit/>
        </w:trPr>
        <w:tc>
          <w:tcPr>
            <w:tcW w:w="1101" w:type="dxa"/>
            <w:vMerge w:val="restart"/>
          </w:tcPr>
          <w:p w14:paraId="3D3947C5" w14:textId="77777777" w:rsidR="00226560" w:rsidRPr="00CD729C" w:rsidRDefault="00226560"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Riska kritērijs</w:t>
            </w:r>
          </w:p>
        </w:tc>
        <w:tc>
          <w:tcPr>
            <w:tcW w:w="1250" w:type="dxa"/>
            <w:vMerge w:val="restart"/>
            <w:tcBorders>
              <w:right w:val="single" w:sz="4" w:space="0" w:color="auto"/>
            </w:tcBorders>
          </w:tcPr>
          <w:p w14:paraId="3D3947C6" w14:textId="77777777" w:rsidR="00226560" w:rsidRPr="00CD729C" w:rsidRDefault="00226560" w:rsidP="009B4BB6">
            <w:pPr>
              <w:pStyle w:val="Table"/>
              <w:widowControl w:val="0"/>
              <w:spacing w:before="0" w:after="0"/>
              <w:rPr>
                <w:rFonts w:ascii="Times New Roman" w:hAnsi="Times New Roman"/>
                <w:b/>
                <w:szCs w:val="22"/>
                <w:lang w:val="lv-LV"/>
              </w:rPr>
            </w:pPr>
            <w:r w:rsidRPr="00CD729C">
              <w:rPr>
                <w:rFonts w:ascii="Times New Roman" w:hAnsi="Times New Roman"/>
                <w:b/>
                <w:szCs w:val="22"/>
                <w:lang w:val="lv-LV"/>
              </w:rPr>
              <w:t>Riska līmenis</w:t>
            </w:r>
          </w:p>
          <w:p w14:paraId="3D3947C7" w14:textId="77777777" w:rsidR="00226560" w:rsidRPr="00CD729C" w:rsidRDefault="00226560" w:rsidP="009B4BB6">
            <w:pPr>
              <w:pStyle w:val="Table"/>
              <w:widowControl w:val="0"/>
              <w:spacing w:before="0" w:after="0"/>
              <w:rPr>
                <w:rFonts w:ascii="Times New Roman" w:hAnsi="Times New Roman"/>
                <w:b/>
                <w:szCs w:val="22"/>
                <w:lang w:val="lv-LV"/>
              </w:rPr>
            </w:pPr>
          </w:p>
        </w:tc>
        <w:tc>
          <w:tcPr>
            <w:tcW w:w="986" w:type="dxa"/>
            <w:vMerge w:val="restart"/>
            <w:tcBorders>
              <w:left w:val="single" w:sz="4" w:space="0" w:color="auto"/>
              <w:right w:val="single" w:sz="4" w:space="0" w:color="auto"/>
            </w:tcBorders>
          </w:tcPr>
          <w:p w14:paraId="3D3947C8" w14:textId="77777777" w:rsidR="00226560" w:rsidRPr="00CD729C" w:rsidRDefault="00226560"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Pacient</w:t>
            </w:r>
            <w:r w:rsidR="000800C6" w:rsidRPr="00CD729C">
              <w:rPr>
                <w:rFonts w:ascii="Times New Roman" w:hAnsi="Times New Roman"/>
                <w:b/>
                <w:szCs w:val="22"/>
                <w:lang w:val="lv-LV"/>
              </w:rPr>
              <w:t>u īpatsvars</w:t>
            </w:r>
            <w:r w:rsidRPr="00CD729C">
              <w:rPr>
                <w:rFonts w:ascii="Times New Roman" w:hAnsi="Times New Roman"/>
                <w:b/>
                <w:szCs w:val="22"/>
                <w:lang w:val="lv-LV"/>
              </w:rPr>
              <w:t xml:space="preserve"> %</w:t>
            </w:r>
          </w:p>
        </w:tc>
        <w:tc>
          <w:tcPr>
            <w:tcW w:w="2083" w:type="dxa"/>
            <w:vMerge w:val="restart"/>
            <w:tcBorders>
              <w:left w:val="single" w:sz="4" w:space="0" w:color="auto"/>
              <w:right w:val="single" w:sz="4" w:space="0" w:color="auto"/>
            </w:tcBorders>
          </w:tcPr>
          <w:p w14:paraId="3D3947C9" w14:textId="77777777" w:rsidR="00226560" w:rsidRPr="00CD729C" w:rsidRDefault="00226560"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Gadījumu skaits /</w:t>
            </w:r>
            <w:r w:rsidRPr="00CD729C">
              <w:rPr>
                <w:rFonts w:ascii="Times New Roman" w:hAnsi="Times New Roman"/>
                <w:b/>
                <w:szCs w:val="22"/>
                <w:lang w:val="lv-LV"/>
              </w:rPr>
              <w:br/>
              <w:t>Pacientu skaits</w:t>
            </w:r>
          </w:p>
        </w:tc>
        <w:tc>
          <w:tcPr>
            <w:tcW w:w="1800" w:type="dxa"/>
            <w:vMerge w:val="restart"/>
            <w:tcBorders>
              <w:left w:val="single" w:sz="4" w:space="0" w:color="auto"/>
              <w:right w:val="single" w:sz="4" w:space="0" w:color="auto"/>
            </w:tcBorders>
          </w:tcPr>
          <w:p w14:paraId="3D3947CA" w14:textId="77777777" w:rsidR="00226560" w:rsidRPr="00CD729C" w:rsidRDefault="00226560"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Kopējā riska attiecība (95%TI)*</w:t>
            </w:r>
          </w:p>
        </w:tc>
        <w:tc>
          <w:tcPr>
            <w:tcW w:w="2800" w:type="dxa"/>
            <w:gridSpan w:val="2"/>
            <w:tcBorders>
              <w:left w:val="single" w:sz="4" w:space="0" w:color="auto"/>
            </w:tcBorders>
          </w:tcPr>
          <w:p w14:paraId="3D3947CB" w14:textId="77777777" w:rsidR="00226560" w:rsidRPr="00CD729C" w:rsidRDefault="00226560"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RFS indeksi (%)</w:t>
            </w:r>
          </w:p>
        </w:tc>
      </w:tr>
      <w:tr w:rsidR="00226560" w:rsidRPr="00CD729C" w14:paraId="3D3947D4" w14:textId="77777777" w:rsidTr="009B4BB6">
        <w:trPr>
          <w:cantSplit/>
        </w:trPr>
        <w:tc>
          <w:tcPr>
            <w:tcW w:w="1101" w:type="dxa"/>
            <w:vMerge/>
          </w:tcPr>
          <w:p w14:paraId="3D3947CD" w14:textId="77777777" w:rsidR="00226560" w:rsidRPr="00CD729C" w:rsidRDefault="00226560" w:rsidP="009B4BB6">
            <w:pPr>
              <w:pStyle w:val="Table"/>
              <w:widowControl w:val="0"/>
              <w:spacing w:before="0" w:after="0"/>
              <w:rPr>
                <w:rFonts w:ascii="Times New Roman" w:hAnsi="Times New Roman"/>
                <w:b/>
                <w:szCs w:val="22"/>
                <w:lang w:val="lv-LV"/>
              </w:rPr>
            </w:pPr>
          </w:p>
        </w:tc>
        <w:tc>
          <w:tcPr>
            <w:tcW w:w="1250" w:type="dxa"/>
            <w:vMerge/>
            <w:tcBorders>
              <w:right w:val="single" w:sz="4" w:space="0" w:color="auto"/>
            </w:tcBorders>
          </w:tcPr>
          <w:p w14:paraId="3D3947CE" w14:textId="77777777" w:rsidR="00226560" w:rsidRPr="00CD729C" w:rsidRDefault="00226560" w:rsidP="009B4BB6">
            <w:pPr>
              <w:pStyle w:val="Table"/>
              <w:widowControl w:val="0"/>
              <w:spacing w:before="0" w:after="0"/>
              <w:rPr>
                <w:rFonts w:ascii="Times New Roman" w:hAnsi="Times New Roman"/>
                <w:b/>
                <w:szCs w:val="22"/>
                <w:lang w:val="lv-LV"/>
              </w:rPr>
            </w:pPr>
          </w:p>
        </w:tc>
        <w:tc>
          <w:tcPr>
            <w:tcW w:w="986" w:type="dxa"/>
            <w:vMerge/>
            <w:tcBorders>
              <w:left w:val="single" w:sz="4" w:space="0" w:color="auto"/>
              <w:right w:val="single" w:sz="4" w:space="0" w:color="auto"/>
            </w:tcBorders>
          </w:tcPr>
          <w:p w14:paraId="3D3947CF" w14:textId="77777777" w:rsidR="00226560" w:rsidRPr="00CD729C" w:rsidRDefault="00226560" w:rsidP="009B4BB6">
            <w:pPr>
              <w:pStyle w:val="Table"/>
              <w:widowControl w:val="0"/>
              <w:spacing w:before="0" w:after="0"/>
              <w:jc w:val="center"/>
              <w:rPr>
                <w:rFonts w:ascii="Times New Roman" w:hAnsi="Times New Roman"/>
                <w:b/>
                <w:szCs w:val="22"/>
                <w:lang w:val="lv-LV"/>
              </w:rPr>
            </w:pPr>
          </w:p>
        </w:tc>
        <w:tc>
          <w:tcPr>
            <w:tcW w:w="2083" w:type="dxa"/>
            <w:vMerge/>
            <w:tcBorders>
              <w:left w:val="single" w:sz="4" w:space="0" w:color="auto"/>
              <w:right w:val="single" w:sz="4" w:space="0" w:color="auto"/>
            </w:tcBorders>
          </w:tcPr>
          <w:p w14:paraId="3D3947D0" w14:textId="77777777" w:rsidR="00226560" w:rsidRPr="00CD729C" w:rsidRDefault="00226560" w:rsidP="009B4BB6">
            <w:pPr>
              <w:pStyle w:val="Table"/>
              <w:widowControl w:val="0"/>
              <w:spacing w:before="0" w:after="0"/>
              <w:jc w:val="center"/>
              <w:rPr>
                <w:rFonts w:ascii="Times New Roman" w:hAnsi="Times New Roman"/>
                <w:b/>
                <w:szCs w:val="22"/>
                <w:lang w:val="lv-LV"/>
              </w:rPr>
            </w:pPr>
          </w:p>
        </w:tc>
        <w:tc>
          <w:tcPr>
            <w:tcW w:w="1800" w:type="dxa"/>
            <w:vMerge/>
            <w:tcBorders>
              <w:left w:val="single" w:sz="4" w:space="0" w:color="auto"/>
              <w:right w:val="single" w:sz="4" w:space="0" w:color="auto"/>
            </w:tcBorders>
          </w:tcPr>
          <w:p w14:paraId="3D3947D1" w14:textId="77777777" w:rsidR="00226560" w:rsidRPr="00CD729C" w:rsidRDefault="00226560" w:rsidP="009B4BB6">
            <w:pPr>
              <w:pStyle w:val="Table"/>
              <w:widowControl w:val="0"/>
              <w:spacing w:before="0" w:after="0"/>
              <w:rPr>
                <w:rFonts w:ascii="Times New Roman" w:hAnsi="Times New Roman"/>
                <w:b/>
                <w:szCs w:val="22"/>
                <w:lang w:val="lv-LV"/>
              </w:rPr>
            </w:pPr>
          </w:p>
        </w:tc>
        <w:tc>
          <w:tcPr>
            <w:tcW w:w="1440" w:type="dxa"/>
            <w:tcBorders>
              <w:left w:val="single" w:sz="4" w:space="0" w:color="auto"/>
              <w:right w:val="single" w:sz="4" w:space="0" w:color="auto"/>
            </w:tcBorders>
          </w:tcPr>
          <w:p w14:paraId="3D3947D2" w14:textId="77777777" w:rsidR="00226560" w:rsidRPr="00CD729C" w:rsidRDefault="00226560"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12. mēnesis</w:t>
            </w:r>
          </w:p>
        </w:tc>
        <w:tc>
          <w:tcPr>
            <w:tcW w:w="1360" w:type="dxa"/>
            <w:tcBorders>
              <w:left w:val="single" w:sz="4" w:space="0" w:color="auto"/>
            </w:tcBorders>
          </w:tcPr>
          <w:p w14:paraId="3D3947D3" w14:textId="77777777" w:rsidR="00226560" w:rsidRPr="00CD729C" w:rsidRDefault="00226560"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24. mēnesis</w:t>
            </w:r>
          </w:p>
        </w:tc>
      </w:tr>
      <w:tr w:rsidR="00226560" w:rsidRPr="00CD729C" w14:paraId="3D3947DC" w14:textId="77777777" w:rsidTr="009B4BB6">
        <w:trPr>
          <w:cantSplit/>
        </w:trPr>
        <w:tc>
          <w:tcPr>
            <w:tcW w:w="1101" w:type="dxa"/>
            <w:vMerge/>
          </w:tcPr>
          <w:p w14:paraId="3D3947D5" w14:textId="77777777" w:rsidR="00226560" w:rsidRPr="00CD729C" w:rsidRDefault="00226560" w:rsidP="009B4BB6">
            <w:pPr>
              <w:pStyle w:val="Table"/>
              <w:widowControl w:val="0"/>
              <w:spacing w:before="0" w:after="0"/>
              <w:rPr>
                <w:rFonts w:ascii="Times New Roman" w:hAnsi="Times New Roman"/>
                <w:b/>
                <w:szCs w:val="22"/>
                <w:lang w:val="lv-LV"/>
              </w:rPr>
            </w:pPr>
          </w:p>
        </w:tc>
        <w:tc>
          <w:tcPr>
            <w:tcW w:w="1250" w:type="dxa"/>
            <w:vMerge/>
            <w:tcBorders>
              <w:right w:val="single" w:sz="4" w:space="0" w:color="auto"/>
            </w:tcBorders>
          </w:tcPr>
          <w:p w14:paraId="3D3947D6" w14:textId="77777777" w:rsidR="00226560" w:rsidRPr="00CD729C" w:rsidRDefault="00226560" w:rsidP="009B4BB6">
            <w:pPr>
              <w:pStyle w:val="Table"/>
              <w:widowControl w:val="0"/>
              <w:spacing w:before="0" w:after="0"/>
              <w:rPr>
                <w:rFonts w:ascii="Times New Roman" w:hAnsi="Times New Roman"/>
                <w:b/>
                <w:szCs w:val="22"/>
                <w:lang w:val="lv-LV"/>
              </w:rPr>
            </w:pPr>
          </w:p>
        </w:tc>
        <w:tc>
          <w:tcPr>
            <w:tcW w:w="986" w:type="dxa"/>
            <w:vMerge/>
            <w:tcBorders>
              <w:left w:val="single" w:sz="4" w:space="0" w:color="auto"/>
              <w:right w:val="single" w:sz="4" w:space="0" w:color="auto"/>
            </w:tcBorders>
          </w:tcPr>
          <w:p w14:paraId="3D3947D7" w14:textId="77777777" w:rsidR="00226560" w:rsidRPr="00CD729C" w:rsidRDefault="00226560" w:rsidP="009B4BB6">
            <w:pPr>
              <w:pStyle w:val="Table"/>
              <w:widowControl w:val="0"/>
              <w:spacing w:before="0" w:after="0"/>
              <w:jc w:val="center"/>
              <w:rPr>
                <w:rFonts w:ascii="Times New Roman" w:hAnsi="Times New Roman"/>
                <w:b/>
                <w:szCs w:val="22"/>
                <w:lang w:val="lv-LV"/>
              </w:rPr>
            </w:pPr>
          </w:p>
        </w:tc>
        <w:tc>
          <w:tcPr>
            <w:tcW w:w="2083" w:type="dxa"/>
            <w:tcBorders>
              <w:left w:val="single" w:sz="4" w:space="0" w:color="auto"/>
              <w:bottom w:val="single" w:sz="4" w:space="0" w:color="auto"/>
              <w:right w:val="single" w:sz="4" w:space="0" w:color="auto"/>
            </w:tcBorders>
          </w:tcPr>
          <w:p w14:paraId="3D3947D8" w14:textId="77777777" w:rsidR="00226560" w:rsidRPr="00CD729C" w:rsidRDefault="00226560"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Glivec vs placebo</w:t>
            </w:r>
          </w:p>
        </w:tc>
        <w:tc>
          <w:tcPr>
            <w:tcW w:w="1800" w:type="dxa"/>
            <w:vMerge/>
            <w:tcBorders>
              <w:left w:val="single" w:sz="4" w:space="0" w:color="auto"/>
              <w:bottom w:val="single" w:sz="4" w:space="0" w:color="auto"/>
              <w:right w:val="single" w:sz="4" w:space="0" w:color="auto"/>
            </w:tcBorders>
          </w:tcPr>
          <w:p w14:paraId="3D3947D9" w14:textId="77777777" w:rsidR="00226560" w:rsidRPr="00CD729C" w:rsidRDefault="00226560" w:rsidP="009B4BB6">
            <w:pPr>
              <w:pStyle w:val="Table"/>
              <w:widowControl w:val="0"/>
              <w:spacing w:before="0" w:after="0"/>
              <w:jc w:val="center"/>
              <w:rPr>
                <w:rFonts w:ascii="Times New Roman" w:hAnsi="Times New Roman"/>
                <w:b/>
                <w:szCs w:val="22"/>
                <w:lang w:val="lv-LV"/>
              </w:rPr>
            </w:pPr>
          </w:p>
        </w:tc>
        <w:tc>
          <w:tcPr>
            <w:tcW w:w="1440" w:type="dxa"/>
            <w:tcBorders>
              <w:left w:val="single" w:sz="4" w:space="0" w:color="auto"/>
              <w:bottom w:val="single" w:sz="4" w:space="0" w:color="auto"/>
              <w:right w:val="single" w:sz="4" w:space="0" w:color="auto"/>
            </w:tcBorders>
          </w:tcPr>
          <w:p w14:paraId="3D3947DA" w14:textId="77777777" w:rsidR="00226560" w:rsidRPr="00CD729C" w:rsidRDefault="00226560"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Glivec vs placebo</w:t>
            </w:r>
          </w:p>
        </w:tc>
        <w:tc>
          <w:tcPr>
            <w:tcW w:w="1360" w:type="dxa"/>
            <w:tcBorders>
              <w:left w:val="single" w:sz="4" w:space="0" w:color="auto"/>
            </w:tcBorders>
          </w:tcPr>
          <w:p w14:paraId="3D3947DB" w14:textId="77777777" w:rsidR="00226560" w:rsidRPr="00CD729C" w:rsidRDefault="00226560"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Glivec vs placebo</w:t>
            </w:r>
          </w:p>
        </w:tc>
      </w:tr>
      <w:tr w:rsidR="00226560" w:rsidRPr="00CD729C" w14:paraId="3D3947E5" w14:textId="77777777" w:rsidTr="009B4BB6">
        <w:trPr>
          <w:cantSplit/>
        </w:trPr>
        <w:tc>
          <w:tcPr>
            <w:tcW w:w="1101" w:type="dxa"/>
            <w:vMerge w:val="restart"/>
            <w:shd w:val="clear" w:color="auto" w:fill="auto"/>
          </w:tcPr>
          <w:p w14:paraId="3D3947DD" w14:textId="77777777" w:rsidR="00226560" w:rsidRPr="00CD729C" w:rsidRDefault="00226560" w:rsidP="009B4BB6">
            <w:pPr>
              <w:keepNext/>
              <w:keepLines/>
              <w:widowControl w:val="0"/>
              <w:spacing w:line="240" w:lineRule="auto"/>
              <w:rPr>
                <w:szCs w:val="22"/>
              </w:rPr>
            </w:pPr>
            <w:r w:rsidRPr="00CD729C">
              <w:rPr>
                <w:szCs w:val="22"/>
              </w:rPr>
              <w:t>NIH</w:t>
            </w:r>
          </w:p>
          <w:p w14:paraId="3D3947DE" w14:textId="77777777" w:rsidR="00226560" w:rsidRPr="00CD729C" w:rsidRDefault="00226560" w:rsidP="009B4BB6">
            <w:pPr>
              <w:pStyle w:val="Text"/>
              <w:keepNext/>
              <w:keepLines/>
              <w:widowControl w:val="0"/>
              <w:spacing w:before="0"/>
              <w:rPr>
                <w:sz w:val="22"/>
                <w:szCs w:val="22"/>
                <w:lang w:val="lv-LV"/>
              </w:rPr>
            </w:pPr>
          </w:p>
        </w:tc>
        <w:tc>
          <w:tcPr>
            <w:tcW w:w="1250" w:type="dxa"/>
            <w:tcBorders>
              <w:bottom w:val="nil"/>
              <w:right w:val="single" w:sz="4" w:space="0" w:color="auto"/>
            </w:tcBorders>
            <w:vAlign w:val="bottom"/>
          </w:tcPr>
          <w:p w14:paraId="3D3947DF" w14:textId="77777777" w:rsidR="00226560" w:rsidRPr="00CD729C" w:rsidRDefault="00226560" w:rsidP="009B4BB6">
            <w:pPr>
              <w:keepNext/>
              <w:keepLines/>
              <w:widowControl w:val="0"/>
              <w:spacing w:line="240" w:lineRule="auto"/>
              <w:ind w:left="57" w:hanging="57"/>
              <w:rPr>
                <w:szCs w:val="22"/>
              </w:rPr>
            </w:pPr>
            <w:r w:rsidRPr="00CD729C">
              <w:rPr>
                <w:szCs w:val="22"/>
              </w:rPr>
              <w:t>Zems</w:t>
            </w:r>
          </w:p>
        </w:tc>
        <w:tc>
          <w:tcPr>
            <w:tcW w:w="986" w:type="dxa"/>
            <w:tcBorders>
              <w:left w:val="single" w:sz="4" w:space="0" w:color="auto"/>
              <w:bottom w:val="nil"/>
              <w:right w:val="single" w:sz="4" w:space="0" w:color="auto"/>
            </w:tcBorders>
            <w:vAlign w:val="bottom"/>
          </w:tcPr>
          <w:p w14:paraId="3D3947E0" w14:textId="77777777" w:rsidR="00226560" w:rsidRPr="00CD729C" w:rsidRDefault="00226560" w:rsidP="009B4BB6">
            <w:pPr>
              <w:keepNext/>
              <w:keepLines/>
              <w:widowControl w:val="0"/>
              <w:spacing w:line="240" w:lineRule="auto"/>
              <w:ind w:left="57" w:hanging="57"/>
              <w:jc w:val="center"/>
              <w:rPr>
                <w:szCs w:val="22"/>
              </w:rPr>
            </w:pPr>
            <w:r w:rsidRPr="00CD729C">
              <w:rPr>
                <w:szCs w:val="22"/>
              </w:rPr>
              <w:t>29,5</w:t>
            </w:r>
          </w:p>
        </w:tc>
        <w:tc>
          <w:tcPr>
            <w:tcW w:w="2083" w:type="dxa"/>
            <w:tcBorders>
              <w:left w:val="single" w:sz="4" w:space="0" w:color="auto"/>
              <w:bottom w:val="nil"/>
              <w:right w:val="single" w:sz="4" w:space="0" w:color="auto"/>
            </w:tcBorders>
            <w:vAlign w:val="bottom"/>
          </w:tcPr>
          <w:p w14:paraId="3D3947E1" w14:textId="77777777" w:rsidR="00226560" w:rsidRPr="00CD729C" w:rsidRDefault="00226560" w:rsidP="009B4BB6">
            <w:pPr>
              <w:keepNext/>
              <w:keepLines/>
              <w:widowControl w:val="0"/>
              <w:spacing w:line="240" w:lineRule="auto"/>
              <w:ind w:left="57" w:hanging="57"/>
              <w:rPr>
                <w:szCs w:val="22"/>
              </w:rPr>
            </w:pPr>
            <w:r w:rsidRPr="00CD729C">
              <w:rPr>
                <w:szCs w:val="22"/>
              </w:rPr>
              <w:t>0/86 vs. 2/90</w:t>
            </w:r>
          </w:p>
        </w:tc>
        <w:tc>
          <w:tcPr>
            <w:tcW w:w="1800" w:type="dxa"/>
            <w:tcBorders>
              <w:left w:val="single" w:sz="4" w:space="0" w:color="auto"/>
              <w:bottom w:val="nil"/>
              <w:right w:val="single" w:sz="4" w:space="0" w:color="auto"/>
            </w:tcBorders>
            <w:vAlign w:val="bottom"/>
          </w:tcPr>
          <w:p w14:paraId="3D3947E2" w14:textId="77777777" w:rsidR="00226560" w:rsidRPr="00CD729C" w:rsidRDefault="00226560" w:rsidP="009B4BB6">
            <w:pPr>
              <w:keepNext/>
              <w:keepLines/>
              <w:widowControl w:val="0"/>
              <w:spacing w:line="240" w:lineRule="auto"/>
              <w:ind w:left="57" w:hanging="57"/>
              <w:rPr>
                <w:szCs w:val="22"/>
              </w:rPr>
            </w:pPr>
            <w:r w:rsidRPr="00CD729C">
              <w:rPr>
                <w:szCs w:val="22"/>
              </w:rPr>
              <w:t>N.E.</w:t>
            </w:r>
          </w:p>
        </w:tc>
        <w:tc>
          <w:tcPr>
            <w:tcW w:w="1440" w:type="dxa"/>
            <w:tcBorders>
              <w:left w:val="single" w:sz="4" w:space="0" w:color="auto"/>
              <w:bottom w:val="nil"/>
              <w:right w:val="single" w:sz="4" w:space="0" w:color="auto"/>
            </w:tcBorders>
            <w:vAlign w:val="bottom"/>
          </w:tcPr>
          <w:p w14:paraId="3D3947E3" w14:textId="77777777" w:rsidR="00226560" w:rsidRPr="00CD729C" w:rsidRDefault="00226560" w:rsidP="009B4BB6">
            <w:pPr>
              <w:keepNext/>
              <w:keepLines/>
              <w:widowControl w:val="0"/>
              <w:spacing w:line="240" w:lineRule="auto"/>
              <w:ind w:left="57" w:hanging="57"/>
              <w:rPr>
                <w:szCs w:val="22"/>
              </w:rPr>
            </w:pPr>
            <w:r w:rsidRPr="00CD729C">
              <w:rPr>
                <w:szCs w:val="22"/>
              </w:rPr>
              <w:t>100 vs</w:t>
            </w:r>
            <w:r w:rsidR="00242AB3" w:rsidRPr="00CD729C">
              <w:rPr>
                <w:szCs w:val="22"/>
              </w:rPr>
              <w:t>.</w:t>
            </w:r>
            <w:r w:rsidRPr="00CD729C">
              <w:rPr>
                <w:szCs w:val="22"/>
              </w:rPr>
              <w:t xml:space="preserve"> 98,7</w:t>
            </w:r>
          </w:p>
        </w:tc>
        <w:tc>
          <w:tcPr>
            <w:tcW w:w="1360" w:type="dxa"/>
            <w:tcBorders>
              <w:left w:val="single" w:sz="4" w:space="0" w:color="auto"/>
              <w:bottom w:val="nil"/>
            </w:tcBorders>
            <w:vAlign w:val="bottom"/>
          </w:tcPr>
          <w:p w14:paraId="3D3947E4" w14:textId="77777777" w:rsidR="00226560" w:rsidRPr="00CD729C" w:rsidRDefault="00226560" w:rsidP="009B4BB6">
            <w:pPr>
              <w:keepNext/>
              <w:keepLines/>
              <w:widowControl w:val="0"/>
              <w:spacing w:line="240" w:lineRule="auto"/>
              <w:ind w:left="57" w:hanging="57"/>
              <w:rPr>
                <w:szCs w:val="22"/>
              </w:rPr>
            </w:pPr>
            <w:r w:rsidRPr="00CD729C">
              <w:rPr>
                <w:szCs w:val="22"/>
              </w:rPr>
              <w:t>100 vs.</w:t>
            </w:r>
            <w:r w:rsidR="00242AB3" w:rsidRPr="00CD729C">
              <w:rPr>
                <w:szCs w:val="22"/>
              </w:rPr>
              <w:t xml:space="preserve"> </w:t>
            </w:r>
            <w:r w:rsidRPr="00CD729C">
              <w:rPr>
                <w:szCs w:val="22"/>
              </w:rPr>
              <w:t>95,5</w:t>
            </w:r>
          </w:p>
        </w:tc>
      </w:tr>
      <w:tr w:rsidR="00226560" w:rsidRPr="00CD729C" w14:paraId="3D3947ED" w14:textId="77777777" w:rsidTr="009B4BB6">
        <w:trPr>
          <w:cantSplit/>
        </w:trPr>
        <w:tc>
          <w:tcPr>
            <w:tcW w:w="1101" w:type="dxa"/>
            <w:vMerge/>
            <w:shd w:val="clear" w:color="auto" w:fill="auto"/>
          </w:tcPr>
          <w:p w14:paraId="3D3947E6" w14:textId="77777777" w:rsidR="00226560" w:rsidRPr="00CD729C" w:rsidRDefault="00226560" w:rsidP="009B4BB6">
            <w:pPr>
              <w:keepNext/>
              <w:keepLines/>
              <w:widowControl w:val="0"/>
              <w:spacing w:line="240" w:lineRule="auto"/>
              <w:rPr>
                <w:b/>
                <w:szCs w:val="22"/>
              </w:rPr>
            </w:pPr>
          </w:p>
        </w:tc>
        <w:tc>
          <w:tcPr>
            <w:tcW w:w="1250" w:type="dxa"/>
            <w:tcBorders>
              <w:top w:val="nil"/>
              <w:bottom w:val="nil"/>
              <w:right w:val="single" w:sz="4" w:space="0" w:color="auto"/>
            </w:tcBorders>
            <w:vAlign w:val="bottom"/>
          </w:tcPr>
          <w:p w14:paraId="3D3947E7"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Vidējs</w:t>
            </w:r>
          </w:p>
        </w:tc>
        <w:tc>
          <w:tcPr>
            <w:tcW w:w="986" w:type="dxa"/>
            <w:tcBorders>
              <w:top w:val="nil"/>
              <w:left w:val="single" w:sz="4" w:space="0" w:color="auto"/>
              <w:bottom w:val="nil"/>
              <w:right w:val="single" w:sz="4" w:space="0" w:color="auto"/>
            </w:tcBorders>
            <w:vAlign w:val="bottom"/>
          </w:tcPr>
          <w:p w14:paraId="3D3947E8" w14:textId="77777777" w:rsidR="00226560" w:rsidRPr="00CD729C" w:rsidRDefault="00226560" w:rsidP="009B4BB6">
            <w:pPr>
              <w:pStyle w:val="Table"/>
              <w:widowControl w:val="0"/>
              <w:spacing w:before="0" w:after="0"/>
              <w:jc w:val="center"/>
              <w:rPr>
                <w:rFonts w:ascii="Times New Roman" w:hAnsi="Times New Roman"/>
                <w:szCs w:val="22"/>
                <w:lang w:val="lv-LV"/>
              </w:rPr>
            </w:pPr>
            <w:r w:rsidRPr="00CD729C">
              <w:rPr>
                <w:rFonts w:ascii="Times New Roman" w:hAnsi="Times New Roman"/>
                <w:szCs w:val="22"/>
                <w:lang w:val="lv-LV"/>
              </w:rPr>
              <w:t>25,7</w:t>
            </w:r>
          </w:p>
        </w:tc>
        <w:tc>
          <w:tcPr>
            <w:tcW w:w="2083" w:type="dxa"/>
            <w:tcBorders>
              <w:top w:val="nil"/>
              <w:left w:val="single" w:sz="4" w:space="0" w:color="auto"/>
              <w:bottom w:val="nil"/>
              <w:right w:val="single" w:sz="4" w:space="0" w:color="auto"/>
            </w:tcBorders>
            <w:vAlign w:val="bottom"/>
          </w:tcPr>
          <w:p w14:paraId="3D3947E9"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4/75 vs. 6/78</w:t>
            </w:r>
          </w:p>
        </w:tc>
        <w:tc>
          <w:tcPr>
            <w:tcW w:w="1800" w:type="dxa"/>
            <w:tcBorders>
              <w:top w:val="nil"/>
              <w:left w:val="single" w:sz="4" w:space="0" w:color="auto"/>
              <w:bottom w:val="nil"/>
              <w:right w:val="single" w:sz="4" w:space="0" w:color="auto"/>
            </w:tcBorders>
            <w:vAlign w:val="bottom"/>
          </w:tcPr>
          <w:p w14:paraId="3D3947EA"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0,59 (0,17; 2,10)</w:t>
            </w:r>
          </w:p>
        </w:tc>
        <w:tc>
          <w:tcPr>
            <w:tcW w:w="1440" w:type="dxa"/>
            <w:tcBorders>
              <w:top w:val="nil"/>
              <w:left w:val="single" w:sz="4" w:space="0" w:color="auto"/>
              <w:bottom w:val="nil"/>
              <w:right w:val="single" w:sz="4" w:space="0" w:color="auto"/>
            </w:tcBorders>
            <w:vAlign w:val="bottom"/>
          </w:tcPr>
          <w:p w14:paraId="3D3947EB"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100 vs. 94,8</w:t>
            </w:r>
          </w:p>
        </w:tc>
        <w:tc>
          <w:tcPr>
            <w:tcW w:w="1360" w:type="dxa"/>
            <w:tcBorders>
              <w:top w:val="nil"/>
              <w:left w:val="single" w:sz="4" w:space="0" w:color="auto"/>
              <w:bottom w:val="nil"/>
            </w:tcBorders>
            <w:vAlign w:val="bottom"/>
          </w:tcPr>
          <w:p w14:paraId="3D3947EC"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97,8 vs. 89,5</w:t>
            </w:r>
          </w:p>
        </w:tc>
      </w:tr>
      <w:tr w:rsidR="00226560" w:rsidRPr="00CD729C" w14:paraId="3D3947F5" w14:textId="77777777" w:rsidTr="009B4BB6">
        <w:trPr>
          <w:cantSplit/>
        </w:trPr>
        <w:tc>
          <w:tcPr>
            <w:tcW w:w="1101" w:type="dxa"/>
            <w:vMerge/>
            <w:shd w:val="clear" w:color="auto" w:fill="auto"/>
          </w:tcPr>
          <w:p w14:paraId="3D3947EE" w14:textId="77777777" w:rsidR="00226560" w:rsidRPr="00CD729C" w:rsidRDefault="00226560" w:rsidP="009B4BB6">
            <w:pPr>
              <w:pStyle w:val="Table"/>
              <w:widowControl w:val="0"/>
              <w:spacing w:before="0" w:after="0"/>
              <w:rPr>
                <w:rFonts w:ascii="Times New Roman" w:hAnsi="Times New Roman"/>
                <w:szCs w:val="22"/>
                <w:lang w:val="lv-LV"/>
              </w:rPr>
            </w:pPr>
          </w:p>
        </w:tc>
        <w:tc>
          <w:tcPr>
            <w:tcW w:w="1250" w:type="dxa"/>
            <w:tcBorders>
              <w:top w:val="nil"/>
              <w:right w:val="single" w:sz="4" w:space="0" w:color="auto"/>
            </w:tcBorders>
            <w:vAlign w:val="bottom"/>
          </w:tcPr>
          <w:p w14:paraId="3D3947EF"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Augsts</w:t>
            </w:r>
          </w:p>
        </w:tc>
        <w:tc>
          <w:tcPr>
            <w:tcW w:w="986" w:type="dxa"/>
            <w:tcBorders>
              <w:top w:val="nil"/>
              <w:left w:val="single" w:sz="4" w:space="0" w:color="auto"/>
              <w:right w:val="single" w:sz="4" w:space="0" w:color="auto"/>
            </w:tcBorders>
            <w:vAlign w:val="bottom"/>
          </w:tcPr>
          <w:p w14:paraId="3D3947F0" w14:textId="77777777" w:rsidR="00226560" w:rsidRPr="00CD729C" w:rsidRDefault="00226560" w:rsidP="009B4BB6">
            <w:pPr>
              <w:pStyle w:val="Table"/>
              <w:widowControl w:val="0"/>
              <w:spacing w:before="0" w:after="0"/>
              <w:jc w:val="center"/>
              <w:rPr>
                <w:rFonts w:ascii="Times New Roman" w:hAnsi="Times New Roman"/>
                <w:szCs w:val="22"/>
                <w:lang w:val="lv-LV"/>
              </w:rPr>
            </w:pPr>
            <w:r w:rsidRPr="00CD729C">
              <w:rPr>
                <w:rFonts w:ascii="Times New Roman" w:hAnsi="Times New Roman"/>
                <w:szCs w:val="22"/>
                <w:lang w:val="lv-LV"/>
              </w:rPr>
              <w:t>44,8</w:t>
            </w:r>
          </w:p>
        </w:tc>
        <w:tc>
          <w:tcPr>
            <w:tcW w:w="2083" w:type="dxa"/>
            <w:tcBorders>
              <w:top w:val="nil"/>
              <w:left w:val="single" w:sz="4" w:space="0" w:color="auto"/>
              <w:right w:val="single" w:sz="4" w:space="0" w:color="auto"/>
            </w:tcBorders>
            <w:vAlign w:val="bottom"/>
          </w:tcPr>
          <w:p w14:paraId="3D3947F1"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21/140 vs. 51/127</w:t>
            </w:r>
          </w:p>
        </w:tc>
        <w:tc>
          <w:tcPr>
            <w:tcW w:w="1800" w:type="dxa"/>
            <w:tcBorders>
              <w:top w:val="nil"/>
              <w:left w:val="single" w:sz="4" w:space="0" w:color="auto"/>
              <w:right w:val="single" w:sz="4" w:space="0" w:color="auto"/>
            </w:tcBorders>
            <w:vAlign w:val="bottom"/>
          </w:tcPr>
          <w:p w14:paraId="3D3947F2"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0,29 (0,18; 0,49)</w:t>
            </w:r>
          </w:p>
        </w:tc>
        <w:tc>
          <w:tcPr>
            <w:tcW w:w="1440" w:type="dxa"/>
            <w:tcBorders>
              <w:top w:val="nil"/>
              <w:left w:val="single" w:sz="4" w:space="0" w:color="auto"/>
              <w:right w:val="single" w:sz="4" w:space="0" w:color="auto"/>
            </w:tcBorders>
            <w:vAlign w:val="bottom"/>
          </w:tcPr>
          <w:p w14:paraId="3D3947F3"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94,8 vs. 64,0</w:t>
            </w:r>
          </w:p>
        </w:tc>
        <w:tc>
          <w:tcPr>
            <w:tcW w:w="1360" w:type="dxa"/>
            <w:tcBorders>
              <w:top w:val="nil"/>
              <w:left w:val="single" w:sz="4" w:space="0" w:color="auto"/>
            </w:tcBorders>
            <w:vAlign w:val="bottom"/>
          </w:tcPr>
          <w:p w14:paraId="3D3947F4"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80,7 vs. 46,6</w:t>
            </w:r>
          </w:p>
        </w:tc>
      </w:tr>
      <w:tr w:rsidR="00226560" w:rsidRPr="00CD729C" w14:paraId="3D3947FE" w14:textId="77777777" w:rsidTr="009B4BB6">
        <w:trPr>
          <w:cantSplit/>
        </w:trPr>
        <w:tc>
          <w:tcPr>
            <w:tcW w:w="1101" w:type="dxa"/>
            <w:vMerge w:val="restart"/>
            <w:shd w:val="clear" w:color="auto" w:fill="auto"/>
          </w:tcPr>
          <w:p w14:paraId="3D3947F6"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AFIP</w:t>
            </w:r>
          </w:p>
          <w:p w14:paraId="3D3947F7" w14:textId="77777777" w:rsidR="00226560" w:rsidRPr="00CD729C" w:rsidRDefault="00226560" w:rsidP="009B4BB6">
            <w:pPr>
              <w:pStyle w:val="Table"/>
              <w:widowControl w:val="0"/>
              <w:spacing w:before="0" w:after="0"/>
              <w:rPr>
                <w:rFonts w:ascii="Times New Roman" w:hAnsi="Times New Roman"/>
                <w:szCs w:val="22"/>
                <w:lang w:val="lv-LV"/>
              </w:rPr>
            </w:pPr>
          </w:p>
        </w:tc>
        <w:tc>
          <w:tcPr>
            <w:tcW w:w="1250" w:type="dxa"/>
            <w:tcBorders>
              <w:bottom w:val="nil"/>
              <w:right w:val="single" w:sz="4" w:space="0" w:color="auto"/>
            </w:tcBorders>
            <w:vAlign w:val="bottom"/>
          </w:tcPr>
          <w:p w14:paraId="3D3947F8"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Ļoti zems</w:t>
            </w:r>
          </w:p>
        </w:tc>
        <w:tc>
          <w:tcPr>
            <w:tcW w:w="986" w:type="dxa"/>
            <w:tcBorders>
              <w:left w:val="single" w:sz="4" w:space="0" w:color="auto"/>
              <w:bottom w:val="nil"/>
              <w:right w:val="single" w:sz="4" w:space="0" w:color="auto"/>
            </w:tcBorders>
            <w:vAlign w:val="bottom"/>
          </w:tcPr>
          <w:p w14:paraId="3D3947F9" w14:textId="77777777" w:rsidR="00226560" w:rsidRPr="00CD729C" w:rsidRDefault="00226560" w:rsidP="009B4BB6">
            <w:pPr>
              <w:pStyle w:val="Table"/>
              <w:widowControl w:val="0"/>
              <w:spacing w:before="0" w:after="0"/>
              <w:jc w:val="center"/>
              <w:rPr>
                <w:rFonts w:ascii="Times New Roman" w:hAnsi="Times New Roman"/>
                <w:szCs w:val="22"/>
                <w:lang w:val="lv-LV"/>
              </w:rPr>
            </w:pPr>
            <w:r w:rsidRPr="00CD729C">
              <w:rPr>
                <w:rFonts w:ascii="Times New Roman" w:hAnsi="Times New Roman"/>
                <w:szCs w:val="22"/>
                <w:lang w:val="lv-LV"/>
              </w:rPr>
              <w:t>20,7</w:t>
            </w:r>
          </w:p>
        </w:tc>
        <w:tc>
          <w:tcPr>
            <w:tcW w:w="2083" w:type="dxa"/>
            <w:tcBorders>
              <w:left w:val="single" w:sz="4" w:space="0" w:color="auto"/>
              <w:bottom w:val="nil"/>
              <w:right w:val="single" w:sz="4" w:space="0" w:color="auto"/>
            </w:tcBorders>
            <w:vAlign w:val="bottom"/>
          </w:tcPr>
          <w:p w14:paraId="3D3947FA"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0/52 vs. 2/63</w:t>
            </w:r>
          </w:p>
        </w:tc>
        <w:tc>
          <w:tcPr>
            <w:tcW w:w="1800" w:type="dxa"/>
            <w:tcBorders>
              <w:left w:val="single" w:sz="4" w:space="0" w:color="auto"/>
              <w:bottom w:val="nil"/>
              <w:right w:val="single" w:sz="4" w:space="0" w:color="auto"/>
            </w:tcBorders>
            <w:vAlign w:val="bottom"/>
          </w:tcPr>
          <w:p w14:paraId="3D3947FB"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N.E.</w:t>
            </w:r>
          </w:p>
        </w:tc>
        <w:tc>
          <w:tcPr>
            <w:tcW w:w="1440" w:type="dxa"/>
            <w:tcBorders>
              <w:left w:val="single" w:sz="4" w:space="0" w:color="auto"/>
              <w:bottom w:val="nil"/>
              <w:right w:val="single" w:sz="4" w:space="0" w:color="auto"/>
            </w:tcBorders>
            <w:vAlign w:val="bottom"/>
          </w:tcPr>
          <w:p w14:paraId="3D3947FC"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100 vs. 98,1</w:t>
            </w:r>
          </w:p>
        </w:tc>
        <w:tc>
          <w:tcPr>
            <w:tcW w:w="1360" w:type="dxa"/>
            <w:tcBorders>
              <w:left w:val="single" w:sz="4" w:space="0" w:color="auto"/>
              <w:bottom w:val="nil"/>
            </w:tcBorders>
            <w:vAlign w:val="bottom"/>
          </w:tcPr>
          <w:p w14:paraId="3D3947FD"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100 vs. 93,0</w:t>
            </w:r>
          </w:p>
        </w:tc>
      </w:tr>
      <w:tr w:rsidR="00226560" w:rsidRPr="00CD729C" w14:paraId="3D394806" w14:textId="77777777" w:rsidTr="009B4BB6">
        <w:trPr>
          <w:cantSplit/>
        </w:trPr>
        <w:tc>
          <w:tcPr>
            <w:tcW w:w="1101" w:type="dxa"/>
            <w:vMerge/>
            <w:shd w:val="clear" w:color="auto" w:fill="auto"/>
          </w:tcPr>
          <w:p w14:paraId="3D3947FF" w14:textId="77777777" w:rsidR="00226560" w:rsidRPr="00CD729C" w:rsidRDefault="00226560" w:rsidP="009B4BB6">
            <w:pPr>
              <w:pStyle w:val="Table"/>
              <w:widowControl w:val="0"/>
              <w:spacing w:before="0" w:after="0"/>
              <w:rPr>
                <w:rFonts w:ascii="Times New Roman" w:hAnsi="Times New Roman"/>
                <w:szCs w:val="22"/>
                <w:lang w:val="lv-LV"/>
              </w:rPr>
            </w:pPr>
          </w:p>
        </w:tc>
        <w:tc>
          <w:tcPr>
            <w:tcW w:w="1250" w:type="dxa"/>
            <w:tcBorders>
              <w:top w:val="nil"/>
              <w:bottom w:val="nil"/>
              <w:right w:val="single" w:sz="4" w:space="0" w:color="auto"/>
            </w:tcBorders>
            <w:vAlign w:val="bottom"/>
          </w:tcPr>
          <w:p w14:paraId="3D394800"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Zems</w:t>
            </w:r>
          </w:p>
        </w:tc>
        <w:tc>
          <w:tcPr>
            <w:tcW w:w="986" w:type="dxa"/>
            <w:tcBorders>
              <w:top w:val="nil"/>
              <w:left w:val="single" w:sz="4" w:space="0" w:color="auto"/>
              <w:bottom w:val="nil"/>
              <w:right w:val="single" w:sz="4" w:space="0" w:color="auto"/>
            </w:tcBorders>
            <w:vAlign w:val="bottom"/>
          </w:tcPr>
          <w:p w14:paraId="3D394801" w14:textId="77777777" w:rsidR="00226560" w:rsidRPr="00CD729C" w:rsidRDefault="00226560" w:rsidP="009B4BB6">
            <w:pPr>
              <w:pStyle w:val="Table"/>
              <w:widowControl w:val="0"/>
              <w:spacing w:before="0" w:after="0"/>
              <w:jc w:val="center"/>
              <w:rPr>
                <w:rFonts w:ascii="Times New Roman" w:hAnsi="Times New Roman"/>
                <w:szCs w:val="22"/>
                <w:lang w:val="lv-LV"/>
              </w:rPr>
            </w:pPr>
            <w:r w:rsidRPr="00CD729C">
              <w:rPr>
                <w:rFonts w:ascii="Times New Roman" w:hAnsi="Times New Roman"/>
                <w:szCs w:val="22"/>
                <w:lang w:val="lv-LV"/>
              </w:rPr>
              <w:t>25,0</w:t>
            </w:r>
          </w:p>
        </w:tc>
        <w:tc>
          <w:tcPr>
            <w:tcW w:w="2083" w:type="dxa"/>
            <w:tcBorders>
              <w:top w:val="nil"/>
              <w:left w:val="single" w:sz="4" w:space="0" w:color="auto"/>
              <w:bottom w:val="nil"/>
              <w:right w:val="single" w:sz="4" w:space="0" w:color="auto"/>
            </w:tcBorders>
            <w:vAlign w:val="bottom"/>
          </w:tcPr>
          <w:p w14:paraId="3D394802"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2/70 vs. 0/69</w:t>
            </w:r>
          </w:p>
        </w:tc>
        <w:tc>
          <w:tcPr>
            <w:tcW w:w="1800" w:type="dxa"/>
            <w:tcBorders>
              <w:top w:val="nil"/>
              <w:left w:val="single" w:sz="4" w:space="0" w:color="auto"/>
              <w:bottom w:val="nil"/>
              <w:right w:val="single" w:sz="4" w:space="0" w:color="auto"/>
            </w:tcBorders>
            <w:vAlign w:val="bottom"/>
          </w:tcPr>
          <w:p w14:paraId="3D394803"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N.E.</w:t>
            </w:r>
          </w:p>
        </w:tc>
        <w:tc>
          <w:tcPr>
            <w:tcW w:w="1440" w:type="dxa"/>
            <w:tcBorders>
              <w:top w:val="nil"/>
              <w:left w:val="single" w:sz="4" w:space="0" w:color="auto"/>
              <w:bottom w:val="nil"/>
              <w:right w:val="single" w:sz="4" w:space="0" w:color="auto"/>
            </w:tcBorders>
            <w:vAlign w:val="bottom"/>
          </w:tcPr>
          <w:p w14:paraId="3D394804"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100 vs. 100</w:t>
            </w:r>
          </w:p>
        </w:tc>
        <w:tc>
          <w:tcPr>
            <w:tcW w:w="1360" w:type="dxa"/>
            <w:tcBorders>
              <w:top w:val="nil"/>
              <w:left w:val="single" w:sz="4" w:space="0" w:color="auto"/>
              <w:bottom w:val="nil"/>
            </w:tcBorders>
            <w:vAlign w:val="bottom"/>
          </w:tcPr>
          <w:p w14:paraId="3D394805"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97,8 vs. 100</w:t>
            </w:r>
          </w:p>
        </w:tc>
      </w:tr>
      <w:tr w:rsidR="00226560" w:rsidRPr="00CD729C" w14:paraId="3D39480E" w14:textId="77777777" w:rsidTr="009B4BB6">
        <w:trPr>
          <w:cantSplit/>
        </w:trPr>
        <w:tc>
          <w:tcPr>
            <w:tcW w:w="1101" w:type="dxa"/>
            <w:vMerge/>
            <w:shd w:val="clear" w:color="auto" w:fill="auto"/>
          </w:tcPr>
          <w:p w14:paraId="3D394807" w14:textId="77777777" w:rsidR="00226560" w:rsidRPr="00CD729C" w:rsidRDefault="00226560" w:rsidP="009B4BB6">
            <w:pPr>
              <w:pStyle w:val="Table"/>
              <w:widowControl w:val="0"/>
              <w:spacing w:before="0" w:after="0"/>
              <w:rPr>
                <w:rFonts w:ascii="Times New Roman" w:hAnsi="Times New Roman"/>
                <w:b/>
                <w:szCs w:val="22"/>
                <w:lang w:val="lv-LV"/>
              </w:rPr>
            </w:pPr>
          </w:p>
        </w:tc>
        <w:tc>
          <w:tcPr>
            <w:tcW w:w="1250" w:type="dxa"/>
            <w:tcBorders>
              <w:top w:val="nil"/>
              <w:bottom w:val="nil"/>
              <w:right w:val="single" w:sz="4" w:space="0" w:color="auto"/>
            </w:tcBorders>
            <w:vAlign w:val="bottom"/>
          </w:tcPr>
          <w:p w14:paraId="3D394808"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Vidējs</w:t>
            </w:r>
          </w:p>
        </w:tc>
        <w:tc>
          <w:tcPr>
            <w:tcW w:w="986" w:type="dxa"/>
            <w:tcBorders>
              <w:top w:val="nil"/>
              <w:left w:val="single" w:sz="4" w:space="0" w:color="auto"/>
              <w:bottom w:val="nil"/>
              <w:right w:val="single" w:sz="4" w:space="0" w:color="auto"/>
            </w:tcBorders>
            <w:vAlign w:val="bottom"/>
          </w:tcPr>
          <w:p w14:paraId="3D394809" w14:textId="77777777" w:rsidR="00226560" w:rsidRPr="00CD729C" w:rsidRDefault="00226560" w:rsidP="009B4BB6">
            <w:pPr>
              <w:pStyle w:val="Table"/>
              <w:widowControl w:val="0"/>
              <w:spacing w:before="0" w:after="0"/>
              <w:jc w:val="center"/>
              <w:rPr>
                <w:rFonts w:ascii="Times New Roman" w:hAnsi="Times New Roman"/>
                <w:szCs w:val="22"/>
                <w:lang w:val="lv-LV"/>
              </w:rPr>
            </w:pPr>
            <w:r w:rsidRPr="00CD729C">
              <w:rPr>
                <w:rFonts w:ascii="Times New Roman" w:hAnsi="Times New Roman"/>
                <w:szCs w:val="22"/>
                <w:lang w:val="lv-LV"/>
              </w:rPr>
              <w:t>24,6</w:t>
            </w:r>
          </w:p>
        </w:tc>
        <w:tc>
          <w:tcPr>
            <w:tcW w:w="2083" w:type="dxa"/>
            <w:tcBorders>
              <w:top w:val="nil"/>
              <w:left w:val="single" w:sz="4" w:space="0" w:color="auto"/>
              <w:bottom w:val="nil"/>
              <w:right w:val="single" w:sz="4" w:space="0" w:color="auto"/>
            </w:tcBorders>
            <w:vAlign w:val="bottom"/>
          </w:tcPr>
          <w:p w14:paraId="3D39480A"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2/70 vs. 11/67</w:t>
            </w:r>
          </w:p>
        </w:tc>
        <w:tc>
          <w:tcPr>
            <w:tcW w:w="1800" w:type="dxa"/>
            <w:tcBorders>
              <w:top w:val="nil"/>
              <w:left w:val="single" w:sz="4" w:space="0" w:color="auto"/>
              <w:bottom w:val="nil"/>
              <w:right w:val="single" w:sz="4" w:space="0" w:color="auto"/>
            </w:tcBorders>
            <w:vAlign w:val="bottom"/>
          </w:tcPr>
          <w:p w14:paraId="3D39480B"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0,16 (0,03; 0,70)</w:t>
            </w:r>
          </w:p>
        </w:tc>
        <w:tc>
          <w:tcPr>
            <w:tcW w:w="1440" w:type="dxa"/>
            <w:tcBorders>
              <w:top w:val="nil"/>
              <w:left w:val="single" w:sz="4" w:space="0" w:color="auto"/>
              <w:bottom w:val="nil"/>
              <w:right w:val="single" w:sz="4" w:space="0" w:color="auto"/>
            </w:tcBorders>
            <w:vAlign w:val="bottom"/>
          </w:tcPr>
          <w:p w14:paraId="3D39480C"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97,9 vs. 90,8</w:t>
            </w:r>
          </w:p>
        </w:tc>
        <w:tc>
          <w:tcPr>
            <w:tcW w:w="1360" w:type="dxa"/>
            <w:tcBorders>
              <w:top w:val="nil"/>
              <w:left w:val="single" w:sz="4" w:space="0" w:color="auto"/>
              <w:bottom w:val="nil"/>
            </w:tcBorders>
            <w:vAlign w:val="bottom"/>
          </w:tcPr>
          <w:p w14:paraId="3D39480D"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97,9 vs. 73,3</w:t>
            </w:r>
          </w:p>
        </w:tc>
      </w:tr>
      <w:tr w:rsidR="00226560" w:rsidRPr="00CD729C" w14:paraId="3D394816" w14:textId="77777777" w:rsidTr="009B4BB6">
        <w:trPr>
          <w:cantSplit/>
        </w:trPr>
        <w:tc>
          <w:tcPr>
            <w:tcW w:w="1101" w:type="dxa"/>
            <w:vMerge/>
            <w:tcBorders>
              <w:bottom w:val="single" w:sz="4" w:space="0" w:color="auto"/>
            </w:tcBorders>
            <w:shd w:val="clear" w:color="auto" w:fill="auto"/>
          </w:tcPr>
          <w:p w14:paraId="3D39480F" w14:textId="77777777" w:rsidR="00226560" w:rsidRPr="00CD729C" w:rsidRDefault="00226560" w:rsidP="009B4BB6">
            <w:pPr>
              <w:pStyle w:val="Table"/>
              <w:widowControl w:val="0"/>
              <w:spacing w:before="0" w:after="0"/>
              <w:rPr>
                <w:rFonts w:ascii="Times New Roman" w:hAnsi="Times New Roman"/>
                <w:szCs w:val="22"/>
                <w:lang w:val="lv-LV"/>
              </w:rPr>
            </w:pPr>
          </w:p>
        </w:tc>
        <w:tc>
          <w:tcPr>
            <w:tcW w:w="1250" w:type="dxa"/>
            <w:tcBorders>
              <w:top w:val="nil"/>
              <w:bottom w:val="single" w:sz="4" w:space="0" w:color="auto"/>
              <w:right w:val="single" w:sz="4" w:space="0" w:color="auto"/>
            </w:tcBorders>
            <w:vAlign w:val="bottom"/>
          </w:tcPr>
          <w:p w14:paraId="3D394810"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Augsts</w:t>
            </w:r>
          </w:p>
        </w:tc>
        <w:tc>
          <w:tcPr>
            <w:tcW w:w="986" w:type="dxa"/>
            <w:tcBorders>
              <w:top w:val="nil"/>
              <w:left w:val="single" w:sz="4" w:space="0" w:color="auto"/>
              <w:bottom w:val="single" w:sz="4" w:space="0" w:color="auto"/>
              <w:right w:val="single" w:sz="4" w:space="0" w:color="auto"/>
            </w:tcBorders>
            <w:vAlign w:val="bottom"/>
          </w:tcPr>
          <w:p w14:paraId="3D394811" w14:textId="77777777" w:rsidR="00226560" w:rsidRPr="00CD729C" w:rsidRDefault="00226560" w:rsidP="009B4BB6">
            <w:pPr>
              <w:pStyle w:val="Table"/>
              <w:widowControl w:val="0"/>
              <w:spacing w:before="0" w:after="0"/>
              <w:ind w:right="-3"/>
              <w:jc w:val="center"/>
              <w:rPr>
                <w:rFonts w:ascii="Times New Roman" w:hAnsi="Times New Roman"/>
                <w:szCs w:val="22"/>
                <w:lang w:val="lv-LV"/>
              </w:rPr>
            </w:pPr>
            <w:r w:rsidRPr="00CD729C">
              <w:rPr>
                <w:rFonts w:ascii="Times New Roman" w:hAnsi="Times New Roman"/>
                <w:szCs w:val="22"/>
                <w:lang w:val="lv-LV"/>
              </w:rPr>
              <w:t>29,7</w:t>
            </w:r>
          </w:p>
        </w:tc>
        <w:tc>
          <w:tcPr>
            <w:tcW w:w="2083" w:type="dxa"/>
            <w:tcBorders>
              <w:top w:val="nil"/>
              <w:left w:val="single" w:sz="4" w:space="0" w:color="auto"/>
              <w:bottom w:val="single" w:sz="4" w:space="0" w:color="auto"/>
              <w:right w:val="single" w:sz="4" w:space="0" w:color="auto"/>
            </w:tcBorders>
            <w:vAlign w:val="bottom"/>
          </w:tcPr>
          <w:p w14:paraId="3D394812"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16/84 vs. 39/81</w:t>
            </w:r>
          </w:p>
        </w:tc>
        <w:tc>
          <w:tcPr>
            <w:tcW w:w="1800" w:type="dxa"/>
            <w:tcBorders>
              <w:top w:val="nil"/>
              <w:left w:val="single" w:sz="4" w:space="0" w:color="auto"/>
              <w:bottom w:val="single" w:sz="4" w:space="0" w:color="auto"/>
              <w:right w:val="single" w:sz="4" w:space="0" w:color="auto"/>
            </w:tcBorders>
            <w:vAlign w:val="bottom"/>
          </w:tcPr>
          <w:p w14:paraId="3D394813"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0,27 (0,15; 0,48)</w:t>
            </w:r>
          </w:p>
        </w:tc>
        <w:tc>
          <w:tcPr>
            <w:tcW w:w="1440" w:type="dxa"/>
            <w:tcBorders>
              <w:top w:val="nil"/>
              <w:left w:val="single" w:sz="4" w:space="0" w:color="auto"/>
              <w:bottom w:val="single" w:sz="4" w:space="0" w:color="auto"/>
              <w:right w:val="single" w:sz="4" w:space="0" w:color="auto"/>
            </w:tcBorders>
            <w:vAlign w:val="bottom"/>
          </w:tcPr>
          <w:p w14:paraId="3D394814"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98,7 vs. 56,1</w:t>
            </w:r>
          </w:p>
        </w:tc>
        <w:tc>
          <w:tcPr>
            <w:tcW w:w="1360" w:type="dxa"/>
            <w:tcBorders>
              <w:top w:val="nil"/>
              <w:left w:val="single" w:sz="4" w:space="0" w:color="auto"/>
              <w:bottom w:val="single" w:sz="4" w:space="0" w:color="auto"/>
            </w:tcBorders>
            <w:vAlign w:val="bottom"/>
          </w:tcPr>
          <w:p w14:paraId="3D394815" w14:textId="77777777" w:rsidR="00226560" w:rsidRPr="00CD729C" w:rsidRDefault="00226560"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79,9 vs. 41,5</w:t>
            </w:r>
          </w:p>
        </w:tc>
      </w:tr>
    </w:tbl>
    <w:p w14:paraId="3D394817" w14:textId="77777777" w:rsidR="00226560" w:rsidRPr="00CD729C" w:rsidRDefault="00226560" w:rsidP="009B4BB6">
      <w:pPr>
        <w:pStyle w:val="Text"/>
        <w:keepNext/>
        <w:keepLines/>
        <w:widowControl w:val="0"/>
        <w:spacing w:before="0"/>
        <w:rPr>
          <w:sz w:val="22"/>
          <w:szCs w:val="22"/>
          <w:lang w:val="lv-LV"/>
        </w:rPr>
      </w:pPr>
      <w:r w:rsidRPr="00CD729C">
        <w:rPr>
          <w:sz w:val="22"/>
          <w:szCs w:val="22"/>
          <w:lang w:val="lv-LV"/>
        </w:rPr>
        <w:t>* Pilns novērošanas periods; N</w:t>
      </w:r>
      <w:r w:rsidR="000800C6" w:rsidRPr="00CD729C">
        <w:rPr>
          <w:sz w:val="22"/>
          <w:szCs w:val="22"/>
          <w:lang w:val="lv-LV"/>
        </w:rPr>
        <w:t>.</w:t>
      </w:r>
      <w:r w:rsidRPr="00CD729C">
        <w:rPr>
          <w:sz w:val="22"/>
          <w:szCs w:val="22"/>
          <w:lang w:val="lv-LV"/>
        </w:rPr>
        <w:t>E</w:t>
      </w:r>
      <w:r w:rsidR="000800C6" w:rsidRPr="00CD729C">
        <w:rPr>
          <w:sz w:val="22"/>
          <w:szCs w:val="22"/>
          <w:lang w:val="lv-LV"/>
        </w:rPr>
        <w:t>.</w:t>
      </w:r>
      <w:r w:rsidRPr="00CD729C">
        <w:rPr>
          <w:sz w:val="22"/>
          <w:szCs w:val="22"/>
          <w:lang w:val="lv-LV"/>
        </w:rPr>
        <w:t xml:space="preserve"> – Nav nosakāms</w:t>
      </w:r>
    </w:p>
    <w:p w14:paraId="3D394818" w14:textId="77777777" w:rsidR="00F74EF9" w:rsidRPr="00CD729C" w:rsidRDefault="00F74EF9" w:rsidP="009B4BB6">
      <w:pPr>
        <w:pStyle w:val="Text"/>
        <w:widowControl w:val="0"/>
        <w:spacing w:before="0"/>
        <w:jc w:val="left"/>
        <w:rPr>
          <w:rFonts w:eastAsia="MS Mincho"/>
          <w:color w:val="000000"/>
          <w:sz w:val="22"/>
          <w:szCs w:val="22"/>
          <w:lang w:val="lv-LV" w:eastAsia="ja-JP"/>
        </w:rPr>
      </w:pPr>
    </w:p>
    <w:p w14:paraId="3D394819" w14:textId="0A3417F7" w:rsidR="00F74EF9" w:rsidRPr="00CD729C" w:rsidRDefault="00F74EF9" w:rsidP="009B4BB6">
      <w:pPr>
        <w:widowControl w:val="0"/>
        <w:tabs>
          <w:tab w:val="clear" w:pos="567"/>
        </w:tabs>
        <w:spacing w:line="240" w:lineRule="auto"/>
        <w:rPr>
          <w:rFonts w:eastAsia="MS Mincho"/>
          <w:szCs w:val="22"/>
          <w:lang w:eastAsia="ja-JP"/>
        </w:rPr>
      </w:pPr>
      <w:r w:rsidRPr="00CD729C">
        <w:rPr>
          <w:rFonts w:eastAsia="MS Mincho"/>
          <w:szCs w:val="22"/>
          <w:lang w:eastAsia="ja-JP"/>
        </w:rPr>
        <w:t>Otr</w:t>
      </w:r>
      <w:r w:rsidR="00357707" w:rsidRPr="00CD729C">
        <w:rPr>
          <w:rFonts w:eastAsia="MS Mincho"/>
          <w:szCs w:val="22"/>
          <w:lang w:eastAsia="ja-JP"/>
        </w:rPr>
        <w:t>aj</w:t>
      </w:r>
      <w:r w:rsidRPr="00CD729C">
        <w:rPr>
          <w:rFonts w:eastAsia="MS Mincho"/>
          <w:szCs w:val="22"/>
          <w:lang w:eastAsia="ja-JP"/>
        </w:rPr>
        <w:t xml:space="preserve">ā daudzcentru, atklātā III fāzes pētījumā (SSG XVIII/AIO) salīdzināja 12 mēnešu ārstēšanu ar Glivec 400 mg/dienā ar 36 mēnešu ārstēšanu pacientiem pēc ķirurģiskas GIST rezekcijas un vienu no </w:t>
      </w:r>
      <w:r w:rsidR="00357707" w:rsidRPr="00CD729C">
        <w:rPr>
          <w:rFonts w:eastAsia="MS Mincho"/>
          <w:szCs w:val="22"/>
          <w:lang w:eastAsia="ja-JP"/>
        </w:rPr>
        <w:t>šādiem</w:t>
      </w:r>
      <w:r w:rsidRPr="00CD729C">
        <w:rPr>
          <w:rFonts w:eastAsia="MS Mincho"/>
          <w:szCs w:val="22"/>
          <w:lang w:eastAsia="ja-JP"/>
        </w:rPr>
        <w:t xml:space="preserve"> faktoriem: audzēja diametrs </w:t>
      </w:r>
      <w:r w:rsidRPr="00CD729C">
        <w:rPr>
          <w:rFonts w:eastAsia="MS Mincho"/>
          <w:iCs/>
          <w:szCs w:val="22"/>
          <w:lang w:eastAsia="ja-JP"/>
        </w:rPr>
        <w:t>&gt;5</w:t>
      </w:r>
      <w:r w:rsidRPr="00CD729C">
        <w:rPr>
          <w:rFonts w:eastAsia="MS Mincho"/>
          <w:szCs w:val="22"/>
          <w:lang w:eastAsia="ja-JP"/>
        </w:rPr>
        <w:t> </w:t>
      </w:r>
      <w:r w:rsidRPr="00CD729C">
        <w:rPr>
          <w:rFonts w:eastAsia="MS Mincho"/>
          <w:iCs/>
          <w:szCs w:val="22"/>
          <w:lang w:eastAsia="ja-JP"/>
        </w:rPr>
        <w:t xml:space="preserve">cm un </w:t>
      </w:r>
      <w:r w:rsidR="00357707" w:rsidRPr="00CD729C">
        <w:rPr>
          <w:rFonts w:eastAsia="MS Mincho"/>
          <w:iCs/>
          <w:szCs w:val="22"/>
          <w:lang w:eastAsia="ja-JP"/>
        </w:rPr>
        <w:t>mitožu skaits &gt;</w:t>
      </w:r>
      <w:r w:rsidRPr="00CD729C">
        <w:rPr>
          <w:rFonts w:eastAsia="MS Mincho"/>
          <w:iCs/>
          <w:szCs w:val="22"/>
          <w:lang w:eastAsia="ja-JP"/>
        </w:rPr>
        <w:t>5</w:t>
      </w:r>
      <w:r w:rsidR="00357707" w:rsidRPr="00CD729C">
        <w:rPr>
          <w:rFonts w:eastAsia="MS Mincho"/>
          <w:iCs/>
          <w:szCs w:val="22"/>
          <w:lang w:eastAsia="ja-JP"/>
        </w:rPr>
        <w:t>/50</w:t>
      </w:r>
      <w:r w:rsidRPr="00CD729C">
        <w:rPr>
          <w:rFonts w:eastAsia="MS Mincho"/>
          <w:iCs/>
          <w:szCs w:val="22"/>
          <w:lang w:eastAsia="ja-JP"/>
        </w:rPr>
        <w:t> </w:t>
      </w:r>
      <w:r w:rsidR="00292C59" w:rsidRPr="00CD729C">
        <w:rPr>
          <w:rFonts w:eastAsia="MS Mincho"/>
          <w:iCs/>
          <w:szCs w:val="22"/>
          <w:lang w:eastAsia="ja-JP"/>
        </w:rPr>
        <w:t>maksimālā</w:t>
      </w:r>
      <w:r w:rsidRPr="00CD729C">
        <w:rPr>
          <w:rFonts w:eastAsia="MS Mincho"/>
          <w:iCs/>
          <w:szCs w:val="22"/>
          <w:lang w:eastAsia="ja-JP"/>
        </w:rPr>
        <w:t xml:space="preserve"> palielinājuma redzes laukos (</w:t>
      </w:r>
      <w:r w:rsidR="00292C59" w:rsidRPr="00CD729C">
        <w:rPr>
          <w:rFonts w:eastAsia="MS Mincho"/>
          <w:iCs/>
          <w:szCs w:val="22"/>
          <w:lang w:eastAsia="ja-JP"/>
        </w:rPr>
        <w:t>HPF</w:t>
      </w:r>
      <w:r w:rsidRPr="00CD729C">
        <w:rPr>
          <w:rFonts w:eastAsia="MS Mincho"/>
          <w:iCs/>
          <w:szCs w:val="22"/>
          <w:lang w:eastAsia="ja-JP"/>
        </w:rPr>
        <w:t xml:space="preserve">); vai </w:t>
      </w:r>
      <w:r w:rsidRPr="00CD729C">
        <w:rPr>
          <w:rFonts w:eastAsia="MS Mincho"/>
          <w:szCs w:val="22"/>
          <w:lang w:eastAsia="ja-JP"/>
        </w:rPr>
        <w:t xml:space="preserve">audzēja diametrs </w:t>
      </w:r>
      <w:r w:rsidRPr="00CD729C">
        <w:rPr>
          <w:rFonts w:eastAsia="MS Mincho"/>
          <w:iCs/>
          <w:szCs w:val="22"/>
          <w:lang w:eastAsia="ja-JP"/>
        </w:rPr>
        <w:t>&gt;10</w:t>
      </w:r>
      <w:r w:rsidRPr="00CD729C">
        <w:rPr>
          <w:rFonts w:eastAsia="MS Mincho"/>
          <w:szCs w:val="22"/>
          <w:lang w:eastAsia="ja-JP"/>
        </w:rPr>
        <w:t> </w:t>
      </w:r>
      <w:r w:rsidRPr="00CD729C">
        <w:rPr>
          <w:rFonts w:eastAsia="MS Mincho"/>
          <w:iCs/>
          <w:szCs w:val="22"/>
          <w:lang w:eastAsia="ja-JP"/>
        </w:rPr>
        <w:t xml:space="preserve">cm un </w:t>
      </w:r>
      <w:r w:rsidR="00210240" w:rsidRPr="00CD729C">
        <w:rPr>
          <w:rFonts w:eastAsia="MS Mincho"/>
          <w:iCs/>
          <w:szCs w:val="22"/>
          <w:lang w:eastAsia="ja-JP"/>
        </w:rPr>
        <w:t>un jebkurš</w:t>
      </w:r>
      <w:r w:rsidRPr="00CD729C">
        <w:rPr>
          <w:rFonts w:eastAsia="MS Mincho"/>
          <w:iCs/>
          <w:szCs w:val="22"/>
          <w:lang w:eastAsia="ja-JP"/>
        </w:rPr>
        <w:t xml:space="preserve"> mitožu skaits, vai </w:t>
      </w:r>
      <w:r w:rsidR="00210240" w:rsidRPr="00CD729C">
        <w:rPr>
          <w:rFonts w:eastAsia="MS Mincho"/>
          <w:iCs/>
          <w:szCs w:val="22"/>
          <w:lang w:eastAsia="ja-JP"/>
        </w:rPr>
        <w:t xml:space="preserve">jebkura </w:t>
      </w:r>
      <w:r w:rsidRPr="00CD729C">
        <w:rPr>
          <w:rFonts w:eastAsia="MS Mincho"/>
          <w:iCs/>
          <w:szCs w:val="22"/>
          <w:lang w:eastAsia="ja-JP"/>
        </w:rPr>
        <w:t xml:space="preserve">izmēra audzējs un </w:t>
      </w:r>
      <w:r w:rsidR="00210240" w:rsidRPr="00CD729C">
        <w:rPr>
          <w:rFonts w:eastAsia="MS Mincho"/>
          <w:iCs/>
          <w:szCs w:val="22"/>
          <w:lang w:eastAsia="ja-JP"/>
        </w:rPr>
        <w:t>mitožu skaits</w:t>
      </w:r>
      <w:r w:rsidR="00944918">
        <w:rPr>
          <w:rFonts w:eastAsia="MS Mincho"/>
          <w:iCs/>
          <w:szCs w:val="22"/>
          <w:lang w:eastAsia="ja-JP"/>
        </w:rPr>
        <w:t xml:space="preserve"> </w:t>
      </w:r>
      <w:r w:rsidR="00944918" w:rsidRPr="00654EF1">
        <w:rPr>
          <w:rFonts w:eastAsia="MS Mincho"/>
          <w:iCs/>
          <w:szCs w:val="22"/>
          <w:lang w:val="en-US" w:eastAsia="ja-JP"/>
        </w:rPr>
        <w:t>&gt;</w:t>
      </w:r>
      <w:r w:rsidRPr="00CD729C">
        <w:rPr>
          <w:rFonts w:eastAsia="MS Mincho"/>
          <w:iCs/>
          <w:szCs w:val="22"/>
          <w:lang w:eastAsia="ja-JP"/>
        </w:rPr>
        <w:t>10</w:t>
      </w:r>
      <w:r w:rsidR="00210240" w:rsidRPr="00CD729C">
        <w:rPr>
          <w:rFonts w:eastAsia="MS Mincho"/>
          <w:iCs/>
          <w:szCs w:val="22"/>
          <w:lang w:eastAsia="ja-JP"/>
        </w:rPr>
        <w:t>/</w:t>
      </w:r>
      <w:r w:rsidRPr="00CD729C">
        <w:rPr>
          <w:rFonts w:eastAsia="MS Mincho"/>
          <w:iCs/>
          <w:szCs w:val="22"/>
          <w:lang w:eastAsia="ja-JP"/>
        </w:rPr>
        <w:t>50 </w:t>
      </w:r>
      <w:r w:rsidR="00210240" w:rsidRPr="00CD729C">
        <w:rPr>
          <w:rFonts w:eastAsia="MS Mincho"/>
          <w:iCs/>
          <w:szCs w:val="22"/>
          <w:lang w:eastAsia="ja-JP"/>
        </w:rPr>
        <w:t>HPF</w:t>
      </w:r>
      <w:r w:rsidRPr="00CD729C">
        <w:rPr>
          <w:rFonts w:eastAsia="MS Mincho"/>
          <w:iCs/>
          <w:szCs w:val="22"/>
          <w:lang w:eastAsia="ja-JP"/>
        </w:rPr>
        <w:t>, vai audzēj</w:t>
      </w:r>
      <w:r w:rsidR="00210240" w:rsidRPr="00CD729C">
        <w:rPr>
          <w:rFonts w:eastAsia="MS Mincho"/>
          <w:iCs/>
          <w:szCs w:val="22"/>
          <w:lang w:eastAsia="ja-JP"/>
        </w:rPr>
        <w:t>u iekļūšana</w:t>
      </w:r>
      <w:r w:rsidRPr="00CD729C">
        <w:rPr>
          <w:rFonts w:eastAsia="MS Mincho"/>
          <w:iCs/>
          <w:szCs w:val="22"/>
          <w:lang w:eastAsia="ja-JP"/>
        </w:rPr>
        <w:t xml:space="preserve"> peritoneālā dobumā. Kopumā pētījumā tika iesaistīti un randomizēti 397 pacienti (199 pacienti 12 mēnešu ārstēšanas grupā un 198 pacienti 36 mēnešu ārstēšanas grupā), kuru vidējais vecums bija 61 gads (robežās no 22 līdz 84 gadiem). Vidējais </w:t>
      </w:r>
      <w:r w:rsidR="00210240" w:rsidRPr="00CD729C">
        <w:rPr>
          <w:rFonts w:eastAsia="MS Mincho"/>
          <w:iCs/>
          <w:szCs w:val="22"/>
          <w:lang w:eastAsia="ja-JP"/>
        </w:rPr>
        <w:t xml:space="preserve">novērošanas </w:t>
      </w:r>
      <w:r w:rsidRPr="00CD729C">
        <w:rPr>
          <w:rFonts w:eastAsia="MS Mincho"/>
          <w:iCs/>
          <w:szCs w:val="22"/>
          <w:lang w:eastAsia="ja-JP"/>
        </w:rPr>
        <w:t xml:space="preserve">ilgums bija 54 mēneši (no randomizācijas datuma līdz datu </w:t>
      </w:r>
      <w:r w:rsidR="00944918" w:rsidRPr="00F247CC">
        <w:rPr>
          <w:lang w:val="en-US" w:eastAsia="de-DE"/>
        </w:rPr>
        <w:t>sadalījuma (</w:t>
      </w:r>
      <w:r w:rsidR="00944918" w:rsidRPr="00F247CC">
        <w:rPr>
          <w:i/>
          <w:lang w:val="en-US" w:eastAsia="de-DE"/>
        </w:rPr>
        <w:t>cut-off</w:t>
      </w:r>
      <w:r w:rsidR="00944918">
        <w:rPr>
          <w:lang w:val="en-US" w:eastAsia="de-DE"/>
        </w:rPr>
        <w:t>)</w:t>
      </w:r>
      <w:r w:rsidRPr="00CD729C">
        <w:rPr>
          <w:rFonts w:eastAsia="MS Mincho"/>
          <w:iCs/>
          <w:szCs w:val="22"/>
          <w:lang w:eastAsia="ja-JP"/>
        </w:rPr>
        <w:t xml:space="preserve"> brīdim), un kopumā 83 mēneši - no pirmā pacienta randomizācijas līdz </w:t>
      </w:r>
      <w:r w:rsidR="00944918">
        <w:rPr>
          <w:rFonts w:eastAsia="MS Mincho"/>
          <w:iCs/>
          <w:szCs w:val="22"/>
          <w:lang w:eastAsia="ja-JP"/>
        </w:rPr>
        <w:t xml:space="preserve">datu </w:t>
      </w:r>
      <w:r w:rsidR="00944918" w:rsidRPr="00F247CC">
        <w:rPr>
          <w:lang w:val="en-US" w:eastAsia="de-DE"/>
        </w:rPr>
        <w:t>sadalījuma (</w:t>
      </w:r>
      <w:r w:rsidR="00944918" w:rsidRPr="00F247CC">
        <w:rPr>
          <w:i/>
          <w:lang w:val="en-US" w:eastAsia="de-DE"/>
        </w:rPr>
        <w:t>cut-off</w:t>
      </w:r>
      <w:r w:rsidR="00944918">
        <w:rPr>
          <w:lang w:val="en-US" w:eastAsia="de-DE"/>
        </w:rPr>
        <w:t>)</w:t>
      </w:r>
      <w:r w:rsidRPr="00CD729C">
        <w:rPr>
          <w:rFonts w:eastAsia="MS Mincho"/>
          <w:iCs/>
          <w:szCs w:val="22"/>
          <w:lang w:eastAsia="ja-JP"/>
        </w:rPr>
        <w:t xml:space="preserve"> brīdim.</w:t>
      </w:r>
    </w:p>
    <w:p w14:paraId="3D39481A" w14:textId="77777777" w:rsidR="00F74EF9" w:rsidRPr="00CD729C" w:rsidRDefault="00F74EF9" w:rsidP="009B4BB6">
      <w:pPr>
        <w:widowControl w:val="0"/>
        <w:tabs>
          <w:tab w:val="clear" w:pos="567"/>
        </w:tabs>
        <w:spacing w:line="240" w:lineRule="auto"/>
        <w:rPr>
          <w:rFonts w:eastAsia="MS Mincho"/>
          <w:szCs w:val="22"/>
          <w:lang w:eastAsia="ja-JP"/>
        </w:rPr>
      </w:pPr>
    </w:p>
    <w:p w14:paraId="3D39481B" w14:textId="77777777" w:rsidR="00F74EF9" w:rsidRPr="00CD729C" w:rsidRDefault="00F74EF9" w:rsidP="009B4BB6">
      <w:pPr>
        <w:pStyle w:val="Text"/>
        <w:widowControl w:val="0"/>
        <w:spacing w:before="0"/>
        <w:jc w:val="left"/>
        <w:rPr>
          <w:rFonts w:eastAsia="MS Mincho"/>
          <w:color w:val="000000"/>
          <w:sz w:val="22"/>
          <w:szCs w:val="22"/>
          <w:lang w:val="lv-LV" w:eastAsia="ja-JP"/>
        </w:rPr>
      </w:pPr>
      <w:r w:rsidRPr="00CD729C">
        <w:rPr>
          <w:rFonts w:eastAsia="MS Mincho"/>
          <w:color w:val="000000"/>
          <w:sz w:val="22"/>
          <w:szCs w:val="22"/>
          <w:lang w:val="lv-LV" w:eastAsia="ja-JP"/>
        </w:rPr>
        <w:t>Pētījuma primārais mērķa kritērijs bija dzīvildze bez recidīva (</w:t>
      </w:r>
      <w:r w:rsidRPr="00CD729C">
        <w:rPr>
          <w:rFonts w:eastAsia="MS Mincho"/>
          <w:i/>
          <w:color w:val="000000"/>
          <w:sz w:val="22"/>
          <w:szCs w:val="22"/>
          <w:lang w:val="lv-LV" w:eastAsia="ja-JP"/>
        </w:rPr>
        <w:t>recurrence-free survival</w:t>
      </w:r>
      <w:r w:rsidRPr="00CD729C">
        <w:rPr>
          <w:rFonts w:eastAsia="MS Mincho"/>
          <w:color w:val="000000"/>
          <w:sz w:val="22"/>
          <w:szCs w:val="22"/>
          <w:lang w:val="lv-LV" w:eastAsia="ja-JP"/>
        </w:rPr>
        <w:t xml:space="preserve"> -RFS), kas definēts kā laika posms no pacienta randomizācijas brīža pētījumā līdz recidīva diagnosticēšanas vai nāves</w:t>
      </w:r>
      <w:r w:rsidR="00524AEC" w:rsidRPr="00CD729C">
        <w:rPr>
          <w:rFonts w:eastAsia="MS Mincho"/>
          <w:color w:val="000000"/>
          <w:sz w:val="22"/>
          <w:szCs w:val="22"/>
          <w:lang w:val="lv-LV" w:eastAsia="ja-JP"/>
        </w:rPr>
        <w:t xml:space="preserve"> (neatkarīgi no iemesla)</w:t>
      </w:r>
      <w:r w:rsidRPr="00CD729C">
        <w:rPr>
          <w:rFonts w:eastAsia="MS Mincho"/>
          <w:color w:val="000000"/>
          <w:sz w:val="22"/>
          <w:szCs w:val="22"/>
          <w:lang w:val="lv-LV" w:eastAsia="ja-JP"/>
        </w:rPr>
        <w:t xml:space="preserve"> brīdim.</w:t>
      </w:r>
    </w:p>
    <w:p w14:paraId="3D39481C" w14:textId="77777777" w:rsidR="00F74EF9" w:rsidRPr="00CD729C" w:rsidRDefault="00F74EF9" w:rsidP="009B4BB6">
      <w:pPr>
        <w:widowControl w:val="0"/>
        <w:tabs>
          <w:tab w:val="clear" w:pos="567"/>
        </w:tabs>
        <w:spacing w:line="240" w:lineRule="auto"/>
        <w:rPr>
          <w:rFonts w:eastAsia="MS Mincho"/>
          <w:szCs w:val="22"/>
          <w:lang w:eastAsia="ja-JP"/>
        </w:rPr>
      </w:pPr>
    </w:p>
    <w:p w14:paraId="3D39481D" w14:textId="77777777" w:rsidR="00F74EF9" w:rsidRPr="00CD729C" w:rsidRDefault="00F74EF9" w:rsidP="009B4BB6">
      <w:pPr>
        <w:pStyle w:val="Text"/>
        <w:widowControl w:val="0"/>
        <w:spacing w:before="0"/>
        <w:jc w:val="left"/>
        <w:rPr>
          <w:rFonts w:eastAsia="MS Mincho"/>
          <w:color w:val="000000"/>
          <w:sz w:val="22"/>
          <w:szCs w:val="22"/>
          <w:lang w:val="lv-LV" w:eastAsia="ja-JP"/>
        </w:rPr>
      </w:pPr>
      <w:r w:rsidRPr="00CD729C">
        <w:rPr>
          <w:rFonts w:eastAsia="MS Mincho"/>
          <w:color w:val="000000"/>
          <w:sz w:val="22"/>
          <w:szCs w:val="22"/>
          <w:lang w:val="lv-LV" w:eastAsia="ja-JP"/>
        </w:rPr>
        <w:t xml:space="preserve">Trīsdesmit sešu (36) mēnešu ārstēšana ar Glivec ievērojami pagarināja </w:t>
      </w:r>
      <w:r w:rsidR="00524AEC" w:rsidRPr="00CD729C">
        <w:rPr>
          <w:rFonts w:eastAsia="MS Mincho"/>
          <w:color w:val="000000"/>
          <w:sz w:val="22"/>
          <w:szCs w:val="22"/>
          <w:lang w:val="lv-LV" w:eastAsia="ja-JP"/>
        </w:rPr>
        <w:t>dzīvildzi bez recidīva (</w:t>
      </w:r>
      <w:r w:rsidRPr="00CD729C">
        <w:rPr>
          <w:rFonts w:eastAsia="MS Mincho"/>
          <w:color w:val="000000"/>
          <w:sz w:val="22"/>
          <w:szCs w:val="22"/>
          <w:lang w:val="lv-LV" w:eastAsia="ja-JP"/>
        </w:rPr>
        <w:t>RFS</w:t>
      </w:r>
      <w:r w:rsidR="00524AEC" w:rsidRPr="00CD729C">
        <w:rPr>
          <w:rFonts w:eastAsia="MS Mincho"/>
          <w:color w:val="000000"/>
          <w:sz w:val="22"/>
          <w:szCs w:val="22"/>
          <w:lang w:val="lv-LV" w:eastAsia="ja-JP"/>
        </w:rPr>
        <w:t>)</w:t>
      </w:r>
      <w:r w:rsidRPr="00CD729C">
        <w:rPr>
          <w:rFonts w:eastAsia="MS Mincho"/>
          <w:color w:val="000000"/>
          <w:sz w:val="22"/>
          <w:szCs w:val="22"/>
          <w:lang w:val="lv-LV" w:eastAsia="ja-JP"/>
        </w:rPr>
        <w:t>, salīdzinot ar 12 mēnešu ārstēšanu ar Glivec (kopējā riska attiecība (RA) = 0,46 [0,32, 0,65], p&lt;0,0001</w:t>
      </w:r>
      <w:r w:rsidR="000C6D50" w:rsidRPr="00CD729C">
        <w:rPr>
          <w:rFonts w:eastAsia="MS Mincho"/>
          <w:color w:val="000000"/>
          <w:sz w:val="22"/>
          <w:szCs w:val="22"/>
          <w:lang w:val="lv-LV" w:eastAsia="ja-JP"/>
        </w:rPr>
        <w:t>) (tabula Nr. </w:t>
      </w:r>
      <w:r w:rsidR="00E63C12" w:rsidRPr="00CD729C">
        <w:rPr>
          <w:rFonts w:eastAsia="MS Mincho"/>
          <w:color w:val="000000"/>
          <w:sz w:val="22"/>
          <w:szCs w:val="22"/>
          <w:lang w:val="lv-LV" w:eastAsia="ja-JP"/>
        </w:rPr>
        <w:t>8</w:t>
      </w:r>
      <w:r w:rsidR="000C6D50" w:rsidRPr="00CD729C">
        <w:rPr>
          <w:rFonts w:eastAsia="MS Mincho"/>
          <w:color w:val="000000"/>
          <w:sz w:val="22"/>
          <w:szCs w:val="22"/>
          <w:lang w:val="lv-LV" w:eastAsia="ja-JP"/>
        </w:rPr>
        <w:t>, 1. attēls).</w:t>
      </w:r>
    </w:p>
    <w:p w14:paraId="3D39481E" w14:textId="77777777" w:rsidR="00F74EF9" w:rsidRPr="00CD729C" w:rsidRDefault="00F74EF9" w:rsidP="009B4BB6">
      <w:pPr>
        <w:pStyle w:val="Text"/>
        <w:widowControl w:val="0"/>
        <w:spacing w:before="0"/>
        <w:jc w:val="left"/>
        <w:rPr>
          <w:rFonts w:eastAsia="MS Mincho"/>
          <w:color w:val="000000"/>
          <w:sz w:val="22"/>
          <w:szCs w:val="22"/>
          <w:lang w:val="lv-LV" w:eastAsia="ja-JP"/>
        </w:rPr>
      </w:pPr>
    </w:p>
    <w:p w14:paraId="3D39481F" w14:textId="77777777" w:rsidR="000C6D50" w:rsidRPr="00CD729C" w:rsidRDefault="00F74EF9" w:rsidP="009B4BB6">
      <w:pPr>
        <w:pStyle w:val="Text"/>
        <w:widowControl w:val="0"/>
        <w:spacing w:before="0"/>
        <w:jc w:val="left"/>
        <w:rPr>
          <w:rFonts w:eastAsia="MS Mincho"/>
          <w:color w:val="000000"/>
          <w:sz w:val="22"/>
          <w:szCs w:val="22"/>
          <w:lang w:val="lv-LV" w:eastAsia="ja-JP"/>
        </w:rPr>
      </w:pPr>
      <w:r w:rsidRPr="00CD729C">
        <w:rPr>
          <w:rFonts w:eastAsia="MS Mincho"/>
          <w:color w:val="000000"/>
          <w:sz w:val="22"/>
          <w:szCs w:val="22"/>
          <w:lang w:val="lv-LV" w:eastAsia="ja-JP"/>
        </w:rPr>
        <w:t>Turklāt trīsdesmit sešu (36) mēnešu ārstēšana ar Glivec ievērojami pagarināja kopējo dzīvildzi</w:t>
      </w:r>
      <w:r w:rsidR="00524AEC" w:rsidRPr="00CD729C">
        <w:rPr>
          <w:rFonts w:eastAsia="MS Mincho"/>
          <w:color w:val="000000"/>
          <w:sz w:val="22"/>
          <w:szCs w:val="22"/>
          <w:lang w:val="lv-LV" w:eastAsia="ja-JP"/>
        </w:rPr>
        <w:t xml:space="preserve"> (OS)</w:t>
      </w:r>
      <w:r w:rsidRPr="00CD729C">
        <w:rPr>
          <w:rFonts w:eastAsia="MS Mincho"/>
          <w:color w:val="000000"/>
          <w:sz w:val="22"/>
          <w:szCs w:val="22"/>
          <w:lang w:val="lv-LV" w:eastAsia="ja-JP"/>
        </w:rPr>
        <w:t>, salīdzinot ar 12 mēnešu ārstēšanu ar Glivec (RA = 0,45 [0,22, 0,89], p=0,0187) (tabula Nr. </w:t>
      </w:r>
      <w:r w:rsidR="00E63C12" w:rsidRPr="00CD729C">
        <w:rPr>
          <w:rFonts w:eastAsia="MS Mincho"/>
          <w:color w:val="000000"/>
          <w:sz w:val="22"/>
          <w:szCs w:val="22"/>
          <w:lang w:val="lv-LV" w:eastAsia="ja-JP"/>
        </w:rPr>
        <w:t>8</w:t>
      </w:r>
      <w:r w:rsidRPr="00CD729C">
        <w:rPr>
          <w:rFonts w:eastAsia="MS Mincho"/>
          <w:color w:val="000000"/>
          <w:sz w:val="22"/>
          <w:szCs w:val="22"/>
          <w:lang w:val="lv-LV" w:eastAsia="ja-JP"/>
        </w:rPr>
        <w:t>, 2. attēls).</w:t>
      </w:r>
    </w:p>
    <w:p w14:paraId="3D394820" w14:textId="77777777" w:rsidR="000C6D50" w:rsidRPr="00CD729C" w:rsidRDefault="000C6D50" w:rsidP="009B4BB6">
      <w:pPr>
        <w:pStyle w:val="Text"/>
        <w:widowControl w:val="0"/>
        <w:spacing w:before="0"/>
        <w:jc w:val="left"/>
        <w:rPr>
          <w:rFonts w:eastAsia="MS Mincho"/>
          <w:color w:val="000000"/>
          <w:sz w:val="22"/>
          <w:szCs w:val="22"/>
          <w:lang w:val="lv-LV" w:eastAsia="ja-JP"/>
        </w:rPr>
      </w:pPr>
    </w:p>
    <w:p w14:paraId="3D394821" w14:textId="77777777" w:rsidR="000C6D50" w:rsidRPr="00CD729C" w:rsidRDefault="00FF3725" w:rsidP="009B4BB6">
      <w:pPr>
        <w:pStyle w:val="Text"/>
        <w:widowControl w:val="0"/>
        <w:spacing w:before="0"/>
        <w:jc w:val="left"/>
        <w:rPr>
          <w:rFonts w:eastAsia="MS Mincho"/>
          <w:color w:val="000000"/>
          <w:sz w:val="22"/>
          <w:szCs w:val="22"/>
          <w:lang w:val="lv-LV" w:eastAsia="ja-JP"/>
        </w:rPr>
      </w:pPr>
      <w:r w:rsidRPr="00CD729C">
        <w:rPr>
          <w:rFonts w:eastAsia="MS Mincho"/>
          <w:color w:val="000000"/>
          <w:sz w:val="22"/>
          <w:szCs w:val="22"/>
          <w:lang w:val="lv-LV" w:eastAsia="ja-JP"/>
        </w:rPr>
        <w:t>Ilgāka (&gt;36 mēnešu) ārstēšana var aizkavēt turpmāku recidīvu rašanos; tomēr šīs atrades ietekme uz kopējo dzīvildzi joprojām nav zināma</w:t>
      </w:r>
      <w:r w:rsidR="000C6D50" w:rsidRPr="00CD729C">
        <w:rPr>
          <w:rFonts w:eastAsia="MS Mincho"/>
          <w:color w:val="000000"/>
          <w:sz w:val="22"/>
          <w:szCs w:val="22"/>
          <w:lang w:val="lv-LV" w:eastAsia="ja-JP"/>
        </w:rPr>
        <w:t>.</w:t>
      </w:r>
    </w:p>
    <w:p w14:paraId="3D394822" w14:textId="77777777" w:rsidR="000C6D50" w:rsidRPr="00CD729C" w:rsidRDefault="000C6D50" w:rsidP="009B4BB6">
      <w:pPr>
        <w:pStyle w:val="Text"/>
        <w:widowControl w:val="0"/>
        <w:spacing w:before="0"/>
        <w:jc w:val="left"/>
        <w:rPr>
          <w:rFonts w:eastAsia="MS Mincho"/>
          <w:color w:val="000000"/>
          <w:sz w:val="22"/>
          <w:szCs w:val="22"/>
          <w:lang w:val="lv-LV" w:eastAsia="ja-JP"/>
        </w:rPr>
      </w:pPr>
    </w:p>
    <w:p w14:paraId="3D394823" w14:textId="77777777" w:rsidR="00F74EF9" w:rsidRPr="00CD729C" w:rsidRDefault="00F74EF9" w:rsidP="009B4BB6">
      <w:pPr>
        <w:pStyle w:val="Text"/>
        <w:widowControl w:val="0"/>
        <w:spacing w:before="0"/>
        <w:jc w:val="left"/>
        <w:rPr>
          <w:rFonts w:eastAsia="MS Mincho"/>
          <w:color w:val="000000"/>
          <w:sz w:val="22"/>
          <w:szCs w:val="22"/>
          <w:lang w:val="lv-LV" w:eastAsia="ja-JP"/>
        </w:rPr>
      </w:pPr>
      <w:r w:rsidRPr="00CD729C">
        <w:rPr>
          <w:rFonts w:eastAsia="MS Mincho"/>
          <w:color w:val="000000"/>
          <w:sz w:val="22"/>
          <w:szCs w:val="22"/>
          <w:lang w:val="lv-LV" w:eastAsia="ja-JP"/>
        </w:rPr>
        <w:t>Kopējais nāves gadījumu skaits 12 mēnešu un 36 mēnešu ārstēšanas grupās bija attiecīgi 25 un 12.</w:t>
      </w:r>
    </w:p>
    <w:p w14:paraId="3D394824" w14:textId="77777777" w:rsidR="00F74EF9" w:rsidRPr="00CD729C" w:rsidRDefault="00F74EF9" w:rsidP="009B4BB6">
      <w:pPr>
        <w:widowControl w:val="0"/>
        <w:tabs>
          <w:tab w:val="clear" w:pos="567"/>
        </w:tabs>
        <w:spacing w:line="240" w:lineRule="auto"/>
        <w:rPr>
          <w:rFonts w:eastAsia="MS Mincho"/>
          <w:iCs/>
          <w:szCs w:val="22"/>
          <w:lang w:eastAsia="ja-JP"/>
        </w:rPr>
      </w:pPr>
    </w:p>
    <w:p w14:paraId="3D394825" w14:textId="77777777" w:rsidR="00C77C1B" w:rsidRPr="00CD729C" w:rsidRDefault="00C77C1B" w:rsidP="009B4BB6">
      <w:pPr>
        <w:widowControl w:val="0"/>
        <w:tabs>
          <w:tab w:val="clear" w:pos="567"/>
        </w:tabs>
        <w:spacing w:line="240" w:lineRule="auto"/>
        <w:rPr>
          <w:rFonts w:eastAsia="MS Mincho"/>
          <w:iCs/>
          <w:szCs w:val="22"/>
          <w:lang w:eastAsia="ja-JP"/>
        </w:rPr>
      </w:pPr>
      <w:r w:rsidRPr="00CD729C">
        <w:rPr>
          <w:rFonts w:eastAsia="MS Mincho"/>
          <w:iCs/>
          <w:szCs w:val="22"/>
          <w:lang w:eastAsia="ja-JP"/>
        </w:rPr>
        <w:t xml:space="preserve">ITT analīzē, </w:t>
      </w:r>
      <w:r w:rsidR="008749B3" w:rsidRPr="00CD729C">
        <w:rPr>
          <w:rFonts w:eastAsia="MS Mincho"/>
          <w:iCs/>
          <w:szCs w:val="22"/>
          <w:lang w:eastAsia="ja-JP"/>
        </w:rPr>
        <w:t>t.i.</w:t>
      </w:r>
      <w:r w:rsidR="00524AEC" w:rsidRPr="00CD729C">
        <w:rPr>
          <w:rFonts w:eastAsia="MS Mincho"/>
          <w:iCs/>
          <w:szCs w:val="22"/>
          <w:lang w:eastAsia="ja-JP"/>
        </w:rPr>
        <w:t>,</w:t>
      </w:r>
      <w:r w:rsidR="008749B3" w:rsidRPr="00CD729C">
        <w:rPr>
          <w:rFonts w:eastAsia="MS Mincho"/>
          <w:iCs/>
          <w:szCs w:val="22"/>
          <w:lang w:eastAsia="ja-JP"/>
        </w:rPr>
        <w:t xml:space="preserve"> </w:t>
      </w:r>
      <w:r w:rsidRPr="00CD729C">
        <w:rPr>
          <w:rFonts w:eastAsia="MS Mincho"/>
          <w:iCs/>
          <w:szCs w:val="22"/>
          <w:lang w:eastAsia="ja-JP"/>
        </w:rPr>
        <w:t>iekļaujot visu pētījuma populāciju, 36 mēnešu ārstēšana ar imatinibu bija pārāka par 12 mēnešu ārstēšanu ar imatinibu. Plānot</w:t>
      </w:r>
      <w:r w:rsidR="00E36007" w:rsidRPr="00CD729C">
        <w:rPr>
          <w:rFonts w:eastAsia="MS Mincho"/>
          <w:iCs/>
          <w:szCs w:val="22"/>
          <w:lang w:eastAsia="ja-JP"/>
        </w:rPr>
        <w:t>aj</w:t>
      </w:r>
      <w:r w:rsidRPr="00CD729C">
        <w:rPr>
          <w:rFonts w:eastAsia="MS Mincho"/>
          <w:iCs/>
          <w:szCs w:val="22"/>
          <w:lang w:eastAsia="ja-JP"/>
        </w:rPr>
        <w:t xml:space="preserve">ā apakšgrupu analīzē pēc mutāciju tipa, 36 mēnešu ārstēšanas grupā pacientiem ar </w:t>
      </w:r>
      <w:r w:rsidRPr="00CD729C">
        <w:rPr>
          <w:rFonts w:eastAsia="MS Mincho"/>
          <w:i/>
          <w:iCs/>
          <w:szCs w:val="22"/>
          <w:lang w:eastAsia="ja-JP"/>
        </w:rPr>
        <w:t>exon 11</w:t>
      </w:r>
      <w:r w:rsidRPr="00CD729C">
        <w:rPr>
          <w:rFonts w:eastAsia="MS Mincho"/>
          <w:iCs/>
          <w:szCs w:val="22"/>
          <w:lang w:eastAsia="ja-JP"/>
        </w:rPr>
        <w:t xml:space="preserve"> mutāciju riska attiecība bija 0,35 [95% TI: 0,22, 0,56]</w:t>
      </w:r>
      <w:r w:rsidR="008E3EAD" w:rsidRPr="00CD729C">
        <w:rPr>
          <w:rFonts w:eastAsia="MS Mincho"/>
          <w:iCs/>
          <w:szCs w:val="22"/>
          <w:lang w:eastAsia="ja-JP"/>
        </w:rPr>
        <w:t xml:space="preserve">. </w:t>
      </w:r>
      <w:r w:rsidR="00B05210" w:rsidRPr="00CD729C">
        <w:rPr>
          <w:rFonts w:eastAsia="MS Mincho"/>
          <w:iCs/>
          <w:szCs w:val="22"/>
          <w:lang w:eastAsia="ja-JP"/>
        </w:rPr>
        <w:t>Nelielā novēroto gadījumu skaita dēļ apakšgrupās nevar izdarīt secinājumus par citām retāk sastopamām mutācijām.</w:t>
      </w:r>
    </w:p>
    <w:p w14:paraId="3D394826" w14:textId="77777777" w:rsidR="000C6D50" w:rsidRPr="00CD729C" w:rsidRDefault="000C6D50" w:rsidP="009B4BB6">
      <w:pPr>
        <w:widowControl w:val="0"/>
        <w:tabs>
          <w:tab w:val="clear" w:pos="567"/>
        </w:tabs>
        <w:spacing w:line="240" w:lineRule="auto"/>
        <w:rPr>
          <w:rFonts w:eastAsia="MS Mincho"/>
          <w:iCs/>
          <w:szCs w:val="22"/>
          <w:lang w:eastAsia="ja-JP"/>
        </w:rPr>
      </w:pPr>
    </w:p>
    <w:p w14:paraId="3D394827" w14:textId="77777777" w:rsidR="00F74EF9" w:rsidRPr="00CD729C" w:rsidRDefault="00F74EF9" w:rsidP="009B4BB6">
      <w:pPr>
        <w:keepNext/>
        <w:keepLines/>
        <w:widowControl w:val="0"/>
        <w:tabs>
          <w:tab w:val="clear" w:pos="567"/>
        </w:tabs>
        <w:spacing w:line="240" w:lineRule="auto"/>
        <w:ind w:left="1701" w:hanging="1701"/>
        <w:rPr>
          <w:rFonts w:eastAsia="MS Mincho"/>
          <w:b/>
          <w:szCs w:val="22"/>
          <w:lang w:eastAsia="ja-JP"/>
        </w:rPr>
      </w:pPr>
      <w:r w:rsidRPr="00CD729C">
        <w:rPr>
          <w:rFonts w:eastAsia="MS Mincho"/>
          <w:b/>
          <w:color w:val="000000"/>
          <w:szCs w:val="22"/>
          <w:lang w:eastAsia="ja-JP"/>
        </w:rPr>
        <w:lastRenderedPageBreak/>
        <w:t>Tabula Nr. </w:t>
      </w:r>
      <w:r w:rsidR="00E63C12" w:rsidRPr="00CD729C">
        <w:rPr>
          <w:rFonts w:eastAsia="MS Mincho"/>
          <w:b/>
          <w:color w:val="000000"/>
          <w:szCs w:val="22"/>
          <w:lang w:eastAsia="ja-JP"/>
        </w:rPr>
        <w:t>8</w:t>
      </w:r>
      <w:r w:rsidRPr="00CD729C">
        <w:rPr>
          <w:rFonts w:eastAsia="MS Mincho"/>
          <w:szCs w:val="22"/>
        </w:rPr>
        <w:tab/>
      </w:r>
      <w:r w:rsidRPr="00CD729C">
        <w:rPr>
          <w:rFonts w:eastAsia="MS Mincho"/>
          <w:b/>
          <w:szCs w:val="22"/>
          <w:lang w:eastAsia="ja-JP"/>
        </w:rPr>
        <w:t>12 mēnešu un 36 mēnešu ilga ārstēšana ar Glivec (</w:t>
      </w:r>
      <w:r w:rsidR="00524AEC" w:rsidRPr="00CD729C">
        <w:rPr>
          <w:rFonts w:eastAsia="MS Mincho"/>
          <w:b/>
          <w:szCs w:val="22"/>
          <w:lang w:eastAsia="ja-JP"/>
        </w:rPr>
        <w:t>p</w:t>
      </w:r>
      <w:r w:rsidRPr="00CD729C">
        <w:rPr>
          <w:rFonts w:eastAsia="MS Mincho"/>
          <w:b/>
          <w:szCs w:val="22"/>
          <w:lang w:eastAsia="ja-JP"/>
        </w:rPr>
        <w:t>ētījums SSGXVIII/AIO)</w:t>
      </w:r>
    </w:p>
    <w:p w14:paraId="3D394828" w14:textId="77777777" w:rsidR="00F74EF9" w:rsidRPr="00CD729C" w:rsidRDefault="00F74EF9" w:rsidP="009B4BB6">
      <w:pPr>
        <w:keepNext/>
        <w:keepLines/>
        <w:widowControl w:val="0"/>
        <w:tabs>
          <w:tab w:val="clear" w:pos="567"/>
        </w:tabs>
        <w:spacing w:line="240" w:lineRule="auto"/>
        <w:rPr>
          <w:rFonts w:eastAsia="MS Mincho"/>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F74EF9" w:rsidRPr="00CD729C" w14:paraId="3D39482C" w14:textId="77777777">
        <w:tc>
          <w:tcPr>
            <w:tcW w:w="3099" w:type="dxa"/>
            <w:tcBorders>
              <w:top w:val="single" w:sz="4" w:space="0" w:color="auto"/>
              <w:bottom w:val="nil"/>
            </w:tcBorders>
            <w:shd w:val="clear" w:color="auto" w:fill="auto"/>
          </w:tcPr>
          <w:p w14:paraId="3D394829" w14:textId="77777777" w:rsidR="00F74EF9" w:rsidRPr="00CD729C" w:rsidRDefault="00F74EF9" w:rsidP="009B4BB6">
            <w:pPr>
              <w:keepNext/>
              <w:keepLines/>
              <w:widowControl w:val="0"/>
              <w:tabs>
                <w:tab w:val="clear" w:pos="567"/>
                <w:tab w:val="left" w:pos="284"/>
              </w:tabs>
              <w:spacing w:line="240" w:lineRule="auto"/>
              <w:rPr>
                <w:rFonts w:eastAsia="MS Mincho"/>
                <w:szCs w:val="22"/>
              </w:rPr>
            </w:pPr>
          </w:p>
        </w:tc>
        <w:tc>
          <w:tcPr>
            <w:tcW w:w="3100" w:type="dxa"/>
            <w:tcBorders>
              <w:top w:val="single" w:sz="4" w:space="0" w:color="auto"/>
              <w:bottom w:val="nil"/>
            </w:tcBorders>
            <w:shd w:val="clear" w:color="auto" w:fill="auto"/>
          </w:tcPr>
          <w:p w14:paraId="3D39482A" w14:textId="77777777" w:rsidR="00F74EF9" w:rsidRPr="00CD729C" w:rsidRDefault="00F74EF9" w:rsidP="009B4BB6">
            <w:pPr>
              <w:keepNext/>
              <w:keepLines/>
              <w:widowControl w:val="0"/>
              <w:tabs>
                <w:tab w:val="clear" w:pos="567"/>
                <w:tab w:val="left" w:pos="284"/>
              </w:tabs>
              <w:spacing w:line="240" w:lineRule="auto"/>
              <w:rPr>
                <w:rFonts w:eastAsia="MS Mincho"/>
                <w:b/>
                <w:szCs w:val="22"/>
              </w:rPr>
            </w:pPr>
            <w:r w:rsidRPr="00CD729C">
              <w:rPr>
                <w:rFonts w:eastAsia="MS Mincho"/>
                <w:b/>
                <w:szCs w:val="22"/>
              </w:rPr>
              <w:t>12 mēnešu ārstēšanas grupa</w:t>
            </w:r>
          </w:p>
        </w:tc>
        <w:tc>
          <w:tcPr>
            <w:tcW w:w="3100" w:type="dxa"/>
            <w:tcBorders>
              <w:top w:val="single" w:sz="4" w:space="0" w:color="auto"/>
              <w:bottom w:val="nil"/>
            </w:tcBorders>
            <w:shd w:val="clear" w:color="auto" w:fill="auto"/>
          </w:tcPr>
          <w:p w14:paraId="3D39482B" w14:textId="77777777" w:rsidR="00F74EF9" w:rsidRPr="00CD729C" w:rsidRDefault="00F74EF9" w:rsidP="009B4BB6">
            <w:pPr>
              <w:keepNext/>
              <w:keepLines/>
              <w:widowControl w:val="0"/>
              <w:tabs>
                <w:tab w:val="clear" w:pos="567"/>
                <w:tab w:val="left" w:pos="284"/>
              </w:tabs>
              <w:spacing w:line="240" w:lineRule="auto"/>
              <w:rPr>
                <w:rFonts w:eastAsia="MS Mincho"/>
                <w:b/>
                <w:szCs w:val="22"/>
              </w:rPr>
            </w:pPr>
            <w:r w:rsidRPr="00CD729C">
              <w:rPr>
                <w:rFonts w:eastAsia="MS Mincho"/>
                <w:b/>
                <w:szCs w:val="22"/>
              </w:rPr>
              <w:t>36 mēnešu ārstēšanas grupa</w:t>
            </w:r>
          </w:p>
        </w:tc>
      </w:tr>
      <w:tr w:rsidR="00F74EF9" w:rsidRPr="00CD729C" w14:paraId="3D394830" w14:textId="77777777">
        <w:tc>
          <w:tcPr>
            <w:tcW w:w="3099" w:type="dxa"/>
            <w:tcBorders>
              <w:top w:val="nil"/>
            </w:tcBorders>
            <w:shd w:val="clear" w:color="auto" w:fill="auto"/>
          </w:tcPr>
          <w:p w14:paraId="3D39482D" w14:textId="77777777" w:rsidR="00F74EF9" w:rsidRPr="00CD729C" w:rsidRDefault="00F74EF9" w:rsidP="009B4BB6">
            <w:pPr>
              <w:keepNext/>
              <w:keepLines/>
              <w:widowControl w:val="0"/>
              <w:tabs>
                <w:tab w:val="clear" w:pos="567"/>
                <w:tab w:val="left" w:pos="284"/>
              </w:tabs>
              <w:spacing w:line="240" w:lineRule="auto"/>
              <w:rPr>
                <w:rFonts w:eastAsia="MS Mincho"/>
                <w:b/>
                <w:szCs w:val="22"/>
              </w:rPr>
            </w:pPr>
            <w:r w:rsidRPr="00CD729C">
              <w:rPr>
                <w:rFonts w:eastAsia="MS Mincho"/>
                <w:b/>
                <w:szCs w:val="22"/>
              </w:rPr>
              <w:t>RFS</w:t>
            </w:r>
          </w:p>
        </w:tc>
        <w:tc>
          <w:tcPr>
            <w:tcW w:w="3100" w:type="dxa"/>
            <w:tcBorders>
              <w:top w:val="nil"/>
            </w:tcBorders>
            <w:shd w:val="clear" w:color="auto" w:fill="auto"/>
          </w:tcPr>
          <w:p w14:paraId="3D39482E" w14:textId="77777777" w:rsidR="00F74EF9" w:rsidRPr="00CD729C" w:rsidRDefault="00F74EF9" w:rsidP="009B4BB6">
            <w:pPr>
              <w:keepNext/>
              <w:keepLines/>
              <w:widowControl w:val="0"/>
              <w:tabs>
                <w:tab w:val="clear" w:pos="567"/>
                <w:tab w:val="left" w:pos="284"/>
              </w:tabs>
              <w:spacing w:line="240" w:lineRule="auto"/>
              <w:rPr>
                <w:rFonts w:eastAsia="MS Mincho"/>
                <w:b/>
                <w:szCs w:val="22"/>
              </w:rPr>
            </w:pPr>
            <w:r w:rsidRPr="00CD729C">
              <w:rPr>
                <w:rFonts w:eastAsia="MS Mincho"/>
                <w:b/>
                <w:szCs w:val="22"/>
              </w:rPr>
              <w:t>%(TI)</w:t>
            </w:r>
          </w:p>
        </w:tc>
        <w:tc>
          <w:tcPr>
            <w:tcW w:w="3100" w:type="dxa"/>
            <w:tcBorders>
              <w:top w:val="nil"/>
            </w:tcBorders>
            <w:shd w:val="clear" w:color="auto" w:fill="auto"/>
          </w:tcPr>
          <w:p w14:paraId="3D39482F" w14:textId="77777777" w:rsidR="00F74EF9" w:rsidRPr="00CD729C" w:rsidRDefault="00F74EF9" w:rsidP="009B4BB6">
            <w:pPr>
              <w:keepNext/>
              <w:keepLines/>
              <w:widowControl w:val="0"/>
              <w:tabs>
                <w:tab w:val="clear" w:pos="567"/>
                <w:tab w:val="left" w:pos="284"/>
              </w:tabs>
              <w:spacing w:line="240" w:lineRule="auto"/>
              <w:rPr>
                <w:rFonts w:eastAsia="MS Mincho"/>
                <w:b/>
                <w:szCs w:val="22"/>
              </w:rPr>
            </w:pPr>
            <w:r w:rsidRPr="00CD729C">
              <w:rPr>
                <w:rFonts w:eastAsia="MS Mincho"/>
                <w:b/>
                <w:szCs w:val="22"/>
              </w:rPr>
              <w:t>%(TI)</w:t>
            </w:r>
          </w:p>
        </w:tc>
      </w:tr>
      <w:tr w:rsidR="00F74EF9" w:rsidRPr="00CD729C" w14:paraId="3D394834" w14:textId="77777777">
        <w:tc>
          <w:tcPr>
            <w:tcW w:w="3099" w:type="dxa"/>
            <w:shd w:val="clear" w:color="auto" w:fill="auto"/>
          </w:tcPr>
          <w:p w14:paraId="3D394831" w14:textId="77777777" w:rsidR="00F74EF9" w:rsidRPr="00CD729C" w:rsidRDefault="00F74EF9" w:rsidP="009B4BB6">
            <w:pPr>
              <w:keepNext/>
              <w:keepLines/>
              <w:widowControl w:val="0"/>
              <w:tabs>
                <w:tab w:val="clear" w:pos="567"/>
              </w:tabs>
              <w:spacing w:line="240" w:lineRule="auto"/>
              <w:ind w:left="284"/>
              <w:rPr>
                <w:rFonts w:eastAsia="MS Mincho"/>
                <w:szCs w:val="22"/>
              </w:rPr>
            </w:pPr>
            <w:r w:rsidRPr="00CD729C">
              <w:rPr>
                <w:rFonts w:eastAsia="MS Mincho"/>
                <w:szCs w:val="22"/>
              </w:rPr>
              <w:t>12</w:t>
            </w:r>
            <w:r w:rsidRPr="00CD729C">
              <w:rPr>
                <w:rFonts w:eastAsia="MS Mincho"/>
                <w:szCs w:val="22"/>
                <w:lang w:eastAsia="ja-JP"/>
              </w:rPr>
              <w:t> </w:t>
            </w:r>
            <w:r w:rsidRPr="00CD729C">
              <w:rPr>
                <w:rFonts w:eastAsia="MS Mincho"/>
                <w:szCs w:val="22"/>
              </w:rPr>
              <w:t>mēneši</w:t>
            </w:r>
          </w:p>
        </w:tc>
        <w:tc>
          <w:tcPr>
            <w:tcW w:w="3100" w:type="dxa"/>
            <w:shd w:val="clear" w:color="auto" w:fill="auto"/>
          </w:tcPr>
          <w:p w14:paraId="3D394832" w14:textId="77777777" w:rsidR="00F74EF9" w:rsidRPr="00CD729C" w:rsidRDefault="00F74EF9" w:rsidP="009B4BB6">
            <w:pPr>
              <w:keepNext/>
              <w:keepLines/>
              <w:widowControl w:val="0"/>
              <w:tabs>
                <w:tab w:val="clear" w:pos="567"/>
                <w:tab w:val="left" w:pos="284"/>
              </w:tabs>
              <w:spacing w:line="240" w:lineRule="auto"/>
              <w:rPr>
                <w:rFonts w:eastAsia="MS Mincho"/>
                <w:szCs w:val="22"/>
              </w:rPr>
            </w:pPr>
            <w:r w:rsidRPr="00CD729C">
              <w:rPr>
                <w:rFonts w:eastAsia="MS Mincho"/>
                <w:szCs w:val="22"/>
              </w:rPr>
              <w:t>93,7 (89,2</w:t>
            </w:r>
            <w:r w:rsidRPr="00CD729C">
              <w:rPr>
                <w:rFonts w:eastAsia="MS Mincho"/>
                <w:szCs w:val="22"/>
              </w:rPr>
              <w:noBreakHyphen/>
              <w:t>96,4)</w:t>
            </w:r>
          </w:p>
        </w:tc>
        <w:tc>
          <w:tcPr>
            <w:tcW w:w="3100" w:type="dxa"/>
            <w:shd w:val="clear" w:color="auto" w:fill="auto"/>
          </w:tcPr>
          <w:p w14:paraId="3D394833" w14:textId="77777777" w:rsidR="00F74EF9" w:rsidRPr="00CD729C" w:rsidRDefault="00F74EF9" w:rsidP="009B4BB6">
            <w:pPr>
              <w:keepNext/>
              <w:keepLines/>
              <w:widowControl w:val="0"/>
              <w:tabs>
                <w:tab w:val="clear" w:pos="567"/>
                <w:tab w:val="left" w:pos="284"/>
              </w:tabs>
              <w:spacing w:line="240" w:lineRule="auto"/>
              <w:rPr>
                <w:rFonts w:eastAsia="MS Mincho"/>
                <w:szCs w:val="22"/>
              </w:rPr>
            </w:pPr>
            <w:r w:rsidRPr="00CD729C">
              <w:rPr>
                <w:rFonts w:eastAsia="MS Mincho"/>
                <w:szCs w:val="22"/>
              </w:rPr>
              <w:t>95,9 (91,9</w:t>
            </w:r>
            <w:r w:rsidRPr="00CD729C">
              <w:rPr>
                <w:rFonts w:eastAsia="MS Mincho"/>
                <w:szCs w:val="22"/>
              </w:rPr>
              <w:noBreakHyphen/>
              <w:t>97,9)</w:t>
            </w:r>
          </w:p>
        </w:tc>
      </w:tr>
      <w:tr w:rsidR="00F74EF9" w:rsidRPr="00CD729C" w14:paraId="3D394838" w14:textId="77777777">
        <w:tc>
          <w:tcPr>
            <w:tcW w:w="3099" w:type="dxa"/>
            <w:shd w:val="clear" w:color="auto" w:fill="auto"/>
          </w:tcPr>
          <w:p w14:paraId="3D394835" w14:textId="77777777" w:rsidR="00F74EF9" w:rsidRPr="00CD729C" w:rsidRDefault="00F74EF9" w:rsidP="009B4BB6">
            <w:pPr>
              <w:keepNext/>
              <w:keepLines/>
              <w:widowControl w:val="0"/>
              <w:tabs>
                <w:tab w:val="clear" w:pos="567"/>
              </w:tabs>
              <w:spacing w:line="240" w:lineRule="auto"/>
              <w:ind w:left="284"/>
              <w:rPr>
                <w:rFonts w:eastAsia="MS Mincho"/>
                <w:szCs w:val="22"/>
              </w:rPr>
            </w:pPr>
            <w:r w:rsidRPr="00CD729C">
              <w:rPr>
                <w:rFonts w:eastAsia="MS Mincho"/>
                <w:szCs w:val="22"/>
              </w:rPr>
              <w:t>24</w:t>
            </w:r>
            <w:r w:rsidRPr="00CD729C">
              <w:rPr>
                <w:rFonts w:eastAsia="MS Mincho"/>
                <w:szCs w:val="22"/>
                <w:lang w:eastAsia="ja-JP"/>
              </w:rPr>
              <w:t> </w:t>
            </w:r>
            <w:r w:rsidRPr="00CD729C">
              <w:rPr>
                <w:rFonts w:eastAsia="MS Mincho"/>
                <w:szCs w:val="22"/>
              </w:rPr>
              <w:t>mēneši</w:t>
            </w:r>
          </w:p>
        </w:tc>
        <w:tc>
          <w:tcPr>
            <w:tcW w:w="3100" w:type="dxa"/>
            <w:shd w:val="clear" w:color="auto" w:fill="auto"/>
          </w:tcPr>
          <w:p w14:paraId="3D394836" w14:textId="77777777" w:rsidR="00F74EF9" w:rsidRPr="00CD729C" w:rsidRDefault="00F74EF9" w:rsidP="009B4BB6">
            <w:pPr>
              <w:keepNext/>
              <w:keepLines/>
              <w:widowControl w:val="0"/>
              <w:tabs>
                <w:tab w:val="clear" w:pos="567"/>
                <w:tab w:val="left" w:pos="284"/>
              </w:tabs>
              <w:spacing w:line="240" w:lineRule="auto"/>
              <w:rPr>
                <w:rFonts w:eastAsia="MS Mincho"/>
                <w:szCs w:val="22"/>
              </w:rPr>
            </w:pPr>
            <w:r w:rsidRPr="00CD729C">
              <w:rPr>
                <w:rFonts w:eastAsia="MS Mincho"/>
                <w:szCs w:val="22"/>
              </w:rPr>
              <w:t>75,4 (68,6</w:t>
            </w:r>
            <w:r w:rsidRPr="00CD729C">
              <w:rPr>
                <w:rFonts w:eastAsia="MS Mincho"/>
                <w:szCs w:val="22"/>
              </w:rPr>
              <w:noBreakHyphen/>
              <w:t>81,0)</w:t>
            </w:r>
          </w:p>
        </w:tc>
        <w:tc>
          <w:tcPr>
            <w:tcW w:w="3100" w:type="dxa"/>
            <w:shd w:val="clear" w:color="auto" w:fill="auto"/>
          </w:tcPr>
          <w:p w14:paraId="3D394837" w14:textId="77777777" w:rsidR="00F74EF9" w:rsidRPr="00CD729C" w:rsidRDefault="00F74EF9" w:rsidP="009B4BB6">
            <w:pPr>
              <w:keepNext/>
              <w:keepLines/>
              <w:widowControl w:val="0"/>
              <w:tabs>
                <w:tab w:val="clear" w:pos="567"/>
                <w:tab w:val="left" w:pos="284"/>
              </w:tabs>
              <w:spacing w:line="240" w:lineRule="auto"/>
              <w:rPr>
                <w:rFonts w:eastAsia="MS Mincho"/>
                <w:szCs w:val="22"/>
              </w:rPr>
            </w:pPr>
            <w:r w:rsidRPr="00CD729C">
              <w:rPr>
                <w:rFonts w:eastAsia="MS Mincho"/>
                <w:szCs w:val="22"/>
              </w:rPr>
              <w:t>90,7 (85,6</w:t>
            </w:r>
            <w:r w:rsidRPr="00CD729C">
              <w:rPr>
                <w:rFonts w:eastAsia="MS Mincho"/>
                <w:szCs w:val="22"/>
              </w:rPr>
              <w:noBreakHyphen/>
              <w:t>94</w:t>
            </w:r>
            <w:r w:rsidR="000C6D50" w:rsidRPr="00CD729C">
              <w:rPr>
                <w:rFonts w:eastAsia="MS Mincho"/>
                <w:szCs w:val="22"/>
              </w:rPr>
              <w:t>,0</w:t>
            </w:r>
            <w:r w:rsidRPr="00CD729C">
              <w:rPr>
                <w:rFonts w:eastAsia="MS Mincho"/>
                <w:szCs w:val="22"/>
              </w:rPr>
              <w:t>)</w:t>
            </w:r>
          </w:p>
        </w:tc>
      </w:tr>
      <w:tr w:rsidR="00F74EF9" w:rsidRPr="00CD729C" w14:paraId="3D39483C" w14:textId="77777777">
        <w:tc>
          <w:tcPr>
            <w:tcW w:w="3099" w:type="dxa"/>
            <w:shd w:val="clear" w:color="auto" w:fill="auto"/>
          </w:tcPr>
          <w:p w14:paraId="3D394839" w14:textId="77777777" w:rsidR="00F74EF9" w:rsidRPr="00CD729C" w:rsidRDefault="00F74EF9" w:rsidP="009B4BB6">
            <w:pPr>
              <w:keepNext/>
              <w:keepLines/>
              <w:widowControl w:val="0"/>
              <w:tabs>
                <w:tab w:val="clear" w:pos="567"/>
              </w:tabs>
              <w:spacing w:line="240" w:lineRule="auto"/>
              <w:ind w:left="284"/>
              <w:rPr>
                <w:rFonts w:eastAsia="MS Mincho"/>
                <w:szCs w:val="22"/>
              </w:rPr>
            </w:pPr>
            <w:r w:rsidRPr="00CD729C">
              <w:rPr>
                <w:rFonts w:eastAsia="MS Mincho"/>
                <w:szCs w:val="22"/>
              </w:rPr>
              <w:t>36</w:t>
            </w:r>
            <w:r w:rsidRPr="00CD729C">
              <w:rPr>
                <w:rFonts w:eastAsia="MS Mincho"/>
                <w:szCs w:val="22"/>
                <w:lang w:eastAsia="ja-JP"/>
              </w:rPr>
              <w:t> </w:t>
            </w:r>
            <w:r w:rsidRPr="00CD729C">
              <w:rPr>
                <w:rFonts w:eastAsia="MS Mincho"/>
                <w:szCs w:val="22"/>
              </w:rPr>
              <w:t>mēneši</w:t>
            </w:r>
          </w:p>
        </w:tc>
        <w:tc>
          <w:tcPr>
            <w:tcW w:w="3100" w:type="dxa"/>
            <w:shd w:val="clear" w:color="auto" w:fill="auto"/>
          </w:tcPr>
          <w:p w14:paraId="3D39483A" w14:textId="77777777" w:rsidR="00F74EF9" w:rsidRPr="00CD729C" w:rsidRDefault="00F74EF9" w:rsidP="009B4BB6">
            <w:pPr>
              <w:keepNext/>
              <w:keepLines/>
              <w:widowControl w:val="0"/>
              <w:tabs>
                <w:tab w:val="clear" w:pos="567"/>
                <w:tab w:val="left" w:pos="284"/>
              </w:tabs>
              <w:spacing w:line="240" w:lineRule="auto"/>
              <w:rPr>
                <w:rFonts w:eastAsia="MS Mincho"/>
                <w:szCs w:val="22"/>
              </w:rPr>
            </w:pPr>
            <w:r w:rsidRPr="00CD729C">
              <w:rPr>
                <w:rFonts w:eastAsia="MS Mincho"/>
                <w:szCs w:val="22"/>
              </w:rPr>
              <w:t>60,1 (52,5</w:t>
            </w:r>
            <w:r w:rsidRPr="00CD729C">
              <w:rPr>
                <w:rFonts w:eastAsia="MS Mincho"/>
                <w:szCs w:val="22"/>
              </w:rPr>
              <w:noBreakHyphen/>
              <w:t>66,9)</w:t>
            </w:r>
          </w:p>
        </w:tc>
        <w:tc>
          <w:tcPr>
            <w:tcW w:w="3100" w:type="dxa"/>
            <w:shd w:val="clear" w:color="auto" w:fill="auto"/>
          </w:tcPr>
          <w:p w14:paraId="3D39483B" w14:textId="77777777" w:rsidR="00F74EF9" w:rsidRPr="00CD729C" w:rsidRDefault="00F74EF9" w:rsidP="009B4BB6">
            <w:pPr>
              <w:keepNext/>
              <w:keepLines/>
              <w:widowControl w:val="0"/>
              <w:tabs>
                <w:tab w:val="clear" w:pos="567"/>
                <w:tab w:val="left" w:pos="284"/>
              </w:tabs>
              <w:spacing w:line="240" w:lineRule="auto"/>
              <w:rPr>
                <w:rFonts w:eastAsia="MS Mincho"/>
                <w:szCs w:val="22"/>
              </w:rPr>
            </w:pPr>
            <w:r w:rsidRPr="00CD729C">
              <w:rPr>
                <w:rFonts w:eastAsia="MS Mincho"/>
                <w:szCs w:val="22"/>
              </w:rPr>
              <w:t>86,6 (80,8</w:t>
            </w:r>
            <w:r w:rsidRPr="00CD729C">
              <w:rPr>
                <w:rFonts w:eastAsia="MS Mincho"/>
                <w:szCs w:val="22"/>
              </w:rPr>
              <w:noBreakHyphen/>
              <w:t>90,8)</w:t>
            </w:r>
          </w:p>
        </w:tc>
      </w:tr>
      <w:tr w:rsidR="00F74EF9" w:rsidRPr="00CD729C" w14:paraId="3D394840" w14:textId="77777777">
        <w:tc>
          <w:tcPr>
            <w:tcW w:w="3099" w:type="dxa"/>
            <w:shd w:val="clear" w:color="auto" w:fill="auto"/>
          </w:tcPr>
          <w:p w14:paraId="3D39483D" w14:textId="77777777" w:rsidR="00F74EF9" w:rsidRPr="00CD729C" w:rsidRDefault="00F74EF9" w:rsidP="009B4BB6">
            <w:pPr>
              <w:keepNext/>
              <w:keepLines/>
              <w:widowControl w:val="0"/>
              <w:tabs>
                <w:tab w:val="clear" w:pos="567"/>
              </w:tabs>
              <w:spacing w:line="240" w:lineRule="auto"/>
              <w:ind w:left="284"/>
              <w:rPr>
                <w:rFonts w:eastAsia="MS Mincho"/>
                <w:szCs w:val="22"/>
              </w:rPr>
            </w:pPr>
            <w:r w:rsidRPr="00CD729C">
              <w:rPr>
                <w:rFonts w:eastAsia="MS Mincho"/>
                <w:szCs w:val="22"/>
              </w:rPr>
              <w:t>48</w:t>
            </w:r>
            <w:r w:rsidRPr="00CD729C">
              <w:rPr>
                <w:rFonts w:eastAsia="MS Mincho"/>
                <w:szCs w:val="22"/>
                <w:lang w:eastAsia="ja-JP"/>
              </w:rPr>
              <w:t> </w:t>
            </w:r>
            <w:r w:rsidRPr="00CD729C">
              <w:rPr>
                <w:rFonts w:eastAsia="MS Mincho"/>
                <w:szCs w:val="22"/>
              </w:rPr>
              <w:t>mēneši</w:t>
            </w:r>
          </w:p>
        </w:tc>
        <w:tc>
          <w:tcPr>
            <w:tcW w:w="3100" w:type="dxa"/>
            <w:shd w:val="clear" w:color="auto" w:fill="auto"/>
          </w:tcPr>
          <w:p w14:paraId="3D39483E" w14:textId="77777777" w:rsidR="00F74EF9" w:rsidRPr="00CD729C" w:rsidRDefault="00F74EF9" w:rsidP="009B4BB6">
            <w:pPr>
              <w:keepNext/>
              <w:keepLines/>
              <w:widowControl w:val="0"/>
              <w:tabs>
                <w:tab w:val="clear" w:pos="567"/>
                <w:tab w:val="left" w:pos="284"/>
              </w:tabs>
              <w:spacing w:line="240" w:lineRule="auto"/>
              <w:rPr>
                <w:rFonts w:eastAsia="MS Mincho"/>
                <w:szCs w:val="22"/>
              </w:rPr>
            </w:pPr>
            <w:r w:rsidRPr="00CD729C">
              <w:rPr>
                <w:rFonts w:eastAsia="MS Mincho"/>
                <w:szCs w:val="22"/>
              </w:rPr>
              <w:t>52,3 (44,0</w:t>
            </w:r>
            <w:r w:rsidRPr="00CD729C">
              <w:rPr>
                <w:rFonts w:eastAsia="MS Mincho"/>
                <w:szCs w:val="22"/>
              </w:rPr>
              <w:noBreakHyphen/>
              <w:t>59,8)</w:t>
            </w:r>
          </w:p>
        </w:tc>
        <w:tc>
          <w:tcPr>
            <w:tcW w:w="3100" w:type="dxa"/>
            <w:shd w:val="clear" w:color="auto" w:fill="auto"/>
          </w:tcPr>
          <w:p w14:paraId="3D39483F" w14:textId="77777777" w:rsidR="00F74EF9" w:rsidRPr="00CD729C" w:rsidRDefault="00F74EF9" w:rsidP="009B4BB6">
            <w:pPr>
              <w:keepNext/>
              <w:keepLines/>
              <w:widowControl w:val="0"/>
              <w:tabs>
                <w:tab w:val="clear" w:pos="567"/>
                <w:tab w:val="left" w:pos="284"/>
              </w:tabs>
              <w:spacing w:line="240" w:lineRule="auto"/>
              <w:rPr>
                <w:rFonts w:eastAsia="MS Mincho"/>
                <w:szCs w:val="22"/>
              </w:rPr>
            </w:pPr>
            <w:r w:rsidRPr="00CD729C">
              <w:rPr>
                <w:rFonts w:eastAsia="MS Mincho"/>
                <w:szCs w:val="22"/>
              </w:rPr>
              <w:t>78,3 (70,8</w:t>
            </w:r>
            <w:r w:rsidRPr="00CD729C">
              <w:rPr>
                <w:rFonts w:eastAsia="MS Mincho"/>
                <w:szCs w:val="22"/>
              </w:rPr>
              <w:noBreakHyphen/>
              <w:t>84,1)</w:t>
            </w:r>
          </w:p>
        </w:tc>
      </w:tr>
      <w:tr w:rsidR="00F74EF9" w:rsidRPr="00CD729C" w14:paraId="3D394844" w14:textId="77777777">
        <w:tc>
          <w:tcPr>
            <w:tcW w:w="3099" w:type="dxa"/>
            <w:shd w:val="clear" w:color="auto" w:fill="auto"/>
          </w:tcPr>
          <w:p w14:paraId="3D394841" w14:textId="77777777" w:rsidR="00F74EF9" w:rsidRPr="00CD729C" w:rsidRDefault="00F74EF9" w:rsidP="009B4BB6">
            <w:pPr>
              <w:keepNext/>
              <w:keepLines/>
              <w:widowControl w:val="0"/>
              <w:tabs>
                <w:tab w:val="clear" w:pos="567"/>
              </w:tabs>
              <w:spacing w:line="240" w:lineRule="auto"/>
              <w:ind w:left="284"/>
              <w:rPr>
                <w:rFonts w:eastAsia="MS Mincho"/>
                <w:szCs w:val="22"/>
              </w:rPr>
            </w:pPr>
            <w:r w:rsidRPr="00CD729C">
              <w:rPr>
                <w:rFonts w:eastAsia="MS Mincho"/>
                <w:szCs w:val="22"/>
              </w:rPr>
              <w:t>60</w:t>
            </w:r>
            <w:r w:rsidRPr="00CD729C">
              <w:rPr>
                <w:rFonts w:eastAsia="MS Mincho"/>
                <w:szCs w:val="22"/>
                <w:lang w:eastAsia="ja-JP"/>
              </w:rPr>
              <w:t> </w:t>
            </w:r>
            <w:r w:rsidRPr="00CD729C">
              <w:rPr>
                <w:rFonts w:eastAsia="MS Mincho"/>
                <w:szCs w:val="22"/>
              </w:rPr>
              <w:t>mēneši</w:t>
            </w:r>
          </w:p>
        </w:tc>
        <w:tc>
          <w:tcPr>
            <w:tcW w:w="3100" w:type="dxa"/>
            <w:shd w:val="clear" w:color="auto" w:fill="auto"/>
          </w:tcPr>
          <w:p w14:paraId="3D394842" w14:textId="77777777" w:rsidR="00F74EF9" w:rsidRPr="00CD729C" w:rsidRDefault="00F74EF9" w:rsidP="009B4BB6">
            <w:pPr>
              <w:keepNext/>
              <w:keepLines/>
              <w:widowControl w:val="0"/>
              <w:tabs>
                <w:tab w:val="clear" w:pos="567"/>
                <w:tab w:val="left" w:pos="284"/>
              </w:tabs>
              <w:spacing w:line="240" w:lineRule="auto"/>
              <w:rPr>
                <w:rFonts w:eastAsia="MS Mincho"/>
                <w:szCs w:val="22"/>
              </w:rPr>
            </w:pPr>
            <w:r w:rsidRPr="00CD729C">
              <w:rPr>
                <w:rFonts w:eastAsia="MS Mincho"/>
                <w:szCs w:val="22"/>
              </w:rPr>
              <w:t>47,9 (39,0</w:t>
            </w:r>
            <w:r w:rsidRPr="00CD729C">
              <w:rPr>
                <w:rFonts w:eastAsia="MS Mincho"/>
                <w:szCs w:val="22"/>
              </w:rPr>
              <w:noBreakHyphen/>
              <w:t>56,3)</w:t>
            </w:r>
          </w:p>
        </w:tc>
        <w:tc>
          <w:tcPr>
            <w:tcW w:w="3100" w:type="dxa"/>
            <w:shd w:val="clear" w:color="auto" w:fill="auto"/>
          </w:tcPr>
          <w:p w14:paraId="3D394843" w14:textId="77777777" w:rsidR="00F74EF9" w:rsidRPr="00CD729C" w:rsidRDefault="00F74EF9" w:rsidP="009B4BB6">
            <w:pPr>
              <w:keepNext/>
              <w:keepLines/>
              <w:widowControl w:val="0"/>
              <w:tabs>
                <w:tab w:val="clear" w:pos="567"/>
                <w:tab w:val="left" w:pos="284"/>
              </w:tabs>
              <w:spacing w:line="240" w:lineRule="auto"/>
              <w:rPr>
                <w:rFonts w:eastAsia="MS Mincho"/>
                <w:szCs w:val="22"/>
              </w:rPr>
            </w:pPr>
            <w:r w:rsidRPr="00CD729C">
              <w:rPr>
                <w:rFonts w:eastAsia="MS Mincho"/>
                <w:szCs w:val="22"/>
              </w:rPr>
              <w:t>65,6 (56,1</w:t>
            </w:r>
            <w:r w:rsidRPr="00CD729C">
              <w:rPr>
                <w:rFonts w:eastAsia="MS Mincho"/>
                <w:szCs w:val="22"/>
              </w:rPr>
              <w:noBreakHyphen/>
              <w:t>73,4)</w:t>
            </w:r>
          </w:p>
        </w:tc>
      </w:tr>
      <w:tr w:rsidR="00F74EF9" w:rsidRPr="00CD729C" w14:paraId="3D394848" w14:textId="77777777">
        <w:tc>
          <w:tcPr>
            <w:tcW w:w="3099" w:type="dxa"/>
            <w:shd w:val="clear" w:color="auto" w:fill="auto"/>
          </w:tcPr>
          <w:p w14:paraId="3D394845" w14:textId="77777777" w:rsidR="00F74EF9" w:rsidRPr="00CD729C" w:rsidRDefault="00F74EF9" w:rsidP="009B4BB6">
            <w:pPr>
              <w:keepNext/>
              <w:keepLines/>
              <w:widowControl w:val="0"/>
              <w:tabs>
                <w:tab w:val="clear" w:pos="567"/>
                <w:tab w:val="left" w:pos="284"/>
              </w:tabs>
              <w:spacing w:line="240" w:lineRule="auto"/>
              <w:rPr>
                <w:rFonts w:eastAsia="MS Mincho"/>
                <w:b/>
                <w:szCs w:val="22"/>
              </w:rPr>
            </w:pPr>
            <w:r w:rsidRPr="00CD729C">
              <w:rPr>
                <w:rFonts w:eastAsia="MS Mincho"/>
                <w:b/>
                <w:szCs w:val="22"/>
              </w:rPr>
              <w:t>Dzīvildze</w:t>
            </w:r>
          </w:p>
        </w:tc>
        <w:tc>
          <w:tcPr>
            <w:tcW w:w="3100" w:type="dxa"/>
            <w:shd w:val="clear" w:color="auto" w:fill="auto"/>
          </w:tcPr>
          <w:p w14:paraId="3D394846" w14:textId="77777777" w:rsidR="00F74EF9" w:rsidRPr="00CD729C" w:rsidRDefault="00F74EF9" w:rsidP="009B4BB6">
            <w:pPr>
              <w:keepNext/>
              <w:keepLines/>
              <w:widowControl w:val="0"/>
              <w:tabs>
                <w:tab w:val="clear" w:pos="567"/>
                <w:tab w:val="left" w:pos="284"/>
              </w:tabs>
              <w:spacing w:line="240" w:lineRule="auto"/>
              <w:rPr>
                <w:rFonts w:eastAsia="MS Mincho"/>
                <w:szCs w:val="22"/>
              </w:rPr>
            </w:pPr>
          </w:p>
        </w:tc>
        <w:tc>
          <w:tcPr>
            <w:tcW w:w="3100" w:type="dxa"/>
            <w:shd w:val="clear" w:color="auto" w:fill="auto"/>
          </w:tcPr>
          <w:p w14:paraId="3D394847" w14:textId="77777777" w:rsidR="00F74EF9" w:rsidRPr="00CD729C" w:rsidRDefault="00F74EF9" w:rsidP="009B4BB6">
            <w:pPr>
              <w:keepNext/>
              <w:keepLines/>
              <w:widowControl w:val="0"/>
              <w:tabs>
                <w:tab w:val="clear" w:pos="567"/>
                <w:tab w:val="left" w:pos="284"/>
              </w:tabs>
              <w:spacing w:line="240" w:lineRule="auto"/>
              <w:rPr>
                <w:rFonts w:eastAsia="MS Mincho"/>
                <w:szCs w:val="22"/>
              </w:rPr>
            </w:pPr>
          </w:p>
        </w:tc>
      </w:tr>
      <w:tr w:rsidR="00F74EF9" w:rsidRPr="00CD729C" w14:paraId="3D39484C" w14:textId="77777777">
        <w:tc>
          <w:tcPr>
            <w:tcW w:w="3099" w:type="dxa"/>
            <w:shd w:val="clear" w:color="auto" w:fill="auto"/>
          </w:tcPr>
          <w:p w14:paraId="3D394849" w14:textId="77777777" w:rsidR="00F74EF9" w:rsidRPr="00CD729C" w:rsidRDefault="00F74EF9" w:rsidP="009B4BB6">
            <w:pPr>
              <w:keepNext/>
              <w:keepLines/>
              <w:widowControl w:val="0"/>
              <w:tabs>
                <w:tab w:val="clear" w:pos="567"/>
              </w:tabs>
              <w:spacing w:line="240" w:lineRule="auto"/>
              <w:ind w:left="284"/>
              <w:rPr>
                <w:rFonts w:eastAsia="MS Mincho"/>
                <w:szCs w:val="22"/>
              </w:rPr>
            </w:pPr>
            <w:r w:rsidRPr="00CD729C">
              <w:rPr>
                <w:rFonts w:eastAsia="MS Mincho"/>
                <w:szCs w:val="22"/>
              </w:rPr>
              <w:t>36</w:t>
            </w:r>
            <w:r w:rsidRPr="00CD729C">
              <w:rPr>
                <w:rFonts w:eastAsia="MS Mincho"/>
                <w:szCs w:val="22"/>
                <w:lang w:eastAsia="ja-JP"/>
              </w:rPr>
              <w:t> </w:t>
            </w:r>
            <w:r w:rsidRPr="00CD729C">
              <w:rPr>
                <w:rFonts w:eastAsia="MS Mincho"/>
                <w:szCs w:val="22"/>
              </w:rPr>
              <w:t>mēneši</w:t>
            </w:r>
          </w:p>
        </w:tc>
        <w:tc>
          <w:tcPr>
            <w:tcW w:w="3100" w:type="dxa"/>
            <w:shd w:val="clear" w:color="auto" w:fill="auto"/>
          </w:tcPr>
          <w:p w14:paraId="3D39484A" w14:textId="77777777" w:rsidR="00F74EF9" w:rsidRPr="00CD729C" w:rsidRDefault="00F74EF9" w:rsidP="009B4BB6">
            <w:pPr>
              <w:keepNext/>
              <w:keepLines/>
              <w:widowControl w:val="0"/>
              <w:tabs>
                <w:tab w:val="clear" w:pos="567"/>
                <w:tab w:val="left" w:pos="284"/>
              </w:tabs>
              <w:spacing w:line="240" w:lineRule="auto"/>
              <w:rPr>
                <w:rFonts w:eastAsia="MS Mincho"/>
                <w:szCs w:val="22"/>
              </w:rPr>
            </w:pPr>
            <w:r w:rsidRPr="00CD729C">
              <w:rPr>
                <w:rFonts w:eastAsia="MS Mincho"/>
                <w:szCs w:val="22"/>
              </w:rPr>
              <w:t>94,0 (89,5</w:t>
            </w:r>
            <w:r w:rsidRPr="00CD729C">
              <w:rPr>
                <w:rFonts w:eastAsia="MS Mincho"/>
                <w:szCs w:val="22"/>
              </w:rPr>
              <w:noBreakHyphen/>
              <w:t>96,7)</w:t>
            </w:r>
          </w:p>
        </w:tc>
        <w:tc>
          <w:tcPr>
            <w:tcW w:w="3100" w:type="dxa"/>
            <w:shd w:val="clear" w:color="auto" w:fill="auto"/>
          </w:tcPr>
          <w:p w14:paraId="3D39484B" w14:textId="77777777" w:rsidR="00F74EF9" w:rsidRPr="00CD729C" w:rsidRDefault="00F74EF9" w:rsidP="009B4BB6">
            <w:pPr>
              <w:keepNext/>
              <w:keepLines/>
              <w:widowControl w:val="0"/>
              <w:tabs>
                <w:tab w:val="clear" w:pos="567"/>
                <w:tab w:val="left" w:pos="284"/>
              </w:tabs>
              <w:spacing w:line="240" w:lineRule="auto"/>
              <w:rPr>
                <w:rFonts w:eastAsia="MS Mincho"/>
                <w:szCs w:val="22"/>
              </w:rPr>
            </w:pPr>
            <w:r w:rsidRPr="00CD729C">
              <w:rPr>
                <w:rFonts w:eastAsia="MS Mincho"/>
                <w:szCs w:val="22"/>
              </w:rPr>
              <w:t>96,3 (92,4</w:t>
            </w:r>
            <w:r w:rsidRPr="00CD729C">
              <w:rPr>
                <w:rFonts w:eastAsia="MS Mincho"/>
                <w:szCs w:val="22"/>
              </w:rPr>
              <w:noBreakHyphen/>
              <w:t>98,2)</w:t>
            </w:r>
          </w:p>
        </w:tc>
      </w:tr>
      <w:tr w:rsidR="00F74EF9" w:rsidRPr="00CD729C" w14:paraId="3D394850" w14:textId="77777777">
        <w:tc>
          <w:tcPr>
            <w:tcW w:w="3099" w:type="dxa"/>
            <w:shd w:val="clear" w:color="auto" w:fill="auto"/>
          </w:tcPr>
          <w:p w14:paraId="3D39484D" w14:textId="77777777" w:rsidR="00F74EF9" w:rsidRPr="00CD729C" w:rsidRDefault="00F74EF9" w:rsidP="009B4BB6">
            <w:pPr>
              <w:keepNext/>
              <w:keepLines/>
              <w:widowControl w:val="0"/>
              <w:tabs>
                <w:tab w:val="clear" w:pos="567"/>
              </w:tabs>
              <w:spacing w:line="240" w:lineRule="auto"/>
              <w:ind w:left="284"/>
              <w:rPr>
                <w:rFonts w:eastAsia="MS Mincho"/>
                <w:szCs w:val="22"/>
              </w:rPr>
            </w:pPr>
            <w:r w:rsidRPr="00CD729C">
              <w:rPr>
                <w:rFonts w:eastAsia="MS Mincho"/>
                <w:szCs w:val="22"/>
              </w:rPr>
              <w:t>48</w:t>
            </w:r>
            <w:r w:rsidRPr="00CD729C">
              <w:rPr>
                <w:rFonts w:eastAsia="MS Mincho"/>
                <w:szCs w:val="22"/>
                <w:lang w:eastAsia="ja-JP"/>
              </w:rPr>
              <w:t> </w:t>
            </w:r>
            <w:r w:rsidRPr="00CD729C">
              <w:rPr>
                <w:rFonts w:eastAsia="MS Mincho"/>
                <w:szCs w:val="22"/>
              </w:rPr>
              <w:t>mēneši</w:t>
            </w:r>
          </w:p>
        </w:tc>
        <w:tc>
          <w:tcPr>
            <w:tcW w:w="3100" w:type="dxa"/>
            <w:shd w:val="clear" w:color="auto" w:fill="auto"/>
          </w:tcPr>
          <w:p w14:paraId="3D39484E" w14:textId="77777777" w:rsidR="00F74EF9" w:rsidRPr="00CD729C" w:rsidRDefault="00F74EF9" w:rsidP="009B4BB6">
            <w:pPr>
              <w:keepNext/>
              <w:keepLines/>
              <w:widowControl w:val="0"/>
              <w:tabs>
                <w:tab w:val="clear" w:pos="567"/>
                <w:tab w:val="left" w:pos="284"/>
              </w:tabs>
              <w:spacing w:line="240" w:lineRule="auto"/>
              <w:rPr>
                <w:rFonts w:eastAsia="MS Mincho"/>
                <w:szCs w:val="22"/>
              </w:rPr>
            </w:pPr>
            <w:r w:rsidRPr="00CD729C">
              <w:rPr>
                <w:rFonts w:eastAsia="MS Mincho"/>
                <w:szCs w:val="22"/>
              </w:rPr>
              <w:t>87,9 (81,1</w:t>
            </w:r>
            <w:r w:rsidRPr="00CD729C">
              <w:rPr>
                <w:rFonts w:eastAsia="MS Mincho"/>
                <w:szCs w:val="22"/>
              </w:rPr>
              <w:noBreakHyphen/>
              <w:t>92,3)</w:t>
            </w:r>
          </w:p>
        </w:tc>
        <w:tc>
          <w:tcPr>
            <w:tcW w:w="3100" w:type="dxa"/>
            <w:shd w:val="clear" w:color="auto" w:fill="auto"/>
          </w:tcPr>
          <w:p w14:paraId="3D39484F" w14:textId="77777777" w:rsidR="00F74EF9" w:rsidRPr="00CD729C" w:rsidRDefault="00F74EF9" w:rsidP="009B4BB6">
            <w:pPr>
              <w:keepNext/>
              <w:keepLines/>
              <w:widowControl w:val="0"/>
              <w:tabs>
                <w:tab w:val="clear" w:pos="567"/>
                <w:tab w:val="left" w:pos="284"/>
              </w:tabs>
              <w:spacing w:line="240" w:lineRule="auto"/>
              <w:rPr>
                <w:rFonts w:eastAsia="MS Mincho"/>
                <w:szCs w:val="22"/>
              </w:rPr>
            </w:pPr>
            <w:r w:rsidRPr="00CD729C">
              <w:rPr>
                <w:rFonts w:eastAsia="MS Mincho"/>
                <w:szCs w:val="22"/>
              </w:rPr>
              <w:t>95,6 (91,2</w:t>
            </w:r>
            <w:r w:rsidRPr="00CD729C">
              <w:rPr>
                <w:rFonts w:eastAsia="MS Mincho"/>
                <w:szCs w:val="22"/>
              </w:rPr>
              <w:noBreakHyphen/>
              <w:t>97,8)</w:t>
            </w:r>
          </w:p>
        </w:tc>
      </w:tr>
      <w:tr w:rsidR="00F74EF9" w:rsidRPr="00CD729C" w14:paraId="3D394854" w14:textId="77777777">
        <w:tc>
          <w:tcPr>
            <w:tcW w:w="3099" w:type="dxa"/>
            <w:shd w:val="clear" w:color="auto" w:fill="auto"/>
          </w:tcPr>
          <w:p w14:paraId="3D394851" w14:textId="77777777" w:rsidR="00F74EF9" w:rsidRPr="00CD729C" w:rsidRDefault="00F74EF9" w:rsidP="009B4BB6">
            <w:pPr>
              <w:keepNext/>
              <w:keepLines/>
              <w:widowControl w:val="0"/>
              <w:tabs>
                <w:tab w:val="clear" w:pos="567"/>
              </w:tabs>
              <w:spacing w:line="240" w:lineRule="auto"/>
              <w:ind w:left="284"/>
              <w:rPr>
                <w:rFonts w:eastAsia="MS Mincho"/>
                <w:szCs w:val="22"/>
              </w:rPr>
            </w:pPr>
            <w:r w:rsidRPr="00CD729C">
              <w:rPr>
                <w:rFonts w:eastAsia="MS Mincho"/>
                <w:szCs w:val="22"/>
              </w:rPr>
              <w:t>60</w:t>
            </w:r>
            <w:r w:rsidRPr="00CD729C">
              <w:rPr>
                <w:rFonts w:eastAsia="MS Mincho"/>
                <w:szCs w:val="22"/>
                <w:lang w:eastAsia="ja-JP"/>
              </w:rPr>
              <w:t> </w:t>
            </w:r>
            <w:r w:rsidRPr="00CD729C">
              <w:rPr>
                <w:rFonts w:eastAsia="MS Mincho"/>
                <w:szCs w:val="22"/>
              </w:rPr>
              <w:t>mēneši</w:t>
            </w:r>
          </w:p>
        </w:tc>
        <w:tc>
          <w:tcPr>
            <w:tcW w:w="3100" w:type="dxa"/>
            <w:shd w:val="clear" w:color="auto" w:fill="auto"/>
          </w:tcPr>
          <w:p w14:paraId="3D394852" w14:textId="77777777" w:rsidR="00F74EF9" w:rsidRPr="00CD729C" w:rsidRDefault="00F74EF9" w:rsidP="009B4BB6">
            <w:pPr>
              <w:keepNext/>
              <w:keepLines/>
              <w:widowControl w:val="0"/>
              <w:tabs>
                <w:tab w:val="clear" w:pos="567"/>
                <w:tab w:val="left" w:pos="284"/>
              </w:tabs>
              <w:spacing w:line="240" w:lineRule="auto"/>
              <w:rPr>
                <w:rFonts w:eastAsia="MS Mincho"/>
                <w:szCs w:val="22"/>
              </w:rPr>
            </w:pPr>
            <w:r w:rsidRPr="00CD729C">
              <w:rPr>
                <w:rFonts w:eastAsia="MS Mincho"/>
                <w:szCs w:val="22"/>
              </w:rPr>
              <w:t>81,7 (73,0</w:t>
            </w:r>
            <w:r w:rsidRPr="00CD729C">
              <w:rPr>
                <w:rFonts w:eastAsia="MS Mincho"/>
                <w:szCs w:val="22"/>
              </w:rPr>
              <w:noBreakHyphen/>
              <w:t>87,8)</w:t>
            </w:r>
          </w:p>
        </w:tc>
        <w:tc>
          <w:tcPr>
            <w:tcW w:w="3100" w:type="dxa"/>
            <w:shd w:val="clear" w:color="auto" w:fill="auto"/>
          </w:tcPr>
          <w:p w14:paraId="3D394853" w14:textId="77777777" w:rsidR="00F74EF9" w:rsidRPr="00CD729C" w:rsidRDefault="00F74EF9" w:rsidP="009B4BB6">
            <w:pPr>
              <w:keepNext/>
              <w:keepLines/>
              <w:widowControl w:val="0"/>
              <w:tabs>
                <w:tab w:val="clear" w:pos="567"/>
                <w:tab w:val="left" w:pos="284"/>
              </w:tabs>
              <w:spacing w:line="240" w:lineRule="auto"/>
              <w:rPr>
                <w:rFonts w:eastAsia="MS Mincho"/>
                <w:szCs w:val="22"/>
              </w:rPr>
            </w:pPr>
            <w:r w:rsidRPr="00CD729C">
              <w:rPr>
                <w:rFonts w:eastAsia="MS Mincho"/>
                <w:szCs w:val="22"/>
              </w:rPr>
              <w:t>92,0 (85,3</w:t>
            </w:r>
            <w:r w:rsidRPr="00CD729C">
              <w:rPr>
                <w:rFonts w:eastAsia="MS Mincho"/>
                <w:szCs w:val="22"/>
              </w:rPr>
              <w:noBreakHyphen/>
              <w:t>95,7)</w:t>
            </w:r>
          </w:p>
        </w:tc>
      </w:tr>
    </w:tbl>
    <w:p w14:paraId="3D394855" w14:textId="77777777" w:rsidR="00F74EF9" w:rsidRPr="00CD729C" w:rsidRDefault="00F74EF9" w:rsidP="009B4BB6">
      <w:pPr>
        <w:widowControl w:val="0"/>
        <w:tabs>
          <w:tab w:val="clear" w:pos="567"/>
        </w:tabs>
        <w:spacing w:line="240" w:lineRule="auto"/>
        <w:rPr>
          <w:rFonts w:eastAsia="MS Mincho"/>
          <w:szCs w:val="22"/>
        </w:rPr>
      </w:pPr>
    </w:p>
    <w:p w14:paraId="3D394856" w14:textId="77777777" w:rsidR="00F74EF9" w:rsidRPr="00CD729C" w:rsidRDefault="00EB334D" w:rsidP="009B4BB6">
      <w:pPr>
        <w:keepNext/>
        <w:keepLines/>
        <w:widowControl w:val="0"/>
        <w:spacing w:line="240" w:lineRule="auto"/>
        <w:ind w:left="1134" w:hanging="1134"/>
        <w:outlineLvl w:val="6"/>
        <w:rPr>
          <w:rFonts w:eastAsia="MS Mincho"/>
          <w:b/>
          <w:szCs w:val="22"/>
        </w:rPr>
      </w:pPr>
      <w:r w:rsidRPr="00CD729C">
        <w:rPr>
          <w:noProof/>
          <w:lang w:val="en-GB" w:eastAsia="en-GB"/>
        </w:rPr>
        <mc:AlternateContent>
          <mc:Choice Requires="wps">
            <w:drawing>
              <wp:anchor distT="0" distB="0" distL="114300" distR="114300" simplePos="0" relativeHeight="251652096" behindDoc="0" locked="0" layoutInCell="1" allowOverlap="1" wp14:anchorId="3D395816" wp14:editId="3D395817">
                <wp:simplePos x="0" y="0"/>
                <wp:positionH relativeFrom="column">
                  <wp:posOffset>-226695</wp:posOffset>
                </wp:positionH>
                <wp:positionV relativeFrom="paragraph">
                  <wp:posOffset>111125</wp:posOffset>
                </wp:positionV>
                <wp:extent cx="335915" cy="26797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6797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95847" w14:textId="77777777" w:rsidR="00C23AAA" w:rsidRPr="00A33DBA" w:rsidRDefault="00C23AAA" w:rsidP="00407F0E">
                            <w:pPr>
                              <w:rPr>
                                <w:rFonts w:ascii="Arial" w:hAnsi="Arial" w:cs="Arial"/>
                                <w:sz w:val="20"/>
                              </w:rPr>
                            </w:pPr>
                            <w:r>
                              <w:rPr>
                                <w:rFonts w:ascii="Arial" w:hAnsi="Arial" w:cs="Arial"/>
                                <w:sz w:val="20"/>
                              </w:rPr>
                              <w:t>D</w:t>
                            </w:r>
                            <w:r w:rsidRPr="008E7CB7">
                              <w:rPr>
                                <w:rFonts w:ascii="Arial" w:hAnsi="Arial" w:cs="Arial"/>
                                <w:sz w:val="20"/>
                              </w:rPr>
                              <w:t>zīvildze</w:t>
                            </w:r>
                            <w:r>
                              <w:rPr>
                                <w:rFonts w:ascii="Arial" w:hAnsi="Arial" w:cs="Arial"/>
                                <w:sz w:val="20"/>
                              </w:rPr>
                              <w:t>s</w:t>
                            </w:r>
                            <w:r w:rsidRPr="008E7CB7">
                              <w:rPr>
                                <w:rFonts w:ascii="Arial" w:hAnsi="Arial" w:cs="Arial"/>
                                <w:sz w:val="20"/>
                              </w:rPr>
                              <w:t xml:space="preserve"> bez recidīva </w:t>
                            </w:r>
                            <w:r w:rsidRPr="000C1F7F">
                              <w:rPr>
                                <w:rFonts w:ascii="Arial" w:hAnsi="Arial" w:cs="Arial"/>
                                <w:sz w:val="20"/>
                              </w:rPr>
                              <w:t>varbūtība</w:t>
                            </w:r>
                          </w:p>
                          <w:p w14:paraId="3D395848" w14:textId="77777777" w:rsidR="00C23AAA" w:rsidRPr="00A33DBA" w:rsidRDefault="00C23AAA" w:rsidP="00F74EF9">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395816" id="_x0000_t202" coordsize="21600,21600" o:spt="202" path="m,l,21600r21600,l21600,xe">
                <v:stroke joinstyle="miter"/>
                <v:path gradientshapeok="t" o:connecttype="rect"/>
              </v:shapetype>
              <v:shape id="Text Box 2" o:spid="_x0000_s1026" type="#_x0000_t202" style="position:absolute;left:0;text-align:left;margin-left:-17.85pt;margin-top:8.75pt;width:26.45pt;height:21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" stroked="f">
                <v:fill opacity="0"/>
                <v:textbox style="layout-flow:vertical;mso-layout-flow-alt:bottom-to-top">
                  <w:txbxContent>
                    <w:p w14:paraId="3D395847" w14:textId="77777777" w:rsidR="00C23AAA" w:rsidRPr="00A33DBA" w:rsidRDefault="00C23AAA" w:rsidP="00407F0E">
                      <w:pPr>
                        <w:rPr>
                          <w:rFonts w:ascii="Arial" w:hAnsi="Arial" w:cs="Arial"/>
                          <w:sz w:val="20"/>
                        </w:rPr>
                      </w:pPr>
                      <w:r>
                        <w:rPr>
                          <w:rFonts w:ascii="Arial" w:hAnsi="Arial" w:cs="Arial"/>
                          <w:sz w:val="20"/>
                        </w:rPr>
                        <w:t>D</w:t>
                      </w:r>
                      <w:r w:rsidRPr="008E7CB7">
                        <w:rPr>
                          <w:rFonts w:ascii="Arial" w:hAnsi="Arial" w:cs="Arial"/>
                          <w:sz w:val="20"/>
                        </w:rPr>
                        <w:t>zīvildze</w:t>
                      </w:r>
                      <w:r>
                        <w:rPr>
                          <w:rFonts w:ascii="Arial" w:hAnsi="Arial" w:cs="Arial"/>
                          <w:sz w:val="20"/>
                        </w:rPr>
                        <w:t>s</w:t>
                      </w:r>
                      <w:r w:rsidRPr="008E7CB7">
                        <w:rPr>
                          <w:rFonts w:ascii="Arial" w:hAnsi="Arial" w:cs="Arial"/>
                          <w:sz w:val="20"/>
                        </w:rPr>
                        <w:t xml:space="preserve"> bez recidīva </w:t>
                      </w:r>
                      <w:r w:rsidRPr="000C1F7F">
                        <w:rPr>
                          <w:rFonts w:ascii="Arial" w:hAnsi="Arial" w:cs="Arial"/>
                          <w:sz w:val="20"/>
                        </w:rPr>
                        <w:t>varbūtība</w:t>
                      </w:r>
                    </w:p>
                    <w:p w14:paraId="3D395848" w14:textId="77777777" w:rsidR="00C23AAA" w:rsidRPr="00A33DBA" w:rsidRDefault="00C23AAA" w:rsidP="00F74EF9">
                      <w:pPr>
                        <w:rPr>
                          <w:rFonts w:ascii="Arial" w:hAnsi="Arial" w:cs="Arial"/>
                          <w:sz w:val="20"/>
                        </w:rPr>
                      </w:pPr>
                    </w:p>
                  </w:txbxContent>
                </v:textbox>
              </v:shape>
            </w:pict>
          </mc:Fallback>
        </mc:AlternateContent>
      </w:r>
      <w:r w:rsidR="00F74EF9" w:rsidRPr="00CD729C">
        <w:rPr>
          <w:rFonts w:eastAsia="MS Mincho"/>
          <w:b/>
          <w:szCs w:val="22"/>
        </w:rPr>
        <w:t>1. attēls</w:t>
      </w:r>
      <w:r w:rsidR="00524AEC" w:rsidRPr="00CD729C">
        <w:rPr>
          <w:rFonts w:eastAsia="MS Mincho"/>
          <w:b/>
          <w:szCs w:val="22"/>
        </w:rPr>
        <w:t>.</w:t>
      </w:r>
      <w:r w:rsidR="00F74EF9" w:rsidRPr="00CD729C">
        <w:rPr>
          <w:rFonts w:eastAsia="MS Mincho"/>
          <w:b/>
          <w:szCs w:val="22"/>
        </w:rPr>
        <w:tab/>
      </w:r>
      <w:r w:rsidR="00F74EF9" w:rsidRPr="00CD729C">
        <w:rPr>
          <w:rFonts w:eastAsia="MS Mincho"/>
          <w:b/>
          <w:i/>
          <w:szCs w:val="22"/>
        </w:rPr>
        <w:t>Kaplan-Meier</w:t>
      </w:r>
      <w:r w:rsidR="00F74EF9" w:rsidRPr="00CD729C">
        <w:rPr>
          <w:rFonts w:eastAsia="MS Mincho"/>
          <w:b/>
          <w:szCs w:val="22"/>
        </w:rPr>
        <w:t xml:space="preserve"> </w:t>
      </w:r>
      <w:r w:rsidR="00524AEC" w:rsidRPr="00CD729C">
        <w:rPr>
          <w:rFonts w:eastAsia="MS Mincho"/>
          <w:b/>
          <w:szCs w:val="22"/>
        </w:rPr>
        <w:t>novērtējums</w:t>
      </w:r>
      <w:r w:rsidR="00F74EF9" w:rsidRPr="00CD729C">
        <w:rPr>
          <w:rFonts w:eastAsia="MS Mincho"/>
          <w:b/>
          <w:szCs w:val="22"/>
        </w:rPr>
        <w:t xml:space="preserve"> mērķa kritērij</w:t>
      </w:r>
      <w:r w:rsidR="00524AEC" w:rsidRPr="00CD729C">
        <w:rPr>
          <w:rFonts w:eastAsia="MS Mincho"/>
          <w:b/>
          <w:szCs w:val="22"/>
        </w:rPr>
        <w:t>am -</w:t>
      </w:r>
      <w:r w:rsidR="00F74EF9" w:rsidRPr="00CD729C">
        <w:rPr>
          <w:rFonts w:eastAsia="MS Mincho"/>
          <w:b/>
          <w:szCs w:val="22"/>
        </w:rPr>
        <w:t xml:space="preserve"> dzīvildzei bez recidīva (ITT grupa)</w:t>
      </w:r>
    </w:p>
    <w:p w14:paraId="3D394857" w14:textId="77777777" w:rsidR="00F74EF9" w:rsidRPr="00CD729C" w:rsidRDefault="00F74EF9" w:rsidP="009B4BB6">
      <w:pPr>
        <w:keepNext/>
        <w:keepLines/>
        <w:widowControl w:val="0"/>
        <w:tabs>
          <w:tab w:val="clear" w:pos="567"/>
        </w:tabs>
        <w:spacing w:line="240" w:lineRule="auto"/>
        <w:rPr>
          <w:rFonts w:eastAsia="MS Mincho"/>
          <w:szCs w:val="22"/>
        </w:rPr>
      </w:pPr>
    </w:p>
    <w:p w14:paraId="3D394858" w14:textId="77777777" w:rsidR="00F74EF9" w:rsidRPr="00CD729C" w:rsidRDefault="00EB334D" w:rsidP="009B4BB6">
      <w:pPr>
        <w:keepNext/>
        <w:keepLines/>
        <w:widowControl w:val="0"/>
        <w:tabs>
          <w:tab w:val="clear" w:pos="567"/>
        </w:tabs>
        <w:spacing w:line="240" w:lineRule="auto"/>
        <w:rPr>
          <w:rFonts w:eastAsia="MS Mincho"/>
          <w:szCs w:val="22"/>
        </w:rPr>
      </w:pPr>
      <w:r w:rsidRPr="00CD729C">
        <w:rPr>
          <w:noProof/>
          <w:lang w:val="en-GB" w:eastAsia="en-GB"/>
        </w:rPr>
        <mc:AlternateContent>
          <mc:Choice Requires="wps">
            <w:drawing>
              <wp:anchor distT="0" distB="0" distL="114300" distR="114300" simplePos="0" relativeHeight="251653120" behindDoc="0" locked="0" layoutInCell="1" allowOverlap="1" wp14:anchorId="3D395818" wp14:editId="3D395819">
                <wp:simplePos x="0" y="0"/>
                <wp:positionH relativeFrom="column">
                  <wp:posOffset>350520</wp:posOffset>
                </wp:positionH>
                <wp:positionV relativeFrom="paragraph">
                  <wp:posOffset>1128395</wp:posOffset>
                </wp:positionV>
                <wp:extent cx="4585335" cy="133286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33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851"/>
                              <w:gridCol w:w="1017"/>
                              <w:gridCol w:w="950"/>
                            </w:tblGrid>
                            <w:tr w:rsidR="00C23AAA" w:rsidRPr="0055776F" w14:paraId="3D39584C" w14:textId="77777777">
                              <w:trPr>
                                <w:gridAfter w:val="3"/>
                                <w:wAfter w:w="2410" w:type="dxa"/>
                              </w:trPr>
                              <w:tc>
                                <w:tcPr>
                                  <w:tcW w:w="3281" w:type="dxa"/>
                                  <w:gridSpan w:val="2"/>
                                  <w:shd w:val="clear" w:color="auto" w:fill="auto"/>
                                </w:tcPr>
                                <w:p w14:paraId="3D395849" w14:textId="77777777" w:rsidR="00C23AAA" w:rsidRPr="0055776F" w:rsidRDefault="00C23AAA" w:rsidP="004F02B8">
                                  <w:pPr>
                                    <w:rPr>
                                      <w:rFonts w:ascii="Arial" w:hAnsi="Arial" w:cs="Arial"/>
                                      <w:sz w:val="20"/>
                                    </w:rPr>
                                  </w:pPr>
                                  <w:r>
                                    <w:rPr>
                                      <w:rFonts w:ascii="Arial" w:hAnsi="Arial" w:cs="Arial"/>
                                      <w:sz w:val="20"/>
                                    </w:rPr>
                                    <w:t>P &lt; 0,0001</w:t>
                                  </w:r>
                                </w:p>
                                <w:p w14:paraId="3D39584A" w14:textId="77777777" w:rsidR="00C23AAA" w:rsidRPr="0055776F" w:rsidRDefault="00C23AAA" w:rsidP="004F02B8">
                                  <w:pPr>
                                    <w:rPr>
                                      <w:rFonts w:ascii="Arial" w:hAnsi="Arial" w:cs="Arial"/>
                                      <w:sz w:val="20"/>
                                    </w:rPr>
                                  </w:pPr>
                                  <w:r>
                                    <w:rPr>
                                      <w:rFonts w:ascii="Arial" w:hAnsi="Arial" w:cs="Arial"/>
                                      <w:sz w:val="20"/>
                                    </w:rPr>
                                    <w:t>Riska attiecība 0,</w:t>
                                  </w:r>
                                  <w:r w:rsidRPr="0055776F">
                                    <w:rPr>
                                      <w:rFonts w:ascii="Arial" w:hAnsi="Arial" w:cs="Arial"/>
                                      <w:sz w:val="20"/>
                                    </w:rPr>
                                    <w:t>4</w:t>
                                  </w:r>
                                  <w:r>
                                    <w:rPr>
                                      <w:rFonts w:ascii="Arial" w:hAnsi="Arial" w:cs="Arial"/>
                                      <w:sz w:val="20"/>
                                    </w:rPr>
                                    <w:t>6</w:t>
                                  </w:r>
                                </w:p>
                                <w:p w14:paraId="3D39584B" w14:textId="77777777" w:rsidR="00C23AAA" w:rsidRPr="0055776F" w:rsidRDefault="00C23AAA" w:rsidP="004F02B8">
                                  <w:pPr>
                                    <w:rPr>
                                      <w:rFonts w:ascii="Arial" w:hAnsi="Arial" w:cs="Arial"/>
                                      <w:sz w:val="20"/>
                                      <w:lang w:val="de-DE"/>
                                    </w:rPr>
                                  </w:pPr>
                                  <w:r>
                                    <w:rPr>
                                      <w:rFonts w:ascii="Arial" w:hAnsi="Arial" w:cs="Arial"/>
                                      <w:sz w:val="20"/>
                                    </w:rPr>
                                    <w:t>(95% Tl,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C23AAA" w:rsidRPr="000C1F7F" w14:paraId="3D395852" w14:textId="77777777">
                              <w:tc>
                                <w:tcPr>
                                  <w:tcW w:w="817" w:type="dxa"/>
                                  <w:shd w:val="clear" w:color="auto" w:fill="auto"/>
                                </w:tcPr>
                                <w:p w14:paraId="3D39584D" w14:textId="77777777" w:rsidR="00C23AAA" w:rsidRPr="0055776F" w:rsidRDefault="00C23AAA" w:rsidP="00BF34F9">
                                  <w:pPr>
                                    <w:rPr>
                                      <w:rFonts w:ascii="Arial" w:hAnsi="Arial" w:cs="Arial"/>
                                      <w:sz w:val="20"/>
                                    </w:rPr>
                                  </w:pPr>
                                </w:p>
                              </w:tc>
                              <w:tc>
                                <w:tcPr>
                                  <w:tcW w:w="2464" w:type="dxa"/>
                                  <w:shd w:val="clear" w:color="auto" w:fill="auto"/>
                                </w:tcPr>
                                <w:p w14:paraId="3D39584E" w14:textId="77777777" w:rsidR="00C23AAA" w:rsidRPr="0055776F" w:rsidRDefault="00C23AAA" w:rsidP="00BF34F9">
                                  <w:pPr>
                                    <w:rPr>
                                      <w:rFonts w:ascii="Arial" w:hAnsi="Arial" w:cs="Arial"/>
                                      <w:sz w:val="20"/>
                                    </w:rPr>
                                  </w:pPr>
                                </w:p>
                              </w:tc>
                              <w:tc>
                                <w:tcPr>
                                  <w:tcW w:w="851" w:type="dxa"/>
                                  <w:tcBorders>
                                    <w:bottom w:val="single" w:sz="4" w:space="0" w:color="auto"/>
                                  </w:tcBorders>
                                  <w:shd w:val="clear" w:color="auto" w:fill="auto"/>
                                </w:tcPr>
                                <w:p w14:paraId="3D39584F" w14:textId="77777777" w:rsidR="00C23AAA" w:rsidRPr="0055776F" w:rsidRDefault="00C23AAA" w:rsidP="00BF34F9">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3D395850" w14:textId="77777777" w:rsidR="00C23AAA" w:rsidRPr="000C1F7F" w:rsidRDefault="00C23AAA" w:rsidP="00527E66">
                                  <w:pPr>
                                    <w:rPr>
                                      <w:rFonts w:ascii="Arial" w:hAnsi="Arial" w:cs="Arial"/>
                                      <w:sz w:val="20"/>
                                    </w:rPr>
                                  </w:pPr>
                                  <w:r w:rsidRPr="000C1F7F">
                                    <w:rPr>
                                      <w:rFonts w:ascii="Arial" w:hAnsi="Arial" w:cs="Arial"/>
                                      <w:sz w:val="20"/>
                                    </w:rPr>
                                    <w:t>Gadījumi</w:t>
                                  </w:r>
                                </w:p>
                              </w:tc>
                              <w:tc>
                                <w:tcPr>
                                  <w:tcW w:w="850" w:type="dxa"/>
                                  <w:tcBorders>
                                    <w:bottom w:val="single" w:sz="4" w:space="0" w:color="auto"/>
                                  </w:tcBorders>
                                  <w:shd w:val="clear" w:color="auto" w:fill="auto"/>
                                </w:tcPr>
                                <w:p w14:paraId="3D395851" w14:textId="77777777" w:rsidR="00C23AAA" w:rsidRPr="000C1F7F" w:rsidRDefault="00C23AAA" w:rsidP="00BF34F9">
                                  <w:pPr>
                                    <w:rPr>
                                      <w:rFonts w:ascii="Arial" w:hAnsi="Arial" w:cs="Arial"/>
                                      <w:sz w:val="20"/>
                                    </w:rPr>
                                  </w:pPr>
                                  <w:r w:rsidRPr="000C1F7F">
                                    <w:rPr>
                                      <w:rFonts w:ascii="Arial" w:hAnsi="Arial" w:cs="Arial"/>
                                      <w:sz w:val="20"/>
                                    </w:rPr>
                                    <w:t>Izslēgtie</w:t>
                                  </w:r>
                                </w:p>
                              </w:tc>
                            </w:tr>
                            <w:tr w:rsidR="00C23AAA" w:rsidRPr="000C1F7F" w14:paraId="3D395858" w14:textId="77777777">
                              <w:tc>
                                <w:tcPr>
                                  <w:tcW w:w="817" w:type="dxa"/>
                                  <w:shd w:val="clear" w:color="auto" w:fill="auto"/>
                                </w:tcPr>
                                <w:p w14:paraId="3D395853" w14:textId="77777777" w:rsidR="00C23AAA" w:rsidRPr="0055776F" w:rsidRDefault="00C23AAA" w:rsidP="00BF34F9">
                                  <w:pPr>
                                    <w:rPr>
                                      <w:rFonts w:ascii="Arial" w:hAnsi="Arial" w:cs="Arial"/>
                                      <w:sz w:val="20"/>
                                    </w:rPr>
                                  </w:pPr>
                                  <w:r w:rsidRPr="0055776F">
                                    <w:rPr>
                                      <w:rFonts w:ascii="Arial" w:hAnsi="Arial" w:cs="Arial"/>
                                      <w:b/>
                                      <w:sz w:val="20"/>
                                    </w:rPr>
                                    <w:t>——</w:t>
                                  </w:r>
                                </w:p>
                              </w:tc>
                              <w:tc>
                                <w:tcPr>
                                  <w:tcW w:w="2464" w:type="dxa"/>
                                  <w:shd w:val="clear" w:color="auto" w:fill="auto"/>
                                </w:tcPr>
                                <w:p w14:paraId="3D395854" w14:textId="77777777" w:rsidR="00C23AAA" w:rsidRPr="0055776F" w:rsidRDefault="00C23AAA" w:rsidP="00BF34F9">
                                  <w:pPr>
                                    <w:rPr>
                                      <w:rFonts w:ascii="Arial" w:hAnsi="Arial" w:cs="Arial"/>
                                      <w:sz w:val="20"/>
                                    </w:rPr>
                                  </w:pPr>
                                  <w:r w:rsidRPr="00A33DBA">
                                    <w:rPr>
                                      <w:rFonts w:ascii="Arial" w:hAnsi="Arial" w:cs="Arial"/>
                                      <w:sz w:val="20"/>
                                    </w:rPr>
                                    <w:t>(1) Imatinib</w:t>
                                  </w:r>
                                  <w:r>
                                    <w:rPr>
                                      <w:rFonts w:ascii="Arial" w:hAnsi="Arial" w:cs="Arial"/>
                                      <w:sz w:val="20"/>
                                    </w:rPr>
                                    <w:t>s 12 mēneši</w:t>
                                  </w:r>
                                  <w:r w:rsidRPr="00A33DBA">
                                    <w:rPr>
                                      <w:rFonts w:ascii="Arial" w:hAnsi="Arial" w:cs="Arial"/>
                                      <w:sz w:val="20"/>
                                    </w:rPr>
                                    <w:t>:</w:t>
                                  </w:r>
                                </w:p>
                              </w:tc>
                              <w:tc>
                                <w:tcPr>
                                  <w:tcW w:w="851" w:type="dxa"/>
                                  <w:tcBorders>
                                    <w:top w:val="single" w:sz="4" w:space="0" w:color="auto"/>
                                  </w:tcBorders>
                                  <w:shd w:val="clear" w:color="auto" w:fill="auto"/>
                                </w:tcPr>
                                <w:p w14:paraId="3D395855" w14:textId="77777777" w:rsidR="00C23AAA" w:rsidRPr="0055776F" w:rsidRDefault="00C23AAA" w:rsidP="00BF34F9">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3D395856" w14:textId="77777777" w:rsidR="00C23AAA" w:rsidRPr="000C1F7F" w:rsidRDefault="00C23AAA" w:rsidP="00BF34F9">
                                  <w:pPr>
                                    <w:rPr>
                                      <w:rFonts w:ascii="Arial" w:hAnsi="Arial" w:cs="Arial"/>
                                      <w:sz w:val="20"/>
                                    </w:rPr>
                                  </w:pPr>
                                  <w:r w:rsidRPr="000C1F7F">
                                    <w:rPr>
                                      <w:rFonts w:ascii="Arial" w:hAnsi="Arial" w:cs="Arial"/>
                                      <w:sz w:val="20"/>
                                    </w:rPr>
                                    <w:t>84</w:t>
                                  </w:r>
                                </w:p>
                              </w:tc>
                              <w:tc>
                                <w:tcPr>
                                  <w:tcW w:w="850" w:type="dxa"/>
                                  <w:tcBorders>
                                    <w:top w:val="single" w:sz="4" w:space="0" w:color="auto"/>
                                  </w:tcBorders>
                                  <w:shd w:val="clear" w:color="auto" w:fill="auto"/>
                                </w:tcPr>
                                <w:p w14:paraId="3D395857" w14:textId="77777777" w:rsidR="00C23AAA" w:rsidRPr="000C1F7F" w:rsidRDefault="00C23AAA" w:rsidP="00BF34F9">
                                  <w:pPr>
                                    <w:rPr>
                                      <w:rFonts w:ascii="Arial" w:hAnsi="Arial" w:cs="Arial"/>
                                      <w:sz w:val="20"/>
                                    </w:rPr>
                                  </w:pPr>
                                  <w:r w:rsidRPr="000C1F7F">
                                    <w:rPr>
                                      <w:rFonts w:ascii="Arial" w:hAnsi="Arial" w:cs="Arial"/>
                                      <w:sz w:val="20"/>
                                    </w:rPr>
                                    <w:t>115</w:t>
                                  </w:r>
                                </w:p>
                              </w:tc>
                            </w:tr>
                            <w:tr w:rsidR="00C23AAA" w:rsidRPr="000C1F7F" w14:paraId="3D39585E" w14:textId="77777777">
                              <w:tc>
                                <w:tcPr>
                                  <w:tcW w:w="817" w:type="dxa"/>
                                  <w:shd w:val="clear" w:color="auto" w:fill="auto"/>
                                </w:tcPr>
                                <w:p w14:paraId="3D395859" w14:textId="77777777" w:rsidR="00C23AAA" w:rsidRPr="0055776F" w:rsidRDefault="00C23AAA" w:rsidP="00BF34F9">
                                  <w:pPr>
                                    <w:rPr>
                                      <w:rFonts w:ascii="Arial" w:hAnsi="Arial" w:cs="Arial"/>
                                      <w:sz w:val="20"/>
                                    </w:rPr>
                                  </w:pPr>
                                  <w:r w:rsidRPr="0055776F">
                                    <w:rPr>
                                      <w:rFonts w:ascii="Arial" w:hAnsi="Arial" w:cs="Arial"/>
                                      <w:sz w:val="20"/>
                                    </w:rPr>
                                    <w:t>-----</w:t>
                                  </w:r>
                                </w:p>
                              </w:tc>
                              <w:tc>
                                <w:tcPr>
                                  <w:tcW w:w="2464" w:type="dxa"/>
                                  <w:shd w:val="clear" w:color="auto" w:fill="auto"/>
                                </w:tcPr>
                                <w:p w14:paraId="3D39585A" w14:textId="77777777" w:rsidR="00C23AAA" w:rsidRPr="0055776F" w:rsidRDefault="00C23AAA" w:rsidP="00BF34F9">
                                  <w:pPr>
                                    <w:rPr>
                                      <w:rFonts w:ascii="Arial" w:hAnsi="Arial" w:cs="Arial"/>
                                      <w:sz w:val="20"/>
                                    </w:rPr>
                                  </w:pPr>
                                  <w:r w:rsidRPr="00A33DBA">
                                    <w:rPr>
                                      <w:rFonts w:ascii="Arial" w:hAnsi="Arial" w:cs="Arial"/>
                                      <w:sz w:val="20"/>
                                    </w:rPr>
                                    <w:t>(2) Imatinib</w:t>
                                  </w:r>
                                  <w:r>
                                    <w:rPr>
                                      <w:rFonts w:ascii="Arial" w:hAnsi="Arial" w:cs="Arial"/>
                                      <w:sz w:val="20"/>
                                    </w:rPr>
                                    <w:t>s 36 mēneši</w:t>
                                  </w:r>
                                  <w:r w:rsidRPr="00A33DBA">
                                    <w:rPr>
                                      <w:rFonts w:ascii="Arial" w:hAnsi="Arial" w:cs="Arial"/>
                                      <w:sz w:val="20"/>
                                    </w:rPr>
                                    <w:t>:</w:t>
                                  </w:r>
                                </w:p>
                              </w:tc>
                              <w:tc>
                                <w:tcPr>
                                  <w:tcW w:w="851" w:type="dxa"/>
                                  <w:tcBorders>
                                    <w:bottom w:val="single" w:sz="4" w:space="0" w:color="auto"/>
                                  </w:tcBorders>
                                  <w:shd w:val="clear" w:color="auto" w:fill="auto"/>
                                </w:tcPr>
                                <w:p w14:paraId="3D39585B" w14:textId="77777777" w:rsidR="00C23AAA" w:rsidRPr="0055776F" w:rsidRDefault="00C23AAA" w:rsidP="00BF34F9">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3D39585C" w14:textId="77777777" w:rsidR="00C23AAA" w:rsidRPr="000C1F7F" w:rsidRDefault="00C23AAA" w:rsidP="00BF34F9">
                                  <w:pPr>
                                    <w:rPr>
                                      <w:rFonts w:ascii="Arial" w:hAnsi="Arial" w:cs="Arial"/>
                                      <w:sz w:val="20"/>
                                    </w:rPr>
                                  </w:pPr>
                                  <w:r w:rsidRPr="000C1F7F">
                                    <w:rPr>
                                      <w:rFonts w:ascii="Arial" w:hAnsi="Arial" w:cs="Arial"/>
                                      <w:sz w:val="20"/>
                                    </w:rPr>
                                    <w:t>50</w:t>
                                  </w:r>
                                </w:p>
                              </w:tc>
                              <w:tc>
                                <w:tcPr>
                                  <w:tcW w:w="850" w:type="dxa"/>
                                  <w:tcBorders>
                                    <w:bottom w:val="single" w:sz="4" w:space="0" w:color="auto"/>
                                  </w:tcBorders>
                                  <w:shd w:val="clear" w:color="auto" w:fill="auto"/>
                                </w:tcPr>
                                <w:p w14:paraId="3D39585D" w14:textId="77777777" w:rsidR="00C23AAA" w:rsidRPr="000C1F7F" w:rsidRDefault="00C23AAA" w:rsidP="00BF34F9">
                                  <w:pPr>
                                    <w:rPr>
                                      <w:rFonts w:ascii="Arial" w:hAnsi="Arial" w:cs="Arial"/>
                                      <w:sz w:val="20"/>
                                    </w:rPr>
                                  </w:pPr>
                                  <w:r w:rsidRPr="000C1F7F">
                                    <w:rPr>
                                      <w:rFonts w:ascii="Arial" w:hAnsi="Arial" w:cs="Arial"/>
                                      <w:sz w:val="20"/>
                                    </w:rPr>
                                    <w:t>148</w:t>
                                  </w:r>
                                </w:p>
                              </w:tc>
                            </w:tr>
                            <w:tr w:rsidR="00C23AAA" w:rsidRPr="0055776F" w14:paraId="3D395864" w14:textId="77777777">
                              <w:tc>
                                <w:tcPr>
                                  <w:tcW w:w="817" w:type="dxa"/>
                                  <w:shd w:val="clear" w:color="auto" w:fill="auto"/>
                                </w:tcPr>
                                <w:p w14:paraId="3D39585F" w14:textId="77777777" w:rsidR="00C23AAA" w:rsidRPr="0055776F" w:rsidRDefault="00C23AAA" w:rsidP="00BF34F9">
                                  <w:pPr>
                                    <w:rPr>
                                      <w:rFonts w:ascii="Arial" w:hAnsi="Arial" w:cs="Arial"/>
                                      <w:sz w:val="20"/>
                                    </w:rPr>
                                  </w:pPr>
                                  <w:r w:rsidRPr="0055776F">
                                    <w:rPr>
                                      <w:rFonts w:ascii="Arial" w:hAnsi="Arial" w:cs="Arial"/>
                                      <w:sz w:val="20"/>
                                    </w:rPr>
                                    <w:t>│││</w:t>
                                  </w:r>
                                </w:p>
                              </w:tc>
                              <w:tc>
                                <w:tcPr>
                                  <w:tcW w:w="2464" w:type="dxa"/>
                                  <w:shd w:val="clear" w:color="auto" w:fill="auto"/>
                                </w:tcPr>
                                <w:p w14:paraId="3D395860" w14:textId="77777777" w:rsidR="00C23AAA" w:rsidRPr="0055776F" w:rsidRDefault="00C23AAA" w:rsidP="00BF34F9">
                                  <w:pPr>
                                    <w:rPr>
                                      <w:rFonts w:ascii="Arial" w:hAnsi="Arial" w:cs="Arial"/>
                                      <w:sz w:val="20"/>
                                    </w:rPr>
                                  </w:pPr>
                                  <w:r w:rsidRPr="008E7CB7">
                                    <w:rPr>
                                      <w:rFonts w:ascii="Arial" w:hAnsi="Arial" w:cs="Arial"/>
                                      <w:sz w:val="20"/>
                                    </w:rPr>
                                    <w:t>Izslēgtie novērojumi</w:t>
                                  </w:r>
                                </w:p>
                              </w:tc>
                              <w:tc>
                                <w:tcPr>
                                  <w:tcW w:w="851" w:type="dxa"/>
                                  <w:tcBorders>
                                    <w:top w:val="single" w:sz="4" w:space="0" w:color="auto"/>
                                  </w:tcBorders>
                                  <w:shd w:val="clear" w:color="auto" w:fill="auto"/>
                                </w:tcPr>
                                <w:p w14:paraId="3D395861" w14:textId="77777777" w:rsidR="00C23AAA" w:rsidRPr="0055776F" w:rsidRDefault="00C23AAA" w:rsidP="00BF34F9">
                                  <w:pPr>
                                    <w:rPr>
                                      <w:rFonts w:ascii="Arial" w:hAnsi="Arial" w:cs="Arial"/>
                                      <w:sz w:val="20"/>
                                    </w:rPr>
                                  </w:pPr>
                                </w:p>
                              </w:tc>
                              <w:tc>
                                <w:tcPr>
                                  <w:tcW w:w="709" w:type="dxa"/>
                                  <w:tcBorders>
                                    <w:top w:val="single" w:sz="4" w:space="0" w:color="auto"/>
                                  </w:tcBorders>
                                  <w:shd w:val="clear" w:color="auto" w:fill="auto"/>
                                </w:tcPr>
                                <w:p w14:paraId="3D395862" w14:textId="77777777" w:rsidR="00C23AAA" w:rsidRPr="0055776F" w:rsidRDefault="00C23AAA" w:rsidP="00BF34F9">
                                  <w:pPr>
                                    <w:rPr>
                                      <w:rFonts w:ascii="Arial" w:hAnsi="Arial" w:cs="Arial"/>
                                      <w:sz w:val="20"/>
                                    </w:rPr>
                                  </w:pPr>
                                </w:p>
                              </w:tc>
                              <w:tc>
                                <w:tcPr>
                                  <w:tcW w:w="850" w:type="dxa"/>
                                  <w:tcBorders>
                                    <w:top w:val="single" w:sz="4" w:space="0" w:color="auto"/>
                                  </w:tcBorders>
                                  <w:shd w:val="clear" w:color="auto" w:fill="auto"/>
                                </w:tcPr>
                                <w:p w14:paraId="3D395863" w14:textId="77777777" w:rsidR="00C23AAA" w:rsidRPr="0055776F" w:rsidRDefault="00C23AAA" w:rsidP="00BF34F9">
                                  <w:pPr>
                                    <w:rPr>
                                      <w:rFonts w:ascii="Arial" w:hAnsi="Arial" w:cs="Arial"/>
                                      <w:sz w:val="20"/>
                                    </w:rPr>
                                  </w:pPr>
                                </w:p>
                              </w:tc>
                            </w:tr>
                          </w:tbl>
                          <w:p w14:paraId="3D395865" w14:textId="77777777" w:rsidR="00C23AAA" w:rsidRPr="00A33DBA" w:rsidRDefault="00C23AAA" w:rsidP="00F74EF9">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95818" id="_x0000_s1027" type="#_x0000_t202" style="position:absolute;margin-left:27.6pt;margin-top:88.85pt;width:361.05pt;height:104.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" filled="f" stroked="f">
                <v:textbox>
                  <w:txbxContent>
                    <w:tbl>
                      <w:tblPr>
                        <w:tblW w:w="0" w:type="auto"/>
                        <w:tblLook w:val="04A0" w:firstRow="1" w:lastRow="0" w:firstColumn="1" w:lastColumn="0" w:noHBand="0" w:noVBand="1"/>
                      </w:tblPr>
                      <w:tblGrid>
                        <w:gridCol w:w="817"/>
                        <w:gridCol w:w="2464"/>
                        <w:gridCol w:w="851"/>
                        <w:gridCol w:w="1017"/>
                        <w:gridCol w:w="950"/>
                      </w:tblGrid>
                      <w:tr w:rsidR="00C23AAA" w:rsidRPr="0055776F" w14:paraId="3D39584C" w14:textId="77777777">
                        <w:trPr>
                          <w:gridAfter w:val="3"/>
                          <w:wAfter w:w="2410" w:type="dxa"/>
                        </w:trPr>
                        <w:tc>
                          <w:tcPr>
                            <w:tcW w:w="3281" w:type="dxa"/>
                            <w:gridSpan w:val="2"/>
                            <w:shd w:val="clear" w:color="auto" w:fill="auto"/>
                          </w:tcPr>
                          <w:p w14:paraId="3D395849" w14:textId="77777777" w:rsidR="00C23AAA" w:rsidRPr="0055776F" w:rsidRDefault="00C23AAA" w:rsidP="004F02B8">
                            <w:pPr>
                              <w:rPr>
                                <w:rFonts w:ascii="Arial" w:hAnsi="Arial" w:cs="Arial"/>
                                <w:sz w:val="20"/>
                              </w:rPr>
                            </w:pPr>
                            <w:r>
                              <w:rPr>
                                <w:rFonts w:ascii="Arial" w:hAnsi="Arial" w:cs="Arial"/>
                                <w:sz w:val="20"/>
                              </w:rPr>
                              <w:t>P &lt; 0,0001</w:t>
                            </w:r>
                          </w:p>
                          <w:p w14:paraId="3D39584A" w14:textId="77777777" w:rsidR="00C23AAA" w:rsidRPr="0055776F" w:rsidRDefault="00C23AAA" w:rsidP="004F02B8">
                            <w:pPr>
                              <w:rPr>
                                <w:rFonts w:ascii="Arial" w:hAnsi="Arial" w:cs="Arial"/>
                                <w:sz w:val="20"/>
                              </w:rPr>
                            </w:pPr>
                            <w:r>
                              <w:rPr>
                                <w:rFonts w:ascii="Arial" w:hAnsi="Arial" w:cs="Arial"/>
                                <w:sz w:val="20"/>
                              </w:rPr>
                              <w:t>Riska attiecība 0,</w:t>
                            </w:r>
                            <w:r w:rsidRPr="0055776F">
                              <w:rPr>
                                <w:rFonts w:ascii="Arial" w:hAnsi="Arial" w:cs="Arial"/>
                                <w:sz w:val="20"/>
                              </w:rPr>
                              <w:t>4</w:t>
                            </w:r>
                            <w:r>
                              <w:rPr>
                                <w:rFonts w:ascii="Arial" w:hAnsi="Arial" w:cs="Arial"/>
                                <w:sz w:val="20"/>
                              </w:rPr>
                              <w:t>6</w:t>
                            </w:r>
                          </w:p>
                          <w:p w14:paraId="3D39584B" w14:textId="77777777" w:rsidR="00C23AAA" w:rsidRPr="0055776F" w:rsidRDefault="00C23AAA" w:rsidP="004F02B8">
                            <w:pPr>
                              <w:rPr>
                                <w:rFonts w:ascii="Arial" w:hAnsi="Arial" w:cs="Arial"/>
                                <w:sz w:val="20"/>
                                <w:lang w:val="de-DE"/>
                              </w:rPr>
                            </w:pPr>
                            <w:r>
                              <w:rPr>
                                <w:rFonts w:ascii="Arial" w:hAnsi="Arial" w:cs="Arial"/>
                                <w:sz w:val="20"/>
                              </w:rPr>
                              <w:t>(95% Tl,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C23AAA" w:rsidRPr="000C1F7F" w14:paraId="3D395852" w14:textId="77777777">
                        <w:tc>
                          <w:tcPr>
                            <w:tcW w:w="817" w:type="dxa"/>
                            <w:shd w:val="clear" w:color="auto" w:fill="auto"/>
                          </w:tcPr>
                          <w:p w14:paraId="3D39584D" w14:textId="77777777" w:rsidR="00C23AAA" w:rsidRPr="0055776F" w:rsidRDefault="00C23AAA" w:rsidP="00BF34F9">
                            <w:pPr>
                              <w:rPr>
                                <w:rFonts w:ascii="Arial" w:hAnsi="Arial" w:cs="Arial"/>
                                <w:sz w:val="20"/>
                              </w:rPr>
                            </w:pPr>
                          </w:p>
                        </w:tc>
                        <w:tc>
                          <w:tcPr>
                            <w:tcW w:w="2464" w:type="dxa"/>
                            <w:shd w:val="clear" w:color="auto" w:fill="auto"/>
                          </w:tcPr>
                          <w:p w14:paraId="3D39584E" w14:textId="77777777" w:rsidR="00C23AAA" w:rsidRPr="0055776F" w:rsidRDefault="00C23AAA" w:rsidP="00BF34F9">
                            <w:pPr>
                              <w:rPr>
                                <w:rFonts w:ascii="Arial" w:hAnsi="Arial" w:cs="Arial"/>
                                <w:sz w:val="20"/>
                              </w:rPr>
                            </w:pPr>
                          </w:p>
                        </w:tc>
                        <w:tc>
                          <w:tcPr>
                            <w:tcW w:w="851" w:type="dxa"/>
                            <w:tcBorders>
                              <w:bottom w:val="single" w:sz="4" w:space="0" w:color="auto"/>
                            </w:tcBorders>
                            <w:shd w:val="clear" w:color="auto" w:fill="auto"/>
                          </w:tcPr>
                          <w:p w14:paraId="3D39584F" w14:textId="77777777" w:rsidR="00C23AAA" w:rsidRPr="0055776F" w:rsidRDefault="00C23AAA" w:rsidP="00BF34F9">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3D395850" w14:textId="77777777" w:rsidR="00C23AAA" w:rsidRPr="000C1F7F" w:rsidRDefault="00C23AAA" w:rsidP="00527E66">
                            <w:pPr>
                              <w:rPr>
                                <w:rFonts w:ascii="Arial" w:hAnsi="Arial" w:cs="Arial"/>
                                <w:sz w:val="20"/>
                              </w:rPr>
                            </w:pPr>
                            <w:r w:rsidRPr="000C1F7F">
                              <w:rPr>
                                <w:rFonts w:ascii="Arial" w:hAnsi="Arial" w:cs="Arial"/>
                                <w:sz w:val="20"/>
                              </w:rPr>
                              <w:t>Gadījumi</w:t>
                            </w:r>
                          </w:p>
                        </w:tc>
                        <w:tc>
                          <w:tcPr>
                            <w:tcW w:w="850" w:type="dxa"/>
                            <w:tcBorders>
                              <w:bottom w:val="single" w:sz="4" w:space="0" w:color="auto"/>
                            </w:tcBorders>
                            <w:shd w:val="clear" w:color="auto" w:fill="auto"/>
                          </w:tcPr>
                          <w:p w14:paraId="3D395851" w14:textId="77777777" w:rsidR="00C23AAA" w:rsidRPr="000C1F7F" w:rsidRDefault="00C23AAA" w:rsidP="00BF34F9">
                            <w:pPr>
                              <w:rPr>
                                <w:rFonts w:ascii="Arial" w:hAnsi="Arial" w:cs="Arial"/>
                                <w:sz w:val="20"/>
                              </w:rPr>
                            </w:pPr>
                            <w:r w:rsidRPr="000C1F7F">
                              <w:rPr>
                                <w:rFonts w:ascii="Arial" w:hAnsi="Arial" w:cs="Arial"/>
                                <w:sz w:val="20"/>
                              </w:rPr>
                              <w:t>Izslēgtie</w:t>
                            </w:r>
                          </w:p>
                        </w:tc>
                      </w:tr>
                      <w:tr w:rsidR="00C23AAA" w:rsidRPr="000C1F7F" w14:paraId="3D395858" w14:textId="77777777">
                        <w:tc>
                          <w:tcPr>
                            <w:tcW w:w="817" w:type="dxa"/>
                            <w:shd w:val="clear" w:color="auto" w:fill="auto"/>
                          </w:tcPr>
                          <w:p w14:paraId="3D395853" w14:textId="77777777" w:rsidR="00C23AAA" w:rsidRPr="0055776F" w:rsidRDefault="00C23AAA" w:rsidP="00BF34F9">
                            <w:pPr>
                              <w:rPr>
                                <w:rFonts w:ascii="Arial" w:hAnsi="Arial" w:cs="Arial"/>
                                <w:sz w:val="20"/>
                              </w:rPr>
                            </w:pPr>
                            <w:r w:rsidRPr="0055776F">
                              <w:rPr>
                                <w:rFonts w:ascii="Arial" w:hAnsi="Arial" w:cs="Arial"/>
                                <w:b/>
                                <w:sz w:val="20"/>
                              </w:rPr>
                              <w:t>——</w:t>
                            </w:r>
                          </w:p>
                        </w:tc>
                        <w:tc>
                          <w:tcPr>
                            <w:tcW w:w="2464" w:type="dxa"/>
                            <w:shd w:val="clear" w:color="auto" w:fill="auto"/>
                          </w:tcPr>
                          <w:p w14:paraId="3D395854" w14:textId="77777777" w:rsidR="00C23AAA" w:rsidRPr="0055776F" w:rsidRDefault="00C23AAA" w:rsidP="00BF34F9">
                            <w:pPr>
                              <w:rPr>
                                <w:rFonts w:ascii="Arial" w:hAnsi="Arial" w:cs="Arial"/>
                                <w:sz w:val="20"/>
                              </w:rPr>
                            </w:pPr>
                            <w:r w:rsidRPr="00A33DBA">
                              <w:rPr>
                                <w:rFonts w:ascii="Arial" w:hAnsi="Arial" w:cs="Arial"/>
                                <w:sz w:val="20"/>
                              </w:rPr>
                              <w:t>(1) Imatinib</w:t>
                            </w:r>
                            <w:r>
                              <w:rPr>
                                <w:rFonts w:ascii="Arial" w:hAnsi="Arial" w:cs="Arial"/>
                                <w:sz w:val="20"/>
                              </w:rPr>
                              <w:t>s 12 mēneši</w:t>
                            </w:r>
                            <w:r w:rsidRPr="00A33DBA">
                              <w:rPr>
                                <w:rFonts w:ascii="Arial" w:hAnsi="Arial" w:cs="Arial"/>
                                <w:sz w:val="20"/>
                              </w:rPr>
                              <w:t>:</w:t>
                            </w:r>
                          </w:p>
                        </w:tc>
                        <w:tc>
                          <w:tcPr>
                            <w:tcW w:w="851" w:type="dxa"/>
                            <w:tcBorders>
                              <w:top w:val="single" w:sz="4" w:space="0" w:color="auto"/>
                            </w:tcBorders>
                            <w:shd w:val="clear" w:color="auto" w:fill="auto"/>
                          </w:tcPr>
                          <w:p w14:paraId="3D395855" w14:textId="77777777" w:rsidR="00C23AAA" w:rsidRPr="0055776F" w:rsidRDefault="00C23AAA" w:rsidP="00BF34F9">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3D395856" w14:textId="77777777" w:rsidR="00C23AAA" w:rsidRPr="000C1F7F" w:rsidRDefault="00C23AAA" w:rsidP="00BF34F9">
                            <w:pPr>
                              <w:rPr>
                                <w:rFonts w:ascii="Arial" w:hAnsi="Arial" w:cs="Arial"/>
                                <w:sz w:val="20"/>
                              </w:rPr>
                            </w:pPr>
                            <w:r w:rsidRPr="000C1F7F">
                              <w:rPr>
                                <w:rFonts w:ascii="Arial" w:hAnsi="Arial" w:cs="Arial"/>
                                <w:sz w:val="20"/>
                              </w:rPr>
                              <w:t>84</w:t>
                            </w:r>
                          </w:p>
                        </w:tc>
                        <w:tc>
                          <w:tcPr>
                            <w:tcW w:w="850" w:type="dxa"/>
                            <w:tcBorders>
                              <w:top w:val="single" w:sz="4" w:space="0" w:color="auto"/>
                            </w:tcBorders>
                            <w:shd w:val="clear" w:color="auto" w:fill="auto"/>
                          </w:tcPr>
                          <w:p w14:paraId="3D395857" w14:textId="77777777" w:rsidR="00C23AAA" w:rsidRPr="000C1F7F" w:rsidRDefault="00C23AAA" w:rsidP="00BF34F9">
                            <w:pPr>
                              <w:rPr>
                                <w:rFonts w:ascii="Arial" w:hAnsi="Arial" w:cs="Arial"/>
                                <w:sz w:val="20"/>
                              </w:rPr>
                            </w:pPr>
                            <w:r w:rsidRPr="000C1F7F">
                              <w:rPr>
                                <w:rFonts w:ascii="Arial" w:hAnsi="Arial" w:cs="Arial"/>
                                <w:sz w:val="20"/>
                              </w:rPr>
                              <w:t>115</w:t>
                            </w:r>
                          </w:p>
                        </w:tc>
                      </w:tr>
                      <w:tr w:rsidR="00C23AAA" w:rsidRPr="000C1F7F" w14:paraId="3D39585E" w14:textId="77777777">
                        <w:tc>
                          <w:tcPr>
                            <w:tcW w:w="817" w:type="dxa"/>
                            <w:shd w:val="clear" w:color="auto" w:fill="auto"/>
                          </w:tcPr>
                          <w:p w14:paraId="3D395859" w14:textId="77777777" w:rsidR="00C23AAA" w:rsidRPr="0055776F" w:rsidRDefault="00C23AAA" w:rsidP="00BF34F9">
                            <w:pPr>
                              <w:rPr>
                                <w:rFonts w:ascii="Arial" w:hAnsi="Arial" w:cs="Arial"/>
                                <w:sz w:val="20"/>
                              </w:rPr>
                            </w:pPr>
                            <w:r w:rsidRPr="0055776F">
                              <w:rPr>
                                <w:rFonts w:ascii="Arial" w:hAnsi="Arial" w:cs="Arial"/>
                                <w:sz w:val="20"/>
                              </w:rPr>
                              <w:t>-----</w:t>
                            </w:r>
                          </w:p>
                        </w:tc>
                        <w:tc>
                          <w:tcPr>
                            <w:tcW w:w="2464" w:type="dxa"/>
                            <w:shd w:val="clear" w:color="auto" w:fill="auto"/>
                          </w:tcPr>
                          <w:p w14:paraId="3D39585A" w14:textId="77777777" w:rsidR="00C23AAA" w:rsidRPr="0055776F" w:rsidRDefault="00C23AAA" w:rsidP="00BF34F9">
                            <w:pPr>
                              <w:rPr>
                                <w:rFonts w:ascii="Arial" w:hAnsi="Arial" w:cs="Arial"/>
                                <w:sz w:val="20"/>
                              </w:rPr>
                            </w:pPr>
                            <w:r w:rsidRPr="00A33DBA">
                              <w:rPr>
                                <w:rFonts w:ascii="Arial" w:hAnsi="Arial" w:cs="Arial"/>
                                <w:sz w:val="20"/>
                              </w:rPr>
                              <w:t>(2) Imatinib</w:t>
                            </w:r>
                            <w:r>
                              <w:rPr>
                                <w:rFonts w:ascii="Arial" w:hAnsi="Arial" w:cs="Arial"/>
                                <w:sz w:val="20"/>
                              </w:rPr>
                              <w:t>s 36 mēneši</w:t>
                            </w:r>
                            <w:r w:rsidRPr="00A33DBA">
                              <w:rPr>
                                <w:rFonts w:ascii="Arial" w:hAnsi="Arial" w:cs="Arial"/>
                                <w:sz w:val="20"/>
                              </w:rPr>
                              <w:t>:</w:t>
                            </w:r>
                          </w:p>
                        </w:tc>
                        <w:tc>
                          <w:tcPr>
                            <w:tcW w:w="851" w:type="dxa"/>
                            <w:tcBorders>
                              <w:bottom w:val="single" w:sz="4" w:space="0" w:color="auto"/>
                            </w:tcBorders>
                            <w:shd w:val="clear" w:color="auto" w:fill="auto"/>
                          </w:tcPr>
                          <w:p w14:paraId="3D39585B" w14:textId="77777777" w:rsidR="00C23AAA" w:rsidRPr="0055776F" w:rsidRDefault="00C23AAA" w:rsidP="00BF34F9">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3D39585C" w14:textId="77777777" w:rsidR="00C23AAA" w:rsidRPr="000C1F7F" w:rsidRDefault="00C23AAA" w:rsidP="00BF34F9">
                            <w:pPr>
                              <w:rPr>
                                <w:rFonts w:ascii="Arial" w:hAnsi="Arial" w:cs="Arial"/>
                                <w:sz w:val="20"/>
                              </w:rPr>
                            </w:pPr>
                            <w:r w:rsidRPr="000C1F7F">
                              <w:rPr>
                                <w:rFonts w:ascii="Arial" w:hAnsi="Arial" w:cs="Arial"/>
                                <w:sz w:val="20"/>
                              </w:rPr>
                              <w:t>50</w:t>
                            </w:r>
                          </w:p>
                        </w:tc>
                        <w:tc>
                          <w:tcPr>
                            <w:tcW w:w="850" w:type="dxa"/>
                            <w:tcBorders>
                              <w:bottom w:val="single" w:sz="4" w:space="0" w:color="auto"/>
                            </w:tcBorders>
                            <w:shd w:val="clear" w:color="auto" w:fill="auto"/>
                          </w:tcPr>
                          <w:p w14:paraId="3D39585D" w14:textId="77777777" w:rsidR="00C23AAA" w:rsidRPr="000C1F7F" w:rsidRDefault="00C23AAA" w:rsidP="00BF34F9">
                            <w:pPr>
                              <w:rPr>
                                <w:rFonts w:ascii="Arial" w:hAnsi="Arial" w:cs="Arial"/>
                                <w:sz w:val="20"/>
                              </w:rPr>
                            </w:pPr>
                            <w:r w:rsidRPr="000C1F7F">
                              <w:rPr>
                                <w:rFonts w:ascii="Arial" w:hAnsi="Arial" w:cs="Arial"/>
                                <w:sz w:val="20"/>
                              </w:rPr>
                              <w:t>148</w:t>
                            </w:r>
                          </w:p>
                        </w:tc>
                      </w:tr>
                      <w:tr w:rsidR="00C23AAA" w:rsidRPr="0055776F" w14:paraId="3D395864" w14:textId="77777777">
                        <w:tc>
                          <w:tcPr>
                            <w:tcW w:w="817" w:type="dxa"/>
                            <w:shd w:val="clear" w:color="auto" w:fill="auto"/>
                          </w:tcPr>
                          <w:p w14:paraId="3D39585F" w14:textId="77777777" w:rsidR="00C23AAA" w:rsidRPr="0055776F" w:rsidRDefault="00C23AAA" w:rsidP="00BF34F9">
                            <w:pPr>
                              <w:rPr>
                                <w:rFonts w:ascii="Arial" w:hAnsi="Arial" w:cs="Arial"/>
                                <w:sz w:val="20"/>
                              </w:rPr>
                            </w:pPr>
                            <w:r w:rsidRPr="0055776F">
                              <w:rPr>
                                <w:rFonts w:ascii="Arial" w:hAnsi="Arial" w:cs="Arial"/>
                                <w:sz w:val="20"/>
                              </w:rPr>
                              <w:t>│││</w:t>
                            </w:r>
                          </w:p>
                        </w:tc>
                        <w:tc>
                          <w:tcPr>
                            <w:tcW w:w="2464" w:type="dxa"/>
                            <w:shd w:val="clear" w:color="auto" w:fill="auto"/>
                          </w:tcPr>
                          <w:p w14:paraId="3D395860" w14:textId="77777777" w:rsidR="00C23AAA" w:rsidRPr="0055776F" w:rsidRDefault="00C23AAA" w:rsidP="00BF34F9">
                            <w:pPr>
                              <w:rPr>
                                <w:rFonts w:ascii="Arial" w:hAnsi="Arial" w:cs="Arial"/>
                                <w:sz w:val="20"/>
                              </w:rPr>
                            </w:pPr>
                            <w:r w:rsidRPr="008E7CB7">
                              <w:rPr>
                                <w:rFonts w:ascii="Arial" w:hAnsi="Arial" w:cs="Arial"/>
                                <w:sz w:val="20"/>
                              </w:rPr>
                              <w:t>Izslēgtie novērojumi</w:t>
                            </w:r>
                          </w:p>
                        </w:tc>
                        <w:tc>
                          <w:tcPr>
                            <w:tcW w:w="851" w:type="dxa"/>
                            <w:tcBorders>
                              <w:top w:val="single" w:sz="4" w:space="0" w:color="auto"/>
                            </w:tcBorders>
                            <w:shd w:val="clear" w:color="auto" w:fill="auto"/>
                          </w:tcPr>
                          <w:p w14:paraId="3D395861" w14:textId="77777777" w:rsidR="00C23AAA" w:rsidRPr="0055776F" w:rsidRDefault="00C23AAA" w:rsidP="00BF34F9">
                            <w:pPr>
                              <w:rPr>
                                <w:rFonts w:ascii="Arial" w:hAnsi="Arial" w:cs="Arial"/>
                                <w:sz w:val="20"/>
                              </w:rPr>
                            </w:pPr>
                          </w:p>
                        </w:tc>
                        <w:tc>
                          <w:tcPr>
                            <w:tcW w:w="709" w:type="dxa"/>
                            <w:tcBorders>
                              <w:top w:val="single" w:sz="4" w:space="0" w:color="auto"/>
                            </w:tcBorders>
                            <w:shd w:val="clear" w:color="auto" w:fill="auto"/>
                          </w:tcPr>
                          <w:p w14:paraId="3D395862" w14:textId="77777777" w:rsidR="00C23AAA" w:rsidRPr="0055776F" w:rsidRDefault="00C23AAA" w:rsidP="00BF34F9">
                            <w:pPr>
                              <w:rPr>
                                <w:rFonts w:ascii="Arial" w:hAnsi="Arial" w:cs="Arial"/>
                                <w:sz w:val="20"/>
                              </w:rPr>
                            </w:pPr>
                          </w:p>
                        </w:tc>
                        <w:tc>
                          <w:tcPr>
                            <w:tcW w:w="850" w:type="dxa"/>
                            <w:tcBorders>
                              <w:top w:val="single" w:sz="4" w:space="0" w:color="auto"/>
                            </w:tcBorders>
                            <w:shd w:val="clear" w:color="auto" w:fill="auto"/>
                          </w:tcPr>
                          <w:p w14:paraId="3D395863" w14:textId="77777777" w:rsidR="00C23AAA" w:rsidRPr="0055776F" w:rsidRDefault="00C23AAA" w:rsidP="00BF34F9">
                            <w:pPr>
                              <w:rPr>
                                <w:rFonts w:ascii="Arial" w:hAnsi="Arial" w:cs="Arial"/>
                                <w:sz w:val="20"/>
                              </w:rPr>
                            </w:pPr>
                          </w:p>
                        </w:tc>
                      </w:tr>
                    </w:tbl>
                    <w:p w14:paraId="3D395865" w14:textId="77777777" w:rsidR="00C23AAA" w:rsidRPr="00A33DBA" w:rsidRDefault="00C23AAA" w:rsidP="00F74EF9">
                      <w:pPr>
                        <w:rPr>
                          <w:rFonts w:ascii="Arial" w:hAnsi="Arial" w:cs="Arial"/>
                          <w:sz w:val="20"/>
                        </w:rPr>
                      </w:pPr>
                    </w:p>
                  </w:txbxContent>
                </v:textbox>
              </v:shape>
            </w:pict>
          </mc:Fallback>
        </mc:AlternateContent>
      </w:r>
      <w:r w:rsidRPr="00CD729C">
        <w:rPr>
          <w:rFonts w:eastAsia="MS Mincho"/>
          <w:noProof/>
          <w:szCs w:val="22"/>
          <w:lang w:val="en-GB" w:eastAsia="en-GB"/>
        </w:rPr>
        <mc:AlternateContent>
          <mc:Choice Requires="wps">
            <w:drawing>
              <wp:anchor distT="0" distB="0" distL="114300" distR="114300" simplePos="0" relativeHeight="251654144" behindDoc="0" locked="0" layoutInCell="1" allowOverlap="1" wp14:anchorId="3D39581A" wp14:editId="3D39581B">
                <wp:simplePos x="0" y="0"/>
                <wp:positionH relativeFrom="column">
                  <wp:posOffset>2339340</wp:posOffset>
                </wp:positionH>
                <wp:positionV relativeFrom="paragraph">
                  <wp:posOffset>2671445</wp:posOffset>
                </wp:positionV>
                <wp:extent cx="1540510" cy="3143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314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95866" w14:textId="77777777" w:rsidR="00C23AAA" w:rsidRPr="00A33DBA" w:rsidRDefault="00C23AAA" w:rsidP="00F74EF9">
                            <w:pPr>
                              <w:rPr>
                                <w:rFonts w:ascii="Arial" w:hAnsi="Arial" w:cs="Arial"/>
                                <w:sz w:val="20"/>
                              </w:rPr>
                            </w:pPr>
                            <w:r>
                              <w:rPr>
                                <w:rFonts w:ascii="Arial" w:hAnsi="Arial" w:cs="Arial"/>
                                <w:sz w:val="20"/>
                                <w:lang w:val="de-DE"/>
                              </w:rPr>
                              <w:t>Dzīvildze (mēneši)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9581A" id="_x0000_s1028" type="#_x0000_t202" style="position:absolute;margin-left:184.2pt;margin-top:210.35pt;width:121.3pt;height:2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" stroked="f">
                <v:fill opacity="0"/>
                <v:textbox>
                  <w:txbxContent>
                    <w:p w14:paraId="3D395866" w14:textId="77777777" w:rsidR="00C23AAA" w:rsidRPr="00A33DBA" w:rsidRDefault="00C23AAA" w:rsidP="00F74EF9">
                      <w:pPr>
                        <w:rPr>
                          <w:rFonts w:ascii="Arial" w:hAnsi="Arial" w:cs="Arial"/>
                          <w:sz w:val="20"/>
                        </w:rPr>
                      </w:pPr>
                      <w:r>
                        <w:rPr>
                          <w:rFonts w:ascii="Arial" w:hAnsi="Arial" w:cs="Arial"/>
                          <w:sz w:val="20"/>
                          <w:lang w:val="de-DE"/>
                        </w:rPr>
                        <w:t>Dzīvildze (mēneši)</w:t>
                      </w:r>
                    </w:p>
                  </w:txbxContent>
                </v:textbox>
              </v:shape>
            </w:pict>
          </mc:Fallback>
        </mc:AlternateContent>
      </w:r>
      <w:r w:rsidRPr="00CD729C">
        <w:rPr>
          <w:noProof/>
          <w:lang w:val="en-GB" w:eastAsia="en-GB"/>
        </w:rPr>
        <w:drawing>
          <wp:inline distT="0" distB="0" distL="0" distR="0" wp14:anchorId="3D39581C" wp14:editId="3D39581D">
            <wp:extent cx="5938520" cy="26822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8520" cy="2682240"/>
                    </a:xfrm>
                    <a:prstGeom prst="rect">
                      <a:avLst/>
                    </a:prstGeom>
                    <a:noFill/>
                    <a:ln>
                      <a:noFill/>
                    </a:ln>
                  </pic:spPr>
                </pic:pic>
              </a:graphicData>
            </a:graphic>
          </wp:inline>
        </w:drawing>
      </w:r>
    </w:p>
    <w:p w14:paraId="3D394859" w14:textId="77777777" w:rsidR="00F74EF9" w:rsidRPr="00CD729C" w:rsidRDefault="00F74EF9" w:rsidP="009B4BB6">
      <w:pPr>
        <w:keepNext/>
        <w:keepLines/>
        <w:widowControl w:val="0"/>
        <w:tabs>
          <w:tab w:val="clear" w:pos="567"/>
        </w:tabs>
        <w:spacing w:line="240" w:lineRule="auto"/>
        <w:rPr>
          <w:rFonts w:eastAsia="MS Mincho"/>
          <w:szCs w:val="22"/>
        </w:rPr>
      </w:pPr>
    </w:p>
    <w:p w14:paraId="3D39485A" w14:textId="77777777" w:rsidR="00F74EF9" w:rsidRPr="00CD729C" w:rsidRDefault="00F74EF9" w:rsidP="009B4BB6">
      <w:pPr>
        <w:keepNext/>
        <w:keepLines/>
        <w:widowControl w:val="0"/>
        <w:spacing w:line="240" w:lineRule="auto"/>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F74EF9" w:rsidRPr="00CD729C" w14:paraId="3D39485C" w14:textId="77777777">
        <w:tc>
          <w:tcPr>
            <w:tcW w:w="10599" w:type="dxa"/>
            <w:gridSpan w:val="16"/>
            <w:shd w:val="clear" w:color="auto" w:fill="auto"/>
          </w:tcPr>
          <w:p w14:paraId="3D39485B" w14:textId="77777777" w:rsidR="00F74EF9" w:rsidRPr="00CD729C" w:rsidRDefault="00407F0E" w:rsidP="009B4BB6">
            <w:pPr>
              <w:keepNext/>
              <w:keepLines/>
              <w:widowControl w:val="0"/>
              <w:spacing w:line="240" w:lineRule="auto"/>
              <w:ind w:left="-27"/>
              <w:rPr>
                <w:rFonts w:ascii="Arial" w:hAnsi="Arial" w:cs="Arial"/>
                <w:sz w:val="16"/>
                <w:szCs w:val="16"/>
              </w:rPr>
            </w:pPr>
            <w:r w:rsidRPr="00CD729C">
              <w:rPr>
                <w:rFonts w:ascii="Arial" w:hAnsi="Arial" w:cs="Arial"/>
                <w:sz w:val="20"/>
              </w:rPr>
              <w:t>Riska grupa: gadījumi</w:t>
            </w:r>
          </w:p>
        </w:tc>
      </w:tr>
      <w:tr w:rsidR="00F74EF9" w:rsidRPr="00CD729C" w14:paraId="3D39486D" w14:textId="77777777">
        <w:tc>
          <w:tcPr>
            <w:tcW w:w="450" w:type="dxa"/>
            <w:shd w:val="clear" w:color="auto" w:fill="auto"/>
          </w:tcPr>
          <w:p w14:paraId="3D39485D" w14:textId="77777777" w:rsidR="00F74EF9" w:rsidRPr="00CD729C" w:rsidRDefault="00F74EF9" w:rsidP="009B4BB6">
            <w:pPr>
              <w:keepNext/>
              <w:keepLines/>
              <w:widowControl w:val="0"/>
              <w:spacing w:line="240" w:lineRule="auto"/>
              <w:rPr>
                <w:sz w:val="18"/>
                <w:szCs w:val="18"/>
              </w:rPr>
            </w:pPr>
            <w:r w:rsidRPr="00CD729C">
              <w:rPr>
                <w:sz w:val="18"/>
                <w:szCs w:val="18"/>
              </w:rPr>
              <w:t>(1)</w:t>
            </w:r>
          </w:p>
        </w:tc>
        <w:tc>
          <w:tcPr>
            <w:tcW w:w="646" w:type="dxa"/>
            <w:shd w:val="clear" w:color="auto" w:fill="auto"/>
          </w:tcPr>
          <w:p w14:paraId="3D39485E" w14:textId="77777777" w:rsidR="00F74EF9" w:rsidRPr="00CD729C" w:rsidRDefault="00F74EF9" w:rsidP="009B4BB6">
            <w:pPr>
              <w:keepNext/>
              <w:keepLines/>
              <w:widowControl w:val="0"/>
              <w:spacing w:line="240" w:lineRule="auto"/>
              <w:ind w:left="-27"/>
              <w:rPr>
                <w:sz w:val="18"/>
                <w:szCs w:val="18"/>
              </w:rPr>
            </w:pPr>
            <w:r w:rsidRPr="00CD729C">
              <w:rPr>
                <w:sz w:val="18"/>
                <w:szCs w:val="18"/>
              </w:rPr>
              <w:t>199:0</w:t>
            </w:r>
          </w:p>
        </w:tc>
        <w:tc>
          <w:tcPr>
            <w:tcW w:w="645" w:type="dxa"/>
            <w:shd w:val="clear" w:color="auto" w:fill="auto"/>
          </w:tcPr>
          <w:p w14:paraId="3D39485F" w14:textId="77777777" w:rsidR="00F74EF9" w:rsidRPr="00CD729C" w:rsidRDefault="00F74EF9" w:rsidP="009B4BB6">
            <w:pPr>
              <w:keepNext/>
              <w:keepLines/>
              <w:widowControl w:val="0"/>
              <w:spacing w:line="240" w:lineRule="auto"/>
              <w:ind w:left="-27"/>
              <w:rPr>
                <w:sz w:val="18"/>
                <w:szCs w:val="18"/>
              </w:rPr>
            </w:pPr>
            <w:r w:rsidRPr="00CD729C">
              <w:rPr>
                <w:sz w:val="18"/>
                <w:szCs w:val="18"/>
              </w:rPr>
              <w:t>182:8</w:t>
            </w:r>
          </w:p>
        </w:tc>
        <w:tc>
          <w:tcPr>
            <w:tcW w:w="745" w:type="dxa"/>
            <w:shd w:val="clear" w:color="auto" w:fill="auto"/>
          </w:tcPr>
          <w:p w14:paraId="3D394860" w14:textId="77777777" w:rsidR="00F74EF9" w:rsidRPr="00CD729C" w:rsidRDefault="00F74EF9" w:rsidP="009B4BB6">
            <w:pPr>
              <w:keepNext/>
              <w:keepLines/>
              <w:widowControl w:val="0"/>
              <w:spacing w:line="240" w:lineRule="auto"/>
              <w:ind w:left="-27"/>
              <w:rPr>
                <w:sz w:val="18"/>
                <w:szCs w:val="18"/>
              </w:rPr>
            </w:pPr>
            <w:r w:rsidRPr="00CD729C">
              <w:rPr>
                <w:sz w:val="18"/>
                <w:szCs w:val="18"/>
              </w:rPr>
              <w:t>177:12</w:t>
            </w:r>
          </w:p>
        </w:tc>
        <w:tc>
          <w:tcPr>
            <w:tcW w:w="745" w:type="dxa"/>
            <w:shd w:val="clear" w:color="auto" w:fill="auto"/>
          </w:tcPr>
          <w:p w14:paraId="3D394861" w14:textId="77777777" w:rsidR="00F74EF9" w:rsidRPr="00CD729C" w:rsidRDefault="00F74EF9" w:rsidP="009B4BB6">
            <w:pPr>
              <w:keepNext/>
              <w:keepLines/>
              <w:widowControl w:val="0"/>
              <w:spacing w:line="240" w:lineRule="auto"/>
              <w:ind w:left="-27"/>
              <w:rPr>
                <w:sz w:val="18"/>
                <w:szCs w:val="18"/>
              </w:rPr>
            </w:pPr>
            <w:r w:rsidRPr="00CD729C">
              <w:rPr>
                <w:sz w:val="18"/>
                <w:szCs w:val="18"/>
              </w:rPr>
              <w:t>163:25</w:t>
            </w:r>
          </w:p>
        </w:tc>
        <w:tc>
          <w:tcPr>
            <w:tcW w:w="745" w:type="dxa"/>
            <w:shd w:val="clear" w:color="auto" w:fill="auto"/>
          </w:tcPr>
          <w:p w14:paraId="3D394862" w14:textId="77777777" w:rsidR="00F74EF9" w:rsidRPr="00CD729C" w:rsidRDefault="00F74EF9" w:rsidP="009B4BB6">
            <w:pPr>
              <w:keepNext/>
              <w:keepLines/>
              <w:widowControl w:val="0"/>
              <w:spacing w:line="240" w:lineRule="auto"/>
              <w:ind w:left="-27"/>
              <w:rPr>
                <w:sz w:val="18"/>
                <w:szCs w:val="18"/>
              </w:rPr>
            </w:pPr>
            <w:r w:rsidRPr="00CD729C">
              <w:rPr>
                <w:sz w:val="18"/>
                <w:szCs w:val="18"/>
              </w:rPr>
              <w:t>137:46</w:t>
            </w:r>
          </w:p>
        </w:tc>
        <w:tc>
          <w:tcPr>
            <w:tcW w:w="752" w:type="dxa"/>
            <w:shd w:val="clear" w:color="auto" w:fill="auto"/>
          </w:tcPr>
          <w:p w14:paraId="3D394863" w14:textId="77777777" w:rsidR="00F74EF9" w:rsidRPr="00CD729C" w:rsidRDefault="00F74EF9" w:rsidP="009B4BB6">
            <w:pPr>
              <w:keepNext/>
              <w:keepLines/>
              <w:widowControl w:val="0"/>
              <w:spacing w:line="240" w:lineRule="auto"/>
              <w:ind w:left="-27"/>
              <w:rPr>
                <w:sz w:val="18"/>
                <w:szCs w:val="18"/>
              </w:rPr>
            </w:pPr>
            <w:r w:rsidRPr="00CD729C">
              <w:rPr>
                <w:sz w:val="18"/>
                <w:szCs w:val="18"/>
              </w:rPr>
              <w:t>105:65</w:t>
            </w:r>
          </w:p>
        </w:tc>
        <w:tc>
          <w:tcPr>
            <w:tcW w:w="745" w:type="dxa"/>
            <w:shd w:val="clear" w:color="auto" w:fill="auto"/>
          </w:tcPr>
          <w:p w14:paraId="3D394864" w14:textId="77777777" w:rsidR="00F74EF9" w:rsidRPr="00CD729C" w:rsidRDefault="00F74EF9" w:rsidP="009B4BB6">
            <w:pPr>
              <w:keepNext/>
              <w:keepLines/>
              <w:widowControl w:val="0"/>
              <w:spacing w:line="240" w:lineRule="auto"/>
              <w:ind w:left="-27"/>
              <w:rPr>
                <w:sz w:val="18"/>
                <w:szCs w:val="18"/>
              </w:rPr>
            </w:pPr>
            <w:r w:rsidRPr="00CD729C">
              <w:rPr>
                <w:sz w:val="18"/>
                <w:szCs w:val="18"/>
              </w:rPr>
              <w:t>88:72</w:t>
            </w:r>
          </w:p>
        </w:tc>
        <w:tc>
          <w:tcPr>
            <w:tcW w:w="745" w:type="dxa"/>
            <w:shd w:val="clear" w:color="auto" w:fill="auto"/>
          </w:tcPr>
          <w:p w14:paraId="3D394865" w14:textId="77777777" w:rsidR="00F74EF9" w:rsidRPr="00CD729C" w:rsidRDefault="00F74EF9" w:rsidP="009B4BB6">
            <w:pPr>
              <w:keepNext/>
              <w:keepLines/>
              <w:widowControl w:val="0"/>
              <w:spacing w:line="240" w:lineRule="auto"/>
              <w:ind w:left="-27"/>
              <w:rPr>
                <w:sz w:val="18"/>
                <w:szCs w:val="18"/>
              </w:rPr>
            </w:pPr>
            <w:r w:rsidRPr="00CD729C">
              <w:rPr>
                <w:sz w:val="18"/>
                <w:szCs w:val="18"/>
              </w:rPr>
              <w:t>61:77</w:t>
            </w:r>
          </w:p>
        </w:tc>
        <w:tc>
          <w:tcPr>
            <w:tcW w:w="652" w:type="dxa"/>
            <w:shd w:val="clear" w:color="auto" w:fill="auto"/>
          </w:tcPr>
          <w:p w14:paraId="3D394866" w14:textId="77777777" w:rsidR="00F74EF9" w:rsidRPr="00CD729C" w:rsidRDefault="00F74EF9" w:rsidP="009B4BB6">
            <w:pPr>
              <w:keepNext/>
              <w:keepLines/>
              <w:widowControl w:val="0"/>
              <w:spacing w:line="240" w:lineRule="auto"/>
              <w:ind w:left="-27"/>
              <w:rPr>
                <w:sz w:val="18"/>
                <w:szCs w:val="18"/>
              </w:rPr>
            </w:pPr>
            <w:r w:rsidRPr="00CD729C">
              <w:rPr>
                <w:sz w:val="18"/>
                <w:szCs w:val="18"/>
              </w:rPr>
              <w:t>49:81</w:t>
            </w:r>
          </w:p>
        </w:tc>
        <w:tc>
          <w:tcPr>
            <w:tcW w:w="652" w:type="dxa"/>
            <w:shd w:val="clear" w:color="auto" w:fill="auto"/>
          </w:tcPr>
          <w:p w14:paraId="3D394867" w14:textId="77777777" w:rsidR="00F74EF9" w:rsidRPr="00CD729C" w:rsidRDefault="00F74EF9" w:rsidP="009B4BB6">
            <w:pPr>
              <w:keepNext/>
              <w:keepLines/>
              <w:widowControl w:val="0"/>
              <w:spacing w:line="240" w:lineRule="auto"/>
              <w:ind w:left="-27"/>
              <w:rPr>
                <w:sz w:val="18"/>
                <w:szCs w:val="18"/>
              </w:rPr>
            </w:pPr>
            <w:r w:rsidRPr="00CD729C">
              <w:rPr>
                <w:sz w:val="18"/>
                <w:szCs w:val="18"/>
              </w:rPr>
              <w:t>36:83</w:t>
            </w:r>
          </w:p>
        </w:tc>
        <w:tc>
          <w:tcPr>
            <w:tcW w:w="649" w:type="dxa"/>
            <w:shd w:val="clear" w:color="auto" w:fill="auto"/>
          </w:tcPr>
          <w:p w14:paraId="3D394868" w14:textId="77777777" w:rsidR="00F74EF9" w:rsidRPr="00CD729C" w:rsidRDefault="00F74EF9" w:rsidP="009B4BB6">
            <w:pPr>
              <w:keepNext/>
              <w:keepLines/>
              <w:widowControl w:val="0"/>
              <w:spacing w:line="240" w:lineRule="auto"/>
              <w:ind w:left="-27"/>
              <w:rPr>
                <w:sz w:val="18"/>
                <w:szCs w:val="18"/>
              </w:rPr>
            </w:pPr>
            <w:r w:rsidRPr="00CD729C">
              <w:rPr>
                <w:sz w:val="18"/>
                <w:szCs w:val="18"/>
              </w:rPr>
              <w:t>27:84</w:t>
            </w:r>
          </w:p>
        </w:tc>
        <w:tc>
          <w:tcPr>
            <w:tcW w:w="660" w:type="dxa"/>
            <w:shd w:val="clear" w:color="auto" w:fill="auto"/>
          </w:tcPr>
          <w:p w14:paraId="3D394869" w14:textId="77777777" w:rsidR="00F74EF9" w:rsidRPr="00CD729C" w:rsidRDefault="00F74EF9" w:rsidP="009B4BB6">
            <w:pPr>
              <w:keepNext/>
              <w:keepLines/>
              <w:widowControl w:val="0"/>
              <w:spacing w:line="240" w:lineRule="auto"/>
              <w:ind w:left="-27"/>
              <w:rPr>
                <w:sz w:val="18"/>
                <w:szCs w:val="18"/>
              </w:rPr>
            </w:pPr>
            <w:r w:rsidRPr="00CD729C">
              <w:rPr>
                <w:sz w:val="18"/>
                <w:szCs w:val="18"/>
              </w:rPr>
              <w:t>14:84</w:t>
            </w:r>
          </w:p>
        </w:tc>
        <w:tc>
          <w:tcPr>
            <w:tcW w:w="649" w:type="dxa"/>
            <w:shd w:val="clear" w:color="auto" w:fill="auto"/>
          </w:tcPr>
          <w:p w14:paraId="3D39486A" w14:textId="77777777" w:rsidR="00F74EF9" w:rsidRPr="00CD729C" w:rsidRDefault="00F74EF9" w:rsidP="009B4BB6">
            <w:pPr>
              <w:keepNext/>
              <w:keepLines/>
              <w:widowControl w:val="0"/>
              <w:spacing w:line="240" w:lineRule="auto"/>
              <w:ind w:left="-27"/>
              <w:rPr>
                <w:sz w:val="18"/>
                <w:szCs w:val="18"/>
              </w:rPr>
            </w:pPr>
            <w:r w:rsidRPr="00CD729C">
              <w:rPr>
                <w:sz w:val="18"/>
                <w:szCs w:val="18"/>
              </w:rPr>
              <w:t>10:84</w:t>
            </w:r>
          </w:p>
        </w:tc>
        <w:tc>
          <w:tcPr>
            <w:tcW w:w="564" w:type="dxa"/>
            <w:shd w:val="clear" w:color="auto" w:fill="auto"/>
          </w:tcPr>
          <w:p w14:paraId="3D39486B" w14:textId="77777777" w:rsidR="00F74EF9" w:rsidRPr="00CD729C" w:rsidRDefault="00F74EF9" w:rsidP="009B4BB6">
            <w:pPr>
              <w:keepNext/>
              <w:keepLines/>
              <w:widowControl w:val="0"/>
              <w:spacing w:line="240" w:lineRule="auto"/>
              <w:ind w:left="-27"/>
              <w:rPr>
                <w:sz w:val="18"/>
                <w:szCs w:val="18"/>
              </w:rPr>
            </w:pPr>
            <w:r w:rsidRPr="00CD729C">
              <w:rPr>
                <w:sz w:val="18"/>
                <w:szCs w:val="18"/>
              </w:rPr>
              <w:t>2:84</w:t>
            </w:r>
          </w:p>
        </w:tc>
        <w:tc>
          <w:tcPr>
            <w:tcW w:w="555" w:type="dxa"/>
            <w:shd w:val="clear" w:color="auto" w:fill="auto"/>
          </w:tcPr>
          <w:p w14:paraId="3D39486C" w14:textId="77777777" w:rsidR="00F74EF9" w:rsidRPr="00CD729C" w:rsidRDefault="00F74EF9" w:rsidP="009B4BB6">
            <w:pPr>
              <w:keepNext/>
              <w:keepLines/>
              <w:widowControl w:val="0"/>
              <w:spacing w:line="240" w:lineRule="auto"/>
              <w:ind w:left="-27"/>
              <w:rPr>
                <w:sz w:val="18"/>
                <w:szCs w:val="18"/>
              </w:rPr>
            </w:pPr>
            <w:r w:rsidRPr="00CD729C">
              <w:rPr>
                <w:sz w:val="18"/>
                <w:szCs w:val="18"/>
              </w:rPr>
              <w:t>0:84</w:t>
            </w:r>
          </w:p>
        </w:tc>
      </w:tr>
      <w:tr w:rsidR="00F74EF9" w:rsidRPr="00CD729C" w14:paraId="3D39487E" w14:textId="77777777">
        <w:tc>
          <w:tcPr>
            <w:tcW w:w="450" w:type="dxa"/>
            <w:shd w:val="clear" w:color="auto" w:fill="auto"/>
          </w:tcPr>
          <w:p w14:paraId="3D39486E" w14:textId="77777777" w:rsidR="00F74EF9" w:rsidRPr="00CD729C" w:rsidRDefault="00F74EF9" w:rsidP="009B4BB6">
            <w:pPr>
              <w:keepNext/>
              <w:keepLines/>
              <w:widowControl w:val="0"/>
              <w:spacing w:line="240" w:lineRule="auto"/>
              <w:rPr>
                <w:sz w:val="18"/>
                <w:szCs w:val="18"/>
              </w:rPr>
            </w:pPr>
            <w:r w:rsidRPr="00CD729C">
              <w:rPr>
                <w:sz w:val="18"/>
                <w:szCs w:val="18"/>
              </w:rPr>
              <w:t>(2)</w:t>
            </w:r>
          </w:p>
        </w:tc>
        <w:tc>
          <w:tcPr>
            <w:tcW w:w="646" w:type="dxa"/>
            <w:shd w:val="clear" w:color="auto" w:fill="auto"/>
          </w:tcPr>
          <w:p w14:paraId="3D39486F" w14:textId="77777777" w:rsidR="00F74EF9" w:rsidRPr="00CD729C" w:rsidRDefault="00F74EF9" w:rsidP="009B4BB6">
            <w:pPr>
              <w:keepNext/>
              <w:keepLines/>
              <w:widowControl w:val="0"/>
              <w:spacing w:line="240" w:lineRule="auto"/>
              <w:ind w:left="-27"/>
              <w:rPr>
                <w:sz w:val="18"/>
                <w:szCs w:val="18"/>
              </w:rPr>
            </w:pPr>
            <w:r w:rsidRPr="00CD729C">
              <w:rPr>
                <w:sz w:val="18"/>
                <w:szCs w:val="18"/>
              </w:rPr>
              <w:t>198:0</w:t>
            </w:r>
          </w:p>
        </w:tc>
        <w:tc>
          <w:tcPr>
            <w:tcW w:w="645" w:type="dxa"/>
            <w:shd w:val="clear" w:color="auto" w:fill="auto"/>
          </w:tcPr>
          <w:p w14:paraId="3D394870" w14:textId="77777777" w:rsidR="00F74EF9" w:rsidRPr="00CD729C" w:rsidRDefault="00F74EF9" w:rsidP="009B4BB6">
            <w:pPr>
              <w:keepNext/>
              <w:keepLines/>
              <w:widowControl w:val="0"/>
              <w:spacing w:line="240" w:lineRule="auto"/>
              <w:ind w:left="-27"/>
              <w:rPr>
                <w:sz w:val="18"/>
                <w:szCs w:val="18"/>
              </w:rPr>
            </w:pPr>
            <w:r w:rsidRPr="00CD729C">
              <w:rPr>
                <w:sz w:val="18"/>
                <w:szCs w:val="18"/>
              </w:rPr>
              <w:t>189:5</w:t>
            </w:r>
          </w:p>
        </w:tc>
        <w:tc>
          <w:tcPr>
            <w:tcW w:w="745" w:type="dxa"/>
            <w:shd w:val="clear" w:color="auto" w:fill="auto"/>
          </w:tcPr>
          <w:p w14:paraId="3D394871" w14:textId="77777777" w:rsidR="00F74EF9" w:rsidRPr="00CD729C" w:rsidRDefault="00F74EF9" w:rsidP="009B4BB6">
            <w:pPr>
              <w:keepNext/>
              <w:keepLines/>
              <w:widowControl w:val="0"/>
              <w:spacing w:line="240" w:lineRule="auto"/>
              <w:ind w:left="-27"/>
              <w:rPr>
                <w:sz w:val="18"/>
                <w:szCs w:val="18"/>
              </w:rPr>
            </w:pPr>
            <w:r w:rsidRPr="00CD729C">
              <w:rPr>
                <w:sz w:val="18"/>
                <w:szCs w:val="18"/>
              </w:rPr>
              <w:t>184:8</w:t>
            </w:r>
          </w:p>
        </w:tc>
        <w:tc>
          <w:tcPr>
            <w:tcW w:w="745" w:type="dxa"/>
            <w:shd w:val="clear" w:color="auto" w:fill="auto"/>
          </w:tcPr>
          <w:p w14:paraId="3D394872" w14:textId="77777777" w:rsidR="00F74EF9" w:rsidRPr="00CD729C" w:rsidRDefault="00F74EF9" w:rsidP="009B4BB6">
            <w:pPr>
              <w:keepNext/>
              <w:keepLines/>
              <w:widowControl w:val="0"/>
              <w:spacing w:line="240" w:lineRule="auto"/>
              <w:ind w:left="-27"/>
              <w:rPr>
                <w:sz w:val="18"/>
                <w:szCs w:val="18"/>
              </w:rPr>
            </w:pPr>
            <w:r w:rsidRPr="00CD729C">
              <w:rPr>
                <w:sz w:val="18"/>
                <w:szCs w:val="18"/>
              </w:rPr>
              <w:t>181:11</w:t>
            </w:r>
          </w:p>
        </w:tc>
        <w:tc>
          <w:tcPr>
            <w:tcW w:w="745" w:type="dxa"/>
            <w:shd w:val="clear" w:color="auto" w:fill="auto"/>
          </w:tcPr>
          <w:p w14:paraId="3D394873" w14:textId="77777777" w:rsidR="00F74EF9" w:rsidRPr="00CD729C" w:rsidRDefault="00F74EF9" w:rsidP="009B4BB6">
            <w:pPr>
              <w:keepNext/>
              <w:keepLines/>
              <w:widowControl w:val="0"/>
              <w:spacing w:line="240" w:lineRule="auto"/>
              <w:ind w:left="-27"/>
              <w:rPr>
                <w:sz w:val="18"/>
                <w:szCs w:val="18"/>
              </w:rPr>
            </w:pPr>
            <w:r w:rsidRPr="00CD729C">
              <w:rPr>
                <w:sz w:val="18"/>
                <w:szCs w:val="18"/>
              </w:rPr>
              <w:t>173:18</w:t>
            </w:r>
          </w:p>
        </w:tc>
        <w:tc>
          <w:tcPr>
            <w:tcW w:w="752" w:type="dxa"/>
            <w:shd w:val="clear" w:color="auto" w:fill="auto"/>
          </w:tcPr>
          <w:p w14:paraId="3D394874" w14:textId="77777777" w:rsidR="00F74EF9" w:rsidRPr="00CD729C" w:rsidRDefault="00F74EF9" w:rsidP="009B4BB6">
            <w:pPr>
              <w:keepNext/>
              <w:keepLines/>
              <w:widowControl w:val="0"/>
              <w:spacing w:line="240" w:lineRule="auto"/>
              <w:ind w:left="-27"/>
              <w:rPr>
                <w:sz w:val="18"/>
                <w:szCs w:val="18"/>
              </w:rPr>
            </w:pPr>
            <w:r w:rsidRPr="00CD729C">
              <w:rPr>
                <w:sz w:val="18"/>
                <w:szCs w:val="18"/>
              </w:rPr>
              <w:t>152:22</w:t>
            </w:r>
          </w:p>
        </w:tc>
        <w:tc>
          <w:tcPr>
            <w:tcW w:w="745" w:type="dxa"/>
            <w:shd w:val="clear" w:color="auto" w:fill="auto"/>
          </w:tcPr>
          <w:p w14:paraId="3D394875" w14:textId="77777777" w:rsidR="00F74EF9" w:rsidRPr="00CD729C" w:rsidRDefault="00F74EF9" w:rsidP="009B4BB6">
            <w:pPr>
              <w:keepNext/>
              <w:keepLines/>
              <w:widowControl w:val="0"/>
              <w:spacing w:line="240" w:lineRule="auto"/>
              <w:ind w:left="-27"/>
              <w:rPr>
                <w:sz w:val="18"/>
                <w:szCs w:val="18"/>
              </w:rPr>
            </w:pPr>
            <w:r w:rsidRPr="00CD729C">
              <w:rPr>
                <w:sz w:val="18"/>
                <w:szCs w:val="18"/>
              </w:rPr>
              <w:t>133:25</w:t>
            </w:r>
          </w:p>
        </w:tc>
        <w:tc>
          <w:tcPr>
            <w:tcW w:w="745" w:type="dxa"/>
            <w:shd w:val="clear" w:color="auto" w:fill="auto"/>
          </w:tcPr>
          <w:p w14:paraId="3D394876" w14:textId="77777777" w:rsidR="00F74EF9" w:rsidRPr="00CD729C" w:rsidRDefault="00F74EF9" w:rsidP="009B4BB6">
            <w:pPr>
              <w:keepNext/>
              <w:keepLines/>
              <w:widowControl w:val="0"/>
              <w:spacing w:line="240" w:lineRule="auto"/>
              <w:ind w:left="-27"/>
              <w:rPr>
                <w:sz w:val="18"/>
                <w:szCs w:val="18"/>
              </w:rPr>
            </w:pPr>
            <w:r w:rsidRPr="00CD729C">
              <w:rPr>
                <w:sz w:val="18"/>
                <w:szCs w:val="18"/>
              </w:rPr>
              <w:t>102:29</w:t>
            </w:r>
          </w:p>
        </w:tc>
        <w:tc>
          <w:tcPr>
            <w:tcW w:w="652" w:type="dxa"/>
            <w:shd w:val="clear" w:color="auto" w:fill="auto"/>
          </w:tcPr>
          <w:p w14:paraId="3D394877" w14:textId="77777777" w:rsidR="00F74EF9" w:rsidRPr="00CD729C" w:rsidRDefault="00F74EF9" w:rsidP="009B4BB6">
            <w:pPr>
              <w:keepNext/>
              <w:keepLines/>
              <w:widowControl w:val="0"/>
              <w:spacing w:line="240" w:lineRule="auto"/>
              <w:ind w:left="-27"/>
              <w:rPr>
                <w:sz w:val="18"/>
                <w:szCs w:val="18"/>
              </w:rPr>
            </w:pPr>
            <w:r w:rsidRPr="00CD729C">
              <w:rPr>
                <w:sz w:val="18"/>
                <w:szCs w:val="18"/>
              </w:rPr>
              <w:t>82:35</w:t>
            </w:r>
          </w:p>
        </w:tc>
        <w:tc>
          <w:tcPr>
            <w:tcW w:w="652" w:type="dxa"/>
            <w:shd w:val="clear" w:color="auto" w:fill="auto"/>
          </w:tcPr>
          <w:p w14:paraId="3D394878" w14:textId="77777777" w:rsidR="00F74EF9" w:rsidRPr="00CD729C" w:rsidRDefault="00F74EF9" w:rsidP="009B4BB6">
            <w:pPr>
              <w:keepNext/>
              <w:keepLines/>
              <w:widowControl w:val="0"/>
              <w:spacing w:line="240" w:lineRule="auto"/>
              <w:ind w:left="-27"/>
              <w:rPr>
                <w:sz w:val="18"/>
                <w:szCs w:val="18"/>
              </w:rPr>
            </w:pPr>
            <w:r w:rsidRPr="00CD729C">
              <w:rPr>
                <w:sz w:val="18"/>
                <w:szCs w:val="18"/>
              </w:rPr>
              <w:t>54:46</w:t>
            </w:r>
          </w:p>
        </w:tc>
        <w:tc>
          <w:tcPr>
            <w:tcW w:w="649" w:type="dxa"/>
            <w:shd w:val="clear" w:color="auto" w:fill="auto"/>
          </w:tcPr>
          <w:p w14:paraId="3D394879" w14:textId="77777777" w:rsidR="00F74EF9" w:rsidRPr="00CD729C" w:rsidRDefault="00F74EF9" w:rsidP="009B4BB6">
            <w:pPr>
              <w:keepNext/>
              <w:keepLines/>
              <w:widowControl w:val="0"/>
              <w:spacing w:line="240" w:lineRule="auto"/>
              <w:ind w:left="-27"/>
              <w:rPr>
                <w:sz w:val="18"/>
                <w:szCs w:val="18"/>
              </w:rPr>
            </w:pPr>
            <w:r w:rsidRPr="00CD729C">
              <w:rPr>
                <w:sz w:val="18"/>
                <w:szCs w:val="18"/>
              </w:rPr>
              <w:t>39:47</w:t>
            </w:r>
          </w:p>
        </w:tc>
        <w:tc>
          <w:tcPr>
            <w:tcW w:w="660" w:type="dxa"/>
            <w:shd w:val="clear" w:color="auto" w:fill="auto"/>
          </w:tcPr>
          <w:p w14:paraId="3D39487A" w14:textId="77777777" w:rsidR="00F74EF9" w:rsidRPr="00CD729C" w:rsidRDefault="00F74EF9" w:rsidP="009B4BB6">
            <w:pPr>
              <w:keepNext/>
              <w:keepLines/>
              <w:widowControl w:val="0"/>
              <w:spacing w:line="240" w:lineRule="auto"/>
              <w:ind w:left="-27"/>
              <w:rPr>
                <w:sz w:val="18"/>
                <w:szCs w:val="18"/>
              </w:rPr>
            </w:pPr>
            <w:r w:rsidRPr="00CD729C">
              <w:rPr>
                <w:sz w:val="18"/>
                <w:szCs w:val="18"/>
              </w:rPr>
              <w:t>21:49</w:t>
            </w:r>
          </w:p>
        </w:tc>
        <w:tc>
          <w:tcPr>
            <w:tcW w:w="649" w:type="dxa"/>
            <w:shd w:val="clear" w:color="auto" w:fill="auto"/>
          </w:tcPr>
          <w:p w14:paraId="3D39487B" w14:textId="77777777" w:rsidR="00F74EF9" w:rsidRPr="00CD729C" w:rsidRDefault="00F74EF9" w:rsidP="009B4BB6">
            <w:pPr>
              <w:keepNext/>
              <w:keepLines/>
              <w:widowControl w:val="0"/>
              <w:spacing w:line="240" w:lineRule="auto"/>
              <w:ind w:left="-27"/>
              <w:rPr>
                <w:sz w:val="18"/>
                <w:szCs w:val="18"/>
              </w:rPr>
            </w:pPr>
            <w:r w:rsidRPr="00CD729C">
              <w:rPr>
                <w:sz w:val="18"/>
                <w:szCs w:val="18"/>
              </w:rPr>
              <w:t>8:50</w:t>
            </w:r>
          </w:p>
        </w:tc>
        <w:tc>
          <w:tcPr>
            <w:tcW w:w="564" w:type="dxa"/>
            <w:shd w:val="clear" w:color="auto" w:fill="auto"/>
          </w:tcPr>
          <w:p w14:paraId="3D39487C" w14:textId="77777777" w:rsidR="00F74EF9" w:rsidRPr="00CD729C" w:rsidRDefault="00F74EF9" w:rsidP="009B4BB6">
            <w:pPr>
              <w:keepNext/>
              <w:keepLines/>
              <w:widowControl w:val="0"/>
              <w:spacing w:line="240" w:lineRule="auto"/>
              <w:ind w:left="-27"/>
              <w:rPr>
                <w:sz w:val="18"/>
                <w:szCs w:val="18"/>
              </w:rPr>
            </w:pPr>
            <w:r w:rsidRPr="00CD729C">
              <w:rPr>
                <w:sz w:val="18"/>
                <w:szCs w:val="18"/>
              </w:rPr>
              <w:t>0:50</w:t>
            </w:r>
          </w:p>
        </w:tc>
        <w:tc>
          <w:tcPr>
            <w:tcW w:w="555" w:type="dxa"/>
            <w:shd w:val="clear" w:color="auto" w:fill="auto"/>
          </w:tcPr>
          <w:p w14:paraId="3D39487D" w14:textId="77777777" w:rsidR="00F74EF9" w:rsidRPr="00CD729C" w:rsidRDefault="00F74EF9" w:rsidP="009B4BB6">
            <w:pPr>
              <w:keepNext/>
              <w:keepLines/>
              <w:widowControl w:val="0"/>
              <w:spacing w:line="240" w:lineRule="auto"/>
              <w:ind w:left="-27"/>
              <w:rPr>
                <w:sz w:val="18"/>
                <w:szCs w:val="18"/>
              </w:rPr>
            </w:pPr>
          </w:p>
        </w:tc>
      </w:tr>
    </w:tbl>
    <w:p w14:paraId="3D39487F" w14:textId="77777777" w:rsidR="00F74EF9" w:rsidRPr="00CD729C" w:rsidRDefault="00F74EF9" w:rsidP="009B4BB6">
      <w:pPr>
        <w:widowControl w:val="0"/>
        <w:tabs>
          <w:tab w:val="clear" w:pos="567"/>
        </w:tabs>
        <w:spacing w:line="240" w:lineRule="auto"/>
        <w:rPr>
          <w:rFonts w:eastAsia="MS Mincho"/>
          <w:szCs w:val="22"/>
        </w:rPr>
      </w:pPr>
    </w:p>
    <w:p w14:paraId="3D394880" w14:textId="77777777" w:rsidR="00F74EF9" w:rsidRPr="00CD729C" w:rsidRDefault="00F74EF9" w:rsidP="009B4BB6">
      <w:pPr>
        <w:keepNext/>
        <w:keepLines/>
        <w:widowControl w:val="0"/>
        <w:spacing w:line="240" w:lineRule="auto"/>
        <w:ind w:left="1134" w:hanging="1134"/>
        <w:outlineLvl w:val="6"/>
        <w:rPr>
          <w:rFonts w:eastAsia="MS Mincho"/>
          <w:b/>
          <w:szCs w:val="22"/>
        </w:rPr>
      </w:pPr>
      <w:r w:rsidRPr="00CD729C">
        <w:rPr>
          <w:rFonts w:eastAsia="MS Mincho"/>
          <w:b/>
          <w:szCs w:val="22"/>
        </w:rPr>
        <w:lastRenderedPageBreak/>
        <w:t>2. attēls</w:t>
      </w:r>
      <w:r w:rsidRPr="00CD729C">
        <w:rPr>
          <w:rFonts w:eastAsia="MS Mincho"/>
          <w:b/>
          <w:szCs w:val="22"/>
        </w:rPr>
        <w:tab/>
      </w:r>
      <w:r w:rsidRPr="00CD729C">
        <w:rPr>
          <w:rFonts w:eastAsia="MS Mincho"/>
          <w:b/>
          <w:i/>
          <w:szCs w:val="22"/>
        </w:rPr>
        <w:t>Kaplan-Meier</w:t>
      </w:r>
      <w:r w:rsidRPr="00CD729C">
        <w:rPr>
          <w:rFonts w:eastAsia="MS Mincho"/>
          <w:b/>
          <w:szCs w:val="22"/>
        </w:rPr>
        <w:t xml:space="preserve"> kopējā</w:t>
      </w:r>
      <w:r w:rsidR="002D3A55" w:rsidRPr="00CD729C">
        <w:rPr>
          <w:rFonts w:eastAsia="MS Mincho"/>
          <w:b/>
          <w:szCs w:val="22"/>
        </w:rPr>
        <w:t>s</w:t>
      </w:r>
      <w:r w:rsidRPr="00CD729C">
        <w:rPr>
          <w:rFonts w:eastAsia="MS Mincho"/>
          <w:b/>
          <w:szCs w:val="22"/>
        </w:rPr>
        <w:t xml:space="preserve"> dzīvildze</w:t>
      </w:r>
      <w:r w:rsidR="002D3A55" w:rsidRPr="00CD729C">
        <w:rPr>
          <w:rFonts w:eastAsia="MS Mincho"/>
          <w:b/>
          <w:szCs w:val="22"/>
        </w:rPr>
        <w:t>s novērtējums</w:t>
      </w:r>
      <w:r w:rsidRPr="00CD729C">
        <w:rPr>
          <w:rFonts w:eastAsia="MS Mincho"/>
          <w:b/>
          <w:szCs w:val="22"/>
        </w:rPr>
        <w:t xml:space="preserve"> (ITT grupa)</w:t>
      </w:r>
    </w:p>
    <w:p w14:paraId="3D394881" w14:textId="77777777" w:rsidR="00F74EF9" w:rsidRPr="00CD729C" w:rsidRDefault="00F74EF9" w:rsidP="009B4BB6">
      <w:pPr>
        <w:keepNext/>
        <w:keepLines/>
        <w:widowControl w:val="0"/>
        <w:tabs>
          <w:tab w:val="clear" w:pos="567"/>
        </w:tabs>
        <w:spacing w:line="240" w:lineRule="auto"/>
        <w:rPr>
          <w:rFonts w:eastAsia="MS Mincho"/>
          <w:szCs w:val="22"/>
        </w:rPr>
      </w:pPr>
    </w:p>
    <w:p w14:paraId="3D394882" w14:textId="77777777" w:rsidR="00F74EF9" w:rsidRPr="00CD729C" w:rsidRDefault="00EB334D" w:rsidP="009B4BB6">
      <w:pPr>
        <w:keepNext/>
        <w:keepLines/>
        <w:widowControl w:val="0"/>
        <w:tabs>
          <w:tab w:val="clear" w:pos="567"/>
        </w:tabs>
        <w:spacing w:line="240" w:lineRule="auto"/>
        <w:rPr>
          <w:rFonts w:eastAsia="MS Mincho"/>
          <w:szCs w:val="22"/>
        </w:rPr>
      </w:pPr>
      <w:r w:rsidRPr="00CD729C">
        <w:rPr>
          <w:rFonts w:eastAsia="MS Mincho"/>
          <w:noProof/>
          <w:szCs w:val="22"/>
          <w:lang w:val="en-GB" w:eastAsia="en-GB"/>
        </w:rPr>
        <mc:AlternateContent>
          <mc:Choice Requires="wps">
            <w:drawing>
              <wp:anchor distT="0" distB="0" distL="114300" distR="114300" simplePos="0" relativeHeight="251657216" behindDoc="0" locked="0" layoutInCell="1" allowOverlap="1" wp14:anchorId="3D39581E" wp14:editId="3D39581F">
                <wp:simplePos x="0" y="0"/>
                <wp:positionH relativeFrom="column">
                  <wp:posOffset>2339340</wp:posOffset>
                </wp:positionH>
                <wp:positionV relativeFrom="paragraph">
                  <wp:posOffset>2666365</wp:posOffset>
                </wp:positionV>
                <wp:extent cx="1619250" cy="29591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959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95867" w14:textId="77777777" w:rsidR="00C23AAA" w:rsidRPr="00A33DBA" w:rsidRDefault="00C23AAA" w:rsidP="00407F0E">
                            <w:pPr>
                              <w:rPr>
                                <w:rFonts w:ascii="Arial" w:hAnsi="Arial" w:cs="Arial"/>
                                <w:sz w:val="20"/>
                              </w:rPr>
                            </w:pPr>
                            <w:r w:rsidRPr="008E7CB7">
                              <w:rPr>
                                <w:rFonts w:ascii="Arial" w:hAnsi="Arial" w:cs="Arial"/>
                                <w:sz w:val="20"/>
                                <w:lang w:val="de-DE"/>
                              </w:rPr>
                              <w:t>Dzīvildze (mēneši)</w:t>
                            </w:r>
                          </w:p>
                          <w:p w14:paraId="3D395868" w14:textId="77777777" w:rsidR="00C23AAA" w:rsidRPr="00A33DBA" w:rsidRDefault="00C23AAA" w:rsidP="00F74EF9">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9581E" id="_x0000_s1029" type="#_x0000_t202" style="position:absolute;margin-left:184.2pt;margin-top:209.95pt;width:127.5pt;height:23.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" stroked="f">
                <v:fill opacity="0"/>
                <v:textbox>
                  <w:txbxContent>
                    <w:p w14:paraId="3D395867" w14:textId="77777777" w:rsidR="00C23AAA" w:rsidRPr="00A33DBA" w:rsidRDefault="00C23AAA" w:rsidP="00407F0E">
                      <w:pPr>
                        <w:rPr>
                          <w:rFonts w:ascii="Arial" w:hAnsi="Arial" w:cs="Arial"/>
                          <w:sz w:val="20"/>
                        </w:rPr>
                      </w:pPr>
                      <w:r w:rsidRPr="008E7CB7">
                        <w:rPr>
                          <w:rFonts w:ascii="Arial" w:hAnsi="Arial" w:cs="Arial"/>
                          <w:sz w:val="20"/>
                          <w:lang w:val="de-DE"/>
                        </w:rPr>
                        <w:t>Dzīvildze (mēneši)</w:t>
                      </w:r>
                    </w:p>
                    <w:p w14:paraId="3D395868" w14:textId="77777777" w:rsidR="00C23AAA" w:rsidRPr="00A33DBA" w:rsidRDefault="00C23AAA" w:rsidP="00F74EF9">
                      <w:pPr>
                        <w:rPr>
                          <w:rFonts w:ascii="Arial" w:hAnsi="Arial" w:cs="Arial"/>
                          <w:sz w:val="20"/>
                        </w:rPr>
                      </w:pPr>
                    </w:p>
                  </w:txbxContent>
                </v:textbox>
              </v:shape>
            </w:pict>
          </mc:Fallback>
        </mc:AlternateContent>
      </w:r>
      <w:r w:rsidRPr="00CD729C">
        <w:rPr>
          <w:noProof/>
          <w:lang w:val="en-GB" w:eastAsia="en-GB"/>
        </w:rPr>
        <mc:AlternateContent>
          <mc:Choice Requires="wps">
            <w:drawing>
              <wp:anchor distT="0" distB="0" distL="114300" distR="114300" simplePos="0" relativeHeight="251656192" behindDoc="0" locked="0" layoutInCell="1" allowOverlap="1" wp14:anchorId="3D395820" wp14:editId="3D395821">
                <wp:simplePos x="0" y="0"/>
                <wp:positionH relativeFrom="column">
                  <wp:posOffset>350520</wp:posOffset>
                </wp:positionH>
                <wp:positionV relativeFrom="paragraph">
                  <wp:posOffset>932815</wp:posOffset>
                </wp:positionV>
                <wp:extent cx="4585335" cy="14287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95869" w14:textId="77777777" w:rsidR="00C23AAA" w:rsidRDefault="00C23AAA" w:rsidP="00407F0E">
                            <w:pPr>
                              <w:rPr>
                                <w:rFonts w:ascii="Arial" w:hAnsi="Arial" w:cs="Arial"/>
                                <w:sz w:val="20"/>
                              </w:rPr>
                            </w:pPr>
                          </w:p>
                          <w:tbl>
                            <w:tblPr>
                              <w:tblW w:w="0" w:type="auto"/>
                              <w:tblLook w:val="04A0" w:firstRow="1" w:lastRow="0" w:firstColumn="1" w:lastColumn="0" w:noHBand="0" w:noVBand="1"/>
                            </w:tblPr>
                            <w:tblGrid>
                              <w:gridCol w:w="817"/>
                              <w:gridCol w:w="2464"/>
                              <w:gridCol w:w="851"/>
                              <w:gridCol w:w="1017"/>
                              <w:gridCol w:w="950"/>
                            </w:tblGrid>
                            <w:tr w:rsidR="00C23AAA" w:rsidRPr="0055776F" w14:paraId="3D39586D" w14:textId="77777777">
                              <w:tc>
                                <w:tcPr>
                                  <w:tcW w:w="5691" w:type="dxa"/>
                                  <w:gridSpan w:val="5"/>
                                  <w:shd w:val="clear" w:color="auto" w:fill="auto"/>
                                </w:tcPr>
                                <w:p w14:paraId="3D39586A" w14:textId="77777777" w:rsidR="00C23AAA" w:rsidRPr="00A33DBA" w:rsidRDefault="00C23AAA" w:rsidP="00407F0E">
                                  <w:pPr>
                                    <w:rPr>
                                      <w:rFonts w:ascii="Arial" w:hAnsi="Arial" w:cs="Arial"/>
                                      <w:sz w:val="20"/>
                                    </w:rPr>
                                  </w:pPr>
                                  <w:r>
                                    <w:rPr>
                                      <w:rFonts w:ascii="Arial" w:hAnsi="Arial" w:cs="Arial"/>
                                      <w:sz w:val="20"/>
                                    </w:rPr>
                                    <w:t>P =</w:t>
                                  </w:r>
                                  <w:r w:rsidRPr="00A33DBA">
                                    <w:rPr>
                                      <w:rFonts w:ascii="Arial" w:hAnsi="Arial" w:cs="Arial"/>
                                      <w:sz w:val="20"/>
                                    </w:rPr>
                                    <w:t xml:space="preserve"> 0</w:t>
                                  </w:r>
                                  <w:r>
                                    <w:rPr>
                                      <w:rFonts w:ascii="Arial" w:hAnsi="Arial" w:cs="Arial"/>
                                      <w:sz w:val="20"/>
                                    </w:rPr>
                                    <w:t>,0</w:t>
                                  </w:r>
                                  <w:r w:rsidRPr="00A33DBA">
                                    <w:rPr>
                                      <w:rFonts w:ascii="Arial" w:hAnsi="Arial" w:cs="Arial"/>
                                      <w:sz w:val="20"/>
                                    </w:rPr>
                                    <w:t>19</w:t>
                                  </w:r>
                                </w:p>
                                <w:p w14:paraId="3D39586B" w14:textId="77777777" w:rsidR="00C23AAA" w:rsidRPr="00A33DBA" w:rsidRDefault="00C23AAA" w:rsidP="00407F0E">
                                  <w:pPr>
                                    <w:rPr>
                                      <w:rFonts w:ascii="Arial" w:hAnsi="Arial" w:cs="Arial"/>
                                      <w:sz w:val="20"/>
                                    </w:rPr>
                                  </w:pPr>
                                  <w:r>
                                    <w:rPr>
                                      <w:rFonts w:ascii="Arial" w:hAnsi="Arial" w:cs="Arial"/>
                                      <w:sz w:val="20"/>
                                    </w:rPr>
                                    <w:t>Riska attiecība</w:t>
                                  </w:r>
                                  <w:r w:rsidRPr="00A33DBA">
                                    <w:rPr>
                                      <w:rFonts w:ascii="Arial" w:hAnsi="Arial" w:cs="Arial"/>
                                      <w:sz w:val="20"/>
                                    </w:rPr>
                                    <w:t xml:space="preserve"> 0</w:t>
                                  </w:r>
                                  <w:r>
                                    <w:rPr>
                                      <w:rFonts w:ascii="Arial" w:hAnsi="Arial" w:cs="Arial"/>
                                      <w:sz w:val="20"/>
                                    </w:rPr>
                                    <w:t>,</w:t>
                                  </w:r>
                                  <w:r w:rsidRPr="00A33DBA">
                                    <w:rPr>
                                      <w:rFonts w:ascii="Arial" w:hAnsi="Arial" w:cs="Arial"/>
                                      <w:sz w:val="20"/>
                                    </w:rPr>
                                    <w:t>45</w:t>
                                  </w:r>
                                </w:p>
                                <w:p w14:paraId="3D39586C" w14:textId="77777777" w:rsidR="00C23AAA" w:rsidRPr="0055776F" w:rsidRDefault="00C23AAA" w:rsidP="004D7123">
                                  <w:pPr>
                                    <w:rPr>
                                      <w:rFonts w:ascii="Arial" w:hAnsi="Arial" w:cs="Arial"/>
                                      <w:sz w:val="20"/>
                                      <w:lang w:val="de-DE"/>
                                    </w:rPr>
                                  </w:pPr>
                                  <w:r w:rsidRPr="00A33DBA">
                                    <w:rPr>
                                      <w:rFonts w:ascii="Arial" w:hAnsi="Arial" w:cs="Arial"/>
                                      <w:sz w:val="20"/>
                                    </w:rPr>
                                    <w:t xml:space="preserve">(95% </w:t>
                                  </w:r>
                                  <w:r>
                                    <w:rPr>
                                      <w:rFonts w:ascii="Arial" w:hAnsi="Arial" w:cs="Arial"/>
                                      <w:sz w:val="20"/>
                                    </w:rPr>
                                    <w:t>T</w:t>
                                  </w:r>
                                  <w:r w:rsidRPr="00A33DBA">
                                    <w:rPr>
                                      <w:rFonts w:ascii="Arial" w:hAnsi="Arial" w:cs="Arial"/>
                                      <w:sz w:val="20"/>
                                    </w:rPr>
                                    <w:t>l, 0</w:t>
                                  </w:r>
                                  <w:r>
                                    <w:rPr>
                                      <w:rFonts w:ascii="Arial" w:hAnsi="Arial" w:cs="Arial"/>
                                      <w:sz w:val="20"/>
                                    </w:rPr>
                                    <w:t>,</w:t>
                                  </w:r>
                                  <w:r w:rsidRPr="00A33DBA">
                                    <w:rPr>
                                      <w:rFonts w:ascii="Arial" w:hAnsi="Arial" w:cs="Arial"/>
                                      <w:sz w:val="20"/>
                                    </w:rPr>
                                    <w:t>22</w:t>
                                  </w:r>
                                  <w:r>
                                    <w:rPr>
                                      <w:rFonts w:ascii="Arial" w:hAnsi="Arial" w:cs="Arial"/>
                                      <w:sz w:val="20"/>
                                    </w:rPr>
                                    <w:noBreakHyphen/>
                                  </w:r>
                                  <w:r w:rsidRPr="00A33DBA">
                                    <w:rPr>
                                      <w:rFonts w:ascii="Arial" w:hAnsi="Arial" w:cs="Arial"/>
                                      <w:sz w:val="20"/>
                                    </w:rPr>
                                    <w:t>0</w:t>
                                  </w:r>
                                  <w:r>
                                    <w:rPr>
                                      <w:rFonts w:ascii="Arial" w:hAnsi="Arial" w:cs="Arial"/>
                                      <w:sz w:val="20"/>
                                    </w:rPr>
                                    <w:t>,</w:t>
                                  </w:r>
                                  <w:r w:rsidRPr="00A33DBA">
                                    <w:rPr>
                                      <w:rFonts w:ascii="Arial" w:hAnsi="Arial" w:cs="Arial"/>
                                      <w:sz w:val="20"/>
                                    </w:rPr>
                                    <w:t>89)</w:t>
                                  </w:r>
                                </w:p>
                              </w:tc>
                            </w:tr>
                            <w:tr w:rsidR="00C23AAA" w:rsidRPr="0055776F" w14:paraId="3D395873" w14:textId="77777777">
                              <w:tc>
                                <w:tcPr>
                                  <w:tcW w:w="817" w:type="dxa"/>
                                  <w:shd w:val="clear" w:color="auto" w:fill="auto"/>
                                </w:tcPr>
                                <w:p w14:paraId="3D39586E" w14:textId="77777777" w:rsidR="00C23AAA" w:rsidRPr="0055776F" w:rsidRDefault="00C23AAA" w:rsidP="00BF34F9">
                                  <w:pPr>
                                    <w:rPr>
                                      <w:rFonts w:ascii="Arial" w:hAnsi="Arial" w:cs="Arial"/>
                                      <w:sz w:val="20"/>
                                    </w:rPr>
                                  </w:pPr>
                                </w:p>
                              </w:tc>
                              <w:tc>
                                <w:tcPr>
                                  <w:tcW w:w="2464" w:type="dxa"/>
                                  <w:shd w:val="clear" w:color="auto" w:fill="auto"/>
                                </w:tcPr>
                                <w:p w14:paraId="3D39586F" w14:textId="77777777" w:rsidR="00C23AAA" w:rsidRPr="0055776F" w:rsidRDefault="00C23AAA" w:rsidP="00BF34F9">
                                  <w:pPr>
                                    <w:rPr>
                                      <w:rFonts w:ascii="Arial" w:hAnsi="Arial" w:cs="Arial"/>
                                      <w:sz w:val="20"/>
                                    </w:rPr>
                                  </w:pPr>
                                </w:p>
                              </w:tc>
                              <w:tc>
                                <w:tcPr>
                                  <w:tcW w:w="851" w:type="dxa"/>
                                  <w:tcBorders>
                                    <w:bottom w:val="single" w:sz="4" w:space="0" w:color="auto"/>
                                  </w:tcBorders>
                                  <w:shd w:val="clear" w:color="auto" w:fill="auto"/>
                                </w:tcPr>
                                <w:p w14:paraId="3D395870" w14:textId="77777777" w:rsidR="00C23AAA" w:rsidRPr="0055776F" w:rsidRDefault="00C23AAA" w:rsidP="00BF34F9">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3D395871" w14:textId="77777777" w:rsidR="00C23AAA" w:rsidRPr="0055776F" w:rsidRDefault="00C23AAA" w:rsidP="00BF34F9">
                                  <w:pPr>
                                    <w:rPr>
                                      <w:rFonts w:ascii="Arial" w:hAnsi="Arial" w:cs="Arial"/>
                                      <w:sz w:val="20"/>
                                    </w:rPr>
                                  </w:pPr>
                                  <w:r w:rsidRPr="00527E66">
                                    <w:rPr>
                                      <w:rFonts w:ascii="Arial" w:hAnsi="Arial" w:cs="Arial"/>
                                      <w:sz w:val="20"/>
                                    </w:rPr>
                                    <w:t>Gadījumi</w:t>
                                  </w:r>
                                </w:p>
                              </w:tc>
                              <w:tc>
                                <w:tcPr>
                                  <w:tcW w:w="850" w:type="dxa"/>
                                  <w:tcBorders>
                                    <w:bottom w:val="single" w:sz="4" w:space="0" w:color="auto"/>
                                  </w:tcBorders>
                                  <w:shd w:val="clear" w:color="auto" w:fill="auto"/>
                                </w:tcPr>
                                <w:p w14:paraId="3D395872" w14:textId="77777777" w:rsidR="00C23AAA" w:rsidRPr="0055776F" w:rsidRDefault="00C23AAA" w:rsidP="00BF34F9">
                                  <w:pPr>
                                    <w:rPr>
                                      <w:rFonts w:ascii="Arial" w:hAnsi="Arial" w:cs="Arial"/>
                                      <w:sz w:val="20"/>
                                    </w:rPr>
                                  </w:pPr>
                                  <w:r w:rsidRPr="00527E66">
                                    <w:rPr>
                                      <w:rFonts w:ascii="Arial" w:hAnsi="Arial" w:cs="Arial"/>
                                      <w:sz w:val="20"/>
                                    </w:rPr>
                                    <w:t>Izslēgtie</w:t>
                                  </w:r>
                                </w:p>
                              </w:tc>
                            </w:tr>
                            <w:tr w:rsidR="00C23AAA" w:rsidRPr="0055776F" w14:paraId="3D395879" w14:textId="77777777">
                              <w:tc>
                                <w:tcPr>
                                  <w:tcW w:w="817" w:type="dxa"/>
                                  <w:shd w:val="clear" w:color="auto" w:fill="auto"/>
                                </w:tcPr>
                                <w:p w14:paraId="3D395874" w14:textId="77777777" w:rsidR="00C23AAA" w:rsidRPr="0055776F" w:rsidRDefault="00C23AAA" w:rsidP="00BF34F9">
                                  <w:pPr>
                                    <w:rPr>
                                      <w:rFonts w:ascii="Arial" w:hAnsi="Arial" w:cs="Arial"/>
                                      <w:sz w:val="20"/>
                                    </w:rPr>
                                  </w:pPr>
                                  <w:r w:rsidRPr="0055776F">
                                    <w:rPr>
                                      <w:rFonts w:ascii="Arial" w:hAnsi="Arial" w:cs="Arial"/>
                                      <w:b/>
                                      <w:sz w:val="20"/>
                                    </w:rPr>
                                    <w:t>——</w:t>
                                  </w:r>
                                </w:p>
                              </w:tc>
                              <w:tc>
                                <w:tcPr>
                                  <w:tcW w:w="2464" w:type="dxa"/>
                                  <w:shd w:val="clear" w:color="auto" w:fill="auto"/>
                                </w:tcPr>
                                <w:p w14:paraId="3D395875" w14:textId="77777777" w:rsidR="00C23AAA" w:rsidRPr="0055776F" w:rsidRDefault="00C23AAA" w:rsidP="00BF34F9">
                                  <w:pPr>
                                    <w:rPr>
                                      <w:rFonts w:ascii="Arial" w:hAnsi="Arial" w:cs="Arial"/>
                                      <w:sz w:val="20"/>
                                    </w:rPr>
                                  </w:pPr>
                                  <w:r w:rsidRPr="00A33DBA">
                                    <w:rPr>
                                      <w:rFonts w:ascii="Arial" w:hAnsi="Arial" w:cs="Arial"/>
                                      <w:sz w:val="20"/>
                                    </w:rPr>
                                    <w:t>(1) Imatinib</w:t>
                                  </w:r>
                                  <w:r>
                                    <w:rPr>
                                      <w:rFonts w:ascii="Arial" w:hAnsi="Arial" w:cs="Arial"/>
                                      <w:sz w:val="20"/>
                                    </w:rPr>
                                    <w:t>s 12 mēneši</w:t>
                                  </w:r>
                                  <w:r w:rsidRPr="00A33DBA">
                                    <w:rPr>
                                      <w:rFonts w:ascii="Arial" w:hAnsi="Arial" w:cs="Arial"/>
                                      <w:sz w:val="20"/>
                                    </w:rPr>
                                    <w:t>:</w:t>
                                  </w:r>
                                </w:p>
                              </w:tc>
                              <w:tc>
                                <w:tcPr>
                                  <w:tcW w:w="851" w:type="dxa"/>
                                  <w:tcBorders>
                                    <w:top w:val="single" w:sz="4" w:space="0" w:color="auto"/>
                                  </w:tcBorders>
                                  <w:shd w:val="clear" w:color="auto" w:fill="auto"/>
                                </w:tcPr>
                                <w:p w14:paraId="3D395876" w14:textId="77777777" w:rsidR="00C23AAA" w:rsidRPr="0055776F" w:rsidRDefault="00C23AAA" w:rsidP="00BF34F9">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3D395877" w14:textId="77777777" w:rsidR="00C23AAA" w:rsidRPr="0055776F" w:rsidRDefault="00C23AAA" w:rsidP="00BF34F9">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3D395878" w14:textId="77777777" w:rsidR="00C23AAA" w:rsidRPr="0055776F" w:rsidRDefault="00C23AAA" w:rsidP="00BF34F9">
                                  <w:pPr>
                                    <w:rPr>
                                      <w:rFonts w:ascii="Arial" w:hAnsi="Arial" w:cs="Arial"/>
                                      <w:sz w:val="20"/>
                                    </w:rPr>
                                  </w:pPr>
                                  <w:r w:rsidRPr="0055776F">
                                    <w:rPr>
                                      <w:rFonts w:ascii="Arial" w:hAnsi="Arial" w:cs="Arial"/>
                                      <w:sz w:val="20"/>
                                    </w:rPr>
                                    <w:t>174</w:t>
                                  </w:r>
                                </w:p>
                              </w:tc>
                            </w:tr>
                            <w:tr w:rsidR="00C23AAA" w:rsidRPr="0055776F" w14:paraId="3D39587F" w14:textId="77777777">
                              <w:tc>
                                <w:tcPr>
                                  <w:tcW w:w="817" w:type="dxa"/>
                                  <w:shd w:val="clear" w:color="auto" w:fill="auto"/>
                                </w:tcPr>
                                <w:p w14:paraId="3D39587A" w14:textId="77777777" w:rsidR="00C23AAA" w:rsidRPr="0055776F" w:rsidRDefault="00C23AAA" w:rsidP="00BF34F9">
                                  <w:pPr>
                                    <w:rPr>
                                      <w:rFonts w:ascii="Arial" w:hAnsi="Arial" w:cs="Arial"/>
                                      <w:sz w:val="20"/>
                                    </w:rPr>
                                  </w:pPr>
                                  <w:r w:rsidRPr="0055776F">
                                    <w:rPr>
                                      <w:rFonts w:ascii="Arial" w:hAnsi="Arial" w:cs="Arial"/>
                                      <w:sz w:val="20"/>
                                    </w:rPr>
                                    <w:t>-----</w:t>
                                  </w:r>
                                </w:p>
                              </w:tc>
                              <w:tc>
                                <w:tcPr>
                                  <w:tcW w:w="2464" w:type="dxa"/>
                                  <w:shd w:val="clear" w:color="auto" w:fill="auto"/>
                                </w:tcPr>
                                <w:p w14:paraId="3D39587B" w14:textId="77777777" w:rsidR="00C23AAA" w:rsidRPr="0055776F" w:rsidRDefault="00C23AAA" w:rsidP="00BF34F9">
                                  <w:pPr>
                                    <w:rPr>
                                      <w:rFonts w:ascii="Arial" w:hAnsi="Arial" w:cs="Arial"/>
                                      <w:sz w:val="20"/>
                                    </w:rPr>
                                  </w:pPr>
                                  <w:r w:rsidRPr="00A33DBA">
                                    <w:rPr>
                                      <w:rFonts w:ascii="Arial" w:hAnsi="Arial" w:cs="Arial"/>
                                      <w:sz w:val="20"/>
                                    </w:rPr>
                                    <w:t>(2) Imatinib</w:t>
                                  </w:r>
                                  <w:r>
                                    <w:rPr>
                                      <w:rFonts w:ascii="Arial" w:hAnsi="Arial" w:cs="Arial"/>
                                      <w:sz w:val="20"/>
                                    </w:rPr>
                                    <w:t>s 36 mēneši</w:t>
                                  </w:r>
                                  <w:r w:rsidRPr="00A33DBA">
                                    <w:rPr>
                                      <w:rFonts w:ascii="Arial" w:hAnsi="Arial" w:cs="Arial"/>
                                      <w:sz w:val="20"/>
                                    </w:rPr>
                                    <w:t>:</w:t>
                                  </w:r>
                                </w:p>
                              </w:tc>
                              <w:tc>
                                <w:tcPr>
                                  <w:tcW w:w="851" w:type="dxa"/>
                                  <w:tcBorders>
                                    <w:bottom w:val="single" w:sz="4" w:space="0" w:color="auto"/>
                                  </w:tcBorders>
                                  <w:shd w:val="clear" w:color="auto" w:fill="auto"/>
                                </w:tcPr>
                                <w:p w14:paraId="3D39587C" w14:textId="77777777" w:rsidR="00C23AAA" w:rsidRPr="0055776F" w:rsidRDefault="00C23AAA" w:rsidP="00BF34F9">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3D39587D" w14:textId="77777777" w:rsidR="00C23AAA" w:rsidRPr="0055776F" w:rsidRDefault="00C23AAA" w:rsidP="00BF34F9">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3D39587E" w14:textId="77777777" w:rsidR="00C23AAA" w:rsidRPr="0055776F" w:rsidRDefault="00C23AAA" w:rsidP="00BF34F9">
                                  <w:pPr>
                                    <w:rPr>
                                      <w:rFonts w:ascii="Arial" w:hAnsi="Arial" w:cs="Arial"/>
                                      <w:sz w:val="20"/>
                                    </w:rPr>
                                  </w:pPr>
                                  <w:r w:rsidRPr="0055776F">
                                    <w:rPr>
                                      <w:rFonts w:ascii="Arial" w:hAnsi="Arial" w:cs="Arial"/>
                                      <w:sz w:val="20"/>
                                    </w:rPr>
                                    <w:t>186</w:t>
                                  </w:r>
                                </w:p>
                              </w:tc>
                            </w:tr>
                            <w:tr w:rsidR="00C23AAA" w:rsidRPr="0055776F" w14:paraId="3D395885" w14:textId="77777777">
                              <w:tc>
                                <w:tcPr>
                                  <w:tcW w:w="817" w:type="dxa"/>
                                  <w:shd w:val="clear" w:color="auto" w:fill="auto"/>
                                </w:tcPr>
                                <w:p w14:paraId="3D395880" w14:textId="77777777" w:rsidR="00C23AAA" w:rsidRPr="0055776F" w:rsidRDefault="00C23AAA" w:rsidP="00BF34F9">
                                  <w:pPr>
                                    <w:rPr>
                                      <w:rFonts w:ascii="Arial" w:hAnsi="Arial" w:cs="Arial"/>
                                      <w:sz w:val="20"/>
                                    </w:rPr>
                                  </w:pPr>
                                  <w:r w:rsidRPr="0055776F">
                                    <w:rPr>
                                      <w:rFonts w:ascii="Arial" w:hAnsi="Arial" w:cs="Arial"/>
                                      <w:sz w:val="20"/>
                                    </w:rPr>
                                    <w:t>│││</w:t>
                                  </w:r>
                                </w:p>
                              </w:tc>
                              <w:tc>
                                <w:tcPr>
                                  <w:tcW w:w="2464" w:type="dxa"/>
                                  <w:shd w:val="clear" w:color="auto" w:fill="auto"/>
                                </w:tcPr>
                                <w:p w14:paraId="3D395881" w14:textId="77777777" w:rsidR="00C23AAA" w:rsidRPr="0055776F" w:rsidRDefault="00C23AAA" w:rsidP="00BF34F9">
                                  <w:pPr>
                                    <w:rPr>
                                      <w:rFonts w:ascii="Arial" w:hAnsi="Arial" w:cs="Arial"/>
                                      <w:sz w:val="20"/>
                                    </w:rPr>
                                  </w:pPr>
                                  <w:r w:rsidRPr="008E7CB7">
                                    <w:rPr>
                                      <w:rFonts w:ascii="Arial" w:hAnsi="Arial" w:cs="Arial"/>
                                      <w:sz w:val="20"/>
                                    </w:rPr>
                                    <w:t>Izslēgtie novērojumi</w:t>
                                  </w:r>
                                </w:p>
                              </w:tc>
                              <w:tc>
                                <w:tcPr>
                                  <w:tcW w:w="851" w:type="dxa"/>
                                  <w:tcBorders>
                                    <w:top w:val="single" w:sz="4" w:space="0" w:color="auto"/>
                                  </w:tcBorders>
                                  <w:shd w:val="clear" w:color="auto" w:fill="auto"/>
                                </w:tcPr>
                                <w:p w14:paraId="3D395882" w14:textId="77777777" w:rsidR="00C23AAA" w:rsidRPr="0055776F" w:rsidRDefault="00C23AAA" w:rsidP="00BF34F9">
                                  <w:pPr>
                                    <w:rPr>
                                      <w:rFonts w:ascii="Arial" w:hAnsi="Arial" w:cs="Arial"/>
                                      <w:sz w:val="20"/>
                                    </w:rPr>
                                  </w:pPr>
                                </w:p>
                              </w:tc>
                              <w:tc>
                                <w:tcPr>
                                  <w:tcW w:w="709" w:type="dxa"/>
                                  <w:tcBorders>
                                    <w:top w:val="single" w:sz="4" w:space="0" w:color="auto"/>
                                  </w:tcBorders>
                                  <w:shd w:val="clear" w:color="auto" w:fill="auto"/>
                                </w:tcPr>
                                <w:p w14:paraId="3D395883" w14:textId="77777777" w:rsidR="00C23AAA" w:rsidRPr="0055776F" w:rsidRDefault="00C23AAA" w:rsidP="00BF34F9">
                                  <w:pPr>
                                    <w:rPr>
                                      <w:rFonts w:ascii="Arial" w:hAnsi="Arial" w:cs="Arial"/>
                                      <w:sz w:val="20"/>
                                    </w:rPr>
                                  </w:pPr>
                                </w:p>
                              </w:tc>
                              <w:tc>
                                <w:tcPr>
                                  <w:tcW w:w="850" w:type="dxa"/>
                                  <w:tcBorders>
                                    <w:top w:val="single" w:sz="4" w:space="0" w:color="auto"/>
                                  </w:tcBorders>
                                  <w:shd w:val="clear" w:color="auto" w:fill="auto"/>
                                </w:tcPr>
                                <w:p w14:paraId="3D395884" w14:textId="77777777" w:rsidR="00C23AAA" w:rsidRPr="0055776F" w:rsidRDefault="00C23AAA" w:rsidP="00BF34F9">
                                  <w:pPr>
                                    <w:rPr>
                                      <w:rFonts w:ascii="Arial" w:hAnsi="Arial" w:cs="Arial"/>
                                      <w:sz w:val="20"/>
                                    </w:rPr>
                                  </w:pPr>
                                </w:p>
                              </w:tc>
                            </w:tr>
                          </w:tbl>
                          <w:p w14:paraId="3D395886" w14:textId="77777777" w:rsidR="00C23AAA" w:rsidRPr="00A33DBA" w:rsidRDefault="00C23AAA" w:rsidP="00407F0E">
                            <w:pPr>
                              <w:rPr>
                                <w:rFonts w:ascii="Arial" w:hAnsi="Arial" w:cs="Arial"/>
                                <w:sz w:val="20"/>
                              </w:rPr>
                            </w:pPr>
                          </w:p>
                          <w:p w14:paraId="3D395887" w14:textId="77777777" w:rsidR="00C23AAA" w:rsidRPr="00A33DBA" w:rsidRDefault="00C23AAA" w:rsidP="00F74EF9">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95820" id="_x0000_s1030" type="#_x0000_t202" style="position:absolute;margin-left:27.6pt;margin-top:73.45pt;width:361.05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" filled="f" stroked="f">
                <v:textbox>
                  <w:txbxContent>
                    <w:p w14:paraId="3D395869" w14:textId="77777777" w:rsidR="00C23AAA" w:rsidRDefault="00C23AAA" w:rsidP="00407F0E">
                      <w:pPr>
                        <w:rPr>
                          <w:rFonts w:ascii="Arial" w:hAnsi="Arial" w:cs="Arial"/>
                          <w:sz w:val="20"/>
                        </w:rPr>
                      </w:pPr>
                    </w:p>
                    <w:tbl>
                      <w:tblPr>
                        <w:tblW w:w="0" w:type="auto"/>
                        <w:tblLook w:val="04A0" w:firstRow="1" w:lastRow="0" w:firstColumn="1" w:lastColumn="0" w:noHBand="0" w:noVBand="1"/>
                      </w:tblPr>
                      <w:tblGrid>
                        <w:gridCol w:w="817"/>
                        <w:gridCol w:w="2464"/>
                        <w:gridCol w:w="851"/>
                        <w:gridCol w:w="1017"/>
                        <w:gridCol w:w="950"/>
                      </w:tblGrid>
                      <w:tr w:rsidR="00C23AAA" w:rsidRPr="0055776F" w14:paraId="3D39586D" w14:textId="77777777">
                        <w:tc>
                          <w:tcPr>
                            <w:tcW w:w="5691" w:type="dxa"/>
                            <w:gridSpan w:val="5"/>
                            <w:shd w:val="clear" w:color="auto" w:fill="auto"/>
                          </w:tcPr>
                          <w:p w14:paraId="3D39586A" w14:textId="77777777" w:rsidR="00C23AAA" w:rsidRPr="00A33DBA" w:rsidRDefault="00C23AAA" w:rsidP="00407F0E">
                            <w:pPr>
                              <w:rPr>
                                <w:rFonts w:ascii="Arial" w:hAnsi="Arial" w:cs="Arial"/>
                                <w:sz w:val="20"/>
                              </w:rPr>
                            </w:pPr>
                            <w:r>
                              <w:rPr>
                                <w:rFonts w:ascii="Arial" w:hAnsi="Arial" w:cs="Arial"/>
                                <w:sz w:val="20"/>
                              </w:rPr>
                              <w:t>P =</w:t>
                            </w:r>
                            <w:r w:rsidRPr="00A33DBA">
                              <w:rPr>
                                <w:rFonts w:ascii="Arial" w:hAnsi="Arial" w:cs="Arial"/>
                                <w:sz w:val="20"/>
                              </w:rPr>
                              <w:t xml:space="preserve"> 0</w:t>
                            </w:r>
                            <w:r>
                              <w:rPr>
                                <w:rFonts w:ascii="Arial" w:hAnsi="Arial" w:cs="Arial"/>
                                <w:sz w:val="20"/>
                              </w:rPr>
                              <w:t>,0</w:t>
                            </w:r>
                            <w:r w:rsidRPr="00A33DBA">
                              <w:rPr>
                                <w:rFonts w:ascii="Arial" w:hAnsi="Arial" w:cs="Arial"/>
                                <w:sz w:val="20"/>
                              </w:rPr>
                              <w:t>19</w:t>
                            </w:r>
                          </w:p>
                          <w:p w14:paraId="3D39586B" w14:textId="77777777" w:rsidR="00C23AAA" w:rsidRPr="00A33DBA" w:rsidRDefault="00C23AAA" w:rsidP="00407F0E">
                            <w:pPr>
                              <w:rPr>
                                <w:rFonts w:ascii="Arial" w:hAnsi="Arial" w:cs="Arial"/>
                                <w:sz w:val="20"/>
                              </w:rPr>
                            </w:pPr>
                            <w:r>
                              <w:rPr>
                                <w:rFonts w:ascii="Arial" w:hAnsi="Arial" w:cs="Arial"/>
                                <w:sz w:val="20"/>
                              </w:rPr>
                              <w:t>Riska attiecība</w:t>
                            </w:r>
                            <w:r w:rsidRPr="00A33DBA">
                              <w:rPr>
                                <w:rFonts w:ascii="Arial" w:hAnsi="Arial" w:cs="Arial"/>
                                <w:sz w:val="20"/>
                              </w:rPr>
                              <w:t xml:space="preserve"> 0</w:t>
                            </w:r>
                            <w:r>
                              <w:rPr>
                                <w:rFonts w:ascii="Arial" w:hAnsi="Arial" w:cs="Arial"/>
                                <w:sz w:val="20"/>
                              </w:rPr>
                              <w:t>,</w:t>
                            </w:r>
                            <w:r w:rsidRPr="00A33DBA">
                              <w:rPr>
                                <w:rFonts w:ascii="Arial" w:hAnsi="Arial" w:cs="Arial"/>
                                <w:sz w:val="20"/>
                              </w:rPr>
                              <w:t>45</w:t>
                            </w:r>
                          </w:p>
                          <w:p w14:paraId="3D39586C" w14:textId="77777777" w:rsidR="00C23AAA" w:rsidRPr="0055776F" w:rsidRDefault="00C23AAA" w:rsidP="004D7123">
                            <w:pPr>
                              <w:rPr>
                                <w:rFonts w:ascii="Arial" w:hAnsi="Arial" w:cs="Arial"/>
                                <w:sz w:val="20"/>
                                <w:lang w:val="de-DE"/>
                              </w:rPr>
                            </w:pPr>
                            <w:r w:rsidRPr="00A33DBA">
                              <w:rPr>
                                <w:rFonts w:ascii="Arial" w:hAnsi="Arial" w:cs="Arial"/>
                                <w:sz w:val="20"/>
                              </w:rPr>
                              <w:t xml:space="preserve">(95% </w:t>
                            </w:r>
                            <w:r>
                              <w:rPr>
                                <w:rFonts w:ascii="Arial" w:hAnsi="Arial" w:cs="Arial"/>
                                <w:sz w:val="20"/>
                              </w:rPr>
                              <w:t>T</w:t>
                            </w:r>
                            <w:r w:rsidRPr="00A33DBA">
                              <w:rPr>
                                <w:rFonts w:ascii="Arial" w:hAnsi="Arial" w:cs="Arial"/>
                                <w:sz w:val="20"/>
                              </w:rPr>
                              <w:t>l, 0</w:t>
                            </w:r>
                            <w:r>
                              <w:rPr>
                                <w:rFonts w:ascii="Arial" w:hAnsi="Arial" w:cs="Arial"/>
                                <w:sz w:val="20"/>
                              </w:rPr>
                              <w:t>,</w:t>
                            </w:r>
                            <w:r w:rsidRPr="00A33DBA">
                              <w:rPr>
                                <w:rFonts w:ascii="Arial" w:hAnsi="Arial" w:cs="Arial"/>
                                <w:sz w:val="20"/>
                              </w:rPr>
                              <w:t>22</w:t>
                            </w:r>
                            <w:r>
                              <w:rPr>
                                <w:rFonts w:ascii="Arial" w:hAnsi="Arial" w:cs="Arial"/>
                                <w:sz w:val="20"/>
                              </w:rPr>
                              <w:noBreakHyphen/>
                            </w:r>
                            <w:r w:rsidRPr="00A33DBA">
                              <w:rPr>
                                <w:rFonts w:ascii="Arial" w:hAnsi="Arial" w:cs="Arial"/>
                                <w:sz w:val="20"/>
                              </w:rPr>
                              <w:t>0</w:t>
                            </w:r>
                            <w:r>
                              <w:rPr>
                                <w:rFonts w:ascii="Arial" w:hAnsi="Arial" w:cs="Arial"/>
                                <w:sz w:val="20"/>
                              </w:rPr>
                              <w:t>,</w:t>
                            </w:r>
                            <w:r w:rsidRPr="00A33DBA">
                              <w:rPr>
                                <w:rFonts w:ascii="Arial" w:hAnsi="Arial" w:cs="Arial"/>
                                <w:sz w:val="20"/>
                              </w:rPr>
                              <w:t>89)</w:t>
                            </w:r>
                          </w:p>
                        </w:tc>
                      </w:tr>
                      <w:tr w:rsidR="00C23AAA" w:rsidRPr="0055776F" w14:paraId="3D395873" w14:textId="77777777">
                        <w:tc>
                          <w:tcPr>
                            <w:tcW w:w="817" w:type="dxa"/>
                            <w:shd w:val="clear" w:color="auto" w:fill="auto"/>
                          </w:tcPr>
                          <w:p w14:paraId="3D39586E" w14:textId="77777777" w:rsidR="00C23AAA" w:rsidRPr="0055776F" w:rsidRDefault="00C23AAA" w:rsidP="00BF34F9">
                            <w:pPr>
                              <w:rPr>
                                <w:rFonts w:ascii="Arial" w:hAnsi="Arial" w:cs="Arial"/>
                                <w:sz w:val="20"/>
                              </w:rPr>
                            </w:pPr>
                          </w:p>
                        </w:tc>
                        <w:tc>
                          <w:tcPr>
                            <w:tcW w:w="2464" w:type="dxa"/>
                            <w:shd w:val="clear" w:color="auto" w:fill="auto"/>
                          </w:tcPr>
                          <w:p w14:paraId="3D39586F" w14:textId="77777777" w:rsidR="00C23AAA" w:rsidRPr="0055776F" w:rsidRDefault="00C23AAA" w:rsidP="00BF34F9">
                            <w:pPr>
                              <w:rPr>
                                <w:rFonts w:ascii="Arial" w:hAnsi="Arial" w:cs="Arial"/>
                                <w:sz w:val="20"/>
                              </w:rPr>
                            </w:pPr>
                          </w:p>
                        </w:tc>
                        <w:tc>
                          <w:tcPr>
                            <w:tcW w:w="851" w:type="dxa"/>
                            <w:tcBorders>
                              <w:bottom w:val="single" w:sz="4" w:space="0" w:color="auto"/>
                            </w:tcBorders>
                            <w:shd w:val="clear" w:color="auto" w:fill="auto"/>
                          </w:tcPr>
                          <w:p w14:paraId="3D395870" w14:textId="77777777" w:rsidR="00C23AAA" w:rsidRPr="0055776F" w:rsidRDefault="00C23AAA" w:rsidP="00BF34F9">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3D395871" w14:textId="77777777" w:rsidR="00C23AAA" w:rsidRPr="0055776F" w:rsidRDefault="00C23AAA" w:rsidP="00BF34F9">
                            <w:pPr>
                              <w:rPr>
                                <w:rFonts w:ascii="Arial" w:hAnsi="Arial" w:cs="Arial"/>
                                <w:sz w:val="20"/>
                              </w:rPr>
                            </w:pPr>
                            <w:r w:rsidRPr="00527E66">
                              <w:rPr>
                                <w:rFonts w:ascii="Arial" w:hAnsi="Arial" w:cs="Arial"/>
                                <w:sz w:val="20"/>
                              </w:rPr>
                              <w:t>Gadījumi</w:t>
                            </w:r>
                          </w:p>
                        </w:tc>
                        <w:tc>
                          <w:tcPr>
                            <w:tcW w:w="850" w:type="dxa"/>
                            <w:tcBorders>
                              <w:bottom w:val="single" w:sz="4" w:space="0" w:color="auto"/>
                            </w:tcBorders>
                            <w:shd w:val="clear" w:color="auto" w:fill="auto"/>
                          </w:tcPr>
                          <w:p w14:paraId="3D395872" w14:textId="77777777" w:rsidR="00C23AAA" w:rsidRPr="0055776F" w:rsidRDefault="00C23AAA" w:rsidP="00BF34F9">
                            <w:pPr>
                              <w:rPr>
                                <w:rFonts w:ascii="Arial" w:hAnsi="Arial" w:cs="Arial"/>
                                <w:sz w:val="20"/>
                              </w:rPr>
                            </w:pPr>
                            <w:r w:rsidRPr="00527E66">
                              <w:rPr>
                                <w:rFonts w:ascii="Arial" w:hAnsi="Arial" w:cs="Arial"/>
                                <w:sz w:val="20"/>
                              </w:rPr>
                              <w:t>Izslēgtie</w:t>
                            </w:r>
                          </w:p>
                        </w:tc>
                      </w:tr>
                      <w:tr w:rsidR="00C23AAA" w:rsidRPr="0055776F" w14:paraId="3D395879" w14:textId="77777777">
                        <w:tc>
                          <w:tcPr>
                            <w:tcW w:w="817" w:type="dxa"/>
                            <w:shd w:val="clear" w:color="auto" w:fill="auto"/>
                          </w:tcPr>
                          <w:p w14:paraId="3D395874" w14:textId="77777777" w:rsidR="00C23AAA" w:rsidRPr="0055776F" w:rsidRDefault="00C23AAA" w:rsidP="00BF34F9">
                            <w:pPr>
                              <w:rPr>
                                <w:rFonts w:ascii="Arial" w:hAnsi="Arial" w:cs="Arial"/>
                                <w:sz w:val="20"/>
                              </w:rPr>
                            </w:pPr>
                            <w:r w:rsidRPr="0055776F">
                              <w:rPr>
                                <w:rFonts w:ascii="Arial" w:hAnsi="Arial" w:cs="Arial"/>
                                <w:b/>
                                <w:sz w:val="20"/>
                              </w:rPr>
                              <w:t>——</w:t>
                            </w:r>
                          </w:p>
                        </w:tc>
                        <w:tc>
                          <w:tcPr>
                            <w:tcW w:w="2464" w:type="dxa"/>
                            <w:shd w:val="clear" w:color="auto" w:fill="auto"/>
                          </w:tcPr>
                          <w:p w14:paraId="3D395875" w14:textId="77777777" w:rsidR="00C23AAA" w:rsidRPr="0055776F" w:rsidRDefault="00C23AAA" w:rsidP="00BF34F9">
                            <w:pPr>
                              <w:rPr>
                                <w:rFonts w:ascii="Arial" w:hAnsi="Arial" w:cs="Arial"/>
                                <w:sz w:val="20"/>
                              </w:rPr>
                            </w:pPr>
                            <w:r w:rsidRPr="00A33DBA">
                              <w:rPr>
                                <w:rFonts w:ascii="Arial" w:hAnsi="Arial" w:cs="Arial"/>
                                <w:sz w:val="20"/>
                              </w:rPr>
                              <w:t>(1) Imatinib</w:t>
                            </w:r>
                            <w:r>
                              <w:rPr>
                                <w:rFonts w:ascii="Arial" w:hAnsi="Arial" w:cs="Arial"/>
                                <w:sz w:val="20"/>
                              </w:rPr>
                              <w:t>s 12 mēneši</w:t>
                            </w:r>
                            <w:r w:rsidRPr="00A33DBA">
                              <w:rPr>
                                <w:rFonts w:ascii="Arial" w:hAnsi="Arial" w:cs="Arial"/>
                                <w:sz w:val="20"/>
                              </w:rPr>
                              <w:t>:</w:t>
                            </w:r>
                          </w:p>
                        </w:tc>
                        <w:tc>
                          <w:tcPr>
                            <w:tcW w:w="851" w:type="dxa"/>
                            <w:tcBorders>
                              <w:top w:val="single" w:sz="4" w:space="0" w:color="auto"/>
                            </w:tcBorders>
                            <w:shd w:val="clear" w:color="auto" w:fill="auto"/>
                          </w:tcPr>
                          <w:p w14:paraId="3D395876" w14:textId="77777777" w:rsidR="00C23AAA" w:rsidRPr="0055776F" w:rsidRDefault="00C23AAA" w:rsidP="00BF34F9">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3D395877" w14:textId="77777777" w:rsidR="00C23AAA" w:rsidRPr="0055776F" w:rsidRDefault="00C23AAA" w:rsidP="00BF34F9">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3D395878" w14:textId="77777777" w:rsidR="00C23AAA" w:rsidRPr="0055776F" w:rsidRDefault="00C23AAA" w:rsidP="00BF34F9">
                            <w:pPr>
                              <w:rPr>
                                <w:rFonts w:ascii="Arial" w:hAnsi="Arial" w:cs="Arial"/>
                                <w:sz w:val="20"/>
                              </w:rPr>
                            </w:pPr>
                            <w:r w:rsidRPr="0055776F">
                              <w:rPr>
                                <w:rFonts w:ascii="Arial" w:hAnsi="Arial" w:cs="Arial"/>
                                <w:sz w:val="20"/>
                              </w:rPr>
                              <w:t>174</w:t>
                            </w:r>
                          </w:p>
                        </w:tc>
                      </w:tr>
                      <w:tr w:rsidR="00C23AAA" w:rsidRPr="0055776F" w14:paraId="3D39587F" w14:textId="77777777">
                        <w:tc>
                          <w:tcPr>
                            <w:tcW w:w="817" w:type="dxa"/>
                            <w:shd w:val="clear" w:color="auto" w:fill="auto"/>
                          </w:tcPr>
                          <w:p w14:paraId="3D39587A" w14:textId="77777777" w:rsidR="00C23AAA" w:rsidRPr="0055776F" w:rsidRDefault="00C23AAA" w:rsidP="00BF34F9">
                            <w:pPr>
                              <w:rPr>
                                <w:rFonts w:ascii="Arial" w:hAnsi="Arial" w:cs="Arial"/>
                                <w:sz w:val="20"/>
                              </w:rPr>
                            </w:pPr>
                            <w:r w:rsidRPr="0055776F">
                              <w:rPr>
                                <w:rFonts w:ascii="Arial" w:hAnsi="Arial" w:cs="Arial"/>
                                <w:sz w:val="20"/>
                              </w:rPr>
                              <w:t>-----</w:t>
                            </w:r>
                          </w:p>
                        </w:tc>
                        <w:tc>
                          <w:tcPr>
                            <w:tcW w:w="2464" w:type="dxa"/>
                            <w:shd w:val="clear" w:color="auto" w:fill="auto"/>
                          </w:tcPr>
                          <w:p w14:paraId="3D39587B" w14:textId="77777777" w:rsidR="00C23AAA" w:rsidRPr="0055776F" w:rsidRDefault="00C23AAA" w:rsidP="00BF34F9">
                            <w:pPr>
                              <w:rPr>
                                <w:rFonts w:ascii="Arial" w:hAnsi="Arial" w:cs="Arial"/>
                                <w:sz w:val="20"/>
                              </w:rPr>
                            </w:pPr>
                            <w:r w:rsidRPr="00A33DBA">
                              <w:rPr>
                                <w:rFonts w:ascii="Arial" w:hAnsi="Arial" w:cs="Arial"/>
                                <w:sz w:val="20"/>
                              </w:rPr>
                              <w:t>(2) Imatinib</w:t>
                            </w:r>
                            <w:r>
                              <w:rPr>
                                <w:rFonts w:ascii="Arial" w:hAnsi="Arial" w:cs="Arial"/>
                                <w:sz w:val="20"/>
                              </w:rPr>
                              <w:t>s 36 mēneši</w:t>
                            </w:r>
                            <w:r w:rsidRPr="00A33DBA">
                              <w:rPr>
                                <w:rFonts w:ascii="Arial" w:hAnsi="Arial" w:cs="Arial"/>
                                <w:sz w:val="20"/>
                              </w:rPr>
                              <w:t>:</w:t>
                            </w:r>
                          </w:p>
                        </w:tc>
                        <w:tc>
                          <w:tcPr>
                            <w:tcW w:w="851" w:type="dxa"/>
                            <w:tcBorders>
                              <w:bottom w:val="single" w:sz="4" w:space="0" w:color="auto"/>
                            </w:tcBorders>
                            <w:shd w:val="clear" w:color="auto" w:fill="auto"/>
                          </w:tcPr>
                          <w:p w14:paraId="3D39587C" w14:textId="77777777" w:rsidR="00C23AAA" w:rsidRPr="0055776F" w:rsidRDefault="00C23AAA" w:rsidP="00BF34F9">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3D39587D" w14:textId="77777777" w:rsidR="00C23AAA" w:rsidRPr="0055776F" w:rsidRDefault="00C23AAA" w:rsidP="00BF34F9">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3D39587E" w14:textId="77777777" w:rsidR="00C23AAA" w:rsidRPr="0055776F" w:rsidRDefault="00C23AAA" w:rsidP="00BF34F9">
                            <w:pPr>
                              <w:rPr>
                                <w:rFonts w:ascii="Arial" w:hAnsi="Arial" w:cs="Arial"/>
                                <w:sz w:val="20"/>
                              </w:rPr>
                            </w:pPr>
                            <w:r w:rsidRPr="0055776F">
                              <w:rPr>
                                <w:rFonts w:ascii="Arial" w:hAnsi="Arial" w:cs="Arial"/>
                                <w:sz w:val="20"/>
                              </w:rPr>
                              <w:t>186</w:t>
                            </w:r>
                          </w:p>
                        </w:tc>
                      </w:tr>
                      <w:tr w:rsidR="00C23AAA" w:rsidRPr="0055776F" w14:paraId="3D395885" w14:textId="77777777">
                        <w:tc>
                          <w:tcPr>
                            <w:tcW w:w="817" w:type="dxa"/>
                            <w:shd w:val="clear" w:color="auto" w:fill="auto"/>
                          </w:tcPr>
                          <w:p w14:paraId="3D395880" w14:textId="77777777" w:rsidR="00C23AAA" w:rsidRPr="0055776F" w:rsidRDefault="00C23AAA" w:rsidP="00BF34F9">
                            <w:pPr>
                              <w:rPr>
                                <w:rFonts w:ascii="Arial" w:hAnsi="Arial" w:cs="Arial"/>
                                <w:sz w:val="20"/>
                              </w:rPr>
                            </w:pPr>
                            <w:r w:rsidRPr="0055776F">
                              <w:rPr>
                                <w:rFonts w:ascii="Arial" w:hAnsi="Arial" w:cs="Arial"/>
                                <w:sz w:val="20"/>
                              </w:rPr>
                              <w:t>│││</w:t>
                            </w:r>
                          </w:p>
                        </w:tc>
                        <w:tc>
                          <w:tcPr>
                            <w:tcW w:w="2464" w:type="dxa"/>
                            <w:shd w:val="clear" w:color="auto" w:fill="auto"/>
                          </w:tcPr>
                          <w:p w14:paraId="3D395881" w14:textId="77777777" w:rsidR="00C23AAA" w:rsidRPr="0055776F" w:rsidRDefault="00C23AAA" w:rsidP="00BF34F9">
                            <w:pPr>
                              <w:rPr>
                                <w:rFonts w:ascii="Arial" w:hAnsi="Arial" w:cs="Arial"/>
                                <w:sz w:val="20"/>
                              </w:rPr>
                            </w:pPr>
                            <w:r w:rsidRPr="008E7CB7">
                              <w:rPr>
                                <w:rFonts w:ascii="Arial" w:hAnsi="Arial" w:cs="Arial"/>
                                <w:sz w:val="20"/>
                              </w:rPr>
                              <w:t>Izslēgtie novērojumi</w:t>
                            </w:r>
                          </w:p>
                        </w:tc>
                        <w:tc>
                          <w:tcPr>
                            <w:tcW w:w="851" w:type="dxa"/>
                            <w:tcBorders>
                              <w:top w:val="single" w:sz="4" w:space="0" w:color="auto"/>
                            </w:tcBorders>
                            <w:shd w:val="clear" w:color="auto" w:fill="auto"/>
                          </w:tcPr>
                          <w:p w14:paraId="3D395882" w14:textId="77777777" w:rsidR="00C23AAA" w:rsidRPr="0055776F" w:rsidRDefault="00C23AAA" w:rsidP="00BF34F9">
                            <w:pPr>
                              <w:rPr>
                                <w:rFonts w:ascii="Arial" w:hAnsi="Arial" w:cs="Arial"/>
                                <w:sz w:val="20"/>
                              </w:rPr>
                            </w:pPr>
                          </w:p>
                        </w:tc>
                        <w:tc>
                          <w:tcPr>
                            <w:tcW w:w="709" w:type="dxa"/>
                            <w:tcBorders>
                              <w:top w:val="single" w:sz="4" w:space="0" w:color="auto"/>
                            </w:tcBorders>
                            <w:shd w:val="clear" w:color="auto" w:fill="auto"/>
                          </w:tcPr>
                          <w:p w14:paraId="3D395883" w14:textId="77777777" w:rsidR="00C23AAA" w:rsidRPr="0055776F" w:rsidRDefault="00C23AAA" w:rsidP="00BF34F9">
                            <w:pPr>
                              <w:rPr>
                                <w:rFonts w:ascii="Arial" w:hAnsi="Arial" w:cs="Arial"/>
                                <w:sz w:val="20"/>
                              </w:rPr>
                            </w:pPr>
                          </w:p>
                        </w:tc>
                        <w:tc>
                          <w:tcPr>
                            <w:tcW w:w="850" w:type="dxa"/>
                            <w:tcBorders>
                              <w:top w:val="single" w:sz="4" w:space="0" w:color="auto"/>
                            </w:tcBorders>
                            <w:shd w:val="clear" w:color="auto" w:fill="auto"/>
                          </w:tcPr>
                          <w:p w14:paraId="3D395884" w14:textId="77777777" w:rsidR="00C23AAA" w:rsidRPr="0055776F" w:rsidRDefault="00C23AAA" w:rsidP="00BF34F9">
                            <w:pPr>
                              <w:rPr>
                                <w:rFonts w:ascii="Arial" w:hAnsi="Arial" w:cs="Arial"/>
                                <w:sz w:val="20"/>
                              </w:rPr>
                            </w:pPr>
                          </w:p>
                        </w:tc>
                      </w:tr>
                    </w:tbl>
                    <w:p w14:paraId="3D395886" w14:textId="77777777" w:rsidR="00C23AAA" w:rsidRPr="00A33DBA" w:rsidRDefault="00C23AAA" w:rsidP="00407F0E">
                      <w:pPr>
                        <w:rPr>
                          <w:rFonts w:ascii="Arial" w:hAnsi="Arial" w:cs="Arial"/>
                          <w:sz w:val="20"/>
                        </w:rPr>
                      </w:pPr>
                    </w:p>
                    <w:p w14:paraId="3D395887" w14:textId="77777777" w:rsidR="00C23AAA" w:rsidRPr="00A33DBA" w:rsidRDefault="00C23AAA" w:rsidP="00F74EF9">
                      <w:pPr>
                        <w:rPr>
                          <w:rFonts w:ascii="Arial" w:hAnsi="Arial" w:cs="Arial"/>
                          <w:sz w:val="20"/>
                        </w:rPr>
                      </w:pPr>
                    </w:p>
                  </w:txbxContent>
                </v:textbox>
              </v:shape>
            </w:pict>
          </mc:Fallback>
        </mc:AlternateContent>
      </w:r>
      <w:r w:rsidRPr="00CD729C">
        <w:rPr>
          <w:noProof/>
          <w:lang w:val="en-GB" w:eastAsia="en-GB"/>
        </w:rPr>
        <mc:AlternateContent>
          <mc:Choice Requires="wps">
            <w:drawing>
              <wp:anchor distT="0" distB="0" distL="114300" distR="114300" simplePos="0" relativeHeight="251655168" behindDoc="0" locked="0" layoutInCell="1" allowOverlap="1" wp14:anchorId="3D395822" wp14:editId="3D395823">
                <wp:simplePos x="0" y="0"/>
                <wp:positionH relativeFrom="column">
                  <wp:posOffset>-226695</wp:posOffset>
                </wp:positionH>
                <wp:positionV relativeFrom="paragraph">
                  <wp:posOffset>75565</wp:posOffset>
                </wp:positionV>
                <wp:extent cx="335915" cy="223266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95888" w14:textId="77777777" w:rsidR="00C23AAA" w:rsidRPr="00A33DBA" w:rsidRDefault="00C23AAA" w:rsidP="00F74EF9">
                            <w:pPr>
                              <w:rPr>
                                <w:rFonts w:ascii="Arial" w:hAnsi="Arial" w:cs="Arial"/>
                                <w:sz w:val="20"/>
                              </w:rPr>
                            </w:pPr>
                            <w:r>
                              <w:rPr>
                                <w:rFonts w:ascii="Arial" w:hAnsi="Arial" w:cs="Arial"/>
                                <w:sz w:val="20"/>
                              </w:rPr>
                              <w:t xml:space="preserve">Kopējās </w:t>
                            </w:r>
                            <w:r w:rsidRPr="000C1F7F">
                              <w:rPr>
                                <w:rFonts w:ascii="Arial" w:hAnsi="Arial" w:cs="Arial"/>
                                <w:sz w:val="20"/>
                              </w:rPr>
                              <w:t>dzīvildzes varbūtība</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95822" id="_x0000_s1031" type="#_x0000_t202" style="position:absolute;margin-left:-17.85pt;margin-top:5.95pt;width:26.45pt;height:1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" stroked="f">
                <v:fill opacity="0"/>
                <v:textbox style="layout-flow:vertical;mso-layout-flow-alt:bottom-to-top">
                  <w:txbxContent>
                    <w:p w14:paraId="3D395888" w14:textId="77777777" w:rsidR="00C23AAA" w:rsidRPr="00A33DBA" w:rsidRDefault="00C23AAA" w:rsidP="00F74EF9">
                      <w:pPr>
                        <w:rPr>
                          <w:rFonts w:ascii="Arial" w:hAnsi="Arial" w:cs="Arial"/>
                          <w:sz w:val="20"/>
                        </w:rPr>
                      </w:pPr>
                      <w:r>
                        <w:rPr>
                          <w:rFonts w:ascii="Arial" w:hAnsi="Arial" w:cs="Arial"/>
                          <w:sz w:val="20"/>
                        </w:rPr>
                        <w:t xml:space="preserve">Kopējās </w:t>
                      </w:r>
                      <w:r w:rsidRPr="000C1F7F">
                        <w:rPr>
                          <w:rFonts w:ascii="Arial" w:hAnsi="Arial" w:cs="Arial"/>
                          <w:sz w:val="20"/>
                        </w:rPr>
                        <w:t>dzīvildzes varbūtība</w:t>
                      </w:r>
                    </w:p>
                  </w:txbxContent>
                </v:textbox>
              </v:shape>
            </w:pict>
          </mc:Fallback>
        </mc:AlternateContent>
      </w:r>
      <w:r w:rsidRPr="00CD729C">
        <w:rPr>
          <w:noProof/>
          <w:lang w:val="en-GB" w:eastAsia="en-GB"/>
        </w:rPr>
        <w:drawing>
          <wp:inline distT="0" distB="0" distL="0" distR="0" wp14:anchorId="3D395824" wp14:editId="3D395825">
            <wp:extent cx="5948680" cy="263652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8680" cy="2636520"/>
                    </a:xfrm>
                    <a:prstGeom prst="rect">
                      <a:avLst/>
                    </a:prstGeom>
                    <a:noFill/>
                    <a:ln>
                      <a:noFill/>
                    </a:ln>
                  </pic:spPr>
                </pic:pic>
              </a:graphicData>
            </a:graphic>
          </wp:inline>
        </w:drawing>
      </w:r>
    </w:p>
    <w:p w14:paraId="3D394883" w14:textId="77777777" w:rsidR="00F74EF9" w:rsidRPr="00CD729C" w:rsidRDefault="00F74EF9" w:rsidP="009B4BB6">
      <w:pPr>
        <w:keepNext/>
        <w:keepLines/>
        <w:widowControl w:val="0"/>
        <w:tabs>
          <w:tab w:val="clear" w:pos="567"/>
        </w:tabs>
        <w:spacing w:line="240" w:lineRule="auto"/>
        <w:rPr>
          <w:rFonts w:eastAsia="MS Mincho"/>
          <w:szCs w:val="22"/>
        </w:rPr>
      </w:pPr>
    </w:p>
    <w:p w14:paraId="3D394884" w14:textId="77777777" w:rsidR="00F74EF9" w:rsidRPr="00CD729C" w:rsidRDefault="00F74EF9" w:rsidP="009B4BB6">
      <w:pPr>
        <w:keepNext/>
        <w:keepLines/>
        <w:widowControl w:val="0"/>
        <w:spacing w:line="240" w:lineRule="auto"/>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F74EF9" w:rsidRPr="00CD729C" w14:paraId="3D394886" w14:textId="77777777">
        <w:tc>
          <w:tcPr>
            <w:tcW w:w="10632" w:type="dxa"/>
            <w:gridSpan w:val="16"/>
            <w:shd w:val="clear" w:color="auto" w:fill="auto"/>
          </w:tcPr>
          <w:p w14:paraId="3D394885" w14:textId="77777777" w:rsidR="00F74EF9" w:rsidRPr="00CD729C" w:rsidRDefault="00407F0E" w:rsidP="009B4BB6">
            <w:pPr>
              <w:keepNext/>
              <w:keepLines/>
              <w:widowControl w:val="0"/>
              <w:spacing w:line="240" w:lineRule="auto"/>
              <w:ind w:left="-27"/>
              <w:rPr>
                <w:rFonts w:ascii="Arial" w:hAnsi="Arial" w:cs="Arial"/>
                <w:sz w:val="16"/>
                <w:szCs w:val="16"/>
              </w:rPr>
            </w:pPr>
            <w:r w:rsidRPr="00CD729C">
              <w:rPr>
                <w:rFonts w:ascii="Arial" w:hAnsi="Arial" w:cs="Arial"/>
                <w:sz w:val="20"/>
              </w:rPr>
              <w:t>Riska grupa: gadījumi</w:t>
            </w:r>
          </w:p>
        </w:tc>
      </w:tr>
      <w:tr w:rsidR="00F74EF9" w:rsidRPr="00CD729C" w14:paraId="3D394897" w14:textId="77777777" w:rsidTr="00EE0671">
        <w:tc>
          <w:tcPr>
            <w:tcW w:w="450" w:type="dxa"/>
            <w:shd w:val="clear" w:color="auto" w:fill="auto"/>
          </w:tcPr>
          <w:p w14:paraId="3D394887" w14:textId="77777777" w:rsidR="00F74EF9" w:rsidRPr="00CD729C" w:rsidRDefault="00F74EF9" w:rsidP="009B4BB6">
            <w:pPr>
              <w:keepNext/>
              <w:keepLines/>
              <w:widowControl w:val="0"/>
              <w:spacing w:line="240" w:lineRule="auto"/>
              <w:rPr>
                <w:sz w:val="20"/>
              </w:rPr>
            </w:pPr>
            <w:r w:rsidRPr="00CD729C">
              <w:rPr>
                <w:sz w:val="20"/>
              </w:rPr>
              <w:t>(1)</w:t>
            </w:r>
          </w:p>
        </w:tc>
        <w:tc>
          <w:tcPr>
            <w:tcW w:w="687" w:type="dxa"/>
            <w:shd w:val="clear" w:color="auto" w:fill="auto"/>
          </w:tcPr>
          <w:p w14:paraId="3D394888" w14:textId="77777777" w:rsidR="00F74EF9" w:rsidRPr="00CD729C" w:rsidRDefault="00F74EF9" w:rsidP="009B4BB6">
            <w:pPr>
              <w:keepNext/>
              <w:keepLines/>
              <w:widowControl w:val="0"/>
              <w:spacing w:line="240" w:lineRule="auto"/>
              <w:ind w:left="-45"/>
              <w:rPr>
                <w:sz w:val="20"/>
              </w:rPr>
            </w:pPr>
            <w:r w:rsidRPr="00CD729C">
              <w:rPr>
                <w:sz w:val="20"/>
              </w:rPr>
              <w:t>199:0</w:t>
            </w:r>
          </w:p>
        </w:tc>
        <w:tc>
          <w:tcPr>
            <w:tcW w:w="670" w:type="dxa"/>
            <w:shd w:val="clear" w:color="auto" w:fill="auto"/>
          </w:tcPr>
          <w:p w14:paraId="3D394889" w14:textId="77777777" w:rsidR="00F74EF9" w:rsidRPr="00CD729C" w:rsidRDefault="00F74EF9" w:rsidP="009B4BB6">
            <w:pPr>
              <w:keepNext/>
              <w:keepLines/>
              <w:widowControl w:val="0"/>
              <w:spacing w:line="240" w:lineRule="auto"/>
              <w:ind w:left="-45"/>
              <w:rPr>
                <w:sz w:val="20"/>
              </w:rPr>
            </w:pPr>
            <w:r w:rsidRPr="00CD729C">
              <w:rPr>
                <w:sz w:val="20"/>
              </w:rPr>
              <w:t>190:2</w:t>
            </w:r>
          </w:p>
        </w:tc>
        <w:tc>
          <w:tcPr>
            <w:tcW w:w="710" w:type="dxa"/>
            <w:shd w:val="clear" w:color="auto" w:fill="auto"/>
          </w:tcPr>
          <w:p w14:paraId="3D39488A" w14:textId="77777777" w:rsidR="00F74EF9" w:rsidRPr="00CD729C" w:rsidRDefault="00F74EF9" w:rsidP="009B4BB6">
            <w:pPr>
              <w:keepNext/>
              <w:keepLines/>
              <w:widowControl w:val="0"/>
              <w:spacing w:line="240" w:lineRule="auto"/>
              <w:ind w:left="-45"/>
              <w:rPr>
                <w:sz w:val="20"/>
              </w:rPr>
            </w:pPr>
            <w:r w:rsidRPr="00CD729C">
              <w:rPr>
                <w:sz w:val="20"/>
              </w:rPr>
              <w:t>188:2</w:t>
            </w:r>
          </w:p>
        </w:tc>
        <w:tc>
          <w:tcPr>
            <w:tcW w:w="717" w:type="dxa"/>
            <w:shd w:val="clear" w:color="auto" w:fill="auto"/>
          </w:tcPr>
          <w:p w14:paraId="3D39488B" w14:textId="77777777" w:rsidR="00F74EF9" w:rsidRPr="00CD729C" w:rsidRDefault="00F74EF9" w:rsidP="009B4BB6">
            <w:pPr>
              <w:keepNext/>
              <w:keepLines/>
              <w:widowControl w:val="0"/>
              <w:spacing w:line="240" w:lineRule="auto"/>
              <w:ind w:left="-45"/>
              <w:rPr>
                <w:sz w:val="20"/>
              </w:rPr>
            </w:pPr>
            <w:r w:rsidRPr="00CD729C">
              <w:rPr>
                <w:sz w:val="20"/>
              </w:rPr>
              <w:t>183:6</w:t>
            </w:r>
          </w:p>
        </w:tc>
        <w:tc>
          <w:tcPr>
            <w:tcW w:w="691" w:type="dxa"/>
            <w:shd w:val="clear" w:color="auto" w:fill="auto"/>
          </w:tcPr>
          <w:p w14:paraId="3D39488C" w14:textId="77777777" w:rsidR="00F74EF9" w:rsidRPr="00CD729C" w:rsidRDefault="00F74EF9" w:rsidP="009B4BB6">
            <w:pPr>
              <w:keepNext/>
              <w:keepLines/>
              <w:widowControl w:val="0"/>
              <w:spacing w:line="240" w:lineRule="auto"/>
              <w:ind w:left="-45"/>
              <w:rPr>
                <w:sz w:val="20"/>
              </w:rPr>
            </w:pPr>
            <w:r w:rsidRPr="00CD729C">
              <w:rPr>
                <w:sz w:val="20"/>
              </w:rPr>
              <w:t>176:8</w:t>
            </w:r>
          </w:p>
        </w:tc>
        <w:tc>
          <w:tcPr>
            <w:tcW w:w="770" w:type="dxa"/>
            <w:shd w:val="clear" w:color="auto" w:fill="auto"/>
          </w:tcPr>
          <w:p w14:paraId="3D39488D" w14:textId="77777777" w:rsidR="00F74EF9" w:rsidRPr="00CD729C" w:rsidRDefault="00F74EF9" w:rsidP="009B4BB6">
            <w:pPr>
              <w:keepNext/>
              <w:keepLines/>
              <w:widowControl w:val="0"/>
              <w:spacing w:line="240" w:lineRule="auto"/>
              <w:ind w:left="-45"/>
              <w:rPr>
                <w:sz w:val="20"/>
              </w:rPr>
            </w:pPr>
            <w:r w:rsidRPr="00CD729C">
              <w:rPr>
                <w:sz w:val="20"/>
              </w:rPr>
              <w:t>156:10</w:t>
            </w:r>
          </w:p>
        </w:tc>
        <w:tc>
          <w:tcPr>
            <w:tcW w:w="779" w:type="dxa"/>
            <w:shd w:val="clear" w:color="auto" w:fill="auto"/>
          </w:tcPr>
          <w:p w14:paraId="3D39488E" w14:textId="77777777" w:rsidR="00F74EF9" w:rsidRPr="00CD729C" w:rsidRDefault="00F74EF9" w:rsidP="009B4BB6">
            <w:pPr>
              <w:keepNext/>
              <w:keepLines/>
              <w:widowControl w:val="0"/>
              <w:spacing w:line="240" w:lineRule="auto"/>
              <w:ind w:left="-45"/>
              <w:rPr>
                <w:sz w:val="20"/>
              </w:rPr>
            </w:pPr>
            <w:r w:rsidRPr="00CD729C">
              <w:rPr>
                <w:sz w:val="20"/>
              </w:rPr>
              <w:t>140:11</w:t>
            </w:r>
          </w:p>
        </w:tc>
        <w:tc>
          <w:tcPr>
            <w:tcW w:w="794" w:type="dxa"/>
            <w:shd w:val="clear" w:color="auto" w:fill="auto"/>
          </w:tcPr>
          <w:p w14:paraId="3D39488F" w14:textId="77777777" w:rsidR="00F74EF9" w:rsidRPr="00CD729C" w:rsidRDefault="00F74EF9" w:rsidP="009B4BB6">
            <w:pPr>
              <w:keepNext/>
              <w:keepLines/>
              <w:widowControl w:val="0"/>
              <w:spacing w:line="240" w:lineRule="auto"/>
              <w:ind w:left="-45"/>
              <w:rPr>
                <w:sz w:val="20"/>
              </w:rPr>
            </w:pPr>
            <w:r w:rsidRPr="00CD729C">
              <w:rPr>
                <w:sz w:val="20"/>
              </w:rPr>
              <w:t>105:14</w:t>
            </w:r>
          </w:p>
        </w:tc>
        <w:tc>
          <w:tcPr>
            <w:tcW w:w="653" w:type="dxa"/>
            <w:shd w:val="clear" w:color="auto" w:fill="auto"/>
          </w:tcPr>
          <w:p w14:paraId="3D394890" w14:textId="77777777" w:rsidR="00F74EF9" w:rsidRPr="00CD729C" w:rsidRDefault="00F74EF9" w:rsidP="009B4BB6">
            <w:pPr>
              <w:keepNext/>
              <w:keepLines/>
              <w:widowControl w:val="0"/>
              <w:spacing w:line="240" w:lineRule="auto"/>
              <w:ind w:left="-45"/>
              <w:rPr>
                <w:sz w:val="20"/>
              </w:rPr>
            </w:pPr>
            <w:r w:rsidRPr="00CD729C">
              <w:rPr>
                <w:sz w:val="20"/>
              </w:rPr>
              <w:t>87:18</w:t>
            </w:r>
          </w:p>
        </w:tc>
        <w:tc>
          <w:tcPr>
            <w:tcW w:w="630" w:type="dxa"/>
            <w:shd w:val="clear" w:color="auto" w:fill="auto"/>
          </w:tcPr>
          <w:p w14:paraId="3D394891" w14:textId="77777777" w:rsidR="00F74EF9" w:rsidRPr="00CD729C" w:rsidRDefault="00F74EF9" w:rsidP="009B4BB6">
            <w:pPr>
              <w:keepNext/>
              <w:keepLines/>
              <w:widowControl w:val="0"/>
              <w:spacing w:line="240" w:lineRule="auto"/>
              <w:ind w:left="-45"/>
              <w:rPr>
                <w:sz w:val="20"/>
              </w:rPr>
            </w:pPr>
            <w:r w:rsidRPr="00CD729C">
              <w:rPr>
                <w:sz w:val="20"/>
              </w:rPr>
              <w:t>64:22</w:t>
            </w:r>
          </w:p>
        </w:tc>
        <w:tc>
          <w:tcPr>
            <w:tcW w:w="643" w:type="dxa"/>
            <w:shd w:val="clear" w:color="auto" w:fill="auto"/>
          </w:tcPr>
          <w:p w14:paraId="3D394892" w14:textId="77777777" w:rsidR="00F74EF9" w:rsidRPr="00CD729C" w:rsidRDefault="00F74EF9" w:rsidP="009B4BB6">
            <w:pPr>
              <w:keepNext/>
              <w:keepLines/>
              <w:widowControl w:val="0"/>
              <w:spacing w:line="240" w:lineRule="auto"/>
              <w:ind w:left="-45"/>
              <w:rPr>
                <w:sz w:val="20"/>
              </w:rPr>
            </w:pPr>
            <w:r w:rsidRPr="00CD729C">
              <w:rPr>
                <w:sz w:val="20"/>
              </w:rPr>
              <w:t>46:23</w:t>
            </w:r>
          </w:p>
        </w:tc>
        <w:tc>
          <w:tcPr>
            <w:tcW w:w="670" w:type="dxa"/>
            <w:shd w:val="clear" w:color="auto" w:fill="auto"/>
          </w:tcPr>
          <w:p w14:paraId="3D394893" w14:textId="77777777" w:rsidR="00F74EF9" w:rsidRPr="00CD729C" w:rsidRDefault="00F74EF9" w:rsidP="009B4BB6">
            <w:pPr>
              <w:keepNext/>
              <w:keepLines/>
              <w:widowControl w:val="0"/>
              <w:spacing w:line="240" w:lineRule="auto"/>
              <w:ind w:left="-45"/>
              <w:rPr>
                <w:sz w:val="20"/>
              </w:rPr>
            </w:pPr>
            <w:r w:rsidRPr="00CD729C">
              <w:rPr>
                <w:sz w:val="20"/>
              </w:rPr>
              <w:t>27:25</w:t>
            </w:r>
          </w:p>
        </w:tc>
        <w:tc>
          <w:tcPr>
            <w:tcW w:w="683" w:type="dxa"/>
            <w:shd w:val="clear" w:color="auto" w:fill="auto"/>
          </w:tcPr>
          <w:p w14:paraId="3D394894" w14:textId="77777777" w:rsidR="00F74EF9" w:rsidRPr="00CD729C" w:rsidRDefault="00F74EF9" w:rsidP="009B4BB6">
            <w:pPr>
              <w:keepNext/>
              <w:keepLines/>
              <w:widowControl w:val="0"/>
              <w:spacing w:line="240" w:lineRule="auto"/>
              <w:ind w:left="-45"/>
              <w:rPr>
                <w:sz w:val="20"/>
              </w:rPr>
            </w:pPr>
            <w:r w:rsidRPr="00CD729C">
              <w:rPr>
                <w:sz w:val="20"/>
              </w:rPr>
              <w:t>20:25</w:t>
            </w:r>
          </w:p>
        </w:tc>
        <w:tc>
          <w:tcPr>
            <w:tcW w:w="558" w:type="dxa"/>
            <w:shd w:val="clear" w:color="auto" w:fill="auto"/>
          </w:tcPr>
          <w:p w14:paraId="3D394895" w14:textId="77777777" w:rsidR="00F74EF9" w:rsidRPr="00CD729C" w:rsidRDefault="00F74EF9" w:rsidP="009B4BB6">
            <w:pPr>
              <w:keepNext/>
              <w:keepLines/>
              <w:widowControl w:val="0"/>
              <w:spacing w:line="240" w:lineRule="auto"/>
              <w:ind w:left="-45"/>
              <w:rPr>
                <w:sz w:val="20"/>
              </w:rPr>
            </w:pPr>
            <w:r w:rsidRPr="00CD729C">
              <w:rPr>
                <w:sz w:val="20"/>
              </w:rPr>
              <w:t>2:25</w:t>
            </w:r>
          </w:p>
        </w:tc>
        <w:tc>
          <w:tcPr>
            <w:tcW w:w="527" w:type="dxa"/>
            <w:shd w:val="clear" w:color="auto" w:fill="auto"/>
          </w:tcPr>
          <w:p w14:paraId="3D394896" w14:textId="77777777" w:rsidR="00F74EF9" w:rsidRPr="00CD729C" w:rsidRDefault="00F74EF9" w:rsidP="009B4BB6">
            <w:pPr>
              <w:keepNext/>
              <w:keepLines/>
              <w:widowControl w:val="0"/>
              <w:spacing w:line="240" w:lineRule="auto"/>
              <w:ind w:left="-45"/>
              <w:rPr>
                <w:sz w:val="20"/>
              </w:rPr>
            </w:pPr>
            <w:r w:rsidRPr="00CD729C">
              <w:rPr>
                <w:sz w:val="20"/>
              </w:rPr>
              <w:t>0:25</w:t>
            </w:r>
          </w:p>
        </w:tc>
      </w:tr>
      <w:tr w:rsidR="00F74EF9" w:rsidRPr="00CD729C" w14:paraId="3D3948A8" w14:textId="77777777" w:rsidTr="00EE0671">
        <w:tc>
          <w:tcPr>
            <w:tcW w:w="450" w:type="dxa"/>
            <w:shd w:val="clear" w:color="auto" w:fill="auto"/>
          </w:tcPr>
          <w:p w14:paraId="3D394898" w14:textId="77777777" w:rsidR="00F74EF9" w:rsidRPr="00CD729C" w:rsidRDefault="00F74EF9" w:rsidP="009B4BB6">
            <w:pPr>
              <w:keepNext/>
              <w:keepLines/>
              <w:widowControl w:val="0"/>
              <w:spacing w:line="240" w:lineRule="auto"/>
              <w:rPr>
                <w:sz w:val="20"/>
              </w:rPr>
            </w:pPr>
            <w:r w:rsidRPr="00CD729C">
              <w:rPr>
                <w:sz w:val="20"/>
              </w:rPr>
              <w:t>(2)</w:t>
            </w:r>
          </w:p>
        </w:tc>
        <w:tc>
          <w:tcPr>
            <w:tcW w:w="687" w:type="dxa"/>
            <w:shd w:val="clear" w:color="auto" w:fill="auto"/>
          </w:tcPr>
          <w:p w14:paraId="3D394899" w14:textId="77777777" w:rsidR="00F74EF9" w:rsidRPr="00CD729C" w:rsidRDefault="00F74EF9" w:rsidP="009B4BB6">
            <w:pPr>
              <w:keepNext/>
              <w:keepLines/>
              <w:widowControl w:val="0"/>
              <w:spacing w:line="240" w:lineRule="auto"/>
              <w:ind w:left="-45"/>
              <w:rPr>
                <w:sz w:val="20"/>
              </w:rPr>
            </w:pPr>
            <w:r w:rsidRPr="00CD729C">
              <w:rPr>
                <w:sz w:val="20"/>
              </w:rPr>
              <w:t>198:0</w:t>
            </w:r>
          </w:p>
        </w:tc>
        <w:tc>
          <w:tcPr>
            <w:tcW w:w="670" w:type="dxa"/>
            <w:shd w:val="clear" w:color="auto" w:fill="auto"/>
          </w:tcPr>
          <w:p w14:paraId="3D39489A" w14:textId="77777777" w:rsidR="00F74EF9" w:rsidRPr="00CD729C" w:rsidRDefault="00F74EF9" w:rsidP="009B4BB6">
            <w:pPr>
              <w:keepNext/>
              <w:keepLines/>
              <w:widowControl w:val="0"/>
              <w:spacing w:line="240" w:lineRule="auto"/>
              <w:ind w:left="-45"/>
              <w:rPr>
                <w:sz w:val="20"/>
              </w:rPr>
            </w:pPr>
            <w:r w:rsidRPr="00CD729C">
              <w:rPr>
                <w:sz w:val="20"/>
              </w:rPr>
              <w:t>196:0</w:t>
            </w:r>
          </w:p>
        </w:tc>
        <w:tc>
          <w:tcPr>
            <w:tcW w:w="710" w:type="dxa"/>
            <w:shd w:val="clear" w:color="auto" w:fill="auto"/>
          </w:tcPr>
          <w:p w14:paraId="3D39489B" w14:textId="77777777" w:rsidR="00F74EF9" w:rsidRPr="00CD729C" w:rsidRDefault="00F74EF9" w:rsidP="009B4BB6">
            <w:pPr>
              <w:keepNext/>
              <w:keepLines/>
              <w:widowControl w:val="0"/>
              <w:spacing w:line="240" w:lineRule="auto"/>
              <w:ind w:left="-45"/>
              <w:rPr>
                <w:sz w:val="20"/>
              </w:rPr>
            </w:pPr>
            <w:r w:rsidRPr="00CD729C">
              <w:rPr>
                <w:sz w:val="20"/>
              </w:rPr>
              <w:t>192:0</w:t>
            </w:r>
          </w:p>
        </w:tc>
        <w:tc>
          <w:tcPr>
            <w:tcW w:w="717" w:type="dxa"/>
            <w:shd w:val="clear" w:color="auto" w:fill="auto"/>
          </w:tcPr>
          <w:p w14:paraId="3D39489C" w14:textId="77777777" w:rsidR="00F74EF9" w:rsidRPr="00CD729C" w:rsidRDefault="00F74EF9" w:rsidP="009B4BB6">
            <w:pPr>
              <w:keepNext/>
              <w:keepLines/>
              <w:widowControl w:val="0"/>
              <w:spacing w:line="240" w:lineRule="auto"/>
              <w:ind w:left="-45"/>
              <w:rPr>
                <w:sz w:val="20"/>
              </w:rPr>
            </w:pPr>
            <w:r w:rsidRPr="00CD729C">
              <w:rPr>
                <w:sz w:val="20"/>
              </w:rPr>
              <w:t>187:4</w:t>
            </w:r>
          </w:p>
        </w:tc>
        <w:tc>
          <w:tcPr>
            <w:tcW w:w="691" w:type="dxa"/>
            <w:shd w:val="clear" w:color="auto" w:fill="auto"/>
          </w:tcPr>
          <w:p w14:paraId="3D39489D" w14:textId="77777777" w:rsidR="00F74EF9" w:rsidRPr="00CD729C" w:rsidRDefault="00F74EF9" w:rsidP="009B4BB6">
            <w:pPr>
              <w:keepNext/>
              <w:keepLines/>
              <w:widowControl w:val="0"/>
              <w:spacing w:line="240" w:lineRule="auto"/>
              <w:ind w:left="-45"/>
              <w:rPr>
                <w:sz w:val="20"/>
              </w:rPr>
            </w:pPr>
            <w:r w:rsidRPr="00CD729C">
              <w:rPr>
                <w:sz w:val="20"/>
              </w:rPr>
              <w:t>184:5</w:t>
            </w:r>
          </w:p>
        </w:tc>
        <w:tc>
          <w:tcPr>
            <w:tcW w:w="770" w:type="dxa"/>
            <w:shd w:val="clear" w:color="auto" w:fill="auto"/>
          </w:tcPr>
          <w:p w14:paraId="3D39489E" w14:textId="77777777" w:rsidR="00F74EF9" w:rsidRPr="00CD729C" w:rsidRDefault="00F74EF9" w:rsidP="009B4BB6">
            <w:pPr>
              <w:keepNext/>
              <w:keepLines/>
              <w:widowControl w:val="0"/>
              <w:spacing w:line="240" w:lineRule="auto"/>
              <w:ind w:left="-45"/>
              <w:rPr>
                <w:sz w:val="20"/>
              </w:rPr>
            </w:pPr>
            <w:r w:rsidRPr="00CD729C">
              <w:rPr>
                <w:sz w:val="20"/>
              </w:rPr>
              <w:t>164:7</w:t>
            </w:r>
          </w:p>
        </w:tc>
        <w:tc>
          <w:tcPr>
            <w:tcW w:w="779" w:type="dxa"/>
            <w:shd w:val="clear" w:color="auto" w:fill="auto"/>
          </w:tcPr>
          <w:p w14:paraId="3D39489F" w14:textId="77777777" w:rsidR="00F74EF9" w:rsidRPr="00CD729C" w:rsidRDefault="00F74EF9" w:rsidP="009B4BB6">
            <w:pPr>
              <w:keepNext/>
              <w:keepLines/>
              <w:widowControl w:val="0"/>
              <w:spacing w:line="240" w:lineRule="auto"/>
              <w:ind w:left="-45"/>
              <w:rPr>
                <w:sz w:val="20"/>
              </w:rPr>
            </w:pPr>
            <w:r w:rsidRPr="00CD729C">
              <w:rPr>
                <w:sz w:val="20"/>
              </w:rPr>
              <w:t>152:7</w:t>
            </w:r>
          </w:p>
        </w:tc>
        <w:tc>
          <w:tcPr>
            <w:tcW w:w="794" w:type="dxa"/>
            <w:shd w:val="clear" w:color="auto" w:fill="auto"/>
          </w:tcPr>
          <w:p w14:paraId="3D3948A0" w14:textId="77777777" w:rsidR="00F74EF9" w:rsidRPr="00CD729C" w:rsidRDefault="00F74EF9" w:rsidP="009B4BB6">
            <w:pPr>
              <w:keepNext/>
              <w:keepLines/>
              <w:widowControl w:val="0"/>
              <w:spacing w:line="240" w:lineRule="auto"/>
              <w:ind w:left="-45"/>
              <w:rPr>
                <w:sz w:val="20"/>
              </w:rPr>
            </w:pPr>
            <w:r w:rsidRPr="00CD729C">
              <w:rPr>
                <w:sz w:val="20"/>
              </w:rPr>
              <w:t>119:8</w:t>
            </w:r>
          </w:p>
        </w:tc>
        <w:tc>
          <w:tcPr>
            <w:tcW w:w="653" w:type="dxa"/>
            <w:shd w:val="clear" w:color="auto" w:fill="auto"/>
          </w:tcPr>
          <w:p w14:paraId="3D3948A1" w14:textId="77777777" w:rsidR="00F74EF9" w:rsidRPr="00CD729C" w:rsidRDefault="00F74EF9" w:rsidP="009B4BB6">
            <w:pPr>
              <w:keepNext/>
              <w:keepLines/>
              <w:widowControl w:val="0"/>
              <w:spacing w:line="240" w:lineRule="auto"/>
              <w:ind w:left="-45"/>
              <w:rPr>
                <w:sz w:val="20"/>
              </w:rPr>
            </w:pPr>
            <w:r w:rsidRPr="00CD729C">
              <w:rPr>
                <w:sz w:val="20"/>
              </w:rPr>
              <w:t>100:8</w:t>
            </w:r>
          </w:p>
        </w:tc>
        <w:tc>
          <w:tcPr>
            <w:tcW w:w="630" w:type="dxa"/>
            <w:shd w:val="clear" w:color="auto" w:fill="auto"/>
          </w:tcPr>
          <w:p w14:paraId="3D3948A2" w14:textId="77777777" w:rsidR="00F74EF9" w:rsidRPr="00CD729C" w:rsidRDefault="00F74EF9" w:rsidP="009B4BB6">
            <w:pPr>
              <w:keepNext/>
              <w:keepLines/>
              <w:widowControl w:val="0"/>
              <w:spacing w:line="240" w:lineRule="auto"/>
              <w:ind w:left="-45"/>
              <w:rPr>
                <w:sz w:val="20"/>
              </w:rPr>
            </w:pPr>
            <w:r w:rsidRPr="00CD729C">
              <w:rPr>
                <w:sz w:val="20"/>
              </w:rPr>
              <w:t>76:10</w:t>
            </w:r>
          </w:p>
        </w:tc>
        <w:tc>
          <w:tcPr>
            <w:tcW w:w="643" w:type="dxa"/>
            <w:shd w:val="clear" w:color="auto" w:fill="auto"/>
          </w:tcPr>
          <w:p w14:paraId="3D3948A3" w14:textId="77777777" w:rsidR="00F74EF9" w:rsidRPr="00CD729C" w:rsidRDefault="00F74EF9" w:rsidP="009B4BB6">
            <w:pPr>
              <w:keepNext/>
              <w:keepLines/>
              <w:widowControl w:val="0"/>
              <w:spacing w:line="240" w:lineRule="auto"/>
              <w:ind w:left="-45"/>
              <w:rPr>
                <w:sz w:val="20"/>
              </w:rPr>
            </w:pPr>
            <w:r w:rsidRPr="00CD729C">
              <w:rPr>
                <w:sz w:val="20"/>
              </w:rPr>
              <w:t>56:11</w:t>
            </w:r>
          </w:p>
        </w:tc>
        <w:tc>
          <w:tcPr>
            <w:tcW w:w="670" w:type="dxa"/>
            <w:shd w:val="clear" w:color="auto" w:fill="auto"/>
          </w:tcPr>
          <w:p w14:paraId="3D3948A4" w14:textId="77777777" w:rsidR="00F74EF9" w:rsidRPr="00CD729C" w:rsidRDefault="00F74EF9" w:rsidP="009B4BB6">
            <w:pPr>
              <w:keepNext/>
              <w:keepLines/>
              <w:widowControl w:val="0"/>
              <w:spacing w:line="240" w:lineRule="auto"/>
              <w:ind w:left="-45"/>
              <w:rPr>
                <w:sz w:val="20"/>
              </w:rPr>
            </w:pPr>
            <w:r w:rsidRPr="00CD729C">
              <w:rPr>
                <w:sz w:val="20"/>
              </w:rPr>
              <w:t>31:11</w:t>
            </w:r>
          </w:p>
        </w:tc>
        <w:tc>
          <w:tcPr>
            <w:tcW w:w="683" w:type="dxa"/>
            <w:shd w:val="clear" w:color="auto" w:fill="auto"/>
          </w:tcPr>
          <w:p w14:paraId="3D3948A5" w14:textId="77777777" w:rsidR="00F74EF9" w:rsidRPr="00CD729C" w:rsidRDefault="00F74EF9" w:rsidP="009B4BB6">
            <w:pPr>
              <w:keepNext/>
              <w:keepLines/>
              <w:widowControl w:val="0"/>
              <w:spacing w:line="240" w:lineRule="auto"/>
              <w:ind w:left="-45"/>
              <w:rPr>
                <w:sz w:val="20"/>
              </w:rPr>
            </w:pPr>
            <w:r w:rsidRPr="00CD729C">
              <w:rPr>
                <w:sz w:val="20"/>
              </w:rPr>
              <w:t>13:12</w:t>
            </w:r>
          </w:p>
        </w:tc>
        <w:tc>
          <w:tcPr>
            <w:tcW w:w="558" w:type="dxa"/>
            <w:shd w:val="clear" w:color="auto" w:fill="auto"/>
          </w:tcPr>
          <w:p w14:paraId="3D3948A6" w14:textId="77777777" w:rsidR="00F74EF9" w:rsidRPr="00CD729C" w:rsidRDefault="00CD3015" w:rsidP="009B4BB6">
            <w:pPr>
              <w:keepNext/>
              <w:keepLines/>
              <w:widowControl w:val="0"/>
              <w:spacing w:line="240" w:lineRule="auto"/>
              <w:ind w:left="-45"/>
              <w:rPr>
                <w:sz w:val="20"/>
              </w:rPr>
            </w:pPr>
            <w:r w:rsidRPr="00CD729C">
              <w:rPr>
                <w:sz w:val="20"/>
              </w:rPr>
              <w:t>0</w:t>
            </w:r>
            <w:r w:rsidR="00F74EF9" w:rsidRPr="00CD729C">
              <w:rPr>
                <w:sz w:val="20"/>
              </w:rPr>
              <w:t>:12</w:t>
            </w:r>
          </w:p>
        </w:tc>
        <w:tc>
          <w:tcPr>
            <w:tcW w:w="527" w:type="dxa"/>
            <w:shd w:val="clear" w:color="auto" w:fill="auto"/>
          </w:tcPr>
          <w:p w14:paraId="3D3948A7" w14:textId="77777777" w:rsidR="00F74EF9" w:rsidRPr="00CD729C" w:rsidRDefault="00F74EF9" w:rsidP="009B4BB6">
            <w:pPr>
              <w:keepNext/>
              <w:keepLines/>
              <w:widowControl w:val="0"/>
              <w:spacing w:line="240" w:lineRule="auto"/>
              <w:ind w:left="-45"/>
              <w:rPr>
                <w:sz w:val="20"/>
              </w:rPr>
            </w:pPr>
          </w:p>
        </w:tc>
      </w:tr>
    </w:tbl>
    <w:p w14:paraId="3D3948A9" w14:textId="77777777" w:rsidR="00EE0671" w:rsidRPr="00CD729C" w:rsidRDefault="00EE0671" w:rsidP="009B4BB6">
      <w:pPr>
        <w:keepLines/>
        <w:widowControl w:val="0"/>
        <w:spacing w:line="240" w:lineRule="auto"/>
        <w:rPr>
          <w:color w:val="000000"/>
          <w:szCs w:val="22"/>
        </w:rPr>
      </w:pPr>
    </w:p>
    <w:p w14:paraId="3D3948AA" w14:textId="77777777" w:rsidR="006F13A2" w:rsidRPr="00CD729C" w:rsidRDefault="00C23BF6" w:rsidP="009B4BB6">
      <w:pPr>
        <w:widowControl w:val="0"/>
        <w:tabs>
          <w:tab w:val="clear" w:pos="567"/>
        </w:tabs>
        <w:spacing w:line="240" w:lineRule="auto"/>
        <w:rPr>
          <w:color w:val="000000"/>
          <w:szCs w:val="22"/>
        </w:rPr>
      </w:pPr>
      <w:r w:rsidRPr="00CD729C">
        <w:rPr>
          <w:color w:val="000000"/>
          <w:szCs w:val="22"/>
        </w:rPr>
        <w:t>K</w:t>
      </w:r>
      <w:r w:rsidR="006F13A2" w:rsidRPr="00CD729C">
        <w:rPr>
          <w:color w:val="000000"/>
          <w:szCs w:val="22"/>
        </w:rPr>
        <w:t xml:space="preserve">ontrolēti klīniskie pētījumi pediatrijas pacientiem ar </w:t>
      </w:r>
      <w:r w:rsidR="00667593" w:rsidRPr="00CD729C">
        <w:rPr>
          <w:color w:val="000000"/>
          <w:szCs w:val="22"/>
        </w:rPr>
        <w:t>c-Kit pozitīvu GIST</w:t>
      </w:r>
      <w:r w:rsidRPr="00CD729C">
        <w:rPr>
          <w:color w:val="000000"/>
          <w:szCs w:val="22"/>
        </w:rPr>
        <w:t xml:space="preserve"> nav veikti</w:t>
      </w:r>
      <w:r w:rsidR="006F13A2" w:rsidRPr="00CD729C">
        <w:rPr>
          <w:color w:val="000000"/>
          <w:szCs w:val="22"/>
        </w:rPr>
        <w:t xml:space="preserve">. </w:t>
      </w:r>
      <w:r w:rsidR="00667593" w:rsidRPr="00CD729C">
        <w:rPr>
          <w:color w:val="000000"/>
          <w:szCs w:val="22"/>
        </w:rPr>
        <w:t>7</w:t>
      </w:r>
      <w:r w:rsidR="006F13A2" w:rsidRPr="00CD729C">
        <w:rPr>
          <w:color w:val="000000"/>
          <w:szCs w:val="22"/>
        </w:rPr>
        <w:t xml:space="preserve"> publikācijās ziņots par </w:t>
      </w:r>
      <w:r w:rsidR="00B64DC6" w:rsidRPr="00CD729C">
        <w:rPr>
          <w:color w:val="000000"/>
          <w:szCs w:val="22"/>
        </w:rPr>
        <w:t>septiņpadsmit (</w:t>
      </w:r>
      <w:r w:rsidR="00667593" w:rsidRPr="00CD729C">
        <w:rPr>
          <w:color w:val="000000"/>
          <w:szCs w:val="22"/>
        </w:rPr>
        <w:t>17</w:t>
      </w:r>
      <w:r w:rsidR="00B64DC6" w:rsidRPr="00CD729C">
        <w:rPr>
          <w:color w:val="000000"/>
          <w:szCs w:val="22"/>
        </w:rPr>
        <w:t>)</w:t>
      </w:r>
      <w:r w:rsidR="006F13A2" w:rsidRPr="00CD729C">
        <w:rPr>
          <w:color w:val="000000"/>
          <w:szCs w:val="22"/>
        </w:rPr>
        <w:t> pacientiem</w:t>
      </w:r>
      <w:r w:rsidR="00667593" w:rsidRPr="00CD729C">
        <w:rPr>
          <w:color w:val="000000"/>
          <w:szCs w:val="22"/>
        </w:rPr>
        <w:t xml:space="preserve"> ar GIST (ar vai bez Kit un PDGFR mutācijām)</w:t>
      </w:r>
      <w:r w:rsidR="006F13A2" w:rsidRPr="00CD729C">
        <w:rPr>
          <w:rFonts w:eastAsia="MS Mincho"/>
          <w:color w:val="000000"/>
          <w:lang w:eastAsia="ja-JP"/>
        </w:rPr>
        <w:t xml:space="preserve">. Šo pacientu vecums bija robežās no </w:t>
      </w:r>
      <w:r w:rsidR="00667593" w:rsidRPr="00CD729C">
        <w:rPr>
          <w:rFonts w:eastAsia="MS Mincho"/>
          <w:color w:val="000000"/>
          <w:lang w:eastAsia="ja-JP"/>
        </w:rPr>
        <w:t>8</w:t>
      </w:r>
      <w:r w:rsidR="006F13A2" w:rsidRPr="00CD729C">
        <w:rPr>
          <w:rFonts w:eastAsia="MS Mincho"/>
          <w:color w:val="000000"/>
          <w:lang w:eastAsia="ja-JP"/>
        </w:rPr>
        <w:t xml:space="preserve"> līdz 1</w:t>
      </w:r>
      <w:r w:rsidR="00667593" w:rsidRPr="00CD729C">
        <w:rPr>
          <w:rFonts w:eastAsia="MS Mincho"/>
          <w:color w:val="000000"/>
          <w:lang w:eastAsia="ja-JP"/>
        </w:rPr>
        <w:t>8</w:t>
      </w:r>
      <w:r w:rsidR="006F13A2" w:rsidRPr="00CD729C">
        <w:rPr>
          <w:rFonts w:eastAsia="MS Mincho"/>
          <w:color w:val="000000"/>
          <w:lang w:eastAsia="ja-JP"/>
        </w:rPr>
        <w:t> gadiem</w:t>
      </w:r>
      <w:r w:rsidR="006A57A7" w:rsidRPr="00CD729C">
        <w:rPr>
          <w:rFonts w:eastAsia="MS Mincho"/>
          <w:color w:val="000000"/>
          <w:lang w:eastAsia="ja-JP"/>
        </w:rPr>
        <w:t>,</w:t>
      </w:r>
      <w:r w:rsidR="006F13A2" w:rsidRPr="00CD729C">
        <w:rPr>
          <w:rFonts w:eastAsia="MS Mincho"/>
          <w:color w:val="000000"/>
          <w:lang w:eastAsia="ja-JP"/>
        </w:rPr>
        <w:t xml:space="preserve"> un </w:t>
      </w:r>
      <w:r w:rsidR="00C241E7" w:rsidRPr="00CD729C">
        <w:rPr>
          <w:rFonts w:eastAsia="MS Mincho"/>
          <w:color w:val="000000"/>
          <w:lang w:eastAsia="ja-JP"/>
        </w:rPr>
        <w:t xml:space="preserve">adjuvantās </w:t>
      </w:r>
      <w:r w:rsidR="006A57A7" w:rsidRPr="00CD729C">
        <w:rPr>
          <w:rFonts w:eastAsia="MS Mincho"/>
          <w:color w:val="000000"/>
          <w:lang w:eastAsia="ja-JP"/>
        </w:rPr>
        <w:t xml:space="preserve">terapijas </w:t>
      </w:r>
      <w:r w:rsidR="00C241E7" w:rsidRPr="00CD729C">
        <w:rPr>
          <w:rFonts w:eastAsia="MS Mincho"/>
          <w:color w:val="000000"/>
          <w:lang w:eastAsia="ja-JP"/>
        </w:rPr>
        <w:t xml:space="preserve">un </w:t>
      </w:r>
      <w:r w:rsidR="006A57A7" w:rsidRPr="00CD729C">
        <w:rPr>
          <w:rFonts w:eastAsia="MS Mincho"/>
          <w:color w:val="000000"/>
          <w:lang w:eastAsia="ja-JP"/>
        </w:rPr>
        <w:t>metastātiskas slimības</w:t>
      </w:r>
      <w:r w:rsidR="00C241E7" w:rsidRPr="00CD729C">
        <w:rPr>
          <w:rFonts w:eastAsia="MS Mincho"/>
          <w:color w:val="000000"/>
          <w:lang w:eastAsia="ja-JP"/>
        </w:rPr>
        <w:t xml:space="preserve"> </w:t>
      </w:r>
      <w:r w:rsidR="00A42DDB" w:rsidRPr="00CD729C">
        <w:rPr>
          <w:rFonts w:eastAsia="MS Mincho"/>
          <w:color w:val="000000"/>
          <w:lang w:eastAsia="ja-JP"/>
        </w:rPr>
        <w:t>terapij</w:t>
      </w:r>
      <w:r w:rsidR="006A57A7" w:rsidRPr="00CD729C">
        <w:rPr>
          <w:rFonts w:eastAsia="MS Mincho"/>
          <w:color w:val="000000"/>
          <w:lang w:eastAsia="ja-JP"/>
        </w:rPr>
        <w:t>ā</w:t>
      </w:r>
      <w:r w:rsidR="00C241E7" w:rsidRPr="00CD729C">
        <w:rPr>
          <w:rFonts w:eastAsia="MS Mincho"/>
          <w:color w:val="000000"/>
          <w:lang w:eastAsia="ja-JP"/>
        </w:rPr>
        <w:t xml:space="preserve"> </w:t>
      </w:r>
      <w:r w:rsidR="006F13A2" w:rsidRPr="00CD729C">
        <w:rPr>
          <w:rFonts w:eastAsia="MS Mincho"/>
          <w:color w:val="000000"/>
          <w:lang w:eastAsia="ja-JP"/>
        </w:rPr>
        <w:t xml:space="preserve">izmantoto imatiniba devu robežas bija no </w:t>
      </w:r>
      <w:r w:rsidR="00C241E7" w:rsidRPr="00CD729C">
        <w:rPr>
          <w:color w:val="000000"/>
          <w:szCs w:val="22"/>
        </w:rPr>
        <w:t>3</w:t>
      </w:r>
      <w:r w:rsidR="006F13A2" w:rsidRPr="00CD729C">
        <w:rPr>
          <w:color w:val="000000"/>
          <w:szCs w:val="22"/>
        </w:rPr>
        <w:t xml:space="preserve">00 līdz </w:t>
      </w:r>
      <w:r w:rsidR="00C241E7" w:rsidRPr="00CD729C">
        <w:rPr>
          <w:color w:val="000000"/>
          <w:szCs w:val="22"/>
        </w:rPr>
        <w:t>8</w:t>
      </w:r>
      <w:r w:rsidR="006F13A2" w:rsidRPr="00CD729C">
        <w:rPr>
          <w:color w:val="000000"/>
          <w:szCs w:val="22"/>
        </w:rPr>
        <w:t xml:space="preserve">00 mg dienā. </w:t>
      </w:r>
      <w:r w:rsidR="00C241E7" w:rsidRPr="00CD729C">
        <w:rPr>
          <w:color w:val="000000"/>
          <w:szCs w:val="22"/>
        </w:rPr>
        <w:t xml:space="preserve">Lielākajai daļai </w:t>
      </w:r>
      <w:r w:rsidR="006A57A7" w:rsidRPr="00CD729C">
        <w:rPr>
          <w:color w:val="000000"/>
          <w:szCs w:val="22"/>
        </w:rPr>
        <w:t xml:space="preserve">pediatrisko </w:t>
      </w:r>
      <w:r w:rsidR="00C241E7" w:rsidRPr="00CD729C">
        <w:rPr>
          <w:color w:val="000000"/>
          <w:szCs w:val="22"/>
        </w:rPr>
        <w:t>pacientu, kuriem ārstē</w:t>
      </w:r>
      <w:r w:rsidR="006A57A7" w:rsidRPr="00CD729C">
        <w:rPr>
          <w:color w:val="000000"/>
          <w:szCs w:val="22"/>
        </w:rPr>
        <w:t>ja</w:t>
      </w:r>
      <w:r w:rsidR="00C241E7" w:rsidRPr="00CD729C">
        <w:rPr>
          <w:color w:val="000000"/>
          <w:szCs w:val="22"/>
        </w:rPr>
        <w:t xml:space="preserve"> GIST, trūka </w:t>
      </w:r>
      <w:r w:rsidR="00A42DDB" w:rsidRPr="00CD729C">
        <w:rPr>
          <w:color w:val="000000"/>
          <w:szCs w:val="22"/>
        </w:rPr>
        <w:t xml:space="preserve">c-kit vai PDGFR mutāciju apstiprinošu </w:t>
      </w:r>
      <w:r w:rsidR="00C241E7" w:rsidRPr="00CD729C">
        <w:rPr>
          <w:color w:val="000000"/>
          <w:szCs w:val="22"/>
        </w:rPr>
        <w:t xml:space="preserve">datu, kas savukārt varēja </w:t>
      </w:r>
      <w:r w:rsidR="006A57A7" w:rsidRPr="00CD729C">
        <w:rPr>
          <w:color w:val="000000"/>
          <w:szCs w:val="22"/>
        </w:rPr>
        <w:t>izraisīt</w:t>
      </w:r>
      <w:r w:rsidR="00C241E7" w:rsidRPr="00CD729C">
        <w:rPr>
          <w:color w:val="000000"/>
          <w:szCs w:val="22"/>
        </w:rPr>
        <w:t xml:space="preserve"> </w:t>
      </w:r>
      <w:r w:rsidR="00A42DDB" w:rsidRPr="00CD729C">
        <w:rPr>
          <w:color w:val="000000"/>
          <w:szCs w:val="22"/>
        </w:rPr>
        <w:t>atšķirības</w:t>
      </w:r>
      <w:r w:rsidR="00C241E7" w:rsidRPr="00CD729C">
        <w:rPr>
          <w:color w:val="000000"/>
          <w:szCs w:val="22"/>
        </w:rPr>
        <w:t xml:space="preserve"> klīnisk</w:t>
      </w:r>
      <w:r w:rsidR="006A57A7" w:rsidRPr="00CD729C">
        <w:rPr>
          <w:color w:val="000000"/>
          <w:szCs w:val="22"/>
        </w:rPr>
        <w:t>ajos</w:t>
      </w:r>
      <w:r w:rsidR="00C241E7" w:rsidRPr="00CD729C">
        <w:rPr>
          <w:color w:val="000000"/>
          <w:szCs w:val="22"/>
        </w:rPr>
        <w:t xml:space="preserve"> rezultāt</w:t>
      </w:r>
      <w:r w:rsidR="00A42DDB" w:rsidRPr="00CD729C">
        <w:rPr>
          <w:color w:val="000000"/>
          <w:szCs w:val="22"/>
        </w:rPr>
        <w:t>o</w:t>
      </w:r>
      <w:r w:rsidR="00C241E7" w:rsidRPr="00CD729C">
        <w:rPr>
          <w:color w:val="000000"/>
          <w:szCs w:val="22"/>
        </w:rPr>
        <w:t>s</w:t>
      </w:r>
      <w:r w:rsidR="006F13A2" w:rsidRPr="00CD729C">
        <w:rPr>
          <w:rFonts w:eastAsia="MS Mincho"/>
          <w:color w:val="000000"/>
          <w:lang w:eastAsia="ja-JP"/>
        </w:rPr>
        <w:t>.</w:t>
      </w:r>
    </w:p>
    <w:p w14:paraId="3D3948AB" w14:textId="77777777" w:rsidR="00EE0671" w:rsidRPr="00CD729C" w:rsidRDefault="00EE0671" w:rsidP="009B4BB6">
      <w:pPr>
        <w:widowControl w:val="0"/>
        <w:spacing w:line="240" w:lineRule="auto"/>
        <w:rPr>
          <w:color w:val="000000"/>
          <w:szCs w:val="22"/>
        </w:rPr>
      </w:pPr>
    </w:p>
    <w:p w14:paraId="3D3948AC" w14:textId="77777777" w:rsidR="006069CB" w:rsidRPr="00CD729C" w:rsidRDefault="006069CB" w:rsidP="009B4BB6">
      <w:pPr>
        <w:pStyle w:val="Nottoc-headings"/>
        <w:widowControl w:val="0"/>
        <w:spacing w:before="0" w:after="0"/>
        <w:rPr>
          <w:rFonts w:ascii="Times New Roman" w:eastAsia="MS Mincho" w:hAnsi="Times New Roman"/>
          <w:b w:val="0"/>
          <w:color w:val="000000"/>
          <w:sz w:val="22"/>
          <w:szCs w:val="22"/>
          <w:u w:val="single"/>
          <w:lang w:val="lv-LV" w:eastAsia="ja-JP"/>
        </w:rPr>
      </w:pPr>
      <w:r w:rsidRPr="00CD729C">
        <w:rPr>
          <w:rFonts w:ascii="Times New Roman" w:eastAsia="MS Mincho" w:hAnsi="Times New Roman"/>
          <w:b w:val="0"/>
          <w:color w:val="000000"/>
          <w:sz w:val="22"/>
          <w:szCs w:val="22"/>
          <w:u w:val="single"/>
          <w:lang w:val="lv-LV" w:eastAsia="ja-JP"/>
        </w:rPr>
        <w:t>DFSP klīniskie pētījumi</w:t>
      </w:r>
    </w:p>
    <w:p w14:paraId="3D3948AD" w14:textId="77777777" w:rsidR="006069CB" w:rsidRPr="00CD729C" w:rsidRDefault="006069CB" w:rsidP="009B4BB6">
      <w:pPr>
        <w:pStyle w:val="Text"/>
        <w:widowControl w:val="0"/>
        <w:spacing w:before="0"/>
        <w:jc w:val="left"/>
        <w:rPr>
          <w:color w:val="000000"/>
          <w:sz w:val="22"/>
          <w:szCs w:val="22"/>
          <w:lang w:val="lv-LV" w:eastAsia="ja-JP"/>
        </w:rPr>
      </w:pPr>
      <w:r w:rsidRPr="00CD729C">
        <w:rPr>
          <w:rFonts w:eastAsia="MS Mincho"/>
          <w:color w:val="000000"/>
          <w:sz w:val="22"/>
          <w:szCs w:val="22"/>
          <w:lang w:val="lv-LV" w:eastAsia="ja-JP"/>
        </w:rPr>
        <w:t>Tika veikts viens atklāts, daudzcentru, II fāzes klīniskais pētījums (pētījums B2225), kurā piedalījās 12 pacienti ar DFSP un kuri tika ārstēti ar Glivec devu 800 mg dienā. DFSP pacientu vecums svārstījās no 23 līdz 75 gadiem; DFSP bija metastazējošs, lokāli recidivējošs pēc sākotnējās rezektīvās ķirurģiskās ārstēšanas un iekļaušanas brīdī pētījumā netika uzskatīts par piemērotu turpmākai rezektīvai ķirurģiskai ārstēšanai. Primārie efektivitātes pierādījumi pacientiem pamatojās uz objektīviem atbildes reakcijas raksturlielumiem. No klīniskajā pētījumā iekļautajiem 12 pacientiem, 9 pacienti sasniedza atbildes reakciju, 1 pacients pilnīgu atbildes reakciju un 8 pacienti daļēju atbildes reakciju. Trīs pacientiem no tiem, kuri sasniedza daļēju atbildes reakciju, sekojoši tika veikta ķirurģiska slimības izārstēšana. Vidējais ārstēšanas laiks pētījumā B2225</w:t>
      </w:r>
      <w:r w:rsidR="005F78CA" w:rsidRPr="00CD729C">
        <w:rPr>
          <w:rFonts w:eastAsia="MS Mincho"/>
          <w:color w:val="000000"/>
          <w:sz w:val="22"/>
          <w:szCs w:val="22"/>
          <w:lang w:val="lv-LV" w:eastAsia="ja-JP"/>
        </w:rPr>
        <w:t> </w:t>
      </w:r>
      <w:r w:rsidRPr="00CD729C">
        <w:rPr>
          <w:rFonts w:eastAsia="MS Mincho"/>
          <w:color w:val="000000"/>
          <w:sz w:val="22"/>
          <w:szCs w:val="22"/>
          <w:lang w:val="lv-LV" w:eastAsia="ja-JP"/>
        </w:rPr>
        <w:t xml:space="preserve">bija 6,2 mēneši, maksimālais ilgums bija 24,3 mēneši. Vēl par 6 DFSP pacientiem, vecumā no 18 mēnešiem līdz 49 gadiem, kas ārstēti ar Glivec, ziņots 5 publicētos gadījumu aprakstos. Pieaugušie pacienti, par kuriem ziņots publicētajā literatūrā, tika ārstēti ar vai nu 400 mg (4 gadījumi) vai 800 mg (1 gadījums) Glivec devu dienā. </w:t>
      </w:r>
      <w:r w:rsidR="00FA0877" w:rsidRPr="00CD729C">
        <w:rPr>
          <w:rFonts w:eastAsia="MS Mincho"/>
          <w:color w:val="000000"/>
          <w:sz w:val="22"/>
          <w:szCs w:val="22"/>
          <w:lang w:val="lv-LV" w:eastAsia="ja-JP"/>
        </w:rPr>
        <w:t>Pieci (</w:t>
      </w:r>
      <w:r w:rsidRPr="00CD729C">
        <w:rPr>
          <w:rFonts w:eastAsia="MS Mincho"/>
          <w:color w:val="000000"/>
          <w:sz w:val="22"/>
          <w:szCs w:val="22"/>
          <w:lang w:val="lv-LV" w:eastAsia="ja-JP"/>
        </w:rPr>
        <w:t>5</w:t>
      </w:r>
      <w:r w:rsidR="00FA0877" w:rsidRPr="00CD729C">
        <w:rPr>
          <w:rFonts w:eastAsia="MS Mincho"/>
          <w:color w:val="000000"/>
          <w:sz w:val="22"/>
          <w:szCs w:val="22"/>
          <w:lang w:val="lv-LV" w:eastAsia="ja-JP"/>
        </w:rPr>
        <w:t>)</w:t>
      </w:r>
      <w:r w:rsidRPr="00CD729C">
        <w:rPr>
          <w:rFonts w:eastAsia="MS Mincho"/>
          <w:color w:val="000000"/>
          <w:sz w:val="22"/>
          <w:szCs w:val="22"/>
          <w:lang w:val="lv-LV" w:eastAsia="ja-JP"/>
        </w:rPr>
        <w:t xml:space="preserve"> pacienti sasniedza atbildes reakciju, 3 pacienti pilnīgu atbildes reakciju un 2 pacienti daļēju atbildes reakciju. Vidējais ārstēšanas laiks publicētajā literatūrā svārstās no 4 nedēļām līdz pat vairāk nekā 20 mēnešiem. Gandrīz visiem Glivec lietotājiem, kuriem novēroja atbildes reakciju, tika novērota translokācija </w:t>
      </w:r>
      <w:r w:rsidRPr="00CD729C">
        <w:rPr>
          <w:color w:val="000000"/>
          <w:sz w:val="22"/>
          <w:szCs w:val="22"/>
          <w:lang w:val="lv-LV" w:eastAsia="ja-JP"/>
        </w:rPr>
        <w:t>t(17:22)[(q22:q13)] vai tā gēna produkts.</w:t>
      </w:r>
    </w:p>
    <w:p w14:paraId="3D3948AE" w14:textId="77777777" w:rsidR="00EE0671" w:rsidRPr="00CD729C" w:rsidRDefault="00EE0671" w:rsidP="009B4BB6">
      <w:pPr>
        <w:widowControl w:val="0"/>
        <w:tabs>
          <w:tab w:val="clear" w:pos="567"/>
        </w:tabs>
        <w:spacing w:line="240" w:lineRule="auto"/>
        <w:rPr>
          <w:color w:val="000000"/>
        </w:rPr>
      </w:pPr>
    </w:p>
    <w:p w14:paraId="3D3948AF" w14:textId="77777777" w:rsidR="006F13A2" w:rsidRPr="00CD729C" w:rsidRDefault="006A57A7" w:rsidP="009B4BB6">
      <w:pPr>
        <w:widowControl w:val="0"/>
        <w:tabs>
          <w:tab w:val="clear" w:pos="567"/>
        </w:tabs>
        <w:spacing w:line="240" w:lineRule="auto"/>
        <w:rPr>
          <w:color w:val="000000"/>
          <w:szCs w:val="22"/>
        </w:rPr>
      </w:pPr>
      <w:r w:rsidRPr="00CD729C">
        <w:rPr>
          <w:color w:val="000000"/>
          <w:szCs w:val="22"/>
        </w:rPr>
        <w:t>K</w:t>
      </w:r>
      <w:r w:rsidR="006F13A2" w:rsidRPr="00CD729C">
        <w:rPr>
          <w:color w:val="000000"/>
          <w:szCs w:val="22"/>
        </w:rPr>
        <w:t xml:space="preserve">ontrolēti klīniskie pētījumi pediatrijas pacientiem ar </w:t>
      </w:r>
      <w:r w:rsidR="007274CE" w:rsidRPr="00CD729C">
        <w:rPr>
          <w:color w:val="000000"/>
          <w:szCs w:val="22"/>
        </w:rPr>
        <w:t>DFSP</w:t>
      </w:r>
      <w:r w:rsidRPr="00CD729C">
        <w:rPr>
          <w:color w:val="000000"/>
          <w:szCs w:val="22"/>
        </w:rPr>
        <w:t xml:space="preserve"> nav veikti</w:t>
      </w:r>
      <w:r w:rsidR="006F13A2" w:rsidRPr="00CD729C">
        <w:rPr>
          <w:color w:val="000000"/>
          <w:szCs w:val="22"/>
        </w:rPr>
        <w:t xml:space="preserve">. 3 publikācijās ziņots par </w:t>
      </w:r>
      <w:r w:rsidR="00B64DC6" w:rsidRPr="00CD729C">
        <w:rPr>
          <w:color w:val="000000"/>
          <w:szCs w:val="22"/>
        </w:rPr>
        <w:t>pieciem (</w:t>
      </w:r>
      <w:r w:rsidR="00CF3EFD" w:rsidRPr="00CD729C">
        <w:rPr>
          <w:color w:val="000000"/>
          <w:szCs w:val="22"/>
        </w:rPr>
        <w:t>5</w:t>
      </w:r>
      <w:r w:rsidR="00B64DC6" w:rsidRPr="00CD729C">
        <w:rPr>
          <w:color w:val="000000"/>
          <w:szCs w:val="22"/>
        </w:rPr>
        <w:t>)</w:t>
      </w:r>
      <w:r w:rsidR="006F13A2" w:rsidRPr="00CD729C">
        <w:rPr>
          <w:color w:val="000000"/>
          <w:szCs w:val="22"/>
        </w:rPr>
        <w:t> pacientiem</w:t>
      </w:r>
      <w:r w:rsidR="006F13A2" w:rsidRPr="00CD729C">
        <w:rPr>
          <w:rFonts w:eastAsia="MS Mincho"/>
          <w:color w:val="000000"/>
          <w:lang w:eastAsia="ja-JP"/>
        </w:rPr>
        <w:t xml:space="preserve"> ar </w:t>
      </w:r>
      <w:r w:rsidR="007274CE" w:rsidRPr="00CD729C">
        <w:rPr>
          <w:color w:val="000000"/>
          <w:szCs w:val="22"/>
        </w:rPr>
        <w:t>DFSP</w:t>
      </w:r>
      <w:r w:rsidR="006F13A2" w:rsidRPr="00CD729C">
        <w:rPr>
          <w:color w:val="000000"/>
          <w:szCs w:val="22"/>
        </w:rPr>
        <w:t xml:space="preserve"> </w:t>
      </w:r>
      <w:r w:rsidR="007274CE" w:rsidRPr="00CD729C">
        <w:rPr>
          <w:color w:val="000000"/>
          <w:szCs w:val="22"/>
        </w:rPr>
        <w:t>un</w:t>
      </w:r>
      <w:r w:rsidR="006F13A2" w:rsidRPr="00CD729C">
        <w:rPr>
          <w:color w:val="000000"/>
          <w:szCs w:val="22"/>
        </w:rPr>
        <w:t xml:space="preserve"> </w:t>
      </w:r>
      <w:r w:rsidR="006F13A2" w:rsidRPr="00CD729C">
        <w:rPr>
          <w:rFonts w:eastAsia="MS Mincho"/>
          <w:color w:val="000000"/>
          <w:lang w:eastAsia="ja-JP"/>
        </w:rPr>
        <w:t>PDGFR gēnu pārkārtošan</w:t>
      </w:r>
      <w:r w:rsidR="007274CE" w:rsidRPr="00CD729C">
        <w:rPr>
          <w:rFonts w:eastAsia="MS Mincho"/>
          <w:color w:val="000000"/>
          <w:lang w:eastAsia="ja-JP"/>
        </w:rPr>
        <w:t>o</w:t>
      </w:r>
      <w:r w:rsidR="006F13A2" w:rsidRPr="00CD729C">
        <w:rPr>
          <w:rFonts w:eastAsia="MS Mincho"/>
          <w:color w:val="000000"/>
          <w:lang w:eastAsia="ja-JP"/>
        </w:rPr>
        <w:t xml:space="preserve">s. Šo pacientu vecums bija robežās no </w:t>
      </w:r>
      <w:r w:rsidR="007274CE" w:rsidRPr="00CD729C">
        <w:rPr>
          <w:rFonts w:eastAsia="MS Mincho"/>
          <w:color w:val="000000"/>
          <w:lang w:eastAsia="ja-JP"/>
        </w:rPr>
        <w:t>jaundzimuš</w:t>
      </w:r>
      <w:r w:rsidR="00CF3EFD" w:rsidRPr="00CD729C">
        <w:rPr>
          <w:rFonts w:eastAsia="MS Mincho"/>
          <w:color w:val="000000"/>
          <w:lang w:eastAsia="ja-JP"/>
        </w:rPr>
        <w:t>ā</w:t>
      </w:r>
      <w:r w:rsidR="006F13A2" w:rsidRPr="00CD729C">
        <w:rPr>
          <w:rFonts w:eastAsia="MS Mincho"/>
          <w:color w:val="000000"/>
          <w:lang w:eastAsia="ja-JP"/>
        </w:rPr>
        <w:t xml:space="preserve"> līdz 1</w:t>
      </w:r>
      <w:r w:rsidR="007274CE" w:rsidRPr="00CD729C">
        <w:rPr>
          <w:rFonts w:eastAsia="MS Mincho"/>
          <w:color w:val="000000"/>
          <w:lang w:eastAsia="ja-JP"/>
        </w:rPr>
        <w:t>4</w:t>
      </w:r>
      <w:r w:rsidR="006F13A2" w:rsidRPr="00CD729C">
        <w:rPr>
          <w:rFonts w:eastAsia="MS Mincho"/>
          <w:color w:val="000000"/>
          <w:lang w:eastAsia="ja-JP"/>
        </w:rPr>
        <w:t> gadiem</w:t>
      </w:r>
      <w:r w:rsidRPr="00CD729C">
        <w:rPr>
          <w:rFonts w:eastAsia="MS Mincho"/>
          <w:color w:val="000000"/>
          <w:lang w:eastAsia="ja-JP"/>
        </w:rPr>
        <w:t>,</w:t>
      </w:r>
      <w:r w:rsidR="006F13A2" w:rsidRPr="00CD729C">
        <w:rPr>
          <w:rFonts w:eastAsia="MS Mincho"/>
          <w:color w:val="000000"/>
          <w:lang w:eastAsia="ja-JP"/>
        </w:rPr>
        <w:t xml:space="preserve"> un izmantot</w:t>
      </w:r>
      <w:r w:rsidR="00B64DC6" w:rsidRPr="00CD729C">
        <w:rPr>
          <w:rFonts w:eastAsia="MS Mincho"/>
          <w:color w:val="000000"/>
          <w:lang w:eastAsia="ja-JP"/>
        </w:rPr>
        <w:t>ā</w:t>
      </w:r>
      <w:r w:rsidR="006F13A2" w:rsidRPr="00CD729C">
        <w:rPr>
          <w:rFonts w:eastAsia="MS Mincho"/>
          <w:color w:val="000000"/>
          <w:lang w:eastAsia="ja-JP"/>
        </w:rPr>
        <w:t xml:space="preserve"> imatiniba dev</w:t>
      </w:r>
      <w:r w:rsidR="00B64DC6" w:rsidRPr="00CD729C">
        <w:rPr>
          <w:rFonts w:eastAsia="MS Mincho"/>
          <w:color w:val="000000"/>
          <w:lang w:eastAsia="ja-JP"/>
        </w:rPr>
        <w:t>a bija</w:t>
      </w:r>
      <w:r w:rsidR="006F13A2" w:rsidRPr="00CD729C">
        <w:rPr>
          <w:rFonts w:eastAsia="MS Mincho"/>
          <w:color w:val="000000"/>
          <w:lang w:eastAsia="ja-JP"/>
        </w:rPr>
        <w:t xml:space="preserve"> </w:t>
      </w:r>
      <w:r w:rsidR="00B64DC6" w:rsidRPr="00CD729C">
        <w:rPr>
          <w:color w:val="000000"/>
          <w:szCs w:val="22"/>
        </w:rPr>
        <w:t xml:space="preserve">50 mg dienā </w:t>
      </w:r>
      <w:r w:rsidR="00254B49" w:rsidRPr="00CD729C">
        <w:rPr>
          <w:color w:val="000000"/>
          <w:szCs w:val="22"/>
        </w:rPr>
        <w:t>vai</w:t>
      </w:r>
      <w:r w:rsidR="00B64DC6" w:rsidRPr="00CD729C">
        <w:rPr>
          <w:color w:val="000000"/>
          <w:szCs w:val="22"/>
        </w:rPr>
        <w:t xml:space="preserve"> </w:t>
      </w:r>
      <w:r w:rsidR="006F13A2" w:rsidRPr="00CD729C">
        <w:rPr>
          <w:rFonts w:eastAsia="MS Mincho"/>
          <w:color w:val="000000"/>
          <w:lang w:eastAsia="ja-JP"/>
        </w:rPr>
        <w:t>robež</w:t>
      </w:r>
      <w:r w:rsidR="00B64DC6" w:rsidRPr="00CD729C">
        <w:rPr>
          <w:rFonts w:eastAsia="MS Mincho"/>
          <w:color w:val="000000"/>
          <w:lang w:eastAsia="ja-JP"/>
        </w:rPr>
        <w:t>ā</w:t>
      </w:r>
      <w:r w:rsidR="006F13A2" w:rsidRPr="00CD729C">
        <w:rPr>
          <w:rFonts w:eastAsia="MS Mincho"/>
          <w:color w:val="000000"/>
          <w:lang w:eastAsia="ja-JP"/>
        </w:rPr>
        <w:t xml:space="preserve">s no </w:t>
      </w:r>
      <w:r w:rsidR="007274CE" w:rsidRPr="00CD729C">
        <w:rPr>
          <w:color w:val="000000"/>
          <w:szCs w:val="22"/>
        </w:rPr>
        <w:t>400</w:t>
      </w:r>
      <w:r w:rsidR="006F13A2" w:rsidRPr="00CD729C">
        <w:rPr>
          <w:color w:val="000000"/>
          <w:szCs w:val="22"/>
        </w:rPr>
        <w:t xml:space="preserve"> līdz </w:t>
      </w:r>
      <w:r w:rsidR="007274CE" w:rsidRPr="00CD729C">
        <w:rPr>
          <w:color w:val="000000"/>
          <w:szCs w:val="22"/>
        </w:rPr>
        <w:t>52</w:t>
      </w:r>
      <w:r w:rsidR="006F13A2" w:rsidRPr="00CD729C">
        <w:rPr>
          <w:color w:val="000000"/>
          <w:szCs w:val="22"/>
        </w:rPr>
        <w:t>0 mg</w:t>
      </w:r>
      <w:r w:rsidR="007274CE" w:rsidRPr="00CD729C">
        <w:rPr>
          <w:color w:val="000000"/>
          <w:szCs w:val="22"/>
        </w:rPr>
        <w:t>/m</w:t>
      </w:r>
      <w:r w:rsidR="007274CE" w:rsidRPr="00CD729C">
        <w:rPr>
          <w:color w:val="000000"/>
          <w:szCs w:val="22"/>
          <w:vertAlign w:val="superscript"/>
        </w:rPr>
        <w:t>2</w:t>
      </w:r>
      <w:r w:rsidR="006F13A2" w:rsidRPr="00CD729C">
        <w:rPr>
          <w:color w:val="000000"/>
          <w:szCs w:val="22"/>
        </w:rPr>
        <w:t xml:space="preserve"> dienā. Visi pacienti sasniedza </w:t>
      </w:r>
      <w:r w:rsidR="007274CE" w:rsidRPr="00CD729C">
        <w:rPr>
          <w:color w:val="000000"/>
          <w:szCs w:val="22"/>
        </w:rPr>
        <w:t xml:space="preserve">daļēju un/vai </w:t>
      </w:r>
      <w:r w:rsidR="006F13A2" w:rsidRPr="00CD729C">
        <w:rPr>
          <w:rFonts w:eastAsia="MS Mincho"/>
          <w:color w:val="000000"/>
          <w:lang w:eastAsia="ja-JP"/>
        </w:rPr>
        <w:t>pilnīgu atbildes reakciju.</w:t>
      </w:r>
    </w:p>
    <w:p w14:paraId="3D3948B0" w14:textId="77777777" w:rsidR="00EE0671" w:rsidRPr="00CD729C" w:rsidRDefault="00EE0671" w:rsidP="009B4BB6">
      <w:pPr>
        <w:widowControl w:val="0"/>
        <w:tabs>
          <w:tab w:val="clear" w:pos="567"/>
        </w:tabs>
        <w:spacing w:line="240" w:lineRule="auto"/>
        <w:rPr>
          <w:color w:val="000000"/>
        </w:rPr>
      </w:pPr>
    </w:p>
    <w:p w14:paraId="3D3948B1"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lastRenderedPageBreak/>
        <w:t>5.2</w:t>
      </w:r>
      <w:r w:rsidR="00FD1CF2" w:rsidRPr="00CD729C">
        <w:rPr>
          <w:b/>
          <w:color w:val="000000"/>
          <w:szCs w:val="22"/>
        </w:rPr>
        <w:t>.</w:t>
      </w:r>
      <w:r w:rsidRPr="00CD729C">
        <w:rPr>
          <w:b/>
          <w:color w:val="000000"/>
          <w:szCs w:val="22"/>
        </w:rPr>
        <w:tab/>
        <w:t>Farmakokinētiskās īpašības</w:t>
      </w:r>
    </w:p>
    <w:p w14:paraId="3D3948B2" w14:textId="77777777" w:rsidR="005117C7" w:rsidRPr="00CD729C" w:rsidRDefault="005117C7" w:rsidP="009B4BB6">
      <w:pPr>
        <w:keepNext/>
        <w:widowControl w:val="0"/>
        <w:spacing w:line="240" w:lineRule="auto"/>
        <w:ind w:left="567" w:hanging="567"/>
        <w:rPr>
          <w:color w:val="000000"/>
          <w:szCs w:val="22"/>
        </w:rPr>
      </w:pPr>
    </w:p>
    <w:p w14:paraId="3D3948B3" w14:textId="77777777" w:rsidR="005117C7" w:rsidRPr="00CD729C" w:rsidRDefault="005117C7" w:rsidP="009B4BB6">
      <w:pPr>
        <w:keepNext/>
        <w:widowControl w:val="0"/>
        <w:spacing w:line="240" w:lineRule="auto"/>
        <w:ind w:left="567" w:hanging="567"/>
        <w:rPr>
          <w:color w:val="000000"/>
          <w:szCs w:val="22"/>
          <w:u w:val="single"/>
        </w:rPr>
      </w:pPr>
      <w:r w:rsidRPr="00CD729C">
        <w:rPr>
          <w:color w:val="000000"/>
          <w:szCs w:val="22"/>
          <w:u w:val="single"/>
        </w:rPr>
        <w:t>Glivec farmakokinētika</w:t>
      </w:r>
    </w:p>
    <w:p w14:paraId="3D3948B4" w14:textId="77777777" w:rsidR="005117C7" w:rsidRPr="00CD729C" w:rsidRDefault="005117C7" w:rsidP="009B4BB6">
      <w:pPr>
        <w:widowControl w:val="0"/>
        <w:spacing w:line="240" w:lineRule="auto"/>
        <w:rPr>
          <w:color w:val="000000"/>
          <w:szCs w:val="22"/>
        </w:rPr>
      </w:pPr>
      <w:r w:rsidRPr="00CD729C">
        <w:rPr>
          <w:color w:val="000000"/>
          <w:szCs w:val="22"/>
        </w:rPr>
        <w:t>Glivec farmakokinētika ir vērtēta devu robežās no 25 mg līdz 100 mg. Preparāta farmakokinētiskais profils plazmā ir analizēts pirmajā dienā un vai nu 7, vai 28 dienā, kad preparāta koncentrācija plazmā ir sasniegusi stabilu lielumu.</w:t>
      </w:r>
    </w:p>
    <w:p w14:paraId="3D3948B5" w14:textId="77777777" w:rsidR="005117C7" w:rsidRPr="00CD729C" w:rsidRDefault="005117C7" w:rsidP="009B4BB6">
      <w:pPr>
        <w:widowControl w:val="0"/>
        <w:spacing w:line="240" w:lineRule="auto"/>
        <w:rPr>
          <w:color w:val="000000"/>
          <w:szCs w:val="22"/>
        </w:rPr>
      </w:pPr>
    </w:p>
    <w:p w14:paraId="3D3948B6" w14:textId="77777777" w:rsidR="005117C7" w:rsidRPr="00CD729C" w:rsidRDefault="00BF3DA7" w:rsidP="009B4BB6">
      <w:pPr>
        <w:keepNext/>
        <w:widowControl w:val="0"/>
        <w:spacing w:line="240" w:lineRule="auto"/>
        <w:ind w:left="567" w:hanging="567"/>
        <w:rPr>
          <w:color w:val="000000"/>
          <w:szCs w:val="22"/>
          <w:u w:val="single"/>
        </w:rPr>
      </w:pPr>
      <w:r w:rsidRPr="00CD729C">
        <w:rPr>
          <w:color w:val="000000"/>
          <w:szCs w:val="22"/>
          <w:u w:val="single"/>
        </w:rPr>
        <w:t>Uzsūkšanās</w:t>
      </w:r>
    </w:p>
    <w:p w14:paraId="3D3948B7" w14:textId="77777777" w:rsidR="005117C7" w:rsidRPr="00CD729C" w:rsidRDefault="005117C7" w:rsidP="009B4BB6">
      <w:pPr>
        <w:widowControl w:val="0"/>
        <w:spacing w:line="240" w:lineRule="auto"/>
        <w:rPr>
          <w:color w:val="000000"/>
          <w:szCs w:val="22"/>
        </w:rPr>
      </w:pPr>
      <w:r w:rsidRPr="00CD729C">
        <w:rPr>
          <w:color w:val="000000"/>
          <w:szCs w:val="22"/>
        </w:rPr>
        <w:t>Vidējā absolūtā biopieejamība no zāļu formas kapsulās ir 98%. Imatiniba</w:t>
      </w:r>
      <w:r w:rsidRPr="00CD729C">
        <w:rPr>
          <w:i/>
          <w:color w:val="000000"/>
          <w:szCs w:val="22"/>
        </w:rPr>
        <w:t xml:space="preserve"> </w:t>
      </w:r>
      <w:r w:rsidRPr="00CD729C">
        <w:rPr>
          <w:color w:val="000000"/>
          <w:szCs w:val="22"/>
        </w:rPr>
        <w:t xml:space="preserve">plazmas </w:t>
      </w:r>
      <w:r w:rsidRPr="00CD729C">
        <w:rPr>
          <w:i/>
          <w:color w:val="000000"/>
          <w:szCs w:val="22"/>
        </w:rPr>
        <w:t>AUC</w:t>
      </w:r>
      <w:r w:rsidRPr="00CD729C">
        <w:rPr>
          <w:color w:val="000000"/>
          <w:szCs w:val="22"/>
        </w:rPr>
        <w:t xml:space="preserve"> izmaiņu koeficients starp dažādiem pacientiem ir robežās no 40–60% pēc devas perorālas ievadīšanas. To lietojot kopā ar maltīti, kas satur daudz tauku, imatiniba</w:t>
      </w:r>
      <w:r w:rsidRPr="00CD729C">
        <w:rPr>
          <w:i/>
          <w:color w:val="000000"/>
          <w:szCs w:val="22"/>
        </w:rPr>
        <w:t xml:space="preserve"> </w:t>
      </w:r>
      <w:r w:rsidRPr="00CD729C">
        <w:rPr>
          <w:color w:val="000000"/>
          <w:szCs w:val="22"/>
        </w:rPr>
        <w:t>absorbcijas ātrums samazinājās nedaudz (C</w:t>
      </w:r>
      <w:r w:rsidRPr="00CD729C">
        <w:rPr>
          <w:color w:val="000000"/>
          <w:szCs w:val="22"/>
          <w:vertAlign w:val="subscript"/>
        </w:rPr>
        <w:t>max</w:t>
      </w:r>
      <w:r w:rsidRPr="00CD729C">
        <w:rPr>
          <w:color w:val="000000"/>
          <w:szCs w:val="22"/>
        </w:rPr>
        <w:t xml:space="preserve"> samazinājās par 11% un t</w:t>
      </w:r>
      <w:r w:rsidRPr="00CD729C">
        <w:rPr>
          <w:color w:val="000000"/>
          <w:szCs w:val="22"/>
          <w:vertAlign w:val="subscript"/>
        </w:rPr>
        <w:t>max</w:t>
      </w:r>
      <w:r w:rsidRPr="00CD729C">
        <w:rPr>
          <w:color w:val="000000"/>
          <w:szCs w:val="22"/>
        </w:rPr>
        <w:t xml:space="preserve"> pagarinājās par 1,5 st.), ar nelielu </w:t>
      </w:r>
      <w:r w:rsidRPr="00CD729C">
        <w:rPr>
          <w:i/>
          <w:color w:val="000000"/>
          <w:szCs w:val="22"/>
        </w:rPr>
        <w:t>AUC</w:t>
      </w:r>
      <w:r w:rsidRPr="00CD729C">
        <w:rPr>
          <w:color w:val="000000"/>
          <w:szCs w:val="22"/>
        </w:rPr>
        <w:t xml:space="preserve"> samazināšanos (7,4%), salīdzinot ar preparāta lietošanu tukšā dūšā. Iepriekšējas gastrointestinālas operācijas ietekme uz preparāta absorbciju nav pētīta.</w:t>
      </w:r>
    </w:p>
    <w:p w14:paraId="3D3948B8" w14:textId="77777777" w:rsidR="005117C7" w:rsidRPr="00CD729C" w:rsidRDefault="005117C7" w:rsidP="009B4BB6">
      <w:pPr>
        <w:widowControl w:val="0"/>
        <w:spacing w:line="240" w:lineRule="auto"/>
        <w:rPr>
          <w:color w:val="000000"/>
          <w:szCs w:val="22"/>
        </w:rPr>
      </w:pPr>
    </w:p>
    <w:p w14:paraId="3D3948B9" w14:textId="77777777" w:rsidR="005117C7" w:rsidRPr="00CD729C" w:rsidRDefault="00484376" w:rsidP="009B4BB6">
      <w:pPr>
        <w:keepNext/>
        <w:widowControl w:val="0"/>
        <w:spacing w:line="240" w:lineRule="auto"/>
        <w:ind w:left="567" w:hanging="567"/>
        <w:rPr>
          <w:color w:val="000000"/>
          <w:szCs w:val="22"/>
          <w:u w:val="single"/>
        </w:rPr>
      </w:pPr>
      <w:r w:rsidRPr="00CD729C">
        <w:rPr>
          <w:szCs w:val="22"/>
          <w:u w:val="single"/>
        </w:rPr>
        <w:t>Izkliede</w:t>
      </w:r>
    </w:p>
    <w:p w14:paraId="3D3948BA" w14:textId="77777777" w:rsidR="005117C7" w:rsidRPr="00CD729C" w:rsidRDefault="005117C7" w:rsidP="009B4BB6">
      <w:pPr>
        <w:widowControl w:val="0"/>
        <w:spacing w:line="240" w:lineRule="auto"/>
        <w:rPr>
          <w:color w:val="000000"/>
          <w:szCs w:val="22"/>
        </w:rPr>
      </w:pPr>
      <w:r w:rsidRPr="00CD729C">
        <w:rPr>
          <w:color w:val="000000"/>
          <w:szCs w:val="22"/>
        </w:rPr>
        <w:t xml:space="preserve">Pamatojoties uz eksperimentiem </w:t>
      </w:r>
      <w:r w:rsidRPr="00CD729C">
        <w:rPr>
          <w:i/>
          <w:color w:val="000000"/>
          <w:szCs w:val="22"/>
        </w:rPr>
        <w:t>in vitro</w:t>
      </w:r>
      <w:r w:rsidRPr="00CD729C">
        <w:rPr>
          <w:color w:val="000000"/>
          <w:szCs w:val="22"/>
        </w:rPr>
        <w:t>, klīniski nozīmīgas imatiniba</w:t>
      </w:r>
      <w:r w:rsidRPr="00CD729C">
        <w:rPr>
          <w:i/>
          <w:color w:val="000000"/>
          <w:szCs w:val="22"/>
        </w:rPr>
        <w:t xml:space="preserve"> </w:t>
      </w:r>
      <w:r w:rsidRPr="00CD729C">
        <w:rPr>
          <w:color w:val="000000"/>
          <w:szCs w:val="22"/>
        </w:rPr>
        <w:t>koncentrācijas, kas saistās ar plazmas proteīniem, galvenokārt ar albumīniem un alfa-skābajiem glikoproteīniem, bija aptuveni 95%, nelielā mērā novērota saistība ar lipoproteīniem.</w:t>
      </w:r>
    </w:p>
    <w:p w14:paraId="3D3948BB" w14:textId="77777777" w:rsidR="005117C7" w:rsidRPr="00CD729C" w:rsidRDefault="005117C7" w:rsidP="009B4BB6">
      <w:pPr>
        <w:widowControl w:val="0"/>
        <w:spacing w:line="240" w:lineRule="auto"/>
        <w:rPr>
          <w:color w:val="000000"/>
          <w:szCs w:val="22"/>
        </w:rPr>
      </w:pPr>
    </w:p>
    <w:p w14:paraId="3D3948BC" w14:textId="77777777" w:rsidR="005117C7" w:rsidRPr="00CD729C" w:rsidRDefault="00BF3DA7" w:rsidP="009B4BB6">
      <w:pPr>
        <w:keepNext/>
        <w:widowControl w:val="0"/>
        <w:spacing w:line="240" w:lineRule="auto"/>
        <w:rPr>
          <w:color w:val="000000"/>
          <w:szCs w:val="22"/>
          <w:u w:val="single"/>
        </w:rPr>
      </w:pPr>
      <w:r w:rsidRPr="00CD729C">
        <w:rPr>
          <w:color w:val="000000"/>
          <w:szCs w:val="22"/>
          <w:u w:val="single"/>
        </w:rPr>
        <w:t>Biotransformācija</w:t>
      </w:r>
    </w:p>
    <w:p w14:paraId="3D3948BD" w14:textId="77777777" w:rsidR="005117C7" w:rsidRPr="00CD729C" w:rsidRDefault="005117C7" w:rsidP="009B4BB6">
      <w:pPr>
        <w:widowControl w:val="0"/>
        <w:spacing w:line="240" w:lineRule="auto"/>
        <w:rPr>
          <w:color w:val="000000"/>
          <w:szCs w:val="22"/>
        </w:rPr>
      </w:pPr>
      <w:r w:rsidRPr="00CD729C">
        <w:rPr>
          <w:color w:val="000000"/>
          <w:szCs w:val="22"/>
        </w:rPr>
        <w:t xml:space="preserve">Galvenais cilvēka organismā cirkulējošais vielmaiņas produkts ir N-demetilēts piperazīna atvasinājums, kura aktivitāte </w:t>
      </w:r>
      <w:r w:rsidRPr="00CD729C">
        <w:rPr>
          <w:i/>
          <w:color w:val="000000"/>
          <w:szCs w:val="22"/>
        </w:rPr>
        <w:t xml:space="preserve">in vitro </w:t>
      </w:r>
      <w:r w:rsidRPr="00CD729C">
        <w:rPr>
          <w:color w:val="000000"/>
          <w:szCs w:val="22"/>
        </w:rPr>
        <w:t xml:space="preserve">ir līdzīga cilmjvielas aktivitātei. Šī vielmaiņas produkta AUC plazmā ir tikai 16% no imatiniba AUC lieluma. N-demetilētā metabolīta saistīšanās ar </w:t>
      </w:r>
      <w:r w:rsidR="00DD2211" w:rsidRPr="00CD729C">
        <w:rPr>
          <w:color w:val="000000"/>
          <w:szCs w:val="22"/>
        </w:rPr>
        <w:t>plazmas</w:t>
      </w:r>
      <w:r w:rsidRPr="00CD729C">
        <w:rPr>
          <w:color w:val="000000"/>
          <w:szCs w:val="22"/>
        </w:rPr>
        <w:t xml:space="preserve"> olbaltumiem ir līdzīga kā pamatsavienojumam.</w:t>
      </w:r>
    </w:p>
    <w:p w14:paraId="3D3948BE" w14:textId="77777777" w:rsidR="005117C7" w:rsidRPr="00CD729C" w:rsidRDefault="005117C7" w:rsidP="009B4BB6">
      <w:pPr>
        <w:widowControl w:val="0"/>
        <w:spacing w:line="240" w:lineRule="auto"/>
        <w:rPr>
          <w:color w:val="000000"/>
          <w:szCs w:val="22"/>
        </w:rPr>
      </w:pPr>
    </w:p>
    <w:p w14:paraId="3D3948BF" w14:textId="77777777" w:rsidR="005117C7" w:rsidRPr="00CD729C" w:rsidRDefault="005117C7" w:rsidP="009B4BB6">
      <w:pPr>
        <w:widowControl w:val="0"/>
        <w:spacing w:line="240" w:lineRule="auto"/>
        <w:rPr>
          <w:color w:val="000000"/>
          <w:szCs w:val="22"/>
        </w:rPr>
      </w:pPr>
      <w:r w:rsidRPr="00CD729C">
        <w:rPr>
          <w:color w:val="000000"/>
          <w:szCs w:val="22"/>
        </w:rPr>
        <w:t>Imatiniba un tā N-demetilētais vielmaiņas produkts kopā nodrošina aptuveni 65% cirkulējošo radioaktīvo savienojumu (AUC</w:t>
      </w:r>
      <w:r w:rsidRPr="00CD729C">
        <w:rPr>
          <w:color w:val="000000"/>
          <w:szCs w:val="22"/>
          <w:vertAlign w:val="subscript"/>
        </w:rPr>
        <w:t>(0–48st)</w:t>
      </w:r>
      <w:r w:rsidRPr="00CD729C">
        <w:rPr>
          <w:color w:val="000000"/>
          <w:szCs w:val="22"/>
        </w:rPr>
        <w:t>). Atlikušo cirkulējošo radioaktīvo savienojumu daudzumu nodrošina daudzi mazākā daudzumā konstatējami metabolīti.</w:t>
      </w:r>
    </w:p>
    <w:p w14:paraId="3D3948C0" w14:textId="77777777" w:rsidR="005117C7" w:rsidRPr="00CD729C" w:rsidRDefault="005117C7" w:rsidP="009B4BB6">
      <w:pPr>
        <w:widowControl w:val="0"/>
        <w:spacing w:line="240" w:lineRule="auto"/>
        <w:rPr>
          <w:color w:val="000000"/>
          <w:szCs w:val="22"/>
        </w:rPr>
      </w:pPr>
    </w:p>
    <w:p w14:paraId="3D3948C1" w14:textId="77777777" w:rsidR="005117C7" w:rsidRPr="00CD729C" w:rsidRDefault="005117C7" w:rsidP="009B4BB6">
      <w:pPr>
        <w:widowControl w:val="0"/>
        <w:spacing w:line="240" w:lineRule="auto"/>
        <w:rPr>
          <w:color w:val="000000"/>
          <w:szCs w:val="22"/>
        </w:rPr>
      </w:pPr>
      <w:r w:rsidRPr="00CD729C">
        <w:rPr>
          <w:i/>
          <w:color w:val="000000"/>
          <w:szCs w:val="22"/>
        </w:rPr>
        <w:t xml:space="preserve">In vitro </w:t>
      </w:r>
      <w:r w:rsidRPr="00CD729C">
        <w:rPr>
          <w:color w:val="000000"/>
          <w:szCs w:val="22"/>
        </w:rPr>
        <w:t>pētījumu rezultāti pierāda, ka CYP3A4 ir galvenais P450</w:t>
      </w:r>
      <w:r w:rsidR="005F78CA" w:rsidRPr="00CD729C">
        <w:rPr>
          <w:color w:val="000000"/>
          <w:szCs w:val="22"/>
        </w:rPr>
        <w:t> </w:t>
      </w:r>
      <w:r w:rsidRPr="00CD729C">
        <w:rPr>
          <w:color w:val="000000"/>
          <w:szCs w:val="22"/>
        </w:rPr>
        <w:t>ferments, kas cilvēka organismā katalizē imatiniba biotransformāciju. No daudzām zālēm (acetaminofēns, aciklovīrs, allopurinols, amfotericīns, citarabīns, eritromicīns, flukonazols, hidroksiurīnviela, norfloksacīns, penicilīns V), kas varētu tikt lietotas vienlaicīgi (ar imatinibu), tikai eritromicīns (IC</w:t>
      </w:r>
      <w:r w:rsidRPr="00CD729C">
        <w:rPr>
          <w:color w:val="000000"/>
          <w:szCs w:val="22"/>
          <w:vertAlign w:val="subscript"/>
        </w:rPr>
        <w:t>50</w:t>
      </w:r>
      <w:r w:rsidRPr="00CD729C">
        <w:rPr>
          <w:color w:val="000000"/>
          <w:szCs w:val="22"/>
        </w:rPr>
        <w:t xml:space="preserve"> 50 </w:t>
      </w:r>
      <w:r w:rsidRPr="00CD729C">
        <w:rPr>
          <w:color w:val="000000"/>
          <w:szCs w:val="22"/>
        </w:rPr>
        <w:sym w:font="Symbol" w:char="F06D"/>
      </w:r>
      <w:r w:rsidRPr="00CD729C">
        <w:rPr>
          <w:color w:val="000000"/>
          <w:szCs w:val="22"/>
        </w:rPr>
        <w:t>M) un flukonazols (IC</w:t>
      </w:r>
      <w:r w:rsidRPr="00CD729C">
        <w:rPr>
          <w:color w:val="000000"/>
          <w:szCs w:val="22"/>
          <w:vertAlign w:val="subscript"/>
        </w:rPr>
        <w:t>50</w:t>
      </w:r>
      <w:r w:rsidRPr="00CD729C">
        <w:rPr>
          <w:color w:val="000000"/>
          <w:szCs w:val="22"/>
        </w:rPr>
        <w:t xml:space="preserve"> 118 </w:t>
      </w:r>
      <w:r w:rsidRPr="00CD729C">
        <w:rPr>
          <w:color w:val="000000"/>
          <w:szCs w:val="22"/>
        </w:rPr>
        <w:sym w:font="Symbol" w:char="F06D"/>
      </w:r>
      <w:r w:rsidRPr="00CD729C">
        <w:rPr>
          <w:color w:val="000000"/>
          <w:szCs w:val="22"/>
        </w:rPr>
        <w:t>M) uzrāda spēju inhibēt imatiniba vielmaiņas procesus tā, ka tam ir klīniska nozīme.</w:t>
      </w:r>
    </w:p>
    <w:p w14:paraId="3D3948C2" w14:textId="77777777" w:rsidR="005117C7" w:rsidRPr="00CD729C" w:rsidRDefault="005117C7" w:rsidP="009B4BB6">
      <w:pPr>
        <w:widowControl w:val="0"/>
        <w:spacing w:line="240" w:lineRule="auto"/>
        <w:rPr>
          <w:color w:val="000000"/>
          <w:szCs w:val="22"/>
        </w:rPr>
      </w:pPr>
    </w:p>
    <w:p w14:paraId="3D3948C3" w14:textId="77777777" w:rsidR="005117C7" w:rsidRPr="00CD729C" w:rsidRDefault="005117C7" w:rsidP="009B4BB6">
      <w:pPr>
        <w:widowControl w:val="0"/>
        <w:spacing w:line="240" w:lineRule="auto"/>
        <w:rPr>
          <w:color w:val="000000"/>
          <w:szCs w:val="22"/>
        </w:rPr>
      </w:pPr>
      <w:r w:rsidRPr="00CD729C">
        <w:rPr>
          <w:color w:val="000000"/>
          <w:szCs w:val="22"/>
        </w:rPr>
        <w:t xml:space="preserve">Ir pierādīts, ka </w:t>
      </w:r>
      <w:r w:rsidRPr="00CD729C">
        <w:rPr>
          <w:i/>
          <w:color w:val="000000"/>
          <w:szCs w:val="22"/>
        </w:rPr>
        <w:t xml:space="preserve">in vitro </w:t>
      </w:r>
      <w:r w:rsidRPr="00CD729C">
        <w:rPr>
          <w:color w:val="000000"/>
          <w:szCs w:val="22"/>
        </w:rPr>
        <w:t>imatinibs ir konkurējošs CYP2C9, CYP2D6 un CYP3A4/5</w:t>
      </w:r>
      <w:r w:rsidR="005F78CA" w:rsidRPr="00CD729C">
        <w:rPr>
          <w:color w:val="000000"/>
          <w:szCs w:val="22"/>
        </w:rPr>
        <w:t> </w:t>
      </w:r>
      <w:r w:rsidRPr="00CD729C">
        <w:rPr>
          <w:color w:val="000000"/>
          <w:szCs w:val="22"/>
        </w:rPr>
        <w:t>substrātu – marķieru inhibitors. Cilvēka aknu mikrosomās attiecīgās K</w:t>
      </w:r>
      <w:r w:rsidRPr="00CD729C">
        <w:rPr>
          <w:color w:val="000000"/>
          <w:szCs w:val="22"/>
          <w:vertAlign w:val="subscript"/>
        </w:rPr>
        <w:t xml:space="preserve">i </w:t>
      </w:r>
      <w:r w:rsidRPr="00CD729C">
        <w:rPr>
          <w:color w:val="000000"/>
          <w:szCs w:val="22"/>
        </w:rPr>
        <w:t>vērtības ir attiecīgi 27, 7,5 un 7,9 </w:t>
      </w:r>
      <w:r w:rsidRPr="00CD729C">
        <w:rPr>
          <w:color w:val="000000"/>
          <w:szCs w:val="22"/>
        </w:rPr>
        <w:sym w:font="Symbol" w:char="F06D"/>
      </w:r>
      <w:r w:rsidRPr="00CD729C">
        <w:rPr>
          <w:color w:val="000000"/>
          <w:szCs w:val="22"/>
        </w:rPr>
        <w:t>mol/l.</w:t>
      </w:r>
    </w:p>
    <w:p w14:paraId="3D3948C4" w14:textId="77777777" w:rsidR="005117C7" w:rsidRPr="00CD729C" w:rsidRDefault="005117C7" w:rsidP="009B4BB6">
      <w:pPr>
        <w:widowControl w:val="0"/>
        <w:spacing w:line="240" w:lineRule="auto"/>
        <w:rPr>
          <w:color w:val="000000"/>
          <w:szCs w:val="22"/>
        </w:rPr>
      </w:pPr>
      <w:r w:rsidRPr="00CD729C">
        <w:rPr>
          <w:color w:val="000000"/>
          <w:szCs w:val="22"/>
        </w:rPr>
        <w:t>Maksimālā imatiniba koncentrācija pacientu plazmā ir 2 </w:t>
      </w:r>
      <w:r w:rsidRPr="00CD729C">
        <w:rPr>
          <w:color w:val="000000"/>
          <w:szCs w:val="22"/>
        </w:rPr>
        <w:sym w:font="Symbol" w:char="F06D"/>
      </w:r>
      <w:r w:rsidRPr="00CD729C">
        <w:rPr>
          <w:color w:val="000000"/>
          <w:szCs w:val="22"/>
        </w:rPr>
        <w:t>ml/l līdz 4 </w:t>
      </w:r>
      <w:r w:rsidRPr="00CD729C">
        <w:rPr>
          <w:color w:val="000000"/>
          <w:szCs w:val="22"/>
        </w:rPr>
        <w:sym w:font="Symbol" w:char="F06D"/>
      </w:r>
      <w:r w:rsidRPr="00CD729C">
        <w:rPr>
          <w:color w:val="000000"/>
          <w:szCs w:val="22"/>
        </w:rPr>
        <w:t>ml/l, tātad ir iespējama vienlaicīgi lietotu zāļu vielmaiņas procesu, kuru mediatori ir CYP2D6 un CYP3A4/5, inhibīcija. Imatinibs nekavē 5-fluoruracila biotransformāciju, bet, konkurējošas CYP2C8</w:t>
      </w:r>
      <w:r w:rsidR="005F78CA" w:rsidRPr="00CD729C">
        <w:rPr>
          <w:color w:val="000000"/>
          <w:szCs w:val="22"/>
        </w:rPr>
        <w:t> </w:t>
      </w:r>
      <w:r w:rsidRPr="00CD729C">
        <w:rPr>
          <w:color w:val="000000"/>
          <w:szCs w:val="22"/>
        </w:rPr>
        <w:t>inhibīcijas rezultātā (K</w:t>
      </w:r>
      <w:r w:rsidRPr="00CD729C">
        <w:rPr>
          <w:color w:val="000000"/>
          <w:szCs w:val="22"/>
          <w:vertAlign w:val="subscript"/>
        </w:rPr>
        <w:t>i</w:t>
      </w:r>
      <w:r w:rsidRPr="00CD729C">
        <w:rPr>
          <w:color w:val="000000"/>
          <w:szCs w:val="22"/>
        </w:rPr>
        <w:t xml:space="preserve"> = 34,7 </w:t>
      </w:r>
      <w:r w:rsidRPr="00CD729C">
        <w:rPr>
          <w:color w:val="000000"/>
          <w:szCs w:val="22"/>
        </w:rPr>
        <w:sym w:font="Symbol" w:char="F06D"/>
      </w:r>
      <w:r w:rsidRPr="00CD729C">
        <w:rPr>
          <w:color w:val="000000"/>
          <w:szCs w:val="22"/>
        </w:rPr>
        <w:t>M), inhibē paklitaksela vielmaiņas procesus. Šī K</w:t>
      </w:r>
      <w:r w:rsidRPr="00CD729C">
        <w:rPr>
          <w:color w:val="000000"/>
          <w:szCs w:val="22"/>
          <w:vertAlign w:val="subscript"/>
        </w:rPr>
        <w:t>i</w:t>
      </w:r>
      <w:r w:rsidRPr="00CD729C">
        <w:rPr>
          <w:color w:val="000000"/>
          <w:szCs w:val="22"/>
        </w:rPr>
        <w:t xml:space="preserve"> vērtība ir daudz augstāka kā gaidāmā imatiniba koncentrācija pacientu plazmā, tātad, vienlaicīgi lietojot 5-fluoruracilu vai paklitakselu, mijiedarbība nav gaidāma.</w:t>
      </w:r>
    </w:p>
    <w:p w14:paraId="3D3948C5" w14:textId="77777777" w:rsidR="005117C7" w:rsidRPr="00CD729C" w:rsidRDefault="005117C7" w:rsidP="009B4BB6">
      <w:pPr>
        <w:widowControl w:val="0"/>
        <w:spacing w:line="240" w:lineRule="auto"/>
        <w:rPr>
          <w:color w:val="000000"/>
          <w:szCs w:val="22"/>
        </w:rPr>
      </w:pPr>
    </w:p>
    <w:p w14:paraId="3D3948C6" w14:textId="77777777" w:rsidR="005117C7" w:rsidRPr="00CD729C" w:rsidRDefault="00484376" w:rsidP="009B4BB6">
      <w:pPr>
        <w:keepNext/>
        <w:widowControl w:val="0"/>
        <w:spacing w:line="240" w:lineRule="auto"/>
        <w:rPr>
          <w:color w:val="000000"/>
          <w:szCs w:val="22"/>
          <w:u w:val="single"/>
        </w:rPr>
      </w:pPr>
      <w:r w:rsidRPr="00CD729C">
        <w:rPr>
          <w:u w:val="single"/>
        </w:rPr>
        <w:t>Eliminācija</w:t>
      </w:r>
    </w:p>
    <w:p w14:paraId="3D3948C7" w14:textId="77777777" w:rsidR="005117C7" w:rsidRPr="00CD729C" w:rsidRDefault="005117C7" w:rsidP="009B4BB6">
      <w:pPr>
        <w:widowControl w:val="0"/>
        <w:spacing w:line="240" w:lineRule="auto"/>
        <w:rPr>
          <w:color w:val="000000"/>
          <w:szCs w:val="22"/>
        </w:rPr>
      </w:pPr>
      <w:r w:rsidRPr="00CD729C">
        <w:rPr>
          <w:color w:val="000000"/>
          <w:szCs w:val="22"/>
        </w:rPr>
        <w:t xml:space="preserve">Ievērojot atgūto vielu daudzumu pēc perorālas ar </w:t>
      </w:r>
      <w:r w:rsidRPr="00CD729C">
        <w:rPr>
          <w:color w:val="000000"/>
          <w:szCs w:val="22"/>
          <w:vertAlign w:val="superscript"/>
        </w:rPr>
        <w:t>14</w:t>
      </w:r>
      <w:r w:rsidRPr="00CD729C">
        <w:rPr>
          <w:color w:val="000000"/>
          <w:szCs w:val="22"/>
        </w:rPr>
        <w:t>C iezīmēta imatiniba devas, aptuveni 81% devas 7 dienu laikā ir atgūts no fēcēm (68% devas) un urīna (13% devas). Neizmainīts imatinibs tiek izdalīts daudzumā, kas atbilst 25% devas (5% urīnā, 20% – fēcēs). Devas atlikums izdalās metabolītu veidā.</w:t>
      </w:r>
    </w:p>
    <w:p w14:paraId="3D3948C8" w14:textId="77777777" w:rsidR="005117C7" w:rsidRPr="00CD729C" w:rsidRDefault="005117C7" w:rsidP="009B4BB6">
      <w:pPr>
        <w:widowControl w:val="0"/>
        <w:spacing w:line="240" w:lineRule="auto"/>
        <w:rPr>
          <w:color w:val="000000"/>
          <w:szCs w:val="22"/>
        </w:rPr>
      </w:pPr>
    </w:p>
    <w:p w14:paraId="3D3948C9" w14:textId="77777777" w:rsidR="005117C7" w:rsidRPr="00CD729C" w:rsidRDefault="005117C7" w:rsidP="009B4BB6">
      <w:pPr>
        <w:keepNext/>
        <w:widowControl w:val="0"/>
        <w:spacing w:line="240" w:lineRule="auto"/>
        <w:rPr>
          <w:color w:val="000000"/>
          <w:szCs w:val="22"/>
          <w:u w:val="single"/>
        </w:rPr>
      </w:pPr>
      <w:r w:rsidRPr="00CD729C">
        <w:rPr>
          <w:color w:val="000000"/>
          <w:szCs w:val="22"/>
          <w:u w:val="single"/>
        </w:rPr>
        <w:t>Farmakokinētika plazmā</w:t>
      </w:r>
    </w:p>
    <w:p w14:paraId="3D3948CA" w14:textId="77777777" w:rsidR="005117C7" w:rsidRPr="00CD729C" w:rsidRDefault="005117C7" w:rsidP="009B4BB6">
      <w:pPr>
        <w:widowControl w:val="0"/>
        <w:spacing w:line="240" w:lineRule="auto"/>
        <w:rPr>
          <w:color w:val="000000"/>
          <w:szCs w:val="22"/>
        </w:rPr>
      </w:pPr>
      <w:r w:rsidRPr="00CD729C">
        <w:rPr>
          <w:color w:val="000000"/>
          <w:szCs w:val="22"/>
        </w:rPr>
        <w:t xml:space="preserve">Veseliem brīvprātīgajiem pēc </w:t>
      </w:r>
      <w:r w:rsidR="00F147D5" w:rsidRPr="00CD729C">
        <w:rPr>
          <w:color w:val="000000"/>
          <w:szCs w:val="22"/>
        </w:rPr>
        <w:t>iekšķīgi lietotas</w:t>
      </w:r>
      <w:r w:rsidRPr="00CD729C">
        <w:rPr>
          <w:color w:val="000000"/>
          <w:szCs w:val="22"/>
        </w:rPr>
        <w:t xml:space="preserve"> devas, t</w:t>
      </w:r>
      <w:r w:rsidRPr="00CD729C">
        <w:rPr>
          <w:color w:val="000000"/>
          <w:szCs w:val="22"/>
          <w:vertAlign w:val="subscript"/>
        </w:rPr>
        <w:t>1/2</w:t>
      </w:r>
      <w:r w:rsidRPr="00CD729C">
        <w:rPr>
          <w:color w:val="000000"/>
          <w:szCs w:val="22"/>
        </w:rPr>
        <w:t xml:space="preserve"> ir aptuveni 18 stundas. Tas liecina, ka, preparātu ir iespējams lietot reizi dienā. Lietojot perorāli un palielinot devu robežās no 25 mg līdz 1 000 mg, vidējā AUC pieaugums ir lineārs un proporcionāls devas lielumam. Devas atkārtojot, imatiniba (farmako)kinētika nemainās. Ja preparātu lieto reizi dienā, līdzsvara koncentrācijas apstākļos preparāts kumulē 1,5 līdz 2,5 reizes.</w:t>
      </w:r>
    </w:p>
    <w:p w14:paraId="3D3948CB" w14:textId="77777777" w:rsidR="005117C7" w:rsidRPr="00CD729C" w:rsidRDefault="005117C7" w:rsidP="009B4BB6">
      <w:pPr>
        <w:widowControl w:val="0"/>
        <w:spacing w:line="240" w:lineRule="auto"/>
        <w:rPr>
          <w:color w:val="000000"/>
          <w:szCs w:val="22"/>
        </w:rPr>
      </w:pPr>
    </w:p>
    <w:p w14:paraId="3D3948CC" w14:textId="77777777" w:rsidR="005117C7" w:rsidRPr="00CD729C" w:rsidRDefault="005117C7" w:rsidP="009B4BB6">
      <w:pPr>
        <w:keepNext/>
        <w:widowControl w:val="0"/>
        <w:spacing w:line="240" w:lineRule="auto"/>
        <w:rPr>
          <w:color w:val="000000"/>
          <w:szCs w:val="22"/>
        </w:rPr>
      </w:pPr>
      <w:r w:rsidRPr="00CD729C">
        <w:rPr>
          <w:color w:val="000000"/>
          <w:szCs w:val="22"/>
          <w:u w:val="single"/>
        </w:rPr>
        <w:lastRenderedPageBreak/>
        <w:t>Farmakokinētika GIST slimniekiem</w:t>
      </w:r>
    </w:p>
    <w:p w14:paraId="3D3948CD" w14:textId="77777777" w:rsidR="005117C7" w:rsidRPr="00CD729C" w:rsidRDefault="005117C7" w:rsidP="009B4BB6">
      <w:pPr>
        <w:widowControl w:val="0"/>
        <w:spacing w:line="240" w:lineRule="auto"/>
        <w:rPr>
          <w:color w:val="000000"/>
          <w:szCs w:val="22"/>
        </w:rPr>
      </w:pPr>
      <w:r w:rsidRPr="00CD729C">
        <w:rPr>
          <w:color w:val="000000"/>
          <w:szCs w:val="22"/>
        </w:rPr>
        <w:t>GIST slimniekiem preparāta iedarbība līdzsvara koncentrācijas apstākļos, lietojot vienādu preparāta devu (400 mg dienā), ir 1,5 reizes spēcīgāka kā tā, ko novēro CML slimniekiem. Ievērojot iepriekšēju pacientu grupu farmakokinētikas analīzi GIST slimniekiem, ir trīs mainīgu faktoru lielumi (albumīnu, WBC un bilirubīna koncentrācija), kam ir konstatēta statistiski nozīmīga saistība ar imatiniba farmakokinētiku. Samazināts albumīnu vai palielināts WBC daudzums samazina (imatiniba) (CL/f). Tomēr šīs sakarības nav pietiekami izteiktas, lai būtu iespējams sniegt ieteikumus, kā būtu jākoriģē preparāta devas lielums. Šajā pacientu grupā metastāzes aknās potenciāli var izraisīt aknu mazspēju, kā rezultātā tiek vājināti vielas vielmaiņas procesi.</w:t>
      </w:r>
    </w:p>
    <w:p w14:paraId="3D3948CE" w14:textId="77777777" w:rsidR="005117C7" w:rsidRPr="00CD729C" w:rsidRDefault="005117C7" w:rsidP="009B4BB6">
      <w:pPr>
        <w:widowControl w:val="0"/>
        <w:spacing w:line="240" w:lineRule="auto"/>
        <w:rPr>
          <w:color w:val="000000"/>
          <w:szCs w:val="22"/>
        </w:rPr>
      </w:pPr>
    </w:p>
    <w:p w14:paraId="3D3948CF" w14:textId="77777777" w:rsidR="005117C7" w:rsidRPr="00CD729C" w:rsidRDefault="005117C7" w:rsidP="009B4BB6">
      <w:pPr>
        <w:keepNext/>
        <w:widowControl w:val="0"/>
        <w:spacing w:line="240" w:lineRule="auto"/>
        <w:rPr>
          <w:color w:val="000000"/>
          <w:szCs w:val="22"/>
          <w:u w:val="single"/>
        </w:rPr>
      </w:pPr>
      <w:r w:rsidRPr="00CD729C">
        <w:rPr>
          <w:color w:val="000000"/>
          <w:szCs w:val="22"/>
          <w:u w:val="single"/>
        </w:rPr>
        <w:t>Farmakokinētika atšķirīgās pacientu grupās</w:t>
      </w:r>
    </w:p>
    <w:p w14:paraId="3D3948D0" w14:textId="77777777" w:rsidR="005117C7" w:rsidRPr="00CD729C" w:rsidRDefault="005117C7" w:rsidP="009B4BB6">
      <w:pPr>
        <w:widowControl w:val="0"/>
        <w:spacing w:line="240" w:lineRule="auto"/>
        <w:rPr>
          <w:color w:val="000000"/>
          <w:szCs w:val="22"/>
        </w:rPr>
      </w:pPr>
      <w:r w:rsidRPr="00CD729C">
        <w:rPr>
          <w:color w:val="000000"/>
          <w:szCs w:val="22"/>
        </w:rPr>
        <w:t>Ievērojot datus, kas iegūti, analizējot preparāta farmakokinētiku atšķirīgās AML slimnieku grupās, ir ievērota neliela pacienta vecuma ietekme uz vielas izkliedes tilpumu (pacientiem, kuru vecums pārsniedz 65 gadus, tas pieaug par 12%). Nešķiet, ka šādām izmaiņām būtu klīniska nozīme. Pacienta ķermeņa masas ietekme uz imatiniba klīrensu var izpausties tādējādi, ka pacientam, kura ķermeņa masa ir 50 kg, vidējais gaidāmais vielas klīrenss ir 8,5 l/st, kamēr pacientam, kura ķermeņa masa ir 100 kg, klīrenss var pieaugt līdz 11,8 l/st. Uzskata, ka šīs (klīrensa) izmaiņas nav pietiekami lielas, lai devas korekciju būtu iespējams pamatot ar pacienta ķermeņa masu. Pacienta dzimums imatiniba (farmako)kinētiku neietekmē.</w:t>
      </w:r>
    </w:p>
    <w:p w14:paraId="3D3948D1" w14:textId="77777777" w:rsidR="005117C7" w:rsidRPr="00CD729C" w:rsidRDefault="005117C7" w:rsidP="009B4BB6">
      <w:pPr>
        <w:widowControl w:val="0"/>
        <w:spacing w:line="240" w:lineRule="auto"/>
        <w:rPr>
          <w:color w:val="000000"/>
          <w:szCs w:val="22"/>
        </w:rPr>
      </w:pPr>
    </w:p>
    <w:p w14:paraId="3D3948D2" w14:textId="77777777" w:rsidR="005117C7" w:rsidRPr="00CD729C" w:rsidRDefault="005117C7" w:rsidP="009B4BB6">
      <w:pPr>
        <w:keepNext/>
        <w:widowControl w:val="0"/>
        <w:spacing w:line="240" w:lineRule="auto"/>
        <w:rPr>
          <w:color w:val="000000"/>
          <w:szCs w:val="22"/>
          <w:u w:val="single"/>
        </w:rPr>
      </w:pPr>
      <w:r w:rsidRPr="00CD729C">
        <w:rPr>
          <w:color w:val="000000"/>
          <w:szCs w:val="22"/>
          <w:u w:val="single"/>
        </w:rPr>
        <w:t>Farmakokinētika bērniem</w:t>
      </w:r>
    </w:p>
    <w:p w14:paraId="3D3948D3" w14:textId="77777777" w:rsidR="005117C7" w:rsidRPr="00CD729C" w:rsidRDefault="001C6681" w:rsidP="009B4BB6">
      <w:pPr>
        <w:widowControl w:val="0"/>
        <w:spacing w:line="240" w:lineRule="auto"/>
        <w:rPr>
          <w:color w:val="000000"/>
          <w:szCs w:val="22"/>
        </w:rPr>
      </w:pPr>
      <w:r w:rsidRPr="00CD729C">
        <w:rPr>
          <w:color w:val="000000"/>
          <w:szCs w:val="22"/>
        </w:rPr>
        <w:t xml:space="preserve">Gan </w:t>
      </w:r>
      <w:r w:rsidR="005117C7" w:rsidRPr="00CD729C">
        <w:rPr>
          <w:color w:val="000000"/>
          <w:szCs w:val="22"/>
        </w:rPr>
        <w:t>I fāzes</w:t>
      </w:r>
      <w:r w:rsidRPr="00CD729C">
        <w:rPr>
          <w:color w:val="000000"/>
          <w:szCs w:val="22"/>
        </w:rPr>
        <w:t>, gan II fāzes</w:t>
      </w:r>
      <w:r w:rsidR="005117C7" w:rsidRPr="00CD729C">
        <w:rPr>
          <w:color w:val="000000"/>
          <w:szCs w:val="22"/>
        </w:rPr>
        <w:t xml:space="preserve"> pētījum</w:t>
      </w:r>
      <w:r w:rsidRPr="00CD729C">
        <w:rPr>
          <w:color w:val="000000"/>
          <w:szCs w:val="22"/>
        </w:rPr>
        <w:t>u</w:t>
      </w:r>
      <w:r w:rsidR="005117C7" w:rsidRPr="00CD729C">
        <w:rPr>
          <w:color w:val="000000"/>
          <w:szCs w:val="22"/>
        </w:rPr>
        <w:t xml:space="preserve"> laikā perorāla imatiniba deva pediatriskiem pacientiem uzsūcās ātri. Bērniem lietotās 260 mg/m</w:t>
      </w:r>
      <w:r w:rsidR="005117C7" w:rsidRPr="00CD729C">
        <w:rPr>
          <w:color w:val="000000"/>
          <w:szCs w:val="22"/>
          <w:vertAlign w:val="superscript"/>
        </w:rPr>
        <w:t>2</w:t>
      </w:r>
      <w:r w:rsidR="005117C7" w:rsidRPr="00CD729C">
        <w:rPr>
          <w:color w:val="000000"/>
          <w:szCs w:val="22"/>
        </w:rPr>
        <w:t xml:space="preserve"> un 340 mg/m</w:t>
      </w:r>
      <w:r w:rsidR="005117C7" w:rsidRPr="00CD729C">
        <w:rPr>
          <w:color w:val="000000"/>
          <w:szCs w:val="22"/>
          <w:vertAlign w:val="superscript"/>
        </w:rPr>
        <w:t>2</w:t>
      </w:r>
      <w:r w:rsidR="005117C7" w:rsidRPr="00CD729C">
        <w:rPr>
          <w:color w:val="000000"/>
          <w:szCs w:val="22"/>
        </w:rPr>
        <w:t xml:space="preserve"> dienas devas nodrošināja preparāta iedarbību, kas atbilst 400 mg un 600 mg lielām imatiniba devām, ko izmanto pieaugušu pacientu ārstēšanai. Salīdzinot AUC</w:t>
      </w:r>
      <w:r w:rsidR="005117C7" w:rsidRPr="00CD729C">
        <w:rPr>
          <w:color w:val="000000"/>
          <w:szCs w:val="22"/>
          <w:vertAlign w:val="subscript"/>
        </w:rPr>
        <w:t>(0–24)</w:t>
      </w:r>
      <w:r w:rsidR="005117C7" w:rsidRPr="00CD729C">
        <w:rPr>
          <w:color w:val="000000"/>
          <w:szCs w:val="22"/>
        </w:rPr>
        <w:t xml:space="preserve"> astotajā un pirmajā dienā gadījumā, kad izmantotas 340 mg/m</w:t>
      </w:r>
      <w:r w:rsidR="005117C7" w:rsidRPr="00CD729C">
        <w:rPr>
          <w:color w:val="000000"/>
          <w:szCs w:val="22"/>
          <w:vertAlign w:val="superscript"/>
        </w:rPr>
        <w:t>2</w:t>
      </w:r>
      <w:r w:rsidR="005117C7" w:rsidRPr="00CD729C">
        <w:rPr>
          <w:color w:val="000000"/>
          <w:szCs w:val="22"/>
        </w:rPr>
        <w:t xml:space="preserve"> lielas dienas devas, pēc atkārtotām devām, kas lietotas reizi dienā, ir konstatēta 1,7 – kārtēja devas kumulācija.</w:t>
      </w:r>
    </w:p>
    <w:p w14:paraId="3D3948D4" w14:textId="77777777" w:rsidR="007C0B3A" w:rsidRPr="00CD729C" w:rsidRDefault="007C0B3A" w:rsidP="009B4BB6">
      <w:pPr>
        <w:pStyle w:val="EndnoteText"/>
        <w:widowControl w:val="0"/>
        <w:rPr>
          <w:color w:val="000000"/>
          <w:szCs w:val="22"/>
        </w:rPr>
      </w:pPr>
    </w:p>
    <w:p w14:paraId="3D3948D5" w14:textId="77777777" w:rsidR="0093229E" w:rsidRPr="00CD729C" w:rsidRDefault="0093229E" w:rsidP="009B4BB6">
      <w:pPr>
        <w:pStyle w:val="EndnoteText"/>
        <w:widowControl w:val="0"/>
        <w:rPr>
          <w:color w:val="000000"/>
          <w:szCs w:val="22"/>
        </w:rPr>
      </w:pPr>
      <w:r w:rsidRPr="00CD729C">
        <w:rPr>
          <w:color w:val="000000"/>
          <w:szCs w:val="22"/>
        </w:rPr>
        <w:t xml:space="preserve">Pamatojoties uz </w:t>
      </w:r>
      <w:r w:rsidR="00CA4B0A" w:rsidRPr="00CD729C">
        <w:rPr>
          <w:color w:val="000000"/>
          <w:szCs w:val="22"/>
        </w:rPr>
        <w:t>apvienoto</w:t>
      </w:r>
      <w:r w:rsidRPr="00CD729C">
        <w:rPr>
          <w:color w:val="000000"/>
          <w:szCs w:val="22"/>
        </w:rPr>
        <w:t xml:space="preserve"> farmakokinētisko </w:t>
      </w:r>
      <w:r w:rsidR="004C261F" w:rsidRPr="00CD729C">
        <w:rPr>
          <w:color w:val="000000"/>
          <w:szCs w:val="22"/>
        </w:rPr>
        <w:t xml:space="preserve">datu </w:t>
      </w:r>
      <w:r w:rsidRPr="00CD729C">
        <w:rPr>
          <w:color w:val="000000"/>
          <w:szCs w:val="22"/>
        </w:rPr>
        <w:t>analīzi pediatrijas pacientiem ar hematoloģiskiem traucējumiem (CML, Ph+ALL, vai citiem hematoloģiskiem</w:t>
      </w:r>
      <w:r w:rsidR="005B2D93" w:rsidRPr="00CD729C">
        <w:rPr>
          <w:color w:val="000000"/>
          <w:szCs w:val="22"/>
        </w:rPr>
        <w:t xml:space="preserve"> </w:t>
      </w:r>
      <w:r w:rsidRPr="00CD729C">
        <w:rPr>
          <w:color w:val="000000"/>
          <w:szCs w:val="22"/>
        </w:rPr>
        <w:t>traucējumiem, ko ārstē ar imatinibu), imatiniba klīrenss palielinās palielinoties ķermeņa virsmas laukumam (</w:t>
      </w:r>
      <w:r w:rsidRPr="00CD729C">
        <w:rPr>
          <w:i/>
          <w:color w:val="000000"/>
          <w:szCs w:val="22"/>
        </w:rPr>
        <w:t>body surface area</w:t>
      </w:r>
      <w:r w:rsidRPr="00CD729C">
        <w:rPr>
          <w:color w:val="000000"/>
          <w:szCs w:val="22"/>
        </w:rPr>
        <w:t xml:space="preserve"> - BSA). Veicot korekciju pēc BSA, citi</w:t>
      </w:r>
      <w:r w:rsidR="001F3E17" w:rsidRPr="00CD729C">
        <w:rPr>
          <w:color w:val="000000"/>
          <w:szCs w:val="22"/>
        </w:rPr>
        <w:t>em</w:t>
      </w:r>
      <w:r w:rsidRPr="00CD729C">
        <w:rPr>
          <w:color w:val="000000"/>
          <w:szCs w:val="22"/>
        </w:rPr>
        <w:t xml:space="preserve"> demogrāfisk</w:t>
      </w:r>
      <w:r w:rsidR="001F3E17" w:rsidRPr="00CD729C">
        <w:rPr>
          <w:color w:val="000000"/>
          <w:szCs w:val="22"/>
        </w:rPr>
        <w:t>aj</w:t>
      </w:r>
      <w:r w:rsidRPr="00CD729C">
        <w:rPr>
          <w:color w:val="000000"/>
          <w:szCs w:val="22"/>
        </w:rPr>
        <w:t xml:space="preserve">iem rādītājiem, </w:t>
      </w:r>
      <w:r w:rsidR="001F3E17" w:rsidRPr="00CD729C">
        <w:rPr>
          <w:color w:val="000000"/>
          <w:szCs w:val="22"/>
        </w:rPr>
        <w:t xml:space="preserve">tādiem </w:t>
      </w:r>
      <w:r w:rsidRPr="00CD729C">
        <w:rPr>
          <w:color w:val="000000"/>
          <w:szCs w:val="22"/>
        </w:rPr>
        <w:t>kā vecums, ķermeņa masa un ķermeņa masas indekss</w:t>
      </w:r>
      <w:r w:rsidR="005B2D93" w:rsidRPr="00CD729C">
        <w:rPr>
          <w:color w:val="000000"/>
          <w:szCs w:val="22"/>
        </w:rPr>
        <w:t>,</w:t>
      </w:r>
      <w:r w:rsidRPr="00CD729C">
        <w:rPr>
          <w:color w:val="000000"/>
          <w:szCs w:val="22"/>
        </w:rPr>
        <w:t xml:space="preserve"> nebija </w:t>
      </w:r>
      <w:r w:rsidR="001F3E17" w:rsidRPr="00CD729C">
        <w:rPr>
          <w:color w:val="000000"/>
          <w:szCs w:val="22"/>
        </w:rPr>
        <w:t>klīniski nozīmīgas</w:t>
      </w:r>
      <w:r w:rsidRPr="00CD729C">
        <w:rPr>
          <w:color w:val="000000"/>
          <w:szCs w:val="22"/>
        </w:rPr>
        <w:t xml:space="preserve"> ietekmes uz imatiniba iedarbību. Analīze apstiprināja, ka imatiniba iedarbība pediatrijas pacientiem, kuri saņēma 260 mg/m</w:t>
      </w:r>
      <w:r w:rsidRPr="00CD729C">
        <w:rPr>
          <w:color w:val="000000"/>
          <w:szCs w:val="22"/>
          <w:vertAlign w:val="superscript"/>
        </w:rPr>
        <w:t>2</w:t>
      </w:r>
      <w:r w:rsidR="005B2D93" w:rsidRPr="00CD729C">
        <w:rPr>
          <w:color w:val="000000"/>
          <w:szCs w:val="22"/>
        </w:rPr>
        <w:t xml:space="preserve"> reizi</w:t>
      </w:r>
      <w:r w:rsidRPr="00CD729C">
        <w:rPr>
          <w:color w:val="000000"/>
          <w:szCs w:val="22"/>
        </w:rPr>
        <w:t xml:space="preserve"> dienā (nepārsniedzot kopējo devu 400 mg reizi dienā) vai 340 mg/m</w:t>
      </w:r>
      <w:r w:rsidRPr="00CD729C">
        <w:rPr>
          <w:color w:val="000000"/>
          <w:szCs w:val="22"/>
          <w:vertAlign w:val="superscript"/>
        </w:rPr>
        <w:t>2</w:t>
      </w:r>
      <w:r w:rsidRPr="00CD729C">
        <w:rPr>
          <w:color w:val="000000"/>
          <w:szCs w:val="22"/>
        </w:rPr>
        <w:t xml:space="preserve"> reizi dienā (nepārsniedzot kopējo devu 600 mg reizi dienā) bija līdzīga iedarbībai, ko novēroja pieaugušiem pacientiem, kuri saņēma imatinibu 400 mg vai 600 mg reizi dienā.</w:t>
      </w:r>
    </w:p>
    <w:p w14:paraId="3D3948D6" w14:textId="77777777" w:rsidR="005117C7" w:rsidRPr="00CD729C" w:rsidRDefault="005117C7" w:rsidP="009B4BB6">
      <w:pPr>
        <w:widowControl w:val="0"/>
        <w:spacing w:line="240" w:lineRule="auto"/>
        <w:rPr>
          <w:color w:val="000000"/>
          <w:szCs w:val="22"/>
        </w:rPr>
      </w:pPr>
    </w:p>
    <w:p w14:paraId="3D3948D7" w14:textId="77777777" w:rsidR="005117C7" w:rsidRPr="00CD729C" w:rsidRDefault="005117C7" w:rsidP="009B4BB6">
      <w:pPr>
        <w:keepNext/>
        <w:widowControl w:val="0"/>
        <w:spacing w:line="240" w:lineRule="auto"/>
        <w:rPr>
          <w:color w:val="000000"/>
          <w:szCs w:val="22"/>
          <w:u w:val="single"/>
        </w:rPr>
      </w:pPr>
      <w:r w:rsidRPr="00CD729C">
        <w:rPr>
          <w:color w:val="000000"/>
          <w:szCs w:val="22"/>
          <w:u w:val="single"/>
        </w:rPr>
        <w:t>Orgānu darbības traucējumi</w:t>
      </w:r>
    </w:p>
    <w:p w14:paraId="3D3948D8" w14:textId="77777777" w:rsidR="00335734" w:rsidRPr="00CD729C" w:rsidRDefault="005117C7" w:rsidP="009B4BB6">
      <w:pPr>
        <w:widowControl w:val="0"/>
        <w:spacing w:line="240" w:lineRule="auto"/>
        <w:rPr>
          <w:color w:val="000000"/>
          <w:szCs w:val="22"/>
        </w:rPr>
      </w:pPr>
      <w:r w:rsidRPr="00CD729C">
        <w:rPr>
          <w:color w:val="000000"/>
          <w:szCs w:val="22"/>
        </w:rPr>
        <w:t xml:space="preserve">Imatinibs un tā </w:t>
      </w:r>
      <w:r w:rsidR="00335734" w:rsidRPr="00CD729C">
        <w:rPr>
          <w:color w:val="000000"/>
          <w:szCs w:val="22"/>
        </w:rPr>
        <w:t>metabolīti</w:t>
      </w:r>
      <w:r w:rsidRPr="00CD729C">
        <w:rPr>
          <w:color w:val="000000"/>
          <w:szCs w:val="22"/>
        </w:rPr>
        <w:t xml:space="preserve"> caur nierēm ievērojamā daudzumā neizdalās. </w:t>
      </w:r>
      <w:r w:rsidR="00335734" w:rsidRPr="00CD729C">
        <w:rPr>
          <w:color w:val="000000"/>
          <w:szCs w:val="22"/>
        </w:rPr>
        <w:t>Pacientiem ar viegliem līdz vidēji smagiem nieru darbības traucējumiem koncentrācija plazmā ir lielāka nekā pacientiem ar normālu nieru darbību. Šī palielināšanās ir aptuveni 1,5</w:t>
      </w:r>
      <w:r w:rsidR="00561785" w:rsidRPr="00CD729C">
        <w:rPr>
          <w:color w:val="000000"/>
          <w:szCs w:val="22"/>
        </w:rPr>
        <w:noBreakHyphen/>
      </w:r>
      <w:r w:rsidR="00335734" w:rsidRPr="00CD729C">
        <w:rPr>
          <w:color w:val="000000"/>
          <w:szCs w:val="22"/>
        </w:rPr>
        <w:t>2</w:t>
      </w:r>
      <w:r w:rsidR="00561785" w:rsidRPr="00CD729C">
        <w:rPr>
          <w:color w:val="000000"/>
          <w:szCs w:val="22"/>
        </w:rPr>
        <w:t> </w:t>
      </w:r>
      <w:r w:rsidR="00335734" w:rsidRPr="00CD729C">
        <w:rPr>
          <w:color w:val="000000"/>
          <w:szCs w:val="22"/>
        </w:rPr>
        <w:t>reizes, kas atbilst par 1,5</w:t>
      </w:r>
      <w:r w:rsidR="00561785" w:rsidRPr="00CD729C">
        <w:rPr>
          <w:color w:val="000000"/>
          <w:szCs w:val="22"/>
        </w:rPr>
        <w:t> </w:t>
      </w:r>
      <w:r w:rsidR="00335734" w:rsidRPr="00CD729C">
        <w:rPr>
          <w:color w:val="000000"/>
          <w:szCs w:val="22"/>
        </w:rPr>
        <w:t>reizēm palielinātam plazmas AGP, pie kā imatinibs cieši saistās. Iespējams, ka imatiniba nesaistītās formas klīrenss ir līdzīgs pacientiem ar nieru darbības traucējumiem un pacientiem ar normālu nieru darbību, jo izdalīšanās caur nierēm ir tikai neliels imatiniba eliminācijas ceļš (skatīt 4.2</w:t>
      </w:r>
      <w:r w:rsidR="00FD1CF2" w:rsidRPr="00CD729C">
        <w:rPr>
          <w:color w:val="000000"/>
          <w:szCs w:val="22"/>
        </w:rPr>
        <w:t>.</w:t>
      </w:r>
      <w:r w:rsidR="00335734" w:rsidRPr="00CD729C">
        <w:rPr>
          <w:color w:val="000000"/>
          <w:szCs w:val="22"/>
        </w:rPr>
        <w:t xml:space="preserve"> un 4.4</w:t>
      </w:r>
      <w:r w:rsidR="00FD1CF2" w:rsidRPr="00CD729C">
        <w:rPr>
          <w:color w:val="000000"/>
          <w:szCs w:val="22"/>
        </w:rPr>
        <w:t>.</w:t>
      </w:r>
      <w:r w:rsidR="00552C22" w:rsidRPr="00CD729C">
        <w:rPr>
          <w:color w:val="000000"/>
          <w:szCs w:val="22"/>
        </w:rPr>
        <w:t> apakšpunktu</w:t>
      </w:r>
      <w:r w:rsidR="00335734" w:rsidRPr="00CD729C">
        <w:rPr>
          <w:color w:val="000000"/>
          <w:szCs w:val="22"/>
        </w:rPr>
        <w:t>).</w:t>
      </w:r>
    </w:p>
    <w:p w14:paraId="3D3948D9" w14:textId="77777777" w:rsidR="00335734" w:rsidRPr="00CD729C" w:rsidRDefault="00335734" w:rsidP="009B4BB6">
      <w:pPr>
        <w:widowControl w:val="0"/>
        <w:spacing w:line="240" w:lineRule="auto"/>
        <w:rPr>
          <w:color w:val="000000"/>
          <w:szCs w:val="22"/>
        </w:rPr>
      </w:pPr>
    </w:p>
    <w:p w14:paraId="3D3948DA" w14:textId="77777777" w:rsidR="005117C7" w:rsidRPr="00CD729C" w:rsidRDefault="005117C7" w:rsidP="009B4BB6">
      <w:pPr>
        <w:widowControl w:val="0"/>
        <w:spacing w:line="240" w:lineRule="auto"/>
        <w:rPr>
          <w:color w:val="000000"/>
          <w:szCs w:val="22"/>
        </w:rPr>
      </w:pPr>
      <w:r w:rsidRPr="00CD729C">
        <w:rPr>
          <w:color w:val="000000"/>
          <w:szCs w:val="22"/>
        </w:rPr>
        <w:t>Lai gan farmakokinētiskās analīzes rezultāti liecināja, ka pastāv nozīmīgas atšķirības cilvēku vidū, imatiniba vidējā iedarbība pacientiem ar dažādas pakāpes aknu darbības traucējumiem</w:t>
      </w:r>
      <w:r w:rsidR="008014A3" w:rsidRPr="00CD729C">
        <w:rPr>
          <w:color w:val="000000"/>
          <w:szCs w:val="22"/>
        </w:rPr>
        <w:t xml:space="preserve"> nepalielinājās</w:t>
      </w:r>
      <w:r w:rsidRPr="00CD729C">
        <w:rPr>
          <w:color w:val="000000"/>
          <w:szCs w:val="22"/>
        </w:rPr>
        <w:t>, salīdzinot ar pacientiem, kam ir normāla nieru darbība (sk</w:t>
      </w:r>
      <w:r w:rsidR="00A64570" w:rsidRPr="00CD729C">
        <w:rPr>
          <w:color w:val="000000"/>
          <w:szCs w:val="22"/>
        </w:rPr>
        <w:t>atīt</w:t>
      </w:r>
      <w:r w:rsidRPr="00CD729C">
        <w:rPr>
          <w:color w:val="000000"/>
          <w:szCs w:val="22"/>
        </w:rPr>
        <w:t xml:space="preserve"> 4.2</w:t>
      </w:r>
      <w:r w:rsidR="00FD1CF2" w:rsidRPr="00CD729C">
        <w:rPr>
          <w:color w:val="000000"/>
          <w:szCs w:val="22"/>
        </w:rPr>
        <w:t>.</w:t>
      </w:r>
      <w:r w:rsidRPr="00CD729C">
        <w:rPr>
          <w:color w:val="000000"/>
          <w:szCs w:val="22"/>
        </w:rPr>
        <w:t>, 4.4</w:t>
      </w:r>
      <w:r w:rsidR="00FD1CF2" w:rsidRPr="00CD729C">
        <w:rPr>
          <w:color w:val="000000"/>
          <w:szCs w:val="22"/>
        </w:rPr>
        <w:t>.</w:t>
      </w:r>
      <w:r w:rsidRPr="00CD729C">
        <w:rPr>
          <w:color w:val="000000"/>
          <w:szCs w:val="22"/>
        </w:rPr>
        <w:t xml:space="preserve"> un 4.8</w:t>
      </w:r>
      <w:r w:rsidR="00FD1CF2" w:rsidRPr="00CD729C">
        <w:rPr>
          <w:color w:val="000000"/>
          <w:szCs w:val="22"/>
        </w:rPr>
        <w:t>.</w:t>
      </w:r>
      <w:r w:rsidR="00552C22" w:rsidRPr="00CD729C">
        <w:rPr>
          <w:color w:val="000000"/>
          <w:szCs w:val="22"/>
        </w:rPr>
        <w:t> apakšpunktu</w:t>
      </w:r>
      <w:r w:rsidRPr="00CD729C">
        <w:rPr>
          <w:color w:val="000000"/>
          <w:szCs w:val="22"/>
        </w:rPr>
        <w:t>).</w:t>
      </w:r>
    </w:p>
    <w:p w14:paraId="3D3948DB" w14:textId="77777777" w:rsidR="005117C7" w:rsidRPr="00CD729C" w:rsidRDefault="005117C7" w:rsidP="009B4BB6">
      <w:pPr>
        <w:pStyle w:val="EndnoteText"/>
        <w:widowControl w:val="0"/>
        <w:rPr>
          <w:color w:val="000000"/>
          <w:szCs w:val="22"/>
        </w:rPr>
      </w:pPr>
    </w:p>
    <w:p w14:paraId="3D3948DC" w14:textId="77777777" w:rsidR="005117C7" w:rsidRPr="00CD729C" w:rsidRDefault="005117C7" w:rsidP="009B4BB6">
      <w:pPr>
        <w:keepNext/>
        <w:widowControl w:val="0"/>
        <w:tabs>
          <w:tab w:val="clear" w:pos="567"/>
        </w:tabs>
        <w:spacing w:line="240" w:lineRule="auto"/>
        <w:rPr>
          <w:color w:val="000000"/>
          <w:szCs w:val="22"/>
        </w:rPr>
      </w:pPr>
      <w:r w:rsidRPr="00CD729C">
        <w:rPr>
          <w:b/>
          <w:color w:val="000000"/>
          <w:szCs w:val="22"/>
        </w:rPr>
        <w:t>5.3</w:t>
      </w:r>
      <w:r w:rsidR="00FD1CF2" w:rsidRPr="00CD729C">
        <w:rPr>
          <w:b/>
          <w:color w:val="000000"/>
          <w:szCs w:val="22"/>
        </w:rPr>
        <w:t>.</w:t>
      </w:r>
      <w:r w:rsidRPr="00CD729C">
        <w:rPr>
          <w:b/>
          <w:color w:val="000000"/>
          <w:szCs w:val="22"/>
        </w:rPr>
        <w:tab/>
        <w:t>Preklīniskie dati par droš</w:t>
      </w:r>
      <w:r w:rsidR="00BF3DA7" w:rsidRPr="00CD729C">
        <w:rPr>
          <w:b/>
          <w:color w:val="000000"/>
          <w:szCs w:val="22"/>
        </w:rPr>
        <w:t>umu</w:t>
      </w:r>
    </w:p>
    <w:p w14:paraId="3D3948DD"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8DE"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Imatiniba (lietošanas) preklīniskais droš</w:t>
      </w:r>
      <w:r w:rsidR="00743B0B">
        <w:rPr>
          <w:color w:val="000000"/>
          <w:szCs w:val="22"/>
        </w:rPr>
        <w:t>uma</w:t>
      </w:r>
      <w:r w:rsidRPr="00CD729C">
        <w:rPr>
          <w:color w:val="000000"/>
          <w:szCs w:val="22"/>
        </w:rPr>
        <w:t xml:space="preserve"> profils ir vērtēts, izmantojot žurkas, suņus, pērtiķus un trušus.</w:t>
      </w:r>
    </w:p>
    <w:p w14:paraId="3D3948DF" w14:textId="77777777" w:rsidR="005117C7" w:rsidRPr="00CD729C" w:rsidRDefault="005117C7" w:rsidP="009B4BB6">
      <w:pPr>
        <w:widowControl w:val="0"/>
        <w:tabs>
          <w:tab w:val="clear" w:pos="567"/>
        </w:tabs>
        <w:spacing w:line="240" w:lineRule="auto"/>
        <w:rPr>
          <w:color w:val="000000"/>
          <w:szCs w:val="22"/>
        </w:rPr>
      </w:pPr>
    </w:p>
    <w:p w14:paraId="3D3948E0"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Preklīniskajos pētījumos no žurkām, suņiem un pērtiķiem iegūtie dati par atkārtotu devu toksicitāti liecina par nelielām vai vidēja smaguma hematoloģisko parametru izmaiņām. Žurkām un suņiem novēro arī kaulu smadzeņu izmaiņas.</w:t>
      </w:r>
    </w:p>
    <w:p w14:paraId="3D3948E1" w14:textId="77777777" w:rsidR="005117C7" w:rsidRPr="00CD729C" w:rsidRDefault="005117C7" w:rsidP="009B4BB6">
      <w:pPr>
        <w:widowControl w:val="0"/>
        <w:tabs>
          <w:tab w:val="clear" w:pos="567"/>
        </w:tabs>
        <w:spacing w:line="240" w:lineRule="auto"/>
        <w:rPr>
          <w:color w:val="000000"/>
          <w:szCs w:val="22"/>
        </w:rPr>
      </w:pPr>
    </w:p>
    <w:p w14:paraId="3D3948E2"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Žurkām un suņiem mērķa orgāns bija aknas. Abām dzīvnieku sugām novēroja nelielu vai vidēja smaguma transamināžu daudzuma pieaugumu un nelielu holesterīna, triglicerīdu, kopējā olbaltumvielu un albumīnu koncentrācijas samazinājumu. Žurku aknās histopatoloģiska rakstura izmaiņas nav konstatētas. Suņiem, kas preparātu saņēma 2 nedēļas, novēroja spēcīgu toksisku ietekmi uz aknām, kas izpaudās kā aknu fermentu daudzuma pieaugums, aknu šūnu un žults ceļu nekroze, kā arī žults ceļu hiperplāzija.</w:t>
      </w:r>
    </w:p>
    <w:p w14:paraId="3D3948E3" w14:textId="77777777" w:rsidR="005117C7" w:rsidRPr="00CD729C" w:rsidRDefault="005117C7" w:rsidP="009B4BB6">
      <w:pPr>
        <w:widowControl w:val="0"/>
        <w:tabs>
          <w:tab w:val="clear" w:pos="567"/>
        </w:tabs>
        <w:spacing w:line="240" w:lineRule="auto"/>
        <w:rPr>
          <w:color w:val="000000"/>
          <w:szCs w:val="22"/>
        </w:rPr>
      </w:pPr>
    </w:p>
    <w:p w14:paraId="3D3948E4"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 xml:space="preserve">Pērtiķiem, kas preparātu saņēma 2 nedēļas, novēroja toksisku ietekmi uz nierēm, kas izpaudās kā fokālā mineralizācija, kā arī nieru tubulu paplašināšanās un tubulāra nefroze. Dažiem no šiem dzīvniekiem novēroja asins atlieku slāpekļa BUN un kreatinīna koncentrācijas pieaugumu. Žurkām 13 nedēļas ilga pētījuma laikā, lietojot </w:t>
      </w:r>
      <w:r w:rsidRPr="00CD729C">
        <w:rPr>
          <w:color w:val="000000"/>
          <w:szCs w:val="22"/>
        </w:rPr>
        <w:sym w:font="Symbol" w:char="F0B3"/>
      </w:r>
      <w:r w:rsidRPr="00CD729C">
        <w:rPr>
          <w:color w:val="000000"/>
          <w:szCs w:val="22"/>
        </w:rPr>
        <w:t>6 mg/kg lielas preparāta devas, novēroja nieru papillas un urīnpūšļa epitēlija pārejoša hiperplāzija bez pārmaiņām serumā vai urīna parametros. Ilgstošas imatiniba terapijas rezultātā tika novērots palielināts oportūnistisko infekciju biežums.</w:t>
      </w:r>
    </w:p>
    <w:p w14:paraId="3D3948E5" w14:textId="77777777" w:rsidR="005117C7" w:rsidRPr="00CD729C" w:rsidRDefault="005117C7" w:rsidP="009B4BB6">
      <w:pPr>
        <w:widowControl w:val="0"/>
        <w:tabs>
          <w:tab w:val="clear" w:pos="567"/>
        </w:tabs>
        <w:spacing w:line="240" w:lineRule="auto"/>
        <w:rPr>
          <w:color w:val="000000"/>
          <w:szCs w:val="22"/>
        </w:rPr>
      </w:pPr>
    </w:p>
    <w:p w14:paraId="3D3948E6" w14:textId="77777777" w:rsidR="005117C7" w:rsidRPr="00CD729C" w:rsidRDefault="00FC69AB" w:rsidP="009B4BB6">
      <w:pPr>
        <w:widowControl w:val="0"/>
        <w:tabs>
          <w:tab w:val="clear" w:pos="567"/>
        </w:tabs>
        <w:spacing w:line="240" w:lineRule="auto"/>
        <w:rPr>
          <w:color w:val="000000"/>
          <w:szCs w:val="22"/>
        </w:rPr>
      </w:pPr>
      <w:r w:rsidRPr="00CD729C">
        <w:rPr>
          <w:color w:val="000000"/>
          <w:szCs w:val="22"/>
        </w:rPr>
        <w:t>39 nedēļas ilga pētījuma laikā, izmantojot pērtiķus un lietojot zemāko preparāta devu – 15 mg/kg, kas ir aptuveni viena trešā daļa no maksimālās cilvēkam paredzētās devas (800 mg), kas ir aprēķināta, ievērojot ķermeņa virsmas laukumu – deva, pie kuras</w:t>
      </w:r>
      <w:r w:rsidRPr="00CD729C" w:rsidDel="00B5603E">
        <w:rPr>
          <w:color w:val="000000"/>
          <w:szCs w:val="22"/>
        </w:rPr>
        <w:t xml:space="preserve"> </w:t>
      </w:r>
      <w:r w:rsidRPr="00CD729C">
        <w:rPr>
          <w:color w:val="000000"/>
          <w:szCs w:val="22"/>
        </w:rPr>
        <w:t xml:space="preserve">nenovēro blakusparādības </w:t>
      </w:r>
      <w:r w:rsidRPr="00CD729C">
        <w:rPr>
          <w:i/>
          <w:color w:val="000000"/>
          <w:szCs w:val="22"/>
        </w:rPr>
        <w:t>(NOAEL - no observed adverse effect level)</w:t>
      </w:r>
      <w:r w:rsidRPr="00CD729C">
        <w:rPr>
          <w:color w:val="000000"/>
          <w:szCs w:val="22"/>
        </w:rPr>
        <w:t xml:space="preserve"> nav noteikta. Terapijas sekas bija parastos apstākļos nomākto malārijas infekciju saasinājums.</w:t>
      </w:r>
    </w:p>
    <w:p w14:paraId="3D3948E7" w14:textId="77777777" w:rsidR="005117C7" w:rsidRPr="00CD729C" w:rsidRDefault="005117C7" w:rsidP="009B4BB6">
      <w:pPr>
        <w:widowControl w:val="0"/>
        <w:tabs>
          <w:tab w:val="clear" w:pos="567"/>
        </w:tabs>
        <w:spacing w:line="240" w:lineRule="auto"/>
        <w:rPr>
          <w:color w:val="000000"/>
          <w:szCs w:val="22"/>
        </w:rPr>
      </w:pPr>
    </w:p>
    <w:p w14:paraId="3D3948E8"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 xml:space="preserve">Pārbaudot </w:t>
      </w:r>
      <w:r w:rsidRPr="00CD729C">
        <w:rPr>
          <w:i/>
          <w:color w:val="000000"/>
          <w:szCs w:val="22"/>
        </w:rPr>
        <w:t>in vitro</w:t>
      </w:r>
      <w:r w:rsidRPr="00CD729C">
        <w:rPr>
          <w:color w:val="000000"/>
          <w:szCs w:val="22"/>
        </w:rPr>
        <w:t>, izmantojot baktēriju šūnu analīzi (</w:t>
      </w:r>
      <w:r w:rsidRPr="00CD729C">
        <w:rPr>
          <w:i/>
          <w:color w:val="000000"/>
          <w:szCs w:val="22"/>
        </w:rPr>
        <w:t xml:space="preserve">Ames </w:t>
      </w:r>
      <w:r w:rsidRPr="00CD729C">
        <w:rPr>
          <w:color w:val="000000"/>
          <w:szCs w:val="22"/>
        </w:rPr>
        <w:t xml:space="preserve">tests), zīdītāju šūnu analīzi (peļu limfomas tests), kā arī </w:t>
      </w:r>
      <w:r w:rsidRPr="00CD729C">
        <w:rPr>
          <w:i/>
          <w:color w:val="000000"/>
          <w:szCs w:val="22"/>
        </w:rPr>
        <w:t>in vivo</w:t>
      </w:r>
      <w:r w:rsidRPr="00CD729C">
        <w:rPr>
          <w:color w:val="000000"/>
          <w:szCs w:val="22"/>
        </w:rPr>
        <w:t>, izmantojot žurku audu kodoliņu testu, ir atzīts, ka imatinibam genotoksi</w:t>
      </w:r>
      <w:r w:rsidR="00DD2211" w:rsidRPr="00CD729C">
        <w:rPr>
          <w:color w:val="000000"/>
          <w:szCs w:val="22"/>
        </w:rPr>
        <w:t>s</w:t>
      </w:r>
      <w:r w:rsidRPr="00CD729C">
        <w:rPr>
          <w:color w:val="000000"/>
          <w:szCs w:val="22"/>
        </w:rPr>
        <w:t xml:space="preserve">kas ietekmes nav. Pozitīvi imatiniba genotoksicitātes rezultāti </w:t>
      </w:r>
      <w:r w:rsidRPr="00CD729C">
        <w:rPr>
          <w:i/>
          <w:color w:val="000000"/>
          <w:szCs w:val="22"/>
        </w:rPr>
        <w:t xml:space="preserve">in vitro </w:t>
      </w:r>
      <w:r w:rsidRPr="00CD729C">
        <w:rPr>
          <w:color w:val="000000"/>
          <w:szCs w:val="22"/>
        </w:rPr>
        <w:t xml:space="preserve">ir iegūti zīdītāju šūnu testā ar Ķīnas kāmju olnīcu audiem, pētot klastogenitāti (hromosomu aberācijas tests) metaboliskas aktivācijas apstākļos. Divi ražošanas procesā iegūtie starpprodukti, kas atrodas arī gatavajā preparātā, ir mutagēni (pēc </w:t>
      </w:r>
      <w:r w:rsidRPr="00CD729C">
        <w:rPr>
          <w:i/>
          <w:color w:val="000000"/>
          <w:szCs w:val="22"/>
        </w:rPr>
        <w:t xml:space="preserve">Ames </w:t>
      </w:r>
      <w:r w:rsidRPr="00CD729C">
        <w:rPr>
          <w:color w:val="000000"/>
          <w:szCs w:val="22"/>
        </w:rPr>
        <w:t>testa rezultātiem). Viens no šiem starpproduktiem pozitīvu mutagenitāti uzrāda arī peļu limfomas testā.</w:t>
      </w:r>
    </w:p>
    <w:p w14:paraId="3D3948E9" w14:textId="77777777" w:rsidR="005117C7" w:rsidRPr="00CD729C" w:rsidRDefault="005117C7" w:rsidP="009B4BB6">
      <w:pPr>
        <w:widowControl w:val="0"/>
        <w:tabs>
          <w:tab w:val="clear" w:pos="567"/>
        </w:tabs>
        <w:spacing w:line="240" w:lineRule="auto"/>
        <w:rPr>
          <w:color w:val="000000"/>
          <w:szCs w:val="22"/>
        </w:rPr>
      </w:pPr>
    </w:p>
    <w:p w14:paraId="3D3948EA"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 xml:space="preserve">Reprodukcijas spējas pētījumā žurku tēviņiem, kuri pirms pārošanās 70 dienas saņēma 60 mg/kg imatiniba, devu, kas atbilst maksimālajai klīniskajā praksē izmantojamajai devai (800 mg) un kas ir aprēķināta, ievērojot ķermeņa virsmas laukumu, samazinājās sēklinieku un to piedēkļu masa, kā arī kustīgo spermatozoīdu daudzums. Lietojot devu ≤20 mg/kg, parādību nenovēroja. Arī suņiem, perorāli lietojot </w:t>
      </w:r>
      <w:r w:rsidRPr="00CD729C">
        <w:rPr>
          <w:color w:val="000000"/>
          <w:szCs w:val="22"/>
        </w:rPr>
        <w:sym w:font="Symbol" w:char="F0B3"/>
      </w:r>
      <w:r w:rsidRPr="00CD729C">
        <w:rPr>
          <w:color w:val="000000"/>
          <w:szCs w:val="22"/>
        </w:rPr>
        <w:t>30 mg/kg imatiniba devas, novēroja vieglu vai vidēju spermatoģenēzes samazinājumu. Ja preparātu 14 dienas pirms pārošanās un 6 dienas pēc grūsnības iestāšanas deva žurku mātītēm, ietekmi uz pārošanos vai grūsno žurku skaitu nenovēroja. Lietojot 60 mg/kg lielu preparāta devu, žurku mātītēm ievērojamu pēcimplantācijas augļa bojāeju un dzīvo augļu skaita samazinājumu. Lietojot devu ≤20 mg/kg, šo parādību nenovēroja.</w:t>
      </w:r>
    </w:p>
    <w:p w14:paraId="3D3948EB" w14:textId="77777777" w:rsidR="005117C7" w:rsidRPr="00CD729C" w:rsidRDefault="005117C7" w:rsidP="009B4BB6">
      <w:pPr>
        <w:widowControl w:val="0"/>
        <w:tabs>
          <w:tab w:val="clear" w:pos="567"/>
        </w:tabs>
        <w:spacing w:line="240" w:lineRule="auto"/>
        <w:ind w:left="567" w:hanging="567"/>
        <w:rPr>
          <w:color w:val="000000"/>
          <w:szCs w:val="22"/>
        </w:rPr>
      </w:pPr>
    </w:p>
    <w:p w14:paraId="3D3948EC" w14:textId="77777777" w:rsidR="005117C7" w:rsidRPr="00CD729C" w:rsidRDefault="005117C7" w:rsidP="009B4BB6">
      <w:pPr>
        <w:widowControl w:val="0"/>
        <w:spacing w:line="240" w:lineRule="auto"/>
        <w:rPr>
          <w:color w:val="000000"/>
          <w:szCs w:val="22"/>
        </w:rPr>
      </w:pPr>
      <w:r w:rsidRPr="00CD729C">
        <w:rPr>
          <w:color w:val="000000"/>
          <w:szCs w:val="22"/>
        </w:rPr>
        <w:t>Prenatālās un postnatālās attīstības pētījumos, izmantojot žurkas, kas saņēma perorālas preparāta devas, dzīvnieku grupā, kas saņēma 45 mg/kg preparāta dienā, grūsnības 14 vai 15 dienā novēroja sarkanus izdalījumus no maksts. Šīs devas lietošanas gadījumā pieauga arī nedzīvi dzimušu mazuļu, kā arī 0 vai 4 pēcdzemdību dienā mirušo mazuļu skaits. F</w:t>
      </w:r>
      <w:r w:rsidRPr="00CD729C">
        <w:rPr>
          <w:color w:val="000000"/>
          <w:szCs w:val="22"/>
          <w:vertAlign w:val="subscript"/>
        </w:rPr>
        <w:t>1</w:t>
      </w:r>
      <w:r w:rsidRPr="00CD729C">
        <w:rPr>
          <w:color w:val="000000"/>
          <w:szCs w:val="22"/>
        </w:rPr>
        <w:t xml:space="preserve"> paaudzē, lietojot minēto devu, no dzimšanas līdz dzīvnieku nonāvēšanai to ķermeņa masa bija mazāka, kā arī, sasniedzot prepūcija separācijas kritērijus, nedaudz samazinājās atnešanās skaits. F</w:t>
      </w:r>
      <w:r w:rsidRPr="00CD729C">
        <w:rPr>
          <w:color w:val="000000"/>
          <w:szCs w:val="22"/>
          <w:vertAlign w:val="subscript"/>
        </w:rPr>
        <w:t>1</w:t>
      </w:r>
      <w:r w:rsidRPr="00CD729C">
        <w:rPr>
          <w:color w:val="000000"/>
          <w:szCs w:val="22"/>
        </w:rPr>
        <w:t xml:space="preserve"> paaudzē dzīvnieku fertilitāte traucēta nav, tomēr, lietojot 45 mg/kg preparāta dienā, paaugstinājās (augļa) resorbcijas biežums un samazinājās dzīvo augļu skaits. </w:t>
      </w:r>
      <w:r w:rsidR="00FC69AB" w:rsidRPr="00CD729C">
        <w:rPr>
          <w:color w:val="000000"/>
          <w:szCs w:val="22"/>
        </w:rPr>
        <w:t xml:space="preserve">Deva, kas neietekmē </w:t>
      </w:r>
      <w:r w:rsidR="00FC69AB" w:rsidRPr="00CD729C">
        <w:rPr>
          <w:i/>
          <w:color w:val="000000"/>
          <w:szCs w:val="22"/>
        </w:rPr>
        <w:t>(NOEL- no observed effect level)</w:t>
      </w:r>
      <w:r w:rsidR="00FC69AB" w:rsidRPr="00CD729C">
        <w:rPr>
          <w:color w:val="000000"/>
          <w:szCs w:val="22"/>
        </w:rPr>
        <w:t xml:space="preserve"> šādā veidā dzīvnieku mātītes un F</w:t>
      </w:r>
      <w:r w:rsidR="00FC69AB" w:rsidRPr="00CD729C">
        <w:rPr>
          <w:color w:val="000000"/>
          <w:szCs w:val="22"/>
          <w:vertAlign w:val="subscript"/>
        </w:rPr>
        <w:t>1</w:t>
      </w:r>
      <w:r w:rsidR="00FC69AB" w:rsidRPr="00CD729C">
        <w:rPr>
          <w:color w:val="000000"/>
          <w:szCs w:val="22"/>
        </w:rPr>
        <w:t xml:space="preserve"> paaudzes pēcnācējus, ir 15 mg/kg preparāta dienā (atbilst ceturtajai daļai maksimālās cilvēkam paredzētās devas 800 mg).</w:t>
      </w:r>
    </w:p>
    <w:p w14:paraId="3D3948ED" w14:textId="77777777" w:rsidR="005117C7" w:rsidRPr="00CD729C" w:rsidRDefault="005117C7" w:rsidP="009B4BB6">
      <w:pPr>
        <w:widowControl w:val="0"/>
        <w:tabs>
          <w:tab w:val="clear" w:pos="567"/>
        </w:tabs>
        <w:spacing w:line="240" w:lineRule="auto"/>
        <w:rPr>
          <w:color w:val="000000"/>
          <w:szCs w:val="22"/>
        </w:rPr>
      </w:pPr>
    </w:p>
    <w:p w14:paraId="3D3948EE"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Žurkām, organoģenēzes periodā ievadot preparātu ≥100 mg/kg, kas aptuveni atbilst maksimālajai cilvēkam paredzētajai devai 800 mg/dienā, kas aprēķināta pēc ķermeņa virsmas laukuma, imatinibs ir teratogēns. Teratogenitātes izpausmes ir eksencefālija vai galvas smadzeņu trūce, iztrūkstoši/samazināti frontālie un iztrūkstoši parietālie kauli. Lietojot devu ≤30 mg/kg, parādību nenovēroja.</w:t>
      </w:r>
    </w:p>
    <w:p w14:paraId="3D3948EF" w14:textId="77777777" w:rsidR="00E92A12" w:rsidRPr="00CD729C" w:rsidRDefault="00E92A12" w:rsidP="009B4BB6">
      <w:pPr>
        <w:widowControl w:val="0"/>
        <w:tabs>
          <w:tab w:val="clear" w:pos="567"/>
        </w:tabs>
        <w:spacing w:line="240" w:lineRule="auto"/>
        <w:rPr>
          <w:color w:val="000000"/>
          <w:szCs w:val="22"/>
        </w:rPr>
      </w:pPr>
    </w:p>
    <w:p w14:paraId="3D3948F0" w14:textId="77777777" w:rsidR="005117C7" w:rsidRPr="00CD729C" w:rsidRDefault="00E92A12" w:rsidP="009B4BB6">
      <w:pPr>
        <w:widowControl w:val="0"/>
        <w:tabs>
          <w:tab w:val="clear" w:pos="567"/>
        </w:tabs>
        <w:spacing w:line="240" w:lineRule="auto"/>
        <w:rPr>
          <w:rStyle w:val="hps"/>
        </w:rPr>
      </w:pPr>
      <w:r w:rsidRPr="00CD729C">
        <w:rPr>
          <w:rStyle w:val="hps"/>
        </w:rPr>
        <w:t>Žurku</w:t>
      </w:r>
      <w:r w:rsidRPr="00CD729C">
        <w:t xml:space="preserve"> </w:t>
      </w:r>
      <w:r w:rsidRPr="00CD729C">
        <w:rPr>
          <w:rStyle w:val="hps"/>
        </w:rPr>
        <w:t>mazuļu</w:t>
      </w:r>
      <w:r w:rsidRPr="00CD729C">
        <w:t xml:space="preserve"> </w:t>
      </w:r>
      <w:r w:rsidRPr="00CD729C">
        <w:rPr>
          <w:rStyle w:val="hps"/>
        </w:rPr>
        <w:t>attīstības</w:t>
      </w:r>
      <w:r w:rsidRPr="00CD729C">
        <w:t xml:space="preserve"> </w:t>
      </w:r>
      <w:r w:rsidRPr="00CD729C">
        <w:rPr>
          <w:rStyle w:val="hps"/>
        </w:rPr>
        <w:t>toksikoloģijas pētījumā</w:t>
      </w:r>
      <w:r w:rsidRPr="00CD729C">
        <w:t xml:space="preserve"> </w:t>
      </w:r>
      <w:r w:rsidRPr="00CD729C">
        <w:rPr>
          <w:rStyle w:val="hps"/>
        </w:rPr>
        <w:t>(10 līdz 70</w:t>
      </w:r>
      <w:r w:rsidRPr="00CD729C">
        <w:t xml:space="preserve"> dienu </w:t>
      </w:r>
      <w:r w:rsidRPr="00CD729C">
        <w:rPr>
          <w:rStyle w:val="hps"/>
        </w:rPr>
        <w:t>pēc atnešanās</w:t>
      </w:r>
      <w:r w:rsidRPr="00CD729C">
        <w:t xml:space="preserve">) </w:t>
      </w:r>
      <w:r w:rsidRPr="00CD729C">
        <w:rPr>
          <w:rStyle w:val="hps"/>
        </w:rPr>
        <w:t>jauni</w:t>
      </w:r>
      <w:r w:rsidRPr="00CD729C">
        <w:t xml:space="preserve"> </w:t>
      </w:r>
      <w:r w:rsidRPr="00CD729C">
        <w:rPr>
          <w:rStyle w:val="hps"/>
        </w:rPr>
        <w:t>mērķa</w:t>
      </w:r>
      <w:r w:rsidRPr="00CD729C">
        <w:t xml:space="preserve"> </w:t>
      </w:r>
      <w:r w:rsidRPr="00CD729C">
        <w:rPr>
          <w:rStyle w:val="hps"/>
        </w:rPr>
        <w:t>orgāni</w:t>
      </w:r>
      <w:r w:rsidRPr="00CD729C">
        <w:t xml:space="preserve"> </w:t>
      </w:r>
      <w:r w:rsidRPr="00CD729C">
        <w:lastRenderedPageBreak/>
        <w:t>ne</w:t>
      </w:r>
      <w:r w:rsidRPr="00CD729C">
        <w:rPr>
          <w:rStyle w:val="hps"/>
        </w:rPr>
        <w:t>tika</w:t>
      </w:r>
      <w:r w:rsidRPr="00CD729C">
        <w:t xml:space="preserve"> </w:t>
      </w:r>
      <w:r w:rsidRPr="00CD729C">
        <w:rPr>
          <w:rStyle w:val="hps"/>
        </w:rPr>
        <w:t>identificēti</w:t>
      </w:r>
      <w:r w:rsidRPr="00CD729C">
        <w:t xml:space="preserve"> </w:t>
      </w:r>
      <w:r w:rsidRPr="00CD729C">
        <w:rPr>
          <w:rStyle w:val="hps"/>
        </w:rPr>
        <w:t>attiecībā</w:t>
      </w:r>
      <w:r w:rsidRPr="00CD729C">
        <w:t xml:space="preserve"> </w:t>
      </w:r>
      <w:r w:rsidRPr="00CD729C">
        <w:rPr>
          <w:rStyle w:val="hps"/>
        </w:rPr>
        <w:t>pret</w:t>
      </w:r>
      <w:r w:rsidRPr="00CD729C">
        <w:t xml:space="preserve"> </w:t>
      </w:r>
      <w:r w:rsidRPr="00CD729C">
        <w:rPr>
          <w:rStyle w:val="hps"/>
        </w:rPr>
        <w:t>zināmajiem</w:t>
      </w:r>
      <w:r w:rsidRPr="00CD729C">
        <w:t xml:space="preserve"> </w:t>
      </w:r>
      <w:r w:rsidRPr="00CD729C">
        <w:rPr>
          <w:rStyle w:val="hps"/>
        </w:rPr>
        <w:t>mērķa</w:t>
      </w:r>
      <w:r w:rsidRPr="00CD729C">
        <w:t xml:space="preserve"> </w:t>
      </w:r>
      <w:r w:rsidRPr="00CD729C">
        <w:rPr>
          <w:rStyle w:val="hps"/>
        </w:rPr>
        <w:t>orgāniem</w:t>
      </w:r>
      <w:r w:rsidRPr="00CD729C">
        <w:t xml:space="preserve"> </w:t>
      </w:r>
      <w:r w:rsidRPr="00CD729C">
        <w:rPr>
          <w:rStyle w:val="hps"/>
        </w:rPr>
        <w:t>pieaugušām žurkām</w:t>
      </w:r>
      <w:r w:rsidRPr="00CD729C">
        <w:t xml:space="preserve">. </w:t>
      </w:r>
      <w:r w:rsidRPr="00CD729C">
        <w:rPr>
          <w:rStyle w:val="hps"/>
        </w:rPr>
        <w:t>Juvenīlajā</w:t>
      </w:r>
      <w:r w:rsidRPr="00CD729C">
        <w:t xml:space="preserve"> </w:t>
      </w:r>
      <w:r w:rsidRPr="00CD729C">
        <w:rPr>
          <w:rStyle w:val="hps"/>
        </w:rPr>
        <w:t>toksikoloģijas pētījumā</w:t>
      </w:r>
      <w:r w:rsidRPr="00CD729C">
        <w:t xml:space="preserve"> </w:t>
      </w:r>
      <w:r w:rsidRPr="00CD729C">
        <w:rPr>
          <w:rStyle w:val="hps"/>
        </w:rPr>
        <w:t>ietekmi uz</w:t>
      </w:r>
      <w:r w:rsidRPr="00CD729C">
        <w:t xml:space="preserve"> </w:t>
      </w:r>
      <w:r w:rsidRPr="00CD729C">
        <w:rPr>
          <w:rStyle w:val="hps"/>
        </w:rPr>
        <w:t>augšanu,</w:t>
      </w:r>
      <w:r w:rsidRPr="00CD729C">
        <w:t xml:space="preserve"> </w:t>
      </w:r>
      <w:r w:rsidRPr="00CD729C">
        <w:rPr>
          <w:rStyle w:val="hps"/>
        </w:rPr>
        <w:t>vagīnas atvēršanās</w:t>
      </w:r>
      <w:r w:rsidRPr="00CD729C">
        <w:t xml:space="preserve"> </w:t>
      </w:r>
      <w:r w:rsidRPr="00CD729C">
        <w:rPr>
          <w:rStyle w:val="hps"/>
        </w:rPr>
        <w:t>kavēšanos un prepūcija</w:t>
      </w:r>
      <w:r w:rsidRPr="00CD729C">
        <w:t xml:space="preserve"> </w:t>
      </w:r>
      <w:r w:rsidRPr="00CD729C">
        <w:rPr>
          <w:rStyle w:val="hps"/>
        </w:rPr>
        <w:t>atdalīšanos</w:t>
      </w:r>
      <w:r w:rsidRPr="00CD729C">
        <w:t xml:space="preserve"> </w:t>
      </w:r>
      <w:r w:rsidRPr="00CD729C">
        <w:rPr>
          <w:rStyle w:val="hps"/>
        </w:rPr>
        <w:t>novēroja</w:t>
      </w:r>
      <w:r w:rsidRPr="00CD729C">
        <w:t xml:space="preserve"> </w:t>
      </w:r>
      <w:r w:rsidRPr="00CD729C">
        <w:rPr>
          <w:rStyle w:val="hps"/>
        </w:rPr>
        <w:t>aptuveni 0,3</w:t>
      </w:r>
      <w:r w:rsidRPr="00CD729C">
        <w:t xml:space="preserve"> </w:t>
      </w:r>
      <w:r w:rsidRPr="00CD729C">
        <w:rPr>
          <w:rStyle w:val="hps"/>
        </w:rPr>
        <w:t>līdz 2 reizes biežāk nekā vidēji</w:t>
      </w:r>
      <w:r w:rsidRPr="00CD729C">
        <w:t xml:space="preserve"> </w:t>
      </w:r>
      <w:r w:rsidRPr="00CD729C">
        <w:rPr>
          <w:rStyle w:val="hps"/>
        </w:rPr>
        <w:t>pediatriskajā populācijā, lietojot</w:t>
      </w:r>
      <w:r w:rsidRPr="00CD729C">
        <w:t xml:space="preserve"> </w:t>
      </w:r>
      <w:r w:rsidRPr="00CD729C">
        <w:rPr>
          <w:rStyle w:val="hps"/>
        </w:rPr>
        <w:t>augstāko ieteikto</w:t>
      </w:r>
      <w:r w:rsidRPr="00CD729C">
        <w:t xml:space="preserve"> </w:t>
      </w:r>
      <w:r w:rsidRPr="00CD729C">
        <w:rPr>
          <w:rStyle w:val="hps"/>
        </w:rPr>
        <w:t>devu</w:t>
      </w:r>
      <w:r w:rsidRPr="00CD729C">
        <w:t xml:space="preserve"> - 340 mg/m</w:t>
      </w:r>
      <w:r w:rsidRPr="00CD729C">
        <w:rPr>
          <w:vertAlign w:val="superscript"/>
        </w:rPr>
        <w:t>2</w:t>
      </w:r>
      <w:r w:rsidRPr="00CD729C">
        <w:rPr>
          <w:rStyle w:val="hps"/>
        </w:rPr>
        <w:t>. Turklāt</w:t>
      </w:r>
      <w:r w:rsidRPr="00CD729C">
        <w:t xml:space="preserve">, </w:t>
      </w:r>
      <w:r w:rsidRPr="00CD729C">
        <w:rPr>
          <w:rStyle w:val="hps"/>
        </w:rPr>
        <w:t>mirstība,</w:t>
      </w:r>
      <w:r w:rsidRPr="00CD729C">
        <w:t xml:space="preserve"> kas </w:t>
      </w:r>
      <w:r w:rsidRPr="00CD729C">
        <w:rPr>
          <w:rStyle w:val="hps"/>
        </w:rPr>
        <w:t>tika novērota</w:t>
      </w:r>
      <w:r w:rsidRPr="00CD729C">
        <w:t xml:space="preserve"> </w:t>
      </w:r>
      <w:r w:rsidRPr="00CD729C">
        <w:rPr>
          <w:rStyle w:val="hps"/>
        </w:rPr>
        <w:t>juvenīlajiem dzīvniekiem</w:t>
      </w:r>
      <w:r w:rsidRPr="00CD729C">
        <w:t xml:space="preserve"> </w:t>
      </w:r>
      <w:r w:rsidRPr="00CD729C">
        <w:rPr>
          <w:rStyle w:val="hps"/>
        </w:rPr>
        <w:t>(aptuveni</w:t>
      </w:r>
      <w:r w:rsidRPr="00CD729C">
        <w:t xml:space="preserve"> </w:t>
      </w:r>
      <w:r w:rsidRPr="00CD729C">
        <w:rPr>
          <w:rStyle w:val="hps"/>
        </w:rPr>
        <w:t>atšķiršanas</w:t>
      </w:r>
      <w:r w:rsidRPr="00CD729C">
        <w:t xml:space="preserve"> </w:t>
      </w:r>
      <w:r w:rsidRPr="00CD729C">
        <w:rPr>
          <w:rStyle w:val="hps"/>
        </w:rPr>
        <w:t>laikā</w:t>
      </w:r>
      <w:r w:rsidRPr="00CD729C">
        <w:t xml:space="preserve">), aptuveni </w:t>
      </w:r>
      <w:r w:rsidRPr="00CD729C">
        <w:rPr>
          <w:rStyle w:val="hps"/>
        </w:rPr>
        <w:t>2</w:t>
      </w:r>
      <w:r w:rsidRPr="00CD729C">
        <w:t xml:space="preserve"> </w:t>
      </w:r>
      <w:r w:rsidRPr="00CD729C">
        <w:rPr>
          <w:rStyle w:val="hps"/>
        </w:rPr>
        <w:t>reizes</w:t>
      </w:r>
      <w:r w:rsidRPr="00CD729C">
        <w:t xml:space="preserve"> pārsniedza </w:t>
      </w:r>
      <w:r w:rsidRPr="00CD729C">
        <w:rPr>
          <w:rStyle w:val="hps"/>
        </w:rPr>
        <w:t>vidējo rādītāju</w:t>
      </w:r>
      <w:r w:rsidRPr="00CD729C">
        <w:t xml:space="preserve"> </w:t>
      </w:r>
      <w:r w:rsidRPr="00CD729C">
        <w:rPr>
          <w:rStyle w:val="hps"/>
        </w:rPr>
        <w:t>pediatriskajā populācijā,</w:t>
      </w:r>
      <w:r w:rsidRPr="00CD729C">
        <w:t xml:space="preserve"> </w:t>
      </w:r>
      <w:r w:rsidRPr="00CD729C">
        <w:rPr>
          <w:rStyle w:val="hps"/>
        </w:rPr>
        <w:t>lietojot</w:t>
      </w:r>
      <w:r w:rsidRPr="00CD729C">
        <w:t xml:space="preserve"> </w:t>
      </w:r>
      <w:r w:rsidRPr="00CD729C">
        <w:rPr>
          <w:rStyle w:val="hps"/>
        </w:rPr>
        <w:t>augstāko ieteikto</w:t>
      </w:r>
      <w:r w:rsidRPr="00CD729C">
        <w:t xml:space="preserve"> </w:t>
      </w:r>
      <w:r w:rsidRPr="00CD729C">
        <w:rPr>
          <w:rStyle w:val="hps"/>
        </w:rPr>
        <w:t>devu</w:t>
      </w:r>
      <w:r w:rsidRPr="00CD729C">
        <w:t xml:space="preserve"> - 340 mg/m</w:t>
      </w:r>
      <w:r w:rsidRPr="00CD729C">
        <w:rPr>
          <w:vertAlign w:val="superscript"/>
        </w:rPr>
        <w:t>2</w:t>
      </w:r>
      <w:r w:rsidRPr="00CD729C">
        <w:rPr>
          <w:rStyle w:val="hps"/>
        </w:rPr>
        <w:t>.</w:t>
      </w:r>
    </w:p>
    <w:p w14:paraId="3D3948F1" w14:textId="77777777" w:rsidR="00E92A12" w:rsidRPr="00CD729C" w:rsidRDefault="00E92A12" w:rsidP="009B4BB6">
      <w:pPr>
        <w:widowControl w:val="0"/>
        <w:tabs>
          <w:tab w:val="clear" w:pos="567"/>
        </w:tabs>
        <w:spacing w:line="240" w:lineRule="auto"/>
        <w:rPr>
          <w:color w:val="000000"/>
          <w:szCs w:val="22"/>
        </w:rPr>
      </w:pPr>
    </w:p>
    <w:p w14:paraId="3D3948F2" w14:textId="77777777" w:rsidR="003B306A" w:rsidRPr="00CD729C" w:rsidRDefault="003B306A" w:rsidP="009B4BB6">
      <w:pPr>
        <w:widowControl w:val="0"/>
        <w:spacing w:line="240" w:lineRule="auto"/>
        <w:rPr>
          <w:bCs/>
          <w:color w:val="000000"/>
          <w:szCs w:val="22"/>
        </w:rPr>
      </w:pPr>
      <w:r w:rsidRPr="00CD729C">
        <w:rPr>
          <w:bCs/>
          <w:color w:val="000000"/>
          <w:szCs w:val="22"/>
        </w:rPr>
        <w:t>2 gadu karcinogenitātes pētījums ar žurkām, kuras saņēma 15, 30 un 60 mg/kg/dienā imatiniba devas, parādīja statistiski ievēroja</w:t>
      </w:r>
      <w:r w:rsidR="00254F4D" w:rsidRPr="00CD729C">
        <w:rPr>
          <w:bCs/>
          <w:color w:val="000000"/>
          <w:szCs w:val="22"/>
        </w:rPr>
        <w:t>mu</w:t>
      </w:r>
      <w:r w:rsidRPr="00CD729C">
        <w:rPr>
          <w:bCs/>
          <w:color w:val="000000"/>
          <w:szCs w:val="22"/>
        </w:rPr>
        <w:t xml:space="preserve"> dzīvildzes samazinājumu, tēviņiem saņemot 60 mg/kg/dienā un mātītēm saņemot ≥30 mg/kg/dienā. Mirušo histopatoloģiskā izmeklēšan</w:t>
      </w:r>
      <w:r w:rsidR="00C06DC1" w:rsidRPr="00CD729C">
        <w:rPr>
          <w:bCs/>
          <w:color w:val="000000"/>
          <w:szCs w:val="22"/>
        </w:rPr>
        <w:t>ā kā galvenie nāves iemesli tika konstatēti kardiomiopātija</w:t>
      </w:r>
      <w:r w:rsidRPr="00CD729C">
        <w:rPr>
          <w:bCs/>
          <w:color w:val="000000"/>
          <w:szCs w:val="22"/>
        </w:rPr>
        <w:t xml:space="preserve"> (</w:t>
      </w:r>
      <w:r w:rsidR="00C06DC1" w:rsidRPr="00CD729C">
        <w:rPr>
          <w:bCs/>
          <w:color w:val="000000"/>
          <w:szCs w:val="22"/>
        </w:rPr>
        <w:t>abiem dzimumiem</w:t>
      </w:r>
      <w:r w:rsidRPr="00CD729C">
        <w:rPr>
          <w:bCs/>
          <w:color w:val="000000"/>
          <w:szCs w:val="22"/>
        </w:rPr>
        <w:t xml:space="preserve">), </w:t>
      </w:r>
      <w:r w:rsidR="00C06DC1" w:rsidRPr="00CD729C">
        <w:rPr>
          <w:bCs/>
          <w:color w:val="000000"/>
          <w:szCs w:val="22"/>
        </w:rPr>
        <w:t>hroniska progresējoša nefropātija (sieviešu dzimuma indivīdiem</w:t>
      </w:r>
      <w:r w:rsidRPr="00CD729C">
        <w:rPr>
          <w:bCs/>
          <w:color w:val="000000"/>
          <w:szCs w:val="22"/>
        </w:rPr>
        <w:t xml:space="preserve">) </w:t>
      </w:r>
      <w:r w:rsidR="00C06DC1" w:rsidRPr="00CD729C">
        <w:rPr>
          <w:bCs/>
          <w:color w:val="000000"/>
          <w:szCs w:val="22"/>
        </w:rPr>
        <w:t>un prepūcija dziedzera papillomu veidošanās</w:t>
      </w:r>
      <w:r w:rsidRPr="00CD729C">
        <w:rPr>
          <w:bCs/>
          <w:color w:val="000000"/>
          <w:szCs w:val="22"/>
        </w:rPr>
        <w:t xml:space="preserve">. </w:t>
      </w:r>
      <w:r w:rsidR="00943A9D" w:rsidRPr="00CD729C">
        <w:rPr>
          <w:bCs/>
          <w:color w:val="000000"/>
          <w:szCs w:val="22"/>
        </w:rPr>
        <w:t>Neoplastisko izmaiņu mērķa orgāni bija nieres, urīnpūslis, urīnizvadkanāls, prepūcija</w:t>
      </w:r>
      <w:r w:rsidR="00254F4D" w:rsidRPr="00CD729C">
        <w:rPr>
          <w:bCs/>
          <w:color w:val="000000"/>
          <w:szCs w:val="22"/>
        </w:rPr>
        <w:t xml:space="preserve"> un </w:t>
      </w:r>
      <w:r w:rsidR="00943A9D" w:rsidRPr="00CD729C">
        <w:rPr>
          <w:bCs/>
          <w:color w:val="000000"/>
          <w:szCs w:val="22"/>
        </w:rPr>
        <w:t xml:space="preserve">klitora dziedzeris, </w:t>
      </w:r>
      <w:r w:rsidR="00BA7E7C" w:rsidRPr="00CD729C">
        <w:rPr>
          <w:bCs/>
          <w:color w:val="000000"/>
          <w:szCs w:val="22"/>
        </w:rPr>
        <w:t>tievā zarna,</w:t>
      </w:r>
      <w:r w:rsidRPr="00CD729C">
        <w:rPr>
          <w:bCs/>
          <w:color w:val="000000"/>
          <w:szCs w:val="22"/>
        </w:rPr>
        <w:t xml:space="preserve"> </w:t>
      </w:r>
      <w:r w:rsidR="007F7447" w:rsidRPr="00CD729C">
        <w:rPr>
          <w:bCs/>
          <w:color w:val="000000"/>
          <w:szCs w:val="22"/>
        </w:rPr>
        <w:t>epitēlijķermenīši</w:t>
      </w:r>
      <w:r w:rsidR="00BA7E7C" w:rsidRPr="00CD729C">
        <w:rPr>
          <w:bCs/>
          <w:color w:val="000000"/>
          <w:szCs w:val="22"/>
        </w:rPr>
        <w:t xml:space="preserve">, virsnieres un </w:t>
      </w:r>
      <w:r w:rsidR="00F5312A" w:rsidRPr="00CD729C">
        <w:rPr>
          <w:bCs/>
          <w:color w:val="000000"/>
          <w:szCs w:val="22"/>
        </w:rPr>
        <w:t>kuņģa daļās ar atrofētiem dziedzeriem</w:t>
      </w:r>
      <w:r w:rsidRPr="00CD729C">
        <w:rPr>
          <w:bCs/>
          <w:color w:val="000000"/>
          <w:szCs w:val="22"/>
        </w:rPr>
        <w:t>.</w:t>
      </w:r>
    </w:p>
    <w:p w14:paraId="3D3948F3" w14:textId="77777777" w:rsidR="00FC69AB" w:rsidRPr="00CD729C" w:rsidRDefault="00FC69AB" w:rsidP="009B4BB6">
      <w:pPr>
        <w:widowControl w:val="0"/>
        <w:spacing w:line="240" w:lineRule="auto"/>
        <w:rPr>
          <w:bCs/>
          <w:color w:val="000000"/>
          <w:szCs w:val="22"/>
        </w:rPr>
      </w:pPr>
    </w:p>
    <w:p w14:paraId="3D3948F4" w14:textId="77777777" w:rsidR="00F83C00" w:rsidRPr="00CD729C" w:rsidRDefault="00FC69AB" w:rsidP="009B4BB6">
      <w:pPr>
        <w:widowControl w:val="0"/>
        <w:spacing w:line="240" w:lineRule="auto"/>
        <w:rPr>
          <w:bCs/>
          <w:color w:val="000000"/>
          <w:szCs w:val="22"/>
        </w:rPr>
      </w:pPr>
      <w:r w:rsidRPr="00CD729C">
        <w:rPr>
          <w:bCs/>
          <w:color w:val="000000"/>
          <w:szCs w:val="22"/>
        </w:rPr>
        <w:t xml:space="preserve">Prepūcija/klitora dziedzera papilloma/karcinoma tika novērota, lietojot </w:t>
      </w:r>
      <w:r w:rsidR="00F52C97" w:rsidRPr="00CD729C">
        <w:rPr>
          <w:bCs/>
          <w:color w:val="000000"/>
          <w:szCs w:val="22"/>
        </w:rPr>
        <w:t xml:space="preserve">vairāk </w:t>
      </w:r>
      <w:r w:rsidR="00963048" w:rsidRPr="00CD729C">
        <w:rPr>
          <w:bCs/>
          <w:color w:val="000000"/>
          <w:szCs w:val="22"/>
        </w:rPr>
        <w:t>ne</w:t>
      </w:r>
      <w:r w:rsidR="00F52C97" w:rsidRPr="00CD729C">
        <w:rPr>
          <w:bCs/>
          <w:color w:val="000000"/>
          <w:szCs w:val="22"/>
        </w:rPr>
        <w:t xml:space="preserve">kā </w:t>
      </w:r>
      <w:r w:rsidRPr="00CD729C">
        <w:rPr>
          <w:bCs/>
          <w:color w:val="000000"/>
          <w:szCs w:val="22"/>
        </w:rPr>
        <w:t>30 mg/kg/dienā dev</w:t>
      </w:r>
      <w:r w:rsidR="00F52C97" w:rsidRPr="00CD729C">
        <w:rPr>
          <w:bCs/>
          <w:color w:val="000000"/>
          <w:szCs w:val="22"/>
        </w:rPr>
        <w:t>u</w:t>
      </w:r>
      <w:r w:rsidRPr="00CD729C">
        <w:rPr>
          <w:bCs/>
          <w:color w:val="000000"/>
          <w:szCs w:val="22"/>
        </w:rPr>
        <w:t>, kas aptuveni 0,5 vai 0,3 reizes pārsniedz cilvēka dienas devu (pēc AUC) 400 mg/dienā vai 800 mg/dienā, un attiecīgi 0,4 reizes pārsniedz bērna dienas devu (pēc AUC) 340 mg/</w:t>
      </w:r>
      <w:r w:rsidR="00844889" w:rsidRPr="00CD729C">
        <w:rPr>
          <w:bCs/>
          <w:color w:val="000000"/>
        </w:rPr>
        <w:t>m</w:t>
      </w:r>
      <w:r w:rsidR="00844889" w:rsidRPr="00CD729C">
        <w:rPr>
          <w:bCs/>
          <w:color w:val="000000"/>
          <w:szCs w:val="22"/>
          <w:vertAlign w:val="superscript"/>
        </w:rPr>
        <w:t>2</w:t>
      </w:r>
      <w:r w:rsidR="00844889" w:rsidRPr="00CD729C">
        <w:rPr>
          <w:bCs/>
          <w:color w:val="000000"/>
          <w:szCs w:val="22"/>
        </w:rPr>
        <w:t>/</w:t>
      </w:r>
      <w:r w:rsidRPr="00CD729C">
        <w:rPr>
          <w:bCs/>
          <w:color w:val="000000"/>
          <w:szCs w:val="22"/>
        </w:rPr>
        <w:t xml:space="preserve">dienā. </w:t>
      </w:r>
      <w:r w:rsidR="00F52C97" w:rsidRPr="00CD729C">
        <w:rPr>
          <w:bCs/>
          <w:color w:val="000000"/>
          <w:szCs w:val="22"/>
        </w:rPr>
        <w:t xml:space="preserve">Deva, kas neradīja novērojamu iedarbību </w:t>
      </w:r>
      <w:r w:rsidR="00807314" w:rsidRPr="00CD729C">
        <w:rPr>
          <w:i/>
          <w:color w:val="000000"/>
          <w:szCs w:val="22"/>
        </w:rPr>
        <w:t>(NOEL</w:t>
      </w:r>
      <w:r w:rsidR="00783051" w:rsidRPr="00CD729C">
        <w:rPr>
          <w:i/>
          <w:color w:val="000000"/>
          <w:szCs w:val="22"/>
        </w:rPr>
        <w:t xml:space="preserve"> </w:t>
      </w:r>
      <w:r w:rsidR="00807314" w:rsidRPr="00CD729C">
        <w:rPr>
          <w:i/>
          <w:color w:val="000000"/>
          <w:szCs w:val="22"/>
        </w:rPr>
        <w:t>- no observed effect level)</w:t>
      </w:r>
      <w:r w:rsidR="00807314" w:rsidRPr="00CD729C">
        <w:rPr>
          <w:color w:val="000000"/>
          <w:szCs w:val="22"/>
        </w:rPr>
        <w:t xml:space="preserve"> </w:t>
      </w:r>
      <w:r w:rsidR="00F52C97" w:rsidRPr="00CD729C">
        <w:rPr>
          <w:bCs/>
          <w:color w:val="000000"/>
          <w:szCs w:val="22"/>
        </w:rPr>
        <w:t xml:space="preserve">bija 15 mg/kg/dienā. </w:t>
      </w:r>
      <w:r w:rsidR="00B37BDC" w:rsidRPr="00CD729C">
        <w:rPr>
          <w:bCs/>
          <w:color w:val="000000"/>
          <w:szCs w:val="22"/>
        </w:rPr>
        <w:t>N</w:t>
      </w:r>
      <w:r w:rsidR="00806075" w:rsidRPr="00CD729C">
        <w:rPr>
          <w:bCs/>
          <w:color w:val="000000"/>
          <w:szCs w:val="22"/>
        </w:rPr>
        <w:t>ieru adenom</w:t>
      </w:r>
      <w:r w:rsidR="00022FD1" w:rsidRPr="00CD729C">
        <w:rPr>
          <w:bCs/>
          <w:color w:val="000000"/>
          <w:szCs w:val="22"/>
        </w:rPr>
        <w:t>u</w:t>
      </w:r>
      <w:r w:rsidR="00806075" w:rsidRPr="00CD729C">
        <w:rPr>
          <w:bCs/>
          <w:color w:val="000000"/>
          <w:szCs w:val="22"/>
        </w:rPr>
        <w:t>/karcinom</w:t>
      </w:r>
      <w:r w:rsidR="00A96D1B" w:rsidRPr="00CD729C">
        <w:rPr>
          <w:bCs/>
          <w:color w:val="000000"/>
          <w:szCs w:val="22"/>
        </w:rPr>
        <w:t>u</w:t>
      </w:r>
      <w:r w:rsidR="00F83C00" w:rsidRPr="00CD729C">
        <w:rPr>
          <w:bCs/>
          <w:color w:val="000000"/>
          <w:szCs w:val="22"/>
        </w:rPr>
        <w:t xml:space="preserve">, </w:t>
      </w:r>
      <w:r w:rsidR="00A96D1B" w:rsidRPr="00CD729C">
        <w:rPr>
          <w:bCs/>
          <w:color w:val="000000"/>
          <w:szCs w:val="22"/>
        </w:rPr>
        <w:t xml:space="preserve">urīnpūšļa un urīnizvadkanāla </w:t>
      </w:r>
      <w:r w:rsidR="00F83C00" w:rsidRPr="00CD729C">
        <w:rPr>
          <w:bCs/>
          <w:color w:val="000000"/>
          <w:szCs w:val="22"/>
        </w:rPr>
        <w:t>papillom</w:t>
      </w:r>
      <w:r w:rsidR="00A96D1B" w:rsidRPr="00CD729C">
        <w:rPr>
          <w:bCs/>
          <w:color w:val="000000"/>
          <w:szCs w:val="22"/>
        </w:rPr>
        <w:t>u</w:t>
      </w:r>
      <w:r w:rsidR="00F83C00" w:rsidRPr="00CD729C">
        <w:rPr>
          <w:bCs/>
          <w:color w:val="000000"/>
          <w:szCs w:val="22"/>
        </w:rPr>
        <w:t>, t</w:t>
      </w:r>
      <w:r w:rsidR="00A96D1B" w:rsidRPr="00CD729C">
        <w:rPr>
          <w:bCs/>
          <w:color w:val="000000"/>
          <w:szCs w:val="22"/>
        </w:rPr>
        <w:t>ievās zarnas</w:t>
      </w:r>
      <w:r w:rsidR="00F83C00" w:rsidRPr="00CD729C">
        <w:rPr>
          <w:bCs/>
          <w:color w:val="000000"/>
          <w:szCs w:val="22"/>
        </w:rPr>
        <w:t xml:space="preserve"> adeno</w:t>
      </w:r>
      <w:r w:rsidR="00A96D1B" w:rsidRPr="00CD729C">
        <w:rPr>
          <w:bCs/>
          <w:color w:val="000000"/>
          <w:szCs w:val="22"/>
        </w:rPr>
        <w:t>k</w:t>
      </w:r>
      <w:r w:rsidR="00F83C00" w:rsidRPr="00CD729C">
        <w:rPr>
          <w:bCs/>
          <w:color w:val="000000"/>
          <w:szCs w:val="22"/>
        </w:rPr>
        <w:t>arcinom</w:t>
      </w:r>
      <w:r w:rsidR="00A96D1B" w:rsidRPr="00CD729C">
        <w:rPr>
          <w:bCs/>
          <w:color w:val="000000"/>
          <w:szCs w:val="22"/>
        </w:rPr>
        <w:t>u</w:t>
      </w:r>
      <w:r w:rsidR="00F83C00" w:rsidRPr="00CD729C">
        <w:rPr>
          <w:bCs/>
          <w:color w:val="000000"/>
          <w:szCs w:val="22"/>
        </w:rPr>
        <w:t xml:space="preserve">, </w:t>
      </w:r>
      <w:r w:rsidR="007F7447" w:rsidRPr="00CD729C">
        <w:rPr>
          <w:bCs/>
          <w:color w:val="000000"/>
          <w:szCs w:val="22"/>
        </w:rPr>
        <w:t>epitēlijķermenīšu</w:t>
      </w:r>
      <w:r w:rsidR="00A96D1B" w:rsidRPr="00CD729C">
        <w:rPr>
          <w:bCs/>
          <w:color w:val="000000"/>
          <w:szCs w:val="22"/>
        </w:rPr>
        <w:t xml:space="preserve"> </w:t>
      </w:r>
      <w:r w:rsidR="00F83C00" w:rsidRPr="00CD729C">
        <w:rPr>
          <w:bCs/>
          <w:color w:val="000000"/>
          <w:szCs w:val="22"/>
        </w:rPr>
        <w:t>adenom</w:t>
      </w:r>
      <w:r w:rsidR="00A96D1B" w:rsidRPr="00CD729C">
        <w:rPr>
          <w:bCs/>
          <w:color w:val="000000"/>
          <w:szCs w:val="22"/>
        </w:rPr>
        <w:t>u</w:t>
      </w:r>
      <w:r w:rsidR="00F83C00" w:rsidRPr="00CD729C">
        <w:rPr>
          <w:bCs/>
          <w:color w:val="000000"/>
          <w:szCs w:val="22"/>
        </w:rPr>
        <w:t xml:space="preserve">, </w:t>
      </w:r>
      <w:r w:rsidR="00A96D1B" w:rsidRPr="00CD729C">
        <w:rPr>
          <w:bCs/>
          <w:color w:val="000000"/>
          <w:szCs w:val="22"/>
        </w:rPr>
        <w:t xml:space="preserve">virsnieru serdes labdabīgu un ļaundabīgu audzēju un </w:t>
      </w:r>
      <w:r w:rsidR="00F5312A" w:rsidRPr="00CD729C">
        <w:rPr>
          <w:bCs/>
          <w:color w:val="000000"/>
          <w:szCs w:val="22"/>
        </w:rPr>
        <w:t>kuņģa daļu ar atrofētiem dziedzeriem</w:t>
      </w:r>
      <w:r w:rsidR="00A96D1B" w:rsidRPr="00CD729C">
        <w:rPr>
          <w:bCs/>
          <w:color w:val="000000"/>
          <w:szCs w:val="22"/>
        </w:rPr>
        <w:t xml:space="preserve"> papillomu/karcinomu veidošan</w:t>
      </w:r>
      <w:r w:rsidR="00B37BDC" w:rsidRPr="00CD729C">
        <w:rPr>
          <w:bCs/>
          <w:color w:val="000000"/>
          <w:szCs w:val="22"/>
        </w:rPr>
        <w:t>ā</w:t>
      </w:r>
      <w:r w:rsidR="00A96D1B" w:rsidRPr="00CD729C">
        <w:rPr>
          <w:bCs/>
          <w:color w:val="000000"/>
          <w:szCs w:val="22"/>
        </w:rPr>
        <w:t>s</w:t>
      </w:r>
      <w:r w:rsidR="00B37BDC" w:rsidRPr="00CD729C">
        <w:rPr>
          <w:bCs/>
          <w:color w:val="000000"/>
          <w:szCs w:val="22"/>
        </w:rPr>
        <w:t xml:space="preserve"> tika novērota lietojot 60 mg/kg/dienā devu, </w:t>
      </w:r>
      <w:r w:rsidR="00F52C97" w:rsidRPr="00CD729C">
        <w:rPr>
          <w:bCs/>
          <w:color w:val="000000"/>
          <w:szCs w:val="22"/>
        </w:rPr>
        <w:t xml:space="preserve">kas aptuveni </w:t>
      </w:r>
      <w:r w:rsidR="00AB527B" w:rsidRPr="00CD729C">
        <w:rPr>
          <w:bCs/>
          <w:color w:val="000000"/>
          <w:szCs w:val="22"/>
        </w:rPr>
        <w:t>1</w:t>
      </w:r>
      <w:r w:rsidR="009172D7" w:rsidRPr="00CD729C">
        <w:rPr>
          <w:bCs/>
          <w:color w:val="000000"/>
          <w:szCs w:val="22"/>
        </w:rPr>
        <w:t>,7</w:t>
      </w:r>
      <w:r w:rsidR="00394EE9" w:rsidRPr="00CD729C">
        <w:rPr>
          <w:bCs/>
          <w:color w:val="000000"/>
          <w:szCs w:val="22"/>
        </w:rPr>
        <w:t> </w:t>
      </w:r>
      <w:r w:rsidR="009172D7" w:rsidRPr="00CD729C">
        <w:rPr>
          <w:bCs/>
          <w:color w:val="000000"/>
          <w:szCs w:val="22"/>
        </w:rPr>
        <w:t>vai</w:t>
      </w:r>
      <w:r w:rsidR="00394EE9" w:rsidRPr="00CD729C">
        <w:rPr>
          <w:bCs/>
          <w:color w:val="000000"/>
          <w:szCs w:val="22"/>
        </w:rPr>
        <w:t xml:space="preserve"> </w:t>
      </w:r>
      <w:r w:rsidR="009172D7" w:rsidRPr="00CD729C">
        <w:rPr>
          <w:bCs/>
          <w:color w:val="000000"/>
          <w:szCs w:val="22"/>
        </w:rPr>
        <w:t>1</w:t>
      </w:r>
      <w:r w:rsidR="00F52C97" w:rsidRPr="00CD729C">
        <w:rPr>
          <w:bCs/>
          <w:color w:val="000000"/>
          <w:szCs w:val="22"/>
        </w:rPr>
        <w:t> reiz</w:t>
      </w:r>
      <w:r w:rsidR="009172D7" w:rsidRPr="00CD729C">
        <w:rPr>
          <w:bCs/>
          <w:color w:val="000000"/>
          <w:szCs w:val="22"/>
        </w:rPr>
        <w:t>i</w:t>
      </w:r>
      <w:r w:rsidR="00F52C97" w:rsidRPr="00CD729C">
        <w:rPr>
          <w:bCs/>
          <w:color w:val="000000"/>
          <w:szCs w:val="22"/>
        </w:rPr>
        <w:t xml:space="preserve"> pārsniedz cilvēka dienas devu (pēc AUC) 400 mg/dienā vai 800 mg/dienā, un attiecīgi </w:t>
      </w:r>
      <w:r w:rsidR="00AB527B" w:rsidRPr="00CD729C">
        <w:rPr>
          <w:bCs/>
          <w:color w:val="000000"/>
          <w:szCs w:val="22"/>
        </w:rPr>
        <w:t>1</w:t>
      </w:r>
      <w:r w:rsidR="00F52C97" w:rsidRPr="00CD729C">
        <w:rPr>
          <w:bCs/>
          <w:color w:val="000000"/>
          <w:szCs w:val="22"/>
        </w:rPr>
        <w:t>,</w:t>
      </w:r>
      <w:r w:rsidR="00AB527B" w:rsidRPr="00CD729C">
        <w:rPr>
          <w:bCs/>
          <w:color w:val="000000"/>
          <w:szCs w:val="22"/>
        </w:rPr>
        <w:t>2</w:t>
      </w:r>
      <w:r w:rsidR="00F52C97" w:rsidRPr="00CD729C">
        <w:rPr>
          <w:bCs/>
          <w:color w:val="000000"/>
          <w:szCs w:val="22"/>
        </w:rPr>
        <w:t> reizes pārsniedz bērna dienas devu (pēc AUC) 340 mg/</w:t>
      </w:r>
      <w:r w:rsidR="00844889" w:rsidRPr="00CD729C">
        <w:rPr>
          <w:bCs/>
          <w:color w:val="000000"/>
        </w:rPr>
        <w:t>m</w:t>
      </w:r>
      <w:r w:rsidR="00844889" w:rsidRPr="00CD729C">
        <w:rPr>
          <w:bCs/>
          <w:color w:val="000000"/>
          <w:szCs w:val="22"/>
          <w:vertAlign w:val="superscript"/>
        </w:rPr>
        <w:t>2</w:t>
      </w:r>
      <w:r w:rsidR="00844889" w:rsidRPr="00CD729C">
        <w:rPr>
          <w:bCs/>
          <w:color w:val="000000"/>
          <w:szCs w:val="22"/>
        </w:rPr>
        <w:t>/</w:t>
      </w:r>
      <w:r w:rsidR="00F52C97" w:rsidRPr="00CD729C">
        <w:rPr>
          <w:bCs/>
          <w:color w:val="000000"/>
          <w:szCs w:val="22"/>
        </w:rPr>
        <w:t>dienā.</w:t>
      </w:r>
      <w:r w:rsidR="00AB527B" w:rsidRPr="00CD729C">
        <w:rPr>
          <w:bCs/>
          <w:color w:val="000000"/>
          <w:szCs w:val="22"/>
        </w:rPr>
        <w:t xml:space="preserve"> Deva, kas neradīja novērojamu iedarbību </w:t>
      </w:r>
      <w:r w:rsidR="00807314" w:rsidRPr="00CD729C">
        <w:rPr>
          <w:bCs/>
          <w:i/>
          <w:color w:val="000000"/>
          <w:szCs w:val="22"/>
        </w:rPr>
        <w:t>(NOEL</w:t>
      </w:r>
      <w:r w:rsidR="00216B35" w:rsidRPr="00CD729C">
        <w:rPr>
          <w:bCs/>
          <w:i/>
          <w:color w:val="000000"/>
          <w:szCs w:val="22"/>
        </w:rPr>
        <w:t xml:space="preserve"> </w:t>
      </w:r>
      <w:r w:rsidR="00807314" w:rsidRPr="00CD729C">
        <w:rPr>
          <w:bCs/>
          <w:i/>
          <w:color w:val="000000"/>
          <w:szCs w:val="22"/>
        </w:rPr>
        <w:t>- no observed effect level)</w:t>
      </w:r>
      <w:r w:rsidR="00807314" w:rsidRPr="00CD729C">
        <w:rPr>
          <w:bCs/>
          <w:color w:val="000000"/>
          <w:szCs w:val="22"/>
        </w:rPr>
        <w:t xml:space="preserve"> </w:t>
      </w:r>
      <w:r w:rsidR="00AB527B" w:rsidRPr="00CD729C">
        <w:rPr>
          <w:bCs/>
          <w:color w:val="000000"/>
          <w:szCs w:val="22"/>
        </w:rPr>
        <w:t>bija 30 mg/kg/dienā.</w:t>
      </w:r>
    </w:p>
    <w:p w14:paraId="3D3948F5" w14:textId="77777777" w:rsidR="00F83C00" w:rsidRPr="00CD729C" w:rsidRDefault="00F83C00" w:rsidP="009B4BB6">
      <w:pPr>
        <w:widowControl w:val="0"/>
        <w:spacing w:line="240" w:lineRule="auto"/>
        <w:rPr>
          <w:bCs/>
          <w:color w:val="000000"/>
          <w:szCs w:val="22"/>
        </w:rPr>
      </w:pPr>
    </w:p>
    <w:p w14:paraId="3D3948F6" w14:textId="77777777" w:rsidR="00F83C00" w:rsidRPr="00CD729C" w:rsidRDefault="00A47B28" w:rsidP="009B4BB6">
      <w:pPr>
        <w:widowControl w:val="0"/>
        <w:spacing w:line="240" w:lineRule="auto"/>
        <w:rPr>
          <w:bCs/>
          <w:color w:val="000000"/>
          <w:szCs w:val="22"/>
        </w:rPr>
      </w:pPr>
      <w:r w:rsidRPr="00CD729C">
        <w:rPr>
          <w:bCs/>
          <w:color w:val="000000"/>
          <w:szCs w:val="22"/>
        </w:rPr>
        <w:t>Šo novērojumu mehānisms un saistība starp karcinogenitātes pētījumu žurkām un cilvēkiem pagaidām nav zināma</w:t>
      </w:r>
      <w:r w:rsidR="00F83C00" w:rsidRPr="00CD729C">
        <w:rPr>
          <w:bCs/>
          <w:color w:val="000000"/>
          <w:szCs w:val="22"/>
        </w:rPr>
        <w:t>.</w:t>
      </w:r>
    </w:p>
    <w:p w14:paraId="3D3948F7" w14:textId="77777777" w:rsidR="00F83C00" w:rsidRPr="00CD729C" w:rsidRDefault="00F83C00" w:rsidP="009B4BB6">
      <w:pPr>
        <w:widowControl w:val="0"/>
        <w:spacing w:line="240" w:lineRule="auto"/>
        <w:rPr>
          <w:bCs/>
          <w:color w:val="000000"/>
          <w:szCs w:val="22"/>
        </w:rPr>
      </w:pPr>
    </w:p>
    <w:p w14:paraId="3D3948F8" w14:textId="77777777" w:rsidR="00F83C00" w:rsidRPr="00CD729C" w:rsidRDefault="006962E8" w:rsidP="009B4BB6">
      <w:pPr>
        <w:widowControl w:val="0"/>
        <w:spacing w:line="240" w:lineRule="auto"/>
        <w:rPr>
          <w:bCs/>
          <w:color w:val="000000"/>
          <w:szCs w:val="22"/>
        </w:rPr>
      </w:pPr>
      <w:r w:rsidRPr="00CD729C">
        <w:rPr>
          <w:bCs/>
          <w:color w:val="000000"/>
          <w:szCs w:val="22"/>
        </w:rPr>
        <w:t xml:space="preserve">Ne-neoplastiski bojājumi, kas </w:t>
      </w:r>
      <w:r w:rsidR="004E068E" w:rsidRPr="00CD729C">
        <w:rPr>
          <w:bCs/>
          <w:color w:val="000000"/>
          <w:szCs w:val="22"/>
        </w:rPr>
        <w:t>iepriekšējos</w:t>
      </w:r>
      <w:r w:rsidRPr="00CD729C">
        <w:rPr>
          <w:bCs/>
          <w:color w:val="000000"/>
          <w:szCs w:val="22"/>
        </w:rPr>
        <w:t xml:space="preserve"> preklīniskajos pētījumos netika novēroti, sa</w:t>
      </w:r>
      <w:r w:rsidR="004E068E" w:rsidRPr="00CD729C">
        <w:rPr>
          <w:bCs/>
          <w:color w:val="000000"/>
          <w:szCs w:val="22"/>
        </w:rPr>
        <w:t>i</w:t>
      </w:r>
      <w:r w:rsidRPr="00CD729C">
        <w:rPr>
          <w:bCs/>
          <w:color w:val="000000"/>
          <w:szCs w:val="22"/>
        </w:rPr>
        <w:t>stīti ar sirds-asinsvadu sistēmu, aizkuņģa dziedzeri, endokrīnās sistēmas orgāniem un zobiem</w:t>
      </w:r>
      <w:r w:rsidR="00F83C00" w:rsidRPr="00CD729C">
        <w:rPr>
          <w:bCs/>
          <w:color w:val="000000"/>
          <w:szCs w:val="22"/>
        </w:rPr>
        <w:t xml:space="preserve">. </w:t>
      </w:r>
      <w:r w:rsidRPr="00CD729C">
        <w:rPr>
          <w:bCs/>
          <w:color w:val="000000"/>
          <w:szCs w:val="22"/>
        </w:rPr>
        <w:t xml:space="preserve">Vissvarīgākās izmaiņas bija saistītas ar sirds hipertrofiju un dilatāciju, kas dažiem dzīvniekiem izraisīja sirds </w:t>
      </w:r>
      <w:r w:rsidR="00F5312A" w:rsidRPr="00CD729C">
        <w:rPr>
          <w:bCs/>
          <w:color w:val="000000"/>
          <w:szCs w:val="22"/>
        </w:rPr>
        <w:t>mazspējas</w:t>
      </w:r>
      <w:r w:rsidRPr="00CD729C">
        <w:rPr>
          <w:bCs/>
          <w:color w:val="000000"/>
          <w:szCs w:val="22"/>
        </w:rPr>
        <w:t xml:space="preserve"> pazīmes</w:t>
      </w:r>
      <w:r w:rsidR="00F83C00" w:rsidRPr="00CD729C">
        <w:rPr>
          <w:bCs/>
          <w:color w:val="000000"/>
          <w:szCs w:val="22"/>
        </w:rPr>
        <w:t>.</w:t>
      </w:r>
    </w:p>
    <w:p w14:paraId="3D3948F9" w14:textId="77777777" w:rsidR="007E046A" w:rsidRPr="00CD729C" w:rsidRDefault="007E046A" w:rsidP="009B4BB6">
      <w:pPr>
        <w:widowControl w:val="0"/>
        <w:tabs>
          <w:tab w:val="clear" w:pos="567"/>
        </w:tabs>
        <w:spacing w:line="240" w:lineRule="auto"/>
        <w:ind w:left="567" w:hanging="567"/>
        <w:rPr>
          <w:color w:val="000000"/>
          <w:szCs w:val="22"/>
        </w:rPr>
      </w:pPr>
    </w:p>
    <w:p w14:paraId="3D3948FA" w14:textId="77777777" w:rsidR="005117C7" w:rsidRPr="00CD729C" w:rsidRDefault="00543F38" w:rsidP="009B4BB6">
      <w:pPr>
        <w:widowControl w:val="0"/>
        <w:tabs>
          <w:tab w:val="clear" w:pos="567"/>
        </w:tabs>
        <w:spacing w:line="240" w:lineRule="auto"/>
        <w:ind w:left="567" w:hanging="567"/>
        <w:rPr>
          <w:color w:val="000000"/>
          <w:szCs w:val="22"/>
        </w:rPr>
      </w:pPr>
      <w:r w:rsidRPr="00CD729C">
        <w:rPr>
          <w:color w:val="000000"/>
          <w:szCs w:val="22"/>
        </w:rPr>
        <w:t xml:space="preserve">Aktīvajai vielai imatinibam piemīt risks apkārtējai videi </w:t>
      </w:r>
      <w:r w:rsidR="008457D4" w:rsidRPr="00CD729C">
        <w:rPr>
          <w:color w:val="000000"/>
          <w:szCs w:val="22"/>
        </w:rPr>
        <w:t>u</w:t>
      </w:r>
      <w:r w:rsidRPr="00CD729C">
        <w:rPr>
          <w:color w:val="000000"/>
          <w:szCs w:val="22"/>
        </w:rPr>
        <w:t>zkrāties organismos.</w:t>
      </w:r>
    </w:p>
    <w:p w14:paraId="3D3948FB" w14:textId="77777777" w:rsidR="005117C7" w:rsidRPr="00CD729C" w:rsidRDefault="005117C7" w:rsidP="009B4BB6">
      <w:pPr>
        <w:widowControl w:val="0"/>
        <w:tabs>
          <w:tab w:val="clear" w:pos="567"/>
        </w:tabs>
        <w:spacing w:line="240" w:lineRule="auto"/>
        <w:ind w:left="567" w:hanging="567"/>
        <w:rPr>
          <w:color w:val="000000"/>
          <w:szCs w:val="22"/>
        </w:rPr>
      </w:pPr>
    </w:p>
    <w:p w14:paraId="3D3948FC" w14:textId="77777777" w:rsidR="00A55FC1" w:rsidRPr="00CD729C" w:rsidRDefault="00A55FC1" w:rsidP="009B4BB6">
      <w:pPr>
        <w:widowControl w:val="0"/>
        <w:tabs>
          <w:tab w:val="clear" w:pos="567"/>
        </w:tabs>
        <w:spacing w:line="240" w:lineRule="auto"/>
        <w:ind w:left="567" w:hanging="567"/>
        <w:rPr>
          <w:color w:val="000000"/>
          <w:szCs w:val="22"/>
        </w:rPr>
      </w:pPr>
    </w:p>
    <w:p w14:paraId="3D3948FD" w14:textId="77777777" w:rsidR="005117C7" w:rsidRPr="00CD729C" w:rsidRDefault="005117C7" w:rsidP="009B4BB6">
      <w:pPr>
        <w:keepNext/>
        <w:widowControl w:val="0"/>
        <w:tabs>
          <w:tab w:val="clear" w:pos="567"/>
        </w:tabs>
        <w:spacing w:line="240" w:lineRule="auto"/>
        <w:ind w:left="567" w:hanging="567"/>
        <w:rPr>
          <w:b/>
          <w:color w:val="000000"/>
          <w:szCs w:val="22"/>
        </w:rPr>
      </w:pPr>
      <w:r w:rsidRPr="00CD729C">
        <w:rPr>
          <w:b/>
          <w:color w:val="000000"/>
          <w:szCs w:val="22"/>
        </w:rPr>
        <w:t>6.</w:t>
      </w:r>
      <w:r w:rsidRPr="00CD729C">
        <w:rPr>
          <w:b/>
          <w:color w:val="000000"/>
          <w:szCs w:val="22"/>
        </w:rPr>
        <w:tab/>
        <w:t>FARMACEITISKĀ INFORMĀCIJA</w:t>
      </w:r>
    </w:p>
    <w:p w14:paraId="3D3948FE"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8FF"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6.1</w:t>
      </w:r>
      <w:r w:rsidR="00FD1CF2" w:rsidRPr="00CD729C">
        <w:rPr>
          <w:b/>
          <w:color w:val="000000"/>
          <w:szCs w:val="22"/>
        </w:rPr>
        <w:t>.</w:t>
      </w:r>
      <w:r w:rsidRPr="00CD729C">
        <w:rPr>
          <w:b/>
          <w:color w:val="000000"/>
          <w:szCs w:val="22"/>
        </w:rPr>
        <w:tab/>
        <w:t>Palīgvielu saraksts</w:t>
      </w:r>
    </w:p>
    <w:p w14:paraId="3D394900"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910" w14:textId="77777777" w:rsidR="00EF4360" w:rsidRPr="00CD729C" w:rsidRDefault="00EF4360" w:rsidP="009B4BB6">
      <w:pPr>
        <w:keepNext/>
        <w:widowControl w:val="0"/>
        <w:tabs>
          <w:tab w:val="clear" w:pos="567"/>
          <w:tab w:val="left" w:pos="1701"/>
        </w:tabs>
        <w:spacing w:line="240" w:lineRule="auto"/>
        <w:rPr>
          <w:color w:val="000000"/>
          <w:szCs w:val="22"/>
        </w:rPr>
      </w:pPr>
      <w:r w:rsidRPr="00CD729C">
        <w:rPr>
          <w:color w:val="000000"/>
          <w:szCs w:val="22"/>
        </w:rPr>
        <w:t>Kapsulas saturs:</w:t>
      </w:r>
      <w:r w:rsidRPr="00CD729C">
        <w:rPr>
          <w:color w:val="000000"/>
          <w:szCs w:val="22"/>
        </w:rPr>
        <w:tab/>
        <w:t>Mikrokristāliskā celuloze</w:t>
      </w:r>
    </w:p>
    <w:p w14:paraId="3D394911" w14:textId="77777777" w:rsidR="00EF4360" w:rsidRPr="00CD729C" w:rsidRDefault="00EF4360" w:rsidP="009B4BB6">
      <w:pPr>
        <w:keepNext/>
        <w:widowControl w:val="0"/>
        <w:tabs>
          <w:tab w:val="clear" w:pos="567"/>
        </w:tabs>
        <w:spacing w:line="240" w:lineRule="auto"/>
        <w:ind w:left="1701"/>
        <w:rPr>
          <w:color w:val="000000"/>
          <w:szCs w:val="22"/>
        </w:rPr>
      </w:pPr>
      <w:r w:rsidRPr="00CD729C">
        <w:rPr>
          <w:color w:val="000000"/>
          <w:szCs w:val="22"/>
        </w:rPr>
        <w:t>Krospovidons</w:t>
      </w:r>
    </w:p>
    <w:p w14:paraId="3D394912" w14:textId="77777777" w:rsidR="00EF4360" w:rsidRPr="00CD729C" w:rsidRDefault="00EF4360" w:rsidP="009B4BB6">
      <w:pPr>
        <w:keepNext/>
        <w:widowControl w:val="0"/>
        <w:tabs>
          <w:tab w:val="clear" w:pos="567"/>
        </w:tabs>
        <w:spacing w:line="240" w:lineRule="auto"/>
        <w:ind w:left="1701"/>
        <w:rPr>
          <w:color w:val="000000"/>
          <w:szCs w:val="22"/>
        </w:rPr>
      </w:pPr>
      <w:r w:rsidRPr="00CD729C">
        <w:rPr>
          <w:color w:val="000000"/>
          <w:szCs w:val="22"/>
        </w:rPr>
        <w:t>Magnija stearāts</w:t>
      </w:r>
    </w:p>
    <w:p w14:paraId="3D394913" w14:textId="77777777" w:rsidR="00EF4360" w:rsidRPr="00CD729C" w:rsidRDefault="00EF4360" w:rsidP="009B4BB6">
      <w:pPr>
        <w:widowControl w:val="0"/>
        <w:tabs>
          <w:tab w:val="clear" w:pos="567"/>
        </w:tabs>
        <w:spacing w:line="240" w:lineRule="auto"/>
        <w:ind w:left="1701"/>
        <w:rPr>
          <w:color w:val="000000"/>
          <w:szCs w:val="22"/>
        </w:rPr>
      </w:pPr>
      <w:r w:rsidRPr="00CD729C">
        <w:rPr>
          <w:color w:val="000000"/>
          <w:szCs w:val="22"/>
        </w:rPr>
        <w:t>Koloidāls bezūdens silīcija dioksīds</w:t>
      </w:r>
    </w:p>
    <w:p w14:paraId="3D394914" w14:textId="77777777" w:rsidR="00EF4360" w:rsidRPr="00CD729C" w:rsidRDefault="00EF4360" w:rsidP="009B4BB6">
      <w:pPr>
        <w:widowControl w:val="0"/>
        <w:tabs>
          <w:tab w:val="clear" w:pos="567"/>
          <w:tab w:val="left" w:pos="1809"/>
        </w:tabs>
        <w:spacing w:line="240" w:lineRule="auto"/>
        <w:rPr>
          <w:color w:val="000000"/>
          <w:szCs w:val="22"/>
        </w:rPr>
      </w:pPr>
    </w:p>
    <w:p w14:paraId="3D394915" w14:textId="77777777" w:rsidR="00EF4360" w:rsidRPr="00CD729C" w:rsidRDefault="00EF4360" w:rsidP="009B4BB6">
      <w:pPr>
        <w:keepNext/>
        <w:widowControl w:val="0"/>
        <w:tabs>
          <w:tab w:val="clear" w:pos="567"/>
          <w:tab w:val="left" w:pos="1701"/>
        </w:tabs>
        <w:spacing w:line="240" w:lineRule="auto"/>
        <w:rPr>
          <w:color w:val="000000"/>
          <w:szCs w:val="22"/>
        </w:rPr>
      </w:pPr>
      <w:r w:rsidRPr="00CD729C">
        <w:rPr>
          <w:color w:val="000000"/>
          <w:szCs w:val="22"/>
        </w:rPr>
        <w:t>Kapsulas apvalks:</w:t>
      </w:r>
      <w:r w:rsidRPr="00CD729C">
        <w:rPr>
          <w:color w:val="000000"/>
          <w:szCs w:val="22"/>
        </w:rPr>
        <w:tab/>
        <w:t>Želatīns</w:t>
      </w:r>
    </w:p>
    <w:p w14:paraId="3D394916" w14:textId="77777777" w:rsidR="00EF4360" w:rsidRPr="00CD729C" w:rsidRDefault="00EF4360" w:rsidP="009B4BB6">
      <w:pPr>
        <w:keepNext/>
        <w:widowControl w:val="0"/>
        <w:tabs>
          <w:tab w:val="clear" w:pos="567"/>
        </w:tabs>
        <w:spacing w:line="240" w:lineRule="auto"/>
        <w:ind w:left="1701"/>
        <w:rPr>
          <w:color w:val="000000"/>
          <w:szCs w:val="22"/>
        </w:rPr>
      </w:pPr>
      <w:r w:rsidRPr="00CD729C">
        <w:rPr>
          <w:color w:val="000000"/>
          <w:szCs w:val="22"/>
        </w:rPr>
        <w:t>Sarkanais dzelzs oksīds (E 172)</w:t>
      </w:r>
    </w:p>
    <w:p w14:paraId="3D394917" w14:textId="77777777" w:rsidR="00EF4360" w:rsidRPr="00CD729C" w:rsidRDefault="00EF4360" w:rsidP="009B4BB6">
      <w:pPr>
        <w:keepNext/>
        <w:widowControl w:val="0"/>
        <w:tabs>
          <w:tab w:val="clear" w:pos="567"/>
        </w:tabs>
        <w:spacing w:line="240" w:lineRule="auto"/>
        <w:ind w:left="1701"/>
        <w:rPr>
          <w:color w:val="000000"/>
          <w:szCs w:val="22"/>
        </w:rPr>
      </w:pPr>
      <w:r w:rsidRPr="00CD729C">
        <w:rPr>
          <w:color w:val="000000"/>
          <w:szCs w:val="22"/>
        </w:rPr>
        <w:t>Dzeltenais dzelzs oksīds (E 172)</w:t>
      </w:r>
    </w:p>
    <w:p w14:paraId="3D394918" w14:textId="77777777" w:rsidR="00EF4360" w:rsidRPr="00CD729C" w:rsidRDefault="00EF4360" w:rsidP="009B4BB6">
      <w:pPr>
        <w:widowControl w:val="0"/>
        <w:tabs>
          <w:tab w:val="clear" w:pos="567"/>
        </w:tabs>
        <w:spacing w:line="240" w:lineRule="auto"/>
        <w:ind w:left="1701"/>
        <w:rPr>
          <w:color w:val="000000"/>
          <w:szCs w:val="22"/>
        </w:rPr>
      </w:pPr>
      <w:r w:rsidRPr="00CD729C">
        <w:rPr>
          <w:color w:val="000000"/>
          <w:szCs w:val="22"/>
        </w:rPr>
        <w:t>Titāna dioksīds (E 171)</w:t>
      </w:r>
    </w:p>
    <w:p w14:paraId="3D394919" w14:textId="77777777" w:rsidR="00EF4360" w:rsidRPr="00CD729C" w:rsidRDefault="00EF4360" w:rsidP="009B4BB6">
      <w:pPr>
        <w:widowControl w:val="0"/>
        <w:tabs>
          <w:tab w:val="clear" w:pos="567"/>
          <w:tab w:val="left" w:pos="1809"/>
        </w:tabs>
        <w:spacing w:line="240" w:lineRule="auto"/>
        <w:rPr>
          <w:color w:val="000000"/>
          <w:szCs w:val="22"/>
        </w:rPr>
      </w:pPr>
    </w:p>
    <w:p w14:paraId="3D39491A" w14:textId="77777777" w:rsidR="00EF4360" w:rsidRPr="00CD729C" w:rsidRDefault="00EF4360" w:rsidP="009B4BB6">
      <w:pPr>
        <w:keepNext/>
        <w:widowControl w:val="0"/>
        <w:tabs>
          <w:tab w:val="clear" w:pos="567"/>
          <w:tab w:val="left" w:pos="1701"/>
        </w:tabs>
        <w:spacing w:line="240" w:lineRule="auto"/>
        <w:rPr>
          <w:color w:val="000000"/>
          <w:szCs w:val="22"/>
        </w:rPr>
      </w:pPr>
      <w:r w:rsidRPr="00CD729C">
        <w:rPr>
          <w:color w:val="000000"/>
          <w:szCs w:val="22"/>
        </w:rPr>
        <w:t>Apdrukas tinte:</w:t>
      </w:r>
      <w:r w:rsidRPr="00CD729C">
        <w:rPr>
          <w:color w:val="000000"/>
          <w:szCs w:val="22"/>
        </w:rPr>
        <w:tab/>
        <w:t>Sarkanais dzelzs oksīds (E 172)</w:t>
      </w:r>
    </w:p>
    <w:p w14:paraId="3D39491B" w14:textId="77777777" w:rsidR="00EF4360" w:rsidRPr="00CD729C" w:rsidRDefault="00EF4360" w:rsidP="009B4BB6">
      <w:pPr>
        <w:widowControl w:val="0"/>
        <w:tabs>
          <w:tab w:val="clear" w:pos="567"/>
        </w:tabs>
        <w:spacing w:line="240" w:lineRule="auto"/>
        <w:ind w:left="1701"/>
        <w:rPr>
          <w:color w:val="000000"/>
          <w:szCs w:val="22"/>
        </w:rPr>
      </w:pPr>
      <w:r w:rsidRPr="00CD729C">
        <w:rPr>
          <w:color w:val="000000"/>
          <w:szCs w:val="22"/>
        </w:rPr>
        <w:t>Šellaka</w:t>
      </w:r>
    </w:p>
    <w:p w14:paraId="3D39491C" w14:textId="77777777" w:rsidR="00EF4360" w:rsidRPr="00CD729C" w:rsidRDefault="00EF4360" w:rsidP="009B4BB6">
      <w:pPr>
        <w:widowControl w:val="0"/>
        <w:tabs>
          <w:tab w:val="clear" w:pos="567"/>
        </w:tabs>
        <w:spacing w:line="240" w:lineRule="auto"/>
        <w:ind w:left="567" w:hanging="567"/>
        <w:rPr>
          <w:color w:val="000000"/>
          <w:szCs w:val="22"/>
        </w:rPr>
      </w:pPr>
    </w:p>
    <w:p w14:paraId="3D39491D"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6.2</w:t>
      </w:r>
      <w:r w:rsidR="00FD1CF2" w:rsidRPr="00CD729C">
        <w:rPr>
          <w:b/>
          <w:color w:val="000000"/>
          <w:szCs w:val="22"/>
        </w:rPr>
        <w:t>.</w:t>
      </w:r>
      <w:r w:rsidRPr="00CD729C">
        <w:rPr>
          <w:b/>
          <w:color w:val="000000"/>
          <w:szCs w:val="22"/>
        </w:rPr>
        <w:tab/>
        <w:t>Nesaderība</w:t>
      </w:r>
    </w:p>
    <w:p w14:paraId="3D39491E"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91F" w14:textId="77777777" w:rsidR="005117C7" w:rsidRPr="00CD729C" w:rsidRDefault="005117C7" w:rsidP="009B4BB6">
      <w:pPr>
        <w:widowControl w:val="0"/>
        <w:tabs>
          <w:tab w:val="clear" w:pos="567"/>
        </w:tabs>
        <w:spacing w:line="240" w:lineRule="auto"/>
        <w:ind w:left="567" w:hanging="567"/>
        <w:rPr>
          <w:color w:val="000000"/>
          <w:szCs w:val="22"/>
        </w:rPr>
      </w:pPr>
      <w:r w:rsidRPr="00CD729C">
        <w:rPr>
          <w:color w:val="000000"/>
          <w:szCs w:val="22"/>
        </w:rPr>
        <w:t>Nav piemērojama.</w:t>
      </w:r>
    </w:p>
    <w:p w14:paraId="3D394920" w14:textId="77777777" w:rsidR="005117C7" w:rsidRPr="00CD729C" w:rsidRDefault="005117C7" w:rsidP="009B4BB6">
      <w:pPr>
        <w:widowControl w:val="0"/>
        <w:tabs>
          <w:tab w:val="clear" w:pos="567"/>
        </w:tabs>
        <w:spacing w:line="240" w:lineRule="auto"/>
        <w:ind w:left="567" w:hanging="567"/>
        <w:rPr>
          <w:color w:val="000000"/>
          <w:szCs w:val="22"/>
        </w:rPr>
      </w:pPr>
    </w:p>
    <w:p w14:paraId="3D394921"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6.3</w:t>
      </w:r>
      <w:r w:rsidR="00FD1CF2" w:rsidRPr="00CD729C">
        <w:rPr>
          <w:b/>
          <w:color w:val="000000"/>
          <w:szCs w:val="22"/>
        </w:rPr>
        <w:t>.</w:t>
      </w:r>
      <w:r w:rsidRPr="00CD729C">
        <w:rPr>
          <w:b/>
          <w:color w:val="000000"/>
          <w:szCs w:val="22"/>
        </w:rPr>
        <w:tab/>
        <w:t>Uzglabāšanas laiks</w:t>
      </w:r>
    </w:p>
    <w:p w14:paraId="3D394922"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923" w14:textId="77777777" w:rsidR="005117C7" w:rsidRPr="00CD729C" w:rsidRDefault="005117C7" w:rsidP="009B4BB6">
      <w:pPr>
        <w:widowControl w:val="0"/>
        <w:tabs>
          <w:tab w:val="clear" w:pos="567"/>
        </w:tabs>
        <w:spacing w:line="240" w:lineRule="auto"/>
        <w:ind w:left="567" w:hanging="567"/>
        <w:rPr>
          <w:color w:val="000000"/>
          <w:szCs w:val="22"/>
        </w:rPr>
      </w:pPr>
      <w:r w:rsidRPr="00CD729C">
        <w:rPr>
          <w:color w:val="000000"/>
          <w:szCs w:val="22"/>
        </w:rPr>
        <w:t>2 gadi.</w:t>
      </w:r>
    </w:p>
    <w:p w14:paraId="3D394924" w14:textId="77777777" w:rsidR="005117C7" w:rsidRPr="00CD729C" w:rsidRDefault="005117C7" w:rsidP="009B4BB6">
      <w:pPr>
        <w:widowControl w:val="0"/>
        <w:tabs>
          <w:tab w:val="clear" w:pos="567"/>
        </w:tabs>
        <w:spacing w:line="240" w:lineRule="auto"/>
        <w:ind w:left="567" w:hanging="567"/>
        <w:rPr>
          <w:color w:val="000000"/>
          <w:szCs w:val="22"/>
        </w:rPr>
      </w:pPr>
    </w:p>
    <w:p w14:paraId="3D394925"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6.4</w:t>
      </w:r>
      <w:r w:rsidR="00FD1CF2" w:rsidRPr="00CD729C">
        <w:rPr>
          <w:b/>
          <w:color w:val="000000"/>
          <w:szCs w:val="22"/>
        </w:rPr>
        <w:t>.</w:t>
      </w:r>
      <w:r w:rsidRPr="00CD729C">
        <w:rPr>
          <w:b/>
          <w:color w:val="000000"/>
          <w:szCs w:val="22"/>
        </w:rPr>
        <w:tab/>
        <w:t>Īpaši uzglabāšanas nosacījumi</w:t>
      </w:r>
    </w:p>
    <w:p w14:paraId="3D394926"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927" w14:textId="77777777" w:rsidR="005117C7" w:rsidRPr="00CD729C" w:rsidRDefault="005117C7" w:rsidP="009B4BB6">
      <w:pPr>
        <w:widowControl w:val="0"/>
        <w:tabs>
          <w:tab w:val="clear" w:pos="567"/>
        </w:tabs>
        <w:spacing w:line="240" w:lineRule="auto"/>
        <w:ind w:left="567" w:hanging="567"/>
        <w:rPr>
          <w:color w:val="000000"/>
          <w:szCs w:val="22"/>
        </w:rPr>
      </w:pPr>
      <w:r w:rsidRPr="00CD729C">
        <w:rPr>
          <w:color w:val="000000"/>
          <w:szCs w:val="22"/>
        </w:rPr>
        <w:t>Uzglabāt temperatūrā līdz 30</w:t>
      </w:r>
      <w:r w:rsidRPr="00CD729C">
        <w:rPr>
          <w:color w:val="000000"/>
          <w:szCs w:val="22"/>
        </w:rPr>
        <w:sym w:font="Symbol" w:char="F0B0"/>
      </w:r>
      <w:r w:rsidRPr="00CD729C">
        <w:rPr>
          <w:color w:val="000000"/>
          <w:szCs w:val="22"/>
        </w:rPr>
        <w:t>C.</w:t>
      </w:r>
    </w:p>
    <w:p w14:paraId="3D394928" w14:textId="77777777" w:rsidR="005117C7" w:rsidRPr="00CD729C" w:rsidRDefault="005117C7" w:rsidP="009B4BB6">
      <w:pPr>
        <w:widowControl w:val="0"/>
        <w:tabs>
          <w:tab w:val="clear" w:pos="567"/>
        </w:tabs>
        <w:spacing w:line="240" w:lineRule="auto"/>
        <w:ind w:left="567" w:hanging="567"/>
        <w:rPr>
          <w:color w:val="000000"/>
          <w:szCs w:val="22"/>
        </w:rPr>
      </w:pPr>
    </w:p>
    <w:p w14:paraId="3D394929" w14:textId="77777777" w:rsidR="005117C7" w:rsidRPr="00CD729C" w:rsidRDefault="005117C7" w:rsidP="009B4BB6">
      <w:pPr>
        <w:widowControl w:val="0"/>
        <w:tabs>
          <w:tab w:val="clear" w:pos="567"/>
        </w:tabs>
        <w:spacing w:line="240" w:lineRule="auto"/>
        <w:ind w:left="567" w:hanging="567"/>
        <w:rPr>
          <w:color w:val="000000"/>
          <w:szCs w:val="22"/>
        </w:rPr>
      </w:pPr>
      <w:r w:rsidRPr="00CD729C">
        <w:rPr>
          <w:color w:val="000000"/>
          <w:szCs w:val="22"/>
        </w:rPr>
        <w:t>Uzglabāt oriģinālā iepakojumā</w:t>
      </w:r>
      <w:r w:rsidR="00EF4360">
        <w:rPr>
          <w:color w:val="000000"/>
          <w:szCs w:val="22"/>
        </w:rPr>
        <w:t>, lai pas</w:t>
      </w:r>
      <w:r w:rsidR="008C0CD0" w:rsidRPr="00CD729C">
        <w:rPr>
          <w:color w:val="000000"/>
          <w:szCs w:val="22"/>
        </w:rPr>
        <w:t>argāt</w:t>
      </w:r>
      <w:r w:rsidR="00EF4360">
        <w:rPr>
          <w:color w:val="000000"/>
          <w:szCs w:val="22"/>
        </w:rPr>
        <w:t>u</w:t>
      </w:r>
      <w:r w:rsidR="008C0CD0" w:rsidRPr="00CD729C">
        <w:rPr>
          <w:color w:val="000000"/>
          <w:szCs w:val="22"/>
        </w:rPr>
        <w:t xml:space="preserve"> no mitruma.</w:t>
      </w:r>
    </w:p>
    <w:p w14:paraId="3D39492A" w14:textId="77777777" w:rsidR="005117C7" w:rsidRPr="00CD729C" w:rsidRDefault="005117C7" w:rsidP="009B4BB6">
      <w:pPr>
        <w:widowControl w:val="0"/>
        <w:tabs>
          <w:tab w:val="clear" w:pos="567"/>
        </w:tabs>
        <w:spacing w:line="240" w:lineRule="auto"/>
        <w:ind w:left="567" w:hanging="567"/>
        <w:rPr>
          <w:color w:val="000000"/>
          <w:szCs w:val="22"/>
        </w:rPr>
      </w:pPr>
    </w:p>
    <w:p w14:paraId="3D39492B"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6.5</w:t>
      </w:r>
      <w:r w:rsidR="00FD1CF2" w:rsidRPr="00CD729C">
        <w:rPr>
          <w:b/>
          <w:color w:val="000000"/>
          <w:szCs w:val="22"/>
        </w:rPr>
        <w:t>.</w:t>
      </w:r>
      <w:r w:rsidRPr="00CD729C">
        <w:rPr>
          <w:b/>
          <w:color w:val="000000"/>
          <w:szCs w:val="22"/>
        </w:rPr>
        <w:tab/>
        <w:t>Iepakojuma veids un saturs</w:t>
      </w:r>
    </w:p>
    <w:p w14:paraId="3D39492C"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92D" w14:textId="77777777" w:rsidR="005117C7" w:rsidRPr="00CD729C" w:rsidRDefault="005117C7" w:rsidP="009B4BB6">
      <w:pPr>
        <w:widowControl w:val="0"/>
        <w:tabs>
          <w:tab w:val="clear" w:pos="567"/>
        </w:tabs>
        <w:spacing w:line="240" w:lineRule="auto"/>
        <w:ind w:left="567" w:hanging="567"/>
        <w:rPr>
          <w:color w:val="000000"/>
          <w:szCs w:val="22"/>
        </w:rPr>
      </w:pPr>
      <w:r w:rsidRPr="00CD729C">
        <w:rPr>
          <w:color w:val="000000"/>
          <w:szCs w:val="22"/>
        </w:rPr>
        <w:t>PVH/alumīnija blisteri.</w:t>
      </w:r>
    </w:p>
    <w:p w14:paraId="3D39492E" w14:textId="77777777" w:rsidR="005117C7" w:rsidRPr="00CD729C" w:rsidRDefault="005117C7" w:rsidP="009B4BB6">
      <w:pPr>
        <w:widowControl w:val="0"/>
        <w:tabs>
          <w:tab w:val="clear" w:pos="567"/>
        </w:tabs>
        <w:spacing w:line="240" w:lineRule="auto"/>
        <w:ind w:left="567" w:hanging="567"/>
        <w:rPr>
          <w:color w:val="000000"/>
          <w:szCs w:val="22"/>
        </w:rPr>
      </w:pPr>
    </w:p>
    <w:p w14:paraId="3D394933" w14:textId="77777777" w:rsidR="00EF4360" w:rsidRPr="00CD729C" w:rsidRDefault="00EF4360" w:rsidP="009B4BB6">
      <w:pPr>
        <w:widowControl w:val="0"/>
        <w:tabs>
          <w:tab w:val="clear" w:pos="567"/>
        </w:tabs>
        <w:spacing w:line="240" w:lineRule="auto"/>
        <w:ind w:left="567" w:hanging="567"/>
        <w:rPr>
          <w:color w:val="000000"/>
          <w:szCs w:val="22"/>
        </w:rPr>
      </w:pPr>
      <w:r w:rsidRPr="00CD729C">
        <w:rPr>
          <w:color w:val="000000"/>
          <w:szCs w:val="22"/>
        </w:rPr>
        <w:t>Iepakojumi pa 24, 48, 96, 120 un 180 kapsulām.</w:t>
      </w:r>
    </w:p>
    <w:p w14:paraId="3D394934" w14:textId="77777777" w:rsidR="00EF4360" w:rsidRPr="00CD729C" w:rsidRDefault="00EF4360" w:rsidP="009B4BB6">
      <w:pPr>
        <w:widowControl w:val="0"/>
        <w:tabs>
          <w:tab w:val="clear" w:pos="567"/>
        </w:tabs>
        <w:spacing w:line="240" w:lineRule="auto"/>
        <w:ind w:left="567" w:hanging="567"/>
        <w:rPr>
          <w:color w:val="000000"/>
          <w:szCs w:val="22"/>
        </w:rPr>
      </w:pPr>
    </w:p>
    <w:p w14:paraId="3D394935" w14:textId="77777777" w:rsidR="00EF4360" w:rsidRPr="00A47F0F" w:rsidRDefault="00EF4360" w:rsidP="009B4BB6">
      <w:pPr>
        <w:widowControl w:val="0"/>
        <w:tabs>
          <w:tab w:val="clear" w:pos="567"/>
          <w:tab w:val="left" w:pos="1701"/>
        </w:tabs>
        <w:spacing w:line="240" w:lineRule="auto"/>
        <w:rPr>
          <w:color w:val="000000"/>
          <w:szCs w:val="22"/>
          <w:u w:val="single"/>
        </w:rPr>
      </w:pPr>
      <w:r w:rsidRPr="00CD729C">
        <w:rPr>
          <w:color w:val="000000"/>
          <w:szCs w:val="22"/>
        </w:rPr>
        <w:t>Visi iepakojuma lielumi tirgū var nebūt pieejami.</w:t>
      </w:r>
    </w:p>
    <w:p w14:paraId="3D394936" w14:textId="77777777" w:rsidR="00EF4360" w:rsidRPr="00CD729C" w:rsidRDefault="00EF4360" w:rsidP="009B4BB6">
      <w:pPr>
        <w:widowControl w:val="0"/>
        <w:tabs>
          <w:tab w:val="clear" w:pos="567"/>
        </w:tabs>
        <w:spacing w:line="240" w:lineRule="auto"/>
        <w:ind w:left="567" w:hanging="567"/>
        <w:rPr>
          <w:color w:val="000000"/>
          <w:szCs w:val="22"/>
        </w:rPr>
      </w:pPr>
    </w:p>
    <w:p w14:paraId="3D394937"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6.6</w:t>
      </w:r>
      <w:r w:rsidR="00FD1CF2" w:rsidRPr="00CD729C">
        <w:rPr>
          <w:b/>
          <w:color w:val="000000"/>
          <w:szCs w:val="22"/>
        </w:rPr>
        <w:t>.</w:t>
      </w:r>
      <w:r w:rsidRPr="00CD729C">
        <w:rPr>
          <w:b/>
          <w:color w:val="000000"/>
          <w:szCs w:val="22"/>
        </w:rPr>
        <w:tab/>
      </w:r>
      <w:r w:rsidR="00DF40E1" w:rsidRPr="00CD729C">
        <w:rPr>
          <w:b/>
          <w:color w:val="000000"/>
        </w:rPr>
        <w:t>Īpaši norādījumi atkritumu likvidēšanai</w:t>
      </w:r>
    </w:p>
    <w:p w14:paraId="3D394938"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939" w14:textId="77777777" w:rsidR="005117C7" w:rsidRPr="00CD729C" w:rsidRDefault="0063231F" w:rsidP="009B4BB6">
      <w:pPr>
        <w:widowControl w:val="0"/>
        <w:tabs>
          <w:tab w:val="clear" w:pos="567"/>
        </w:tabs>
        <w:spacing w:line="240" w:lineRule="auto"/>
        <w:ind w:left="567" w:hanging="567"/>
        <w:rPr>
          <w:color w:val="000000"/>
          <w:szCs w:val="22"/>
        </w:rPr>
      </w:pPr>
      <w:r w:rsidRPr="00CD729C">
        <w:rPr>
          <w:color w:val="000000"/>
          <w:szCs w:val="22"/>
        </w:rPr>
        <w:t>Neizlietotās zāles vai izlietot</w:t>
      </w:r>
      <w:r w:rsidR="00C617CB" w:rsidRPr="00CD729C">
        <w:rPr>
          <w:color w:val="000000"/>
          <w:szCs w:val="22"/>
        </w:rPr>
        <w:t>ie</w:t>
      </w:r>
      <w:r w:rsidRPr="00CD729C">
        <w:rPr>
          <w:color w:val="000000"/>
          <w:szCs w:val="22"/>
        </w:rPr>
        <w:t xml:space="preserve"> materiāl</w:t>
      </w:r>
      <w:r w:rsidR="00C617CB" w:rsidRPr="00CD729C">
        <w:rPr>
          <w:color w:val="000000"/>
          <w:szCs w:val="22"/>
        </w:rPr>
        <w:t>i</w:t>
      </w:r>
      <w:r w:rsidRPr="00CD729C">
        <w:rPr>
          <w:color w:val="000000"/>
          <w:szCs w:val="22"/>
        </w:rPr>
        <w:t xml:space="preserve"> jāiznīcina atbilstoši vietējām prasībām</w:t>
      </w:r>
      <w:r w:rsidR="00543F38" w:rsidRPr="00CD729C">
        <w:rPr>
          <w:color w:val="000000"/>
          <w:szCs w:val="22"/>
        </w:rPr>
        <w:t>.</w:t>
      </w:r>
    </w:p>
    <w:p w14:paraId="3D39493A" w14:textId="77777777" w:rsidR="005117C7" w:rsidRPr="00CD729C" w:rsidRDefault="005117C7" w:rsidP="009B4BB6">
      <w:pPr>
        <w:widowControl w:val="0"/>
        <w:tabs>
          <w:tab w:val="clear" w:pos="567"/>
        </w:tabs>
        <w:spacing w:line="240" w:lineRule="auto"/>
        <w:ind w:left="567" w:hanging="567"/>
        <w:rPr>
          <w:color w:val="000000"/>
          <w:szCs w:val="22"/>
        </w:rPr>
      </w:pPr>
    </w:p>
    <w:p w14:paraId="3D39493B" w14:textId="77777777" w:rsidR="005117C7" w:rsidRPr="00CD729C" w:rsidRDefault="005117C7" w:rsidP="009B4BB6">
      <w:pPr>
        <w:widowControl w:val="0"/>
        <w:tabs>
          <w:tab w:val="clear" w:pos="567"/>
        </w:tabs>
        <w:spacing w:line="240" w:lineRule="auto"/>
        <w:ind w:left="567" w:hanging="567"/>
        <w:rPr>
          <w:color w:val="000000"/>
          <w:szCs w:val="22"/>
        </w:rPr>
      </w:pPr>
    </w:p>
    <w:p w14:paraId="3D39493C"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7.</w:t>
      </w:r>
      <w:r w:rsidRPr="00CD729C">
        <w:rPr>
          <w:b/>
          <w:color w:val="000000"/>
          <w:szCs w:val="22"/>
        </w:rPr>
        <w:tab/>
        <w:t>REĢISTRĀCIJAS APLIECĪBAS ĪPAŠNIEKS</w:t>
      </w:r>
    </w:p>
    <w:p w14:paraId="3D39493D"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93E"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color w:val="000000"/>
          <w:szCs w:val="22"/>
        </w:rPr>
        <w:t>Novartis Europharm Limited</w:t>
      </w:r>
    </w:p>
    <w:p w14:paraId="3D39493F" w14:textId="77777777" w:rsidR="00410A76" w:rsidRPr="00EB33FE" w:rsidRDefault="00410A76" w:rsidP="009B4BB6">
      <w:pPr>
        <w:keepNext/>
        <w:widowControl w:val="0"/>
        <w:spacing w:line="240" w:lineRule="auto"/>
        <w:rPr>
          <w:color w:val="000000"/>
        </w:rPr>
      </w:pPr>
      <w:r w:rsidRPr="00EB33FE">
        <w:rPr>
          <w:color w:val="000000"/>
        </w:rPr>
        <w:t>Vista Building</w:t>
      </w:r>
    </w:p>
    <w:p w14:paraId="3D394940" w14:textId="77777777" w:rsidR="00410A76" w:rsidRPr="00EB33FE" w:rsidRDefault="00410A76" w:rsidP="009B4BB6">
      <w:pPr>
        <w:keepNext/>
        <w:widowControl w:val="0"/>
        <w:spacing w:line="240" w:lineRule="auto"/>
        <w:rPr>
          <w:color w:val="000000"/>
        </w:rPr>
      </w:pPr>
      <w:r w:rsidRPr="00EB33FE">
        <w:rPr>
          <w:color w:val="000000"/>
        </w:rPr>
        <w:t>Elm Park, Merrion Road</w:t>
      </w:r>
    </w:p>
    <w:p w14:paraId="3D394941" w14:textId="77777777" w:rsidR="00410A76" w:rsidRPr="00EB33FE" w:rsidRDefault="00410A76" w:rsidP="009B4BB6">
      <w:pPr>
        <w:keepNext/>
        <w:widowControl w:val="0"/>
        <w:spacing w:line="240" w:lineRule="auto"/>
        <w:rPr>
          <w:color w:val="000000"/>
        </w:rPr>
      </w:pPr>
      <w:r w:rsidRPr="00EB33FE">
        <w:rPr>
          <w:color w:val="000000"/>
        </w:rPr>
        <w:t>Dublin 4</w:t>
      </w:r>
    </w:p>
    <w:p w14:paraId="3D394942" w14:textId="77777777" w:rsidR="005117C7" w:rsidRPr="00CD729C" w:rsidRDefault="00410A76" w:rsidP="009B4BB6">
      <w:pPr>
        <w:widowControl w:val="0"/>
        <w:tabs>
          <w:tab w:val="clear" w:pos="567"/>
        </w:tabs>
        <w:spacing w:line="240" w:lineRule="auto"/>
        <w:ind w:left="567" w:hanging="567"/>
        <w:rPr>
          <w:color w:val="000000"/>
          <w:szCs w:val="22"/>
        </w:rPr>
      </w:pPr>
      <w:r w:rsidRPr="00EB33FE">
        <w:rPr>
          <w:color w:val="000000"/>
        </w:rPr>
        <w:t>Īrija</w:t>
      </w:r>
    </w:p>
    <w:p w14:paraId="3D394943" w14:textId="77777777" w:rsidR="005117C7" w:rsidRPr="00CD729C" w:rsidRDefault="005117C7" w:rsidP="009B4BB6">
      <w:pPr>
        <w:widowControl w:val="0"/>
        <w:tabs>
          <w:tab w:val="clear" w:pos="567"/>
        </w:tabs>
        <w:spacing w:line="240" w:lineRule="auto"/>
        <w:ind w:left="567" w:hanging="567"/>
        <w:rPr>
          <w:color w:val="000000"/>
          <w:szCs w:val="22"/>
        </w:rPr>
      </w:pPr>
    </w:p>
    <w:p w14:paraId="3D394944" w14:textId="77777777" w:rsidR="005117C7" w:rsidRPr="00CD729C" w:rsidRDefault="005117C7" w:rsidP="009B4BB6">
      <w:pPr>
        <w:widowControl w:val="0"/>
        <w:tabs>
          <w:tab w:val="clear" w:pos="567"/>
        </w:tabs>
        <w:spacing w:line="240" w:lineRule="auto"/>
        <w:ind w:left="567" w:hanging="567"/>
        <w:rPr>
          <w:color w:val="000000"/>
          <w:szCs w:val="22"/>
        </w:rPr>
      </w:pPr>
    </w:p>
    <w:p w14:paraId="3D394945" w14:textId="77777777" w:rsidR="005117C7" w:rsidRPr="00CD729C" w:rsidRDefault="00082599" w:rsidP="009B4BB6">
      <w:pPr>
        <w:keepNext/>
        <w:widowControl w:val="0"/>
        <w:tabs>
          <w:tab w:val="clear" w:pos="567"/>
        </w:tabs>
        <w:spacing w:line="240" w:lineRule="auto"/>
        <w:rPr>
          <w:b/>
          <w:color w:val="000000"/>
          <w:szCs w:val="22"/>
        </w:rPr>
      </w:pPr>
      <w:r w:rsidRPr="00CD729C">
        <w:rPr>
          <w:b/>
          <w:color w:val="000000"/>
          <w:szCs w:val="22"/>
        </w:rPr>
        <w:t>8.</w:t>
      </w:r>
      <w:r w:rsidRPr="00CD729C">
        <w:rPr>
          <w:b/>
          <w:color w:val="000000"/>
          <w:szCs w:val="22"/>
        </w:rPr>
        <w:tab/>
      </w:r>
      <w:r w:rsidR="005117C7" w:rsidRPr="00CD729C">
        <w:rPr>
          <w:b/>
          <w:color w:val="000000"/>
          <w:szCs w:val="22"/>
        </w:rPr>
        <w:t xml:space="preserve">REĢISTRĀCIJAS </w:t>
      </w:r>
      <w:r w:rsidR="00BF3DA7" w:rsidRPr="00CD729C">
        <w:rPr>
          <w:b/>
          <w:color w:val="000000"/>
          <w:szCs w:val="22"/>
        </w:rPr>
        <w:t xml:space="preserve">APLIECĪBAS </w:t>
      </w:r>
      <w:r w:rsidR="005117C7" w:rsidRPr="00CD729C">
        <w:rPr>
          <w:b/>
          <w:color w:val="000000"/>
          <w:szCs w:val="22"/>
        </w:rPr>
        <w:t>NUMURS(I)</w:t>
      </w:r>
    </w:p>
    <w:p w14:paraId="3D394946"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94B" w14:textId="77777777" w:rsidR="00EF4360" w:rsidRDefault="00EF4360" w:rsidP="009B4BB6">
      <w:pPr>
        <w:widowControl w:val="0"/>
        <w:tabs>
          <w:tab w:val="clear" w:pos="567"/>
        </w:tabs>
        <w:spacing w:line="240" w:lineRule="auto"/>
        <w:ind w:left="567" w:hanging="567"/>
        <w:rPr>
          <w:color w:val="000000"/>
          <w:szCs w:val="22"/>
        </w:rPr>
      </w:pPr>
      <w:r w:rsidRPr="00CD729C">
        <w:rPr>
          <w:color w:val="000000"/>
          <w:szCs w:val="22"/>
        </w:rPr>
        <w:t>EU/1/01/198/002-006</w:t>
      </w:r>
    </w:p>
    <w:p w14:paraId="3D39494C" w14:textId="77777777" w:rsidR="00EF4360" w:rsidRPr="00CD729C" w:rsidRDefault="00EF4360" w:rsidP="009B4BB6">
      <w:pPr>
        <w:widowControl w:val="0"/>
        <w:tabs>
          <w:tab w:val="clear" w:pos="567"/>
        </w:tabs>
        <w:spacing w:line="240" w:lineRule="auto"/>
        <w:ind w:left="567" w:hanging="567"/>
        <w:rPr>
          <w:color w:val="000000"/>
          <w:szCs w:val="22"/>
        </w:rPr>
      </w:pPr>
    </w:p>
    <w:p w14:paraId="3D39494D" w14:textId="77777777" w:rsidR="005117C7" w:rsidRPr="00CD729C" w:rsidRDefault="005117C7" w:rsidP="009B4BB6">
      <w:pPr>
        <w:widowControl w:val="0"/>
        <w:tabs>
          <w:tab w:val="clear" w:pos="567"/>
        </w:tabs>
        <w:spacing w:line="240" w:lineRule="auto"/>
        <w:ind w:left="567" w:hanging="567"/>
        <w:rPr>
          <w:color w:val="000000"/>
          <w:szCs w:val="22"/>
        </w:rPr>
      </w:pPr>
    </w:p>
    <w:p w14:paraId="3D39494E"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9.</w:t>
      </w:r>
      <w:r w:rsidRPr="00CD729C">
        <w:rPr>
          <w:b/>
          <w:color w:val="000000"/>
          <w:szCs w:val="22"/>
        </w:rPr>
        <w:tab/>
      </w:r>
      <w:r w:rsidR="00FD1CF2" w:rsidRPr="00CD729C">
        <w:rPr>
          <w:b/>
          <w:color w:val="000000"/>
          <w:szCs w:val="22"/>
        </w:rPr>
        <w:t xml:space="preserve">PIRMĀS </w:t>
      </w:r>
      <w:r w:rsidRPr="00CD729C">
        <w:rPr>
          <w:b/>
          <w:color w:val="000000"/>
          <w:szCs w:val="22"/>
        </w:rPr>
        <w:t>REĢISTRĀCIJAS/PĀRREĢISTRĀCIJAS DATUMS</w:t>
      </w:r>
    </w:p>
    <w:p w14:paraId="3D39494F"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950" w14:textId="77777777" w:rsidR="005117C7" w:rsidRPr="00CD729C" w:rsidRDefault="00BF3DA7" w:rsidP="009B4BB6">
      <w:pPr>
        <w:keepNext/>
        <w:widowControl w:val="0"/>
        <w:tabs>
          <w:tab w:val="clear" w:pos="567"/>
        </w:tabs>
        <w:spacing w:line="240" w:lineRule="auto"/>
        <w:ind w:left="567" w:hanging="567"/>
        <w:rPr>
          <w:color w:val="000000"/>
          <w:szCs w:val="22"/>
        </w:rPr>
      </w:pPr>
      <w:r w:rsidRPr="00CD729C">
        <w:rPr>
          <w:color w:val="000000"/>
          <w:szCs w:val="22"/>
        </w:rPr>
        <w:t>R</w:t>
      </w:r>
      <w:r w:rsidR="008C0CD0" w:rsidRPr="00CD729C">
        <w:rPr>
          <w:color w:val="000000"/>
          <w:szCs w:val="22"/>
        </w:rPr>
        <w:t xml:space="preserve">eģistrācijas datums: </w:t>
      </w:r>
      <w:r w:rsidR="00431150" w:rsidRPr="00CD729C">
        <w:rPr>
          <w:color w:val="000000"/>
          <w:szCs w:val="22"/>
        </w:rPr>
        <w:t>2001.</w:t>
      </w:r>
      <w:r w:rsidR="00431150" w:rsidRPr="00CD729C">
        <w:rPr>
          <w:szCs w:val="22"/>
        </w:rPr>
        <w:t xml:space="preserve"> gada </w:t>
      </w:r>
      <w:r w:rsidRPr="00CD729C">
        <w:rPr>
          <w:color w:val="000000"/>
          <w:szCs w:val="22"/>
        </w:rPr>
        <w:t>07. novembris</w:t>
      </w:r>
      <w:r w:rsidR="00431150" w:rsidRPr="00CD729C">
        <w:rPr>
          <w:color w:val="000000"/>
          <w:szCs w:val="22"/>
        </w:rPr>
        <w:t>.</w:t>
      </w:r>
    </w:p>
    <w:p w14:paraId="3D394951" w14:textId="77777777" w:rsidR="005117C7" w:rsidRPr="00CD729C" w:rsidRDefault="00BF3DA7" w:rsidP="009B4BB6">
      <w:pPr>
        <w:widowControl w:val="0"/>
        <w:tabs>
          <w:tab w:val="clear" w:pos="567"/>
        </w:tabs>
        <w:spacing w:line="240" w:lineRule="auto"/>
        <w:ind w:left="567" w:hanging="567"/>
        <w:rPr>
          <w:color w:val="000000"/>
          <w:szCs w:val="22"/>
        </w:rPr>
      </w:pPr>
      <w:r w:rsidRPr="00CD729C">
        <w:rPr>
          <w:color w:val="000000"/>
          <w:szCs w:val="22"/>
        </w:rPr>
        <w:t xml:space="preserve">Pēdējās </w:t>
      </w:r>
      <w:r w:rsidR="008C0CD0" w:rsidRPr="00CD729C">
        <w:rPr>
          <w:color w:val="000000"/>
          <w:szCs w:val="22"/>
        </w:rPr>
        <w:t>pārreģistrācijas datums:</w:t>
      </w:r>
      <w:r w:rsidR="009770CD" w:rsidRPr="00CD729C">
        <w:rPr>
          <w:color w:val="000000"/>
          <w:szCs w:val="22"/>
        </w:rPr>
        <w:t xml:space="preserve"> </w:t>
      </w:r>
      <w:bookmarkStart w:id="1" w:name="OLE_LINK4"/>
      <w:r w:rsidR="00431150" w:rsidRPr="00CD729C">
        <w:rPr>
          <w:color w:val="000000"/>
          <w:szCs w:val="22"/>
        </w:rPr>
        <w:t>2006.</w:t>
      </w:r>
      <w:r w:rsidR="00431150" w:rsidRPr="00CD729C">
        <w:rPr>
          <w:szCs w:val="22"/>
        </w:rPr>
        <w:t> gada</w:t>
      </w:r>
      <w:r w:rsidR="00431150" w:rsidRPr="00CD729C">
        <w:rPr>
          <w:color w:val="000000"/>
          <w:szCs w:val="22"/>
        </w:rPr>
        <w:t xml:space="preserve"> </w:t>
      </w:r>
      <w:r w:rsidRPr="00CD729C">
        <w:rPr>
          <w:color w:val="000000"/>
          <w:szCs w:val="22"/>
        </w:rPr>
        <w:t>07. novembris</w:t>
      </w:r>
      <w:bookmarkEnd w:id="1"/>
      <w:r w:rsidR="00431150" w:rsidRPr="00CD729C">
        <w:rPr>
          <w:color w:val="000000"/>
          <w:szCs w:val="22"/>
        </w:rPr>
        <w:t>.</w:t>
      </w:r>
    </w:p>
    <w:p w14:paraId="3D394952" w14:textId="77777777" w:rsidR="008C0CD0" w:rsidRPr="00CD729C" w:rsidRDefault="008C0CD0" w:rsidP="009B4BB6">
      <w:pPr>
        <w:widowControl w:val="0"/>
        <w:tabs>
          <w:tab w:val="clear" w:pos="567"/>
        </w:tabs>
        <w:spacing w:line="240" w:lineRule="auto"/>
        <w:ind w:left="567" w:hanging="567"/>
        <w:rPr>
          <w:color w:val="000000"/>
          <w:szCs w:val="22"/>
        </w:rPr>
      </w:pPr>
    </w:p>
    <w:p w14:paraId="3D394953" w14:textId="77777777" w:rsidR="005117C7" w:rsidRPr="00CD729C" w:rsidRDefault="005117C7" w:rsidP="009B4BB6">
      <w:pPr>
        <w:widowControl w:val="0"/>
        <w:tabs>
          <w:tab w:val="clear" w:pos="567"/>
        </w:tabs>
        <w:spacing w:line="240" w:lineRule="auto"/>
        <w:ind w:left="567" w:hanging="567"/>
        <w:rPr>
          <w:color w:val="000000"/>
          <w:szCs w:val="22"/>
        </w:rPr>
      </w:pPr>
    </w:p>
    <w:p w14:paraId="3D394954" w14:textId="77777777" w:rsidR="005117C7" w:rsidRPr="00CD729C" w:rsidRDefault="005117C7" w:rsidP="009B4BB6">
      <w:pPr>
        <w:widowControl w:val="0"/>
        <w:tabs>
          <w:tab w:val="clear" w:pos="567"/>
        </w:tabs>
        <w:spacing w:line="240" w:lineRule="auto"/>
        <w:ind w:left="567" w:hanging="567"/>
        <w:rPr>
          <w:b/>
          <w:color w:val="000000"/>
          <w:szCs w:val="22"/>
        </w:rPr>
      </w:pPr>
      <w:r w:rsidRPr="00CD729C">
        <w:rPr>
          <w:b/>
          <w:color w:val="000000"/>
          <w:szCs w:val="22"/>
        </w:rPr>
        <w:t>10.</w:t>
      </w:r>
      <w:r w:rsidRPr="00CD729C">
        <w:rPr>
          <w:b/>
          <w:color w:val="000000"/>
          <w:szCs w:val="22"/>
        </w:rPr>
        <w:tab/>
        <w:t>TEKSTA PĀRSKATĪŠANAS DATUMS</w:t>
      </w:r>
    </w:p>
    <w:p w14:paraId="3D394955" w14:textId="77777777" w:rsidR="005117C7" w:rsidRPr="00CD729C" w:rsidRDefault="005117C7" w:rsidP="009B4BB6">
      <w:pPr>
        <w:widowControl w:val="0"/>
        <w:tabs>
          <w:tab w:val="clear" w:pos="567"/>
        </w:tabs>
        <w:spacing w:line="240" w:lineRule="auto"/>
        <w:ind w:left="567" w:hanging="567"/>
        <w:rPr>
          <w:color w:val="000000"/>
          <w:szCs w:val="22"/>
        </w:rPr>
      </w:pPr>
    </w:p>
    <w:p w14:paraId="3D394956" w14:textId="77777777" w:rsidR="005E7D1C" w:rsidRPr="00CD729C" w:rsidRDefault="005E7D1C" w:rsidP="009B4BB6">
      <w:pPr>
        <w:widowControl w:val="0"/>
        <w:tabs>
          <w:tab w:val="clear" w:pos="567"/>
        </w:tabs>
        <w:spacing w:line="240" w:lineRule="auto"/>
        <w:ind w:left="567" w:hanging="567"/>
      </w:pPr>
    </w:p>
    <w:p w14:paraId="3D394957" w14:textId="77777777" w:rsidR="005117C7" w:rsidRPr="00CD729C" w:rsidRDefault="005E7D1C" w:rsidP="009B4BB6">
      <w:pPr>
        <w:keepLines/>
        <w:widowControl w:val="0"/>
        <w:tabs>
          <w:tab w:val="clear" w:pos="567"/>
        </w:tabs>
        <w:spacing w:line="240" w:lineRule="auto"/>
        <w:rPr>
          <w:color w:val="000000"/>
          <w:szCs w:val="22"/>
        </w:rPr>
      </w:pPr>
      <w:r w:rsidRPr="00CD729C">
        <w:t xml:space="preserve">Sīkāka informācija par šīm zālēm ir pieejama Eiropas Zāļu aģentūras </w:t>
      </w:r>
      <w:r w:rsidR="00BF3DA7" w:rsidRPr="00CD729C">
        <w:t xml:space="preserve">tīmekļa vietnē </w:t>
      </w:r>
      <w:r w:rsidRPr="00CD729C">
        <w:rPr>
          <w:color w:val="000000"/>
        </w:rPr>
        <w:t>http://www.ema.europa.eu</w:t>
      </w:r>
      <w:r w:rsidR="003D2331" w:rsidRPr="00CD729C">
        <w:rPr>
          <w:color w:val="000000"/>
        </w:rPr>
        <w:t>.</w:t>
      </w:r>
    </w:p>
    <w:p w14:paraId="3D394958" w14:textId="77777777" w:rsidR="000261F0" w:rsidRPr="00CD729C" w:rsidRDefault="005117C7" w:rsidP="009B4BB6">
      <w:pPr>
        <w:widowControl w:val="0"/>
        <w:spacing w:line="240" w:lineRule="auto"/>
        <w:rPr>
          <w:szCs w:val="22"/>
        </w:rPr>
      </w:pPr>
      <w:r w:rsidRPr="00CD729C">
        <w:rPr>
          <w:b/>
          <w:color w:val="000000"/>
          <w:szCs w:val="22"/>
        </w:rPr>
        <w:br w:type="page"/>
      </w:r>
      <w:r w:rsidR="00EB334D" w:rsidRPr="00CD729C">
        <w:rPr>
          <w:noProof/>
          <w:lang w:val="en-GB" w:eastAsia="en-GB"/>
        </w:rPr>
        <w:lastRenderedPageBreak/>
        <w:drawing>
          <wp:inline distT="0" distB="0" distL="0" distR="0" wp14:anchorId="3D395826" wp14:editId="3D395827">
            <wp:extent cx="198120" cy="172720"/>
            <wp:effectExtent l="0" t="0" r="0" b="0"/>
            <wp:docPr id="4" name="Picture 4"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20" cy="172720"/>
                    </a:xfrm>
                    <a:prstGeom prst="rect">
                      <a:avLst/>
                    </a:prstGeom>
                    <a:noFill/>
                    <a:ln>
                      <a:noFill/>
                    </a:ln>
                  </pic:spPr>
                </pic:pic>
              </a:graphicData>
            </a:graphic>
          </wp:inline>
        </w:drawing>
      </w:r>
      <w:r w:rsidR="000261F0" w:rsidRPr="00CD729C">
        <w:rPr>
          <w:szCs w:val="22"/>
        </w:rPr>
        <w:t>Šīm zālēm tiek piemērota papildu uzraudzība. Tādējādi būs iespējams ātri identificēt jaunāko informāciju par šo zāļu drošumu. Veselības aprūpes speciālisti tiek lūgti ziņot par jebkādām iespējamām nevēlamām blakusparādībām. Skatīt 4.8. apakšpunktu par to, kā ziņot par nevēlamām blakusparādībām.</w:t>
      </w:r>
    </w:p>
    <w:p w14:paraId="3D394959" w14:textId="77777777" w:rsidR="000261F0" w:rsidRPr="00CD729C" w:rsidRDefault="000261F0" w:rsidP="009B4BB6">
      <w:pPr>
        <w:widowControl w:val="0"/>
        <w:spacing w:line="240" w:lineRule="auto"/>
        <w:rPr>
          <w:szCs w:val="22"/>
        </w:rPr>
      </w:pPr>
    </w:p>
    <w:p w14:paraId="3D39495A" w14:textId="77777777" w:rsidR="000261F0" w:rsidRPr="00CD729C" w:rsidRDefault="000261F0" w:rsidP="009B4BB6">
      <w:pPr>
        <w:pStyle w:val="ParastaisTreknraksts"/>
        <w:widowControl w:val="0"/>
        <w:rPr>
          <w:b w:val="0"/>
          <w:color w:val="000000"/>
          <w:szCs w:val="22"/>
        </w:rPr>
      </w:pPr>
    </w:p>
    <w:p w14:paraId="3D39495B" w14:textId="77777777" w:rsidR="005117C7" w:rsidRPr="00CD729C" w:rsidRDefault="005117C7" w:rsidP="009B4BB6">
      <w:pPr>
        <w:pStyle w:val="ParastaisTreknraksts"/>
        <w:widowControl w:val="0"/>
        <w:rPr>
          <w:color w:val="000000"/>
          <w:szCs w:val="22"/>
        </w:rPr>
      </w:pPr>
      <w:r w:rsidRPr="00CD729C">
        <w:rPr>
          <w:color w:val="000000"/>
          <w:szCs w:val="22"/>
        </w:rPr>
        <w:t>1.</w:t>
      </w:r>
      <w:r w:rsidRPr="00CD729C">
        <w:rPr>
          <w:color w:val="000000"/>
          <w:szCs w:val="22"/>
        </w:rPr>
        <w:tab/>
        <w:t>ZĀĻU NOSAUKUMS</w:t>
      </w:r>
      <w:r w:rsidR="00AA2A43" w:rsidRPr="00CD729C">
        <w:rPr>
          <w:color w:val="000000"/>
          <w:szCs w:val="22"/>
        </w:rPr>
        <w:t xml:space="preserve"> </w:t>
      </w:r>
    </w:p>
    <w:p w14:paraId="3D39495C" w14:textId="77777777" w:rsidR="005117C7" w:rsidRPr="00CD729C" w:rsidRDefault="005117C7" w:rsidP="009B4BB6">
      <w:pPr>
        <w:pStyle w:val="ParastaisTreknraksts"/>
        <w:widowControl w:val="0"/>
        <w:rPr>
          <w:b w:val="0"/>
          <w:color w:val="000000"/>
          <w:szCs w:val="22"/>
        </w:rPr>
      </w:pPr>
    </w:p>
    <w:p w14:paraId="3D39495D" w14:textId="77777777" w:rsidR="005117C7" w:rsidRPr="00CD729C" w:rsidRDefault="005117C7" w:rsidP="009B4BB6">
      <w:pPr>
        <w:pStyle w:val="ParastaisTreknraksts"/>
        <w:widowControl w:val="0"/>
        <w:rPr>
          <w:b w:val="0"/>
          <w:color w:val="000000"/>
          <w:szCs w:val="22"/>
        </w:rPr>
      </w:pPr>
      <w:r w:rsidRPr="00CD729C">
        <w:rPr>
          <w:b w:val="0"/>
          <w:color w:val="000000"/>
          <w:szCs w:val="22"/>
        </w:rPr>
        <w:t>G</w:t>
      </w:r>
      <w:r w:rsidR="004574E2" w:rsidRPr="00CD729C">
        <w:rPr>
          <w:b w:val="0"/>
          <w:color w:val="000000"/>
          <w:szCs w:val="22"/>
        </w:rPr>
        <w:t>livec</w:t>
      </w:r>
      <w:r w:rsidRPr="00CD729C">
        <w:rPr>
          <w:b w:val="0"/>
          <w:color w:val="000000"/>
          <w:szCs w:val="22"/>
        </w:rPr>
        <w:t xml:space="preserve"> 100 mg apvalkot</w:t>
      </w:r>
      <w:r w:rsidR="00E8272D" w:rsidRPr="00CD729C">
        <w:rPr>
          <w:b w:val="0"/>
          <w:color w:val="000000"/>
          <w:szCs w:val="22"/>
        </w:rPr>
        <w:t>ā</w:t>
      </w:r>
      <w:r w:rsidRPr="00CD729C">
        <w:rPr>
          <w:b w:val="0"/>
          <w:color w:val="000000"/>
          <w:szCs w:val="22"/>
        </w:rPr>
        <w:t>s tabletes</w:t>
      </w:r>
    </w:p>
    <w:p w14:paraId="3D39495E" w14:textId="77777777" w:rsidR="001E7706" w:rsidRPr="00CD729C" w:rsidRDefault="001E7706" w:rsidP="009B4BB6">
      <w:pPr>
        <w:pStyle w:val="ParastaisTreknraksts"/>
        <w:widowControl w:val="0"/>
        <w:rPr>
          <w:b w:val="0"/>
          <w:color w:val="000000"/>
          <w:szCs w:val="22"/>
        </w:rPr>
      </w:pPr>
      <w:r w:rsidRPr="00CD729C">
        <w:rPr>
          <w:b w:val="0"/>
          <w:color w:val="000000"/>
          <w:szCs w:val="22"/>
        </w:rPr>
        <w:t>Glivec 400 mg apvalkotās tabletes</w:t>
      </w:r>
    </w:p>
    <w:p w14:paraId="3D39495F" w14:textId="77777777" w:rsidR="005117C7" w:rsidRPr="00CD729C" w:rsidRDefault="005117C7" w:rsidP="009B4BB6">
      <w:pPr>
        <w:pStyle w:val="ParastaisTreknraksts"/>
        <w:widowControl w:val="0"/>
        <w:rPr>
          <w:b w:val="0"/>
          <w:color w:val="000000"/>
          <w:szCs w:val="22"/>
        </w:rPr>
      </w:pPr>
    </w:p>
    <w:p w14:paraId="3D394960" w14:textId="77777777" w:rsidR="005117C7" w:rsidRPr="00CD729C" w:rsidRDefault="005117C7" w:rsidP="009B4BB6">
      <w:pPr>
        <w:pStyle w:val="ParastaisTreknraksts"/>
        <w:widowControl w:val="0"/>
        <w:rPr>
          <w:b w:val="0"/>
          <w:color w:val="000000"/>
          <w:szCs w:val="22"/>
        </w:rPr>
      </w:pPr>
    </w:p>
    <w:p w14:paraId="3D394961" w14:textId="77777777" w:rsidR="005117C7" w:rsidRPr="00CD729C" w:rsidRDefault="005117C7" w:rsidP="009B4BB6">
      <w:pPr>
        <w:pStyle w:val="ParastaisTreknraksts"/>
        <w:keepNext/>
        <w:widowControl w:val="0"/>
        <w:rPr>
          <w:color w:val="000000"/>
          <w:szCs w:val="22"/>
        </w:rPr>
      </w:pPr>
      <w:r w:rsidRPr="00CD729C">
        <w:rPr>
          <w:color w:val="000000"/>
          <w:szCs w:val="22"/>
        </w:rPr>
        <w:t>2.</w:t>
      </w:r>
      <w:r w:rsidRPr="00CD729C">
        <w:rPr>
          <w:color w:val="000000"/>
          <w:szCs w:val="22"/>
        </w:rPr>
        <w:tab/>
        <w:t>KVALITATĪVAIS UN KVANTITATĪVAIS SASTĀVS</w:t>
      </w:r>
    </w:p>
    <w:p w14:paraId="3D394962" w14:textId="77777777" w:rsidR="005117C7" w:rsidRPr="00CD729C" w:rsidRDefault="005117C7" w:rsidP="009B4BB6">
      <w:pPr>
        <w:pStyle w:val="ParastaisTreknraksts"/>
        <w:keepNext/>
        <w:widowControl w:val="0"/>
        <w:rPr>
          <w:b w:val="0"/>
          <w:color w:val="000000"/>
          <w:szCs w:val="22"/>
        </w:rPr>
      </w:pPr>
    </w:p>
    <w:p w14:paraId="3D394963" w14:textId="77777777" w:rsidR="001E7706" w:rsidRPr="00CC3621" w:rsidRDefault="001E7706" w:rsidP="009B4BB6">
      <w:pPr>
        <w:pStyle w:val="ParastaisTreknraksts"/>
        <w:keepNext/>
        <w:widowControl w:val="0"/>
        <w:rPr>
          <w:b w:val="0"/>
          <w:color w:val="000000"/>
          <w:szCs w:val="22"/>
          <w:u w:val="single"/>
        </w:rPr>
      </w:pPr>
      <w:r w:rsidRPr="00CC3621">
        <w:rPr>
          <w:b w:val="0"/>
          <w:color w:val="000000"/>
          <w:szCs w:val="22"/>
          <w:u w:val="single"/>
        </w:rPr>
        <w:t>Glivec 100 mg apvalkotās tabletes</w:t>
      </w:r>
    </w:p>
    <w:p w14:paraId="3D394964" w14:textId="77777777" w:rsidR="005117C7" w:rsidRPr="00CD729C" w:rsidRDefault="005117C7" w:rsidP="009B4BB6">
      <w:pPr>
        <w:pStyle w:val="ParastaisTreknraksts"/>
        <w:widowControl w:val="0"/>
        <w:rPr>
          <w:b w:val="0"/>
          <w:color w:val="000000"/>
          <w:szCs w:val="22"/>
        </w:rPr>
      </w:pPr>
      <w:r w:rsidRPr="00CD729C">
        <w:rPr>
          <w:b w:val="0"/>
          <w:color w:val="000000"/>
          <w:szCs w:val="22"/>
        </w:rPr>
        <w:t xml:space="preserve">Viena apvalkotā tablete satur 100 mg imatiniba </w:t>
      </w:r>
      <w:r w:rsidR="00246718" w:rsidRPr="00CD729C">
        <w:rPr>
          <w:b w:val="0"/>
          <w:color w:val="000000"/>
          <w:szCs w:val="22"/>
        </w:rPr>
        <w:t>(</w:t>
      </w:r>
      <w:r w:rsidR="006F43C8">
        <w:rPr>
          <w:b w:val="0"/>
          <w:i/>
          <w:color w:val="000000"/>
          <w:szCs w:val="22"/>
        </w:rPr>
        <w:t>i</w:t>
      </w:r>
      <w:r w:rsidR="00246718" w:rsidRPr="00CD729C">
        <w:rPr>
          <w:b w:val="0"/>
          <w:i/>
          <w:color w:val="000000"/>
          <w:szCs w:val="22"/>
        </w:rPr>
        <w:t>matinib</w:t>
      </w:r>
      <w:r w:rsidR="001E7706">
        <w:rPr>
          <w:b w:val="0"/>
          <w:i/>
          <w:color w:val="000000"/>
          <w:szCs w:val="22"/>
        </w:rPr>
        <w:t>um</w:t>
      </w:r>
      <w:r w:rsidR="00246718" w:rsidRPr="00CD729C">
        <w:rPr>
          <w:b w:val="0"/>
          <w:color w:val="000000"/>
          <w:szCs w:val="22"/>
        </w:rPr>
        <w:t xml:space="preserve">) </w:t>
      </w:r>
      <w:r w:rsidRPr="00CD729C">
        <w:rPr>
          <w:b w:val="0"/>
          <w:color w:val="000000"/>
          <w:szCs w:val="22"/>
        </w:rPr>
        <w:t>(me</w:t>
      </w:r>
      <w:r w:rsidR="001E7706">
        <w:rPr>
          <w:b w:val="0"/>
          <w:color w:val="000000"/>
          <w:szCs w:val="22"/>
        </w:rPr>
        <w:t>s</w:t>
      </w:r>
      <w:r w:rsidRPr="00CD729C">
        <w:rPr>
          <w:b w:val="0"/>
          <w:color w:val="000000"/>
          <w:szCs w:val="22"/>
        </w:rPr>
        <w:t>ilāta formā).</w:t>
      </w:r>
    </w:p>
    <w:p w14:paraId="3D394965" w14:textId="77777777" w:rsidR="005117C7" w:rsidRDefault="005117C7" w:rsidP="009B4BB6">
      <w:pPr>
        <w:pStyle w:val="ParastaisTreknraksts"/>
        <w:widowControl w:val="0"/>
        <w:rPr>
          <w:b w:val="0"/>
          <w:color w:val="000000"/>
          <w:szCs w:val="22"/>
        </w:rPr>
      </w:pPr>
    </w:p>
    <w:p w14:paraId="3D394966" w14:textId="77777777" w:rsidR="001E7706" w:rsidRPr="00A47F0F" w:rsidRDefault="001E7706" w:rsidP="009B4BB6">
      <w:pPr>
        <w:pStyle w:val="ParastaisTreknraksts"/>
        <w:keepNext/>
        <w:widowControl w:val="0"/>
        <w:rPr>
          <w:b w:val="0"/>
          <w:color w:val="000000"/>
          <w:szCs w:val="22"/>
          <w:u w:val="single"/>
        </w:rPr>
      </w:pPr>
      <w:r w:rsidRPr="00A47F0F">
        <w:rPr>
          <w:b w:val="0"/>
          <w:color w:val="000000"/>
          <w:szCs w:val="22"/>
          <w:u w:val="single"/>
        </w:rPr>
        <w:t>Glivec</w:t>
      </w:r>
      <w:r>
        <w:rPr>
          <w:b w:val="0"/>
          <w:color w:val="000000"/>
          <w:szCs w:val="22"/>
          <w:u w:val="single"/>
        </w:rPr>
        <w:t xml:space="preserve"> 4</w:t>
      </w:r>
      <w:r w:rsidRPr="00A47F0F">
        <w:rPr>
          <w:b w:val="0"/>
          <w:color w:val="000000"/>
          <w:szCs w:val="22"/>
          <w:u w:val="single"/>
        </w:rPr>
        <w:t>00 mg apvalkotās tabletes</w:t>
      </w:r>
    </w:p>
    <w:p w14:paraId="3D394967" w14:textId="77777777" w:rsidR="001E7706" w:rsidRPr="00CD729C" w:rsidRDefault="001E7706" w:rsidP="009B4BB6">
      <w:pPr>
        <w:pStyle w:val="ParastaisTreknraksts"/>
        <w:widowControl w:val="0"/>
        <w:rPr>
          <w:b w:val="0"/>
          <w:color w:val="000000"/>
          <w:szCs w:val="22"/>
        </w:rPr>
      </w:pPr>
      <w:r>
        <w:rPr>
          <w:b w:val="0"/>
          <w:color w:val="000000"/>
          <w:szCs w:val="22"/>
        </w:rPr>
        <w:t>Viena apvalkotā tablete satur 4</w:t>
      </w:r>
      <w:r w:rsidRPr="00CD729C">
        <w:rPr>
          <w:b w:val="0"/>
          <w:color w:val="000000"/>
          <w:szCs w:val="22"/>
        </w:rPr>
        <w:t>00 mg imatiniba (</w:t>
      </w:r>
      <w:r w:rsidR="006F43C8">
        <w:rPr>
          <w:b w:val="0"/>
          <w:i/>
          <w:color w:val="000000"/>
          <w:szCs w:val="22"/>
        </w:rPr>
        <w:t>i</w:t>
      </w:r>
      <w:r w:rsidRPr="00CD729C">
        <w:rPr>
          <w:b w:val="0"/>
          <w:i/>
          <w:color w:val="000000"/>
          <w:szCs w:val="22"/>
        </w:rPr>
        <w:t>matinib</w:t>
      </w:r>
      <w:r>
        <w:rPr>
          <w:b w:val="0"/>
          <w:i/>
          <w:color w:val="000000"/>
          <w:szCs w:val="22"/>
        </w:rPr>
        <w:t>um</w:t>
      </w:r>
      <w:r w:rsidRPr="00CD729C">
        <w:rPr>
          <w:b w:val="0"/>
          <w:color w:val="000000"/>
          <w:szCs w:val="22"/>
        </w:rPr>
        <w:t xml:space="preserve">) </w:t>
      </w:r>
      <w:r>
        <w:rPr>
          <w:b w:val="0"/>
          <w:color w:val="000000"/>
          <w:szCs w:val="22"/>
        </w:rPr>
        <w:t>(mes</w:t>
      </w:r>
      <w:r w:rsidRPr="00CD729C">
        <w:rPr>
          <w:b w:val="0"/>
          <w:color w:val="000000"/>
          <w:szCs w:val="22"/>
        </w:rPr>
        <w:t>ilāta formā).</w:t>
      </w:r>
    </w:p>
    <w:p w14:paraId="3D394968" w14:textId="77777777" w:rsidR="001E7706" w:rsidRPr="00CD729C" w:rsidRDefault="001E7706" w:rsidP="009B4BB6">
      <w:pPr>
        <w:pStyle w:val="ParastaisTreknraksts"/>
        <w:widowControl w:val="0"/>
        <w:rPr>
          <w:b w:val="0"/>
          <w:color w:val="000000"/>
          <w:szCs w:val="22"/>
        </w:rPr>
      </w:pPr>
    </w:p>
    <w:p w14:paraId="3D394969" w14:textId="77777777" w:rsidR="005117C7" w:rsidRPr="00CD729C" w:rsidRDefault="004574E2" w:rsidP="009B4BB6">
      <w:pPr>
        <w:pStyle w:val="ParastaisTreknraksts"/>
        <w:widowControl w:val="0"/>
        <w:rPr>
          <w:b w:val="0"/>
          <w:color w:val="000000"/>
          <w:szCs w:val="22"/>
        </w:rPr>
      </w:pPr>
      <w:r w:rsidRPr="00CD729C">
        <w:rPr>
          <w:b w:val="0"/>
          <w:color w:val="000000"/>
          <w:szCs w:val="22"/>
        </w:rPr>
        <w:t>Pilnu p</w:t>
      </w:r>
      <w:r w:rsidR="005117C7" w:rsidRPr="00CD729C">
        <w:rPr>
          <w:b w:val="0"/>
          <w:color w:val="000000"/>
          <w:szCs w:val="22"/>
        </w:rPr>
        <w:t>alīgviel</w:t>
      </w:r>
      <w:r w:rsidRPr="00CD729C">
        <w:rPr>
          <w:b w:val="0"/>
          <w:color w:val="000000"/>
          <w:szCs w:val="22"/>
        </w:rPr>
        <w:t>u</w:t>
      </w:r>
      <w:r w:rsidR="005117C7" w:rsidRPr="00CD729C">
        <w:rPr>
          <w:b w:val="0"/>
          <w:color w:val="000000"/>
          <w:szCs w:val="22"/>
        </w:rPr>
        <w:t xml:space="preserve"> </w:t>
      </w:r>
      <w:r w:rsidRPr="00CD729C">
        <w:rPr>
          <w:b w:val="0"/>
          <w:color w:val="000000"/>
          <w:szCs w:val="22"/>
        </w:rPr>
        <w:t xml:space="preserve">sarakstu </w:t>
      </w:r>
      <w:r w:rsidR="005117C7" w:rsidRPr="00CD729C">
        <w:rPr>
          <w:b w:val="0"/>
          <w:color w:val="000000"/>
          <w:szCs w:val="22"/>
        </w:rPr>
        <w:t>sk</w:t>
      </w:r>
      <w:r w:rsidRPr="00CD729C">
        <w:rPr>
          <w:b w:val="0"/>
          <w:color w:val="000000"/>
          <w:szCs w:val="22"/>
        </w:rPr>
        <w:t>atīt</w:t>
      </w:r>
      <w:r w:rsidR="005117C7" w:rsidRPr="00CD729C">
        <w:rPr>
          <w:b w:val="0"/>
          <w:color w:val="000000"/>
          <w:szCs w:val="22"/>
        </w:rPr>
        <w:t xml:space="preserve"> </w:t>
      </w:r>
      <w:r w:rsidR="00426DC1" w:rsidRPr="00CD729C">
        <w:rPr>
          <w:b w:val="0"/>
          <w:color w:val="000000"/>
          <w:szCs w:val="22"/>
        </w:rPr>
        <w:t>6.1</w:t>
      </w:r>
      <w:r w:rsidR="00371C3B" w:rsidRPr="00CD729C">
        <w:rPr>
          <w:b w:val="0"/>
          <w:color w:val="000000"/>
          <w:szCs w:val="22"/>
        </w:rPr>
        <w:t>.</w:t>
      </w:r>
      <w:r w:rsidR="007971BC" w:rsidRPr="00CD729C">
        <w:rPr>
          <w:b w:val="0"/>
          <w:color w:val="000000"/>
          <w:szCs w:val="22"/>
        </w:rPr>
        <w:t> </w:t>
      </w:r>
      <w:r w:rsidRPr="00CD729C">
        <w:rPr>
          <w:b w:val="0"/>
          <w:color w:val="000000"/>
          <w:szCs w:val="22"/>
        </w:rPr>
        <w:t>a</w:t>
      </w:r>
      <w:r w:rsidR="005117C7" w:rsidRPr="00CD729C">
        <w:rPr>
          <w:b w:val="0"/>
          <w:color w:val="000000"/>
          <w:szCs w:val="22"/>
        </w:rPr>
        <w:t>p</w:t>
      </w:r>
      <w:r w:rsidRPr="00CD729C">
        <w:rPr>
          <w:b w:val="0"/>
          <w:color w:val="000000"/>
          <w:szCs w:val="22"/>
        </w:rPr>
        <w:t>akšpunktā</w:t>
      </w:r>
      <w:r w:rsidR="005117C7" w:rsidRPr="00CD729C">
        <w:rPr>
          <w:b w:val="0"/>
          <w:color w:val="000000"/>
          <w:szCs w:val="22"/>
        </w:rPr>
        <w:t>.</w:t>
      </w:r>
    </w:p>
    <w:p w14:paraId="3D39496A" w14:textId="77777777" w:rsidR="005117C7" w:rsidRPr="00CD729C" w:rsidRDefault="005117C7" w:rsidP="009B4BB6">
      <w:pPr>
        <w:pStyle w:val="ParastaisTreknraksts"/>
        <w:widowControl w:val="0"/>
        <w:rPr>
          <w:b w:val="0"/>
          <w:color w:val="000000"/>
          <w:szCs w:val="22"/>
        </w:rPr>
      </w:pPr>
    </w:p>
    <w:p w14:paraId="3D39496B" w14:textId="77777777" w:rsidR="005117C7" w:rsidRPr="00CD729C" w:rsidRDefault="005117C7" w:rsidP="009B4BB6">
      <w:pPr>
        <w:pStyle w:val="ParastaisTreknraksts"/>
        <w:widowControl w:val="0"/>
        <w:rPr>
          <w:b w:val="0"/>
          <w:color w:val="000000"/>
          <w:szCs w:val="22"/>
        </w:rPr>
      </w:pPr>
    </w:p>
    <w:p w14:paraId="3D39496C" w14:textId="77777777" w:rsidR="005117C7" w:rsidRPr="00CD729C" w:rsidRDefault="005117C7" w:rsidP="009B4BB6">
      <w:pPr>
        <w:pStyle w:val="ParastaisTreknraksts"/>
        <w:keepNext/>
        <w:widowControl w:val="0"/>
        <w:rPr>
          <w:caps/>
          <w:color w:val="000000"/>
          <w:szCs w:val="22"/>
        </w:rPr>
      </w:pPr>
      <w:r w:rsidRPr="00CD729C">
        <w:rPr>
          <w:color w:val="000000"/>
          <w:szCs w:val="22"/>
        </w:rPr>
        <w:t>3.</w:t>
      </w:r>
      <w:r w:rsidRPr="00CD729C">
        <w:rPr>
          <w:color w:val="000000"/>
          <w:szCs w:val="22"/>
        </w:rPr>
        <w:tab/>
        <w:t>ZĀĻU FORMA</w:t>
      </w:r>
    </w:p>
    <w:p w14:paraId="3D39496D" w14:textId="77777777" w:rsidR="005117C7" w:rsidRPr="00CD729C" w:rsidRDefault="005117C7" w:rsidP="009B4BB6">
      <w:pPr>
        <w:pStyle w:val="ParastaisTreknraksts"/>
        <w:keepNext/>
        <w:widowControl w:val="0"/>
        <w:rPr>
          <w:b w:val="0"/>
          <w:color w:val="000000"/>
          <w:szCs w:val="22"/>
        </w:rPr>
      </w:pPr>
    </w:p>
    <w:p w14:paraId="3D39496E" w14:textId="77777777" w:rsidR="005117C7" w:rsidRPr="00CD729C" w:rsidRDefault="005117C7" w:rsidP="009B4BB6">
      <w:pPr>
        <w:pStyle w:val="ParastaisTreknraksts"/>
        <w:widowControl w:val="0"/>
        <w:rPr>
          <w:b w:val="0"/>
          <w:color w:val="000000"/>
          <w:szCs w:val="22"/>
        </w:rPr>
      </w:pPr>
      <w:r w:rsidRPr="00CD729C">
        <w:rPr>
          <w:b w:val="0"/>
          <w:color w:val="000000"/>
          <w:szCs w:val="22"/>
        </w:rPr>
        <w:t>Apvalkot</w:t>
      </w:r>
      <w:r w:rsidR="00E8272D" w:rsidRPr="00CD729C">
        <w:rPr>
          <w:b w:val="0"/>
          <w:color w:val="000000"/>
          <w:szCs w:val="22"/>
        </w:rPr>
        <w:t>ā</w:t>
      </w:r>
      <w:r w:rsidRPr="00CD729C">
        <w:rPr>
          <w:b w:val="0"/>
          <w:color w:val="000000"/>
          <w:szCs w:val="22"/>
        </w:rPr>
        <w:t xml:space="preserve"> tablete</w:t>
      </w:r>
    </w:p>
    <w:p w14:paraId="3D39496F" w14:textId="77777777" w:rsidR="005117C7" w:rsidRPr="00CD729C" w:rsidRDefault="005117C7" w:rsidP="009B4BB6">
      <w:pPr>
        <w:pStyle w:val="ParastaisTreknraksts"/>
        <w:widowControl w:val="0"/>
        <w:rPr>
          <w:b w:val="0"/>
          <w:color w:val="000000"/>
          <w:szCs w:val="22"/>
        </w:rPr>
      </w:pPr>
    </w:p>
    <w:p w14:paraId="3D394970" w14:textId="77777777" w:rsidR="00D007DC" w:rsidRPr="00A47F0F" w:rsidRDefault="00D007DC" w:rsidP="009B4BB6">
      <w:pPr>
        <w:pStyle w:val="ParastaisTreknraksts"/>
        <w:keepNext/>
        <w:widowControl w:val="0"/>
        <w:rPr>
          <w:b w:val="0"/>
          <w:color w:val="000000"/>
          <w:szCs w:val="22"/>
          <w:u w:val="single"/>
        </w:rPr>
      </w:pPr>
      <w:r w:rsidRPr="00A47F0F">
        <w:rPr>
          <w:b w:val="0"/>
          <w:color w:val="000000"/>
          <w:szCs w:val="22"/>
          <w:u w:val="single"/>
        </w:rPr>
        <w:t>Glivec 100 mg apvalkotās tabletes</w:t>
      </w:r>
    </w:p>
    <w:p w14:paraId="3D394971" w14:textId="77777777" w:rsidR="005117C7" w:rsidRPr="00CD729C" w:rsidRDefault="005117C7" w:rsidP="009B4BB6">
      <w:pPr>
        <w:pStyle w:val="ParastaisTreknraksts"/>
        <w:widowControl w:val="0"/>
        <w:ind w:left="0" w:firstLine="0"/>
        <w:rPr>
          <w:b w:val="0"/>
          <w:color w:val="000000"/>
          <w:szCs w:val="22"/>
        </w:rPr>
      </w:pPr>
      <w:r w:rsidRPr="00CD729C">
        <w:rPr>
          <w:b w:val="0"/>
          <w:color w:val="000000"/>
          <w:szCs w:val="22"/>
        </w:rPr>
        <w:t>Ļoti tumši dzeltenas vai brūni oranžas apvalkot</w:t>
      </w:r>
      <w:r w:rsidR="006236F0" w:rsidRPr="00CD729C">
        <w:rPr>
          <w:b w:val="0"/>
          <w:color w:val="000000"/>
          <w:szCs w:val="22"/>
        </w:rPr>
        <w:t>ā</w:t>
      </w:r>
      <w:r w:rsidRPr="00CD729C">
        <w:rPr>
          <w:b w:val="0"/>
          <w:color w:val="000000"/>
          <w:szCs w:val="22"/>
        </w:rPr>
        <w:t>s tabletes. Tabletes vienā pusē aplis ar marķējumu “NVR”, otrā pusē – marķējums “SA” un dalījuma līnija.</w:t>
      </w:r>
    </w:p>
    <w:p w14:paraId="3D394972" w14:textId="77777777" w:rsidR="005117C7" w:rsidRDefault="005117C7" w:rsidP="009B4BB6">
      <w:pPr>
        <w:pStyle w:val="ParastaisTreknraksts"/>
        <w:widowControl w:val="0"/>
        <w:rPr>
          <w:b w:val="0"/>
          <w:color w:val="000000"/>
          <w:szCs w:val="22"/>
        </w:rPr>
      </w:pPr>
    </w:p>
    <w:p w14:paraId="3D394973" w14:textId="77777777" w:rsidR="00D007DC" w:rsidRPr="00A47F0F" w:rsidRDefault="00D007DC" w:rsidP="009B4BB6">
      <w:pPr>
        <w:pStyle w:val="ParastaisTreknraksts"/>
        <w:keepNext/>
        <w:widowControl w:val="0"/>
        <w:rPr>
          <w:b w:val="0"/>
          <w:color w:val="000000"/>
          <w:szCs w:val="22"/>
          <w:u w:val="single"/>
        </w:rPr>
      </w:pPr>
      <w:r w:rsidRPr="00A47F0F">
        <w:rPr>
          <w:b w:val="0"/>
          <w:color w:val="000000"/>
          <w:szCs w:val="22"/>
          <w:u w:val="single"/>
        </w:rPr>
        <w:t>Glivec</w:t>
      </w:r>
      <w:r>
        <w:rPr>
          <w:b w:val="0"/>
          <w:color w:val="000000"/>
          <w:szCs w:val="22"/>
          <w:u w:val="single"/>
        </w:rPr>
        <w:t xml:space="preserve"> 4</w:t>
      </w:r>
      <w:r w:rsidRPr="00A47F0F">
        <w:rPr>
          <w:b w:val="0"/>
          <w:color w:val="000000"/>
          <w:szCs w:val="22"/>
          <w:u w:val="single"/>
        </w:rPr>
        <w:t>00 mg apvalkotās tabletes</w:t>
      </w:r>
    </w:p>
    <w:p w14:paraId="3D394974" w14:textId="77777777" w:rsidR="00D007DC" w:rsidRPr="00CD729C" w:rsidRDefault="00D007DC" w:rsidP="009B4BB6">
      <w:pPr>
        <w:pStyle w:val="ParastaisTreknraksts"/>
        <w:widowControl w:val="0"/>
        <w:ind w:left="0" w:firstLine="0"/>
        <w:rPr>
          <w:b w:val="0"/>
          <w:color w:val="000000"/>
          <w:szCs w:val="22"/>
        </w:rPr>
      </w:pPr>
      <w:r w:rsidRPr="00CD729C">
        <w:rPr>
          <w:b w:val="0"/>
          <w:color w:val="000000"/>
          <w:szCs w:val="22"/>
        </w:rPr>
        <w:t xml:space="preserve">Ļoti tumši dzeltenas vai brūni oranžas, ovālas formas, abpusēji izliektas apvalkotās tabletes ar </w:t>
      </w:r>
      <w:r w:rsidR="009E5D68">
        <w:rPr>
          <w:b w:val="0"/>
          <w:color w:val="000000"/>
          <w:szCs w:val="22"/>
        </w:rPr>
        <w:t>nošķeltām malām</w:t>
      </w:r>
      <w:r w:rsidR="00F736B4">
        <w:rPr>
          <w:b w:val="0"/>
          <w:color w:val="000000"/>
          <w:szCs w:val="22"/>
        </w:rPr>
        <w:t xml:space="preserve"> un </w:t>
      </w:r>
      <w:r w:rsidRPr="00CD729C">
        <w:rPr>
          <w:b w:val="0"/>
          <w:color w:val="000000"/>
          <w:szCs w:val="22"/>
        </w:rPr>
        <w:t>marķējum</w:t>
      </w:r>
      <w:r w:rsidR="00F736B4">
        <w:rPr>
          <w:b w:val="0"/>
          <w:color w:val="000000"/>
          <w:szCs w:val="22"/>
        </w:rPr>
        <w:t>u</w:t>
      </w:r>
      <w:r w:rsidRPr="00CD729C">
        <w:rPr>
          <w:b w:val="0"/>
          <w:color w:val="000000"/>
          <w:szCs w:val="22"/>
        </w:rPr>
        <w:t xml:space="preserve"> “glivec”</w:t>
      </w:r>
      <w:r w:rsidR="00DF128E">
        <w:rPr>
          <w:b w:val="0"/>
          <w:color w:val="000000"/>
          <w:szCs w:val="22"/>
        </w:rPr>
        <w:t xml:space="preserve"> </w:t>
      </w:r>
      <w:r w:rsidR="00F736B4">
        <w:rPr>
          <w:b w:val="0"/>
          <w:color w:val="000000"/>
          <w:szCs w:val="22"/>
        </w:rPr>
        <w:t>t</w:t>
      </w:r>
      <w:r w:rsidR="00F736B4" w:rsidRPr="00CD729C">
        <w:rPr>
          <w:b w:val="0"/>
          <w:color w:val="000000"/>
          <w:szCs w:val="22"/>
        </w:rPr>
        <w:t>abletes vienā pusē</w:t>
      </w:r>
      <w:r w:rsidRPr="00CD729C">
        <w:rPr>
          <w:b w:val="0"/>
          <w:color w:val="000000"/>
          <w:szCs w:val="22"/>
        </w:rPr>
        <w:t>.</w:t>
      </w:r>
    </w:p>
    <w:p w14:paraId="3D394975" w14:textId="77777777" w:rsidR="00D007DC" w:rsidRPr="00CD729C" w:rsidRDefault="00D007DC" w:rsidP="009B4BB6">
      <w:pPr>
        <w:pStyle w:val="ParastaisTreknraksts"/>
        <w:widowControl w:val="0"/>
        <w:rPr>
          <w:b w:val="0"/>
          <w:color w:val="000000"/>
          <w:szCs w:val="22"/>
        </w:rPr>
      </w:pPr>
    </w:p>
    <w:p w14:paraId="3D394976" w14:textId="77777777" w:rsidR="005117C7" w:rsidRPr="00CD729C" w:rsidRDefault="005117C7" w:rsidP="009B4BB6">
      <w:pPr>
        <w:pStyle w:val="ParastaisTreknraksts"/>
        <w:widowControl w:val="0"/>
        <w:rPr>
          <w:b w:val="0"/>
          <w:color w:val="000000"/>
          <w:szCs w:val="22"/>
        </w:rPr>
      </w:pPr>
    </w:p>
    <w:p w14:paraId="3D394977" w14:textId="77777777" w:rsidR="00412E40" w:rsidRPr="00CD729C" w:rsidRDefault="00412E40" w:rsidP="009B4BB6">
      <w:pPr>
        <w:keepNext/>
        <w:widowControl w:val="0"/>
        <w:tabs>
          <w:tab w:val="clear" w:pos="567"/>
        </w:tabs>
        <w:spacing w:line="240" w:lineRule="auto"/>
        <w:ind w:left="567" w:hanging="567"/>
        <w:rPr>
          <w:b/>
          <w:color w:val="000000"/>
          <w:szCs w:val="22"/>
        </w:rPr>
      </w:pPr>
      <w:r w:rsidRPr="00CD729C">
        <w:rPr>
          <w:b/>
          <w:caps/>
          <w:color w:val="000000"/>
          <w:szCs w:val="22"/>
        </w:rPr>
        <w:t>4.</w:t>
      </w:r>
      <w:r w:rsidRPr="00CD729C">
        <w:rPr>
          <w:b/>
          <w:caps/>
          <w:color w:val="000000"/>
          <w:szCs w:val="22"/>
        </w:rPr>
        <w:tab/>
        <w:t>KLĪNISKĀ INFORMĀCIJA</w:t>
      </w:r>
    </w:p>
    <w:p w14:paraId="3D394978" w14:textId="77777777" w:rsidR="00412E40" w:rsidRPr="00CD729C" w:rsidRDefault="00412E40" w:rsidP="009B4BB6">
      <w:pPr>
        <w:pStyle w:val="ParastaisTreknraksts"/>
        <w:keepNext/>
        <w:widowControl w:val="0"/>
        <w:rPr>
          <w:b w:val="0"/>
          <w:caps/>
          <w:color w:val="000000"/>
          <w:szCs w:val="22"/>
        </w:rPr>
      </w:pPr>
    </w:p>
    <w:p w14:paraId="3D394979" w14:textId="77777777" w:rsidR="00412E40" w:rsidRPr="00CD729C" w:rsidRDefault="00412E40" w:rsidP="009B4BB6">
      <w:pPr>
        <w:keepNext/>
        <w:widowControl w:val="0"/>
        <w:tabs>
          <w:tab w:val="clear" w:pos="567"/>
        </w:tabs>
        <w:spacing w:line="240" w:lineRule="auto"/>
        <w:ind w:left="567" w:hanging="567"/>
        <w:rPr>
          <w:color w:val="000000"/>
          <w:szCs w:val="22"/>
        </w:rPr>
      </w:pPr>
      <w:r w:rsidRPr="00CD729C">
        <w:rPr>
          <w:b/>
          <w:color w:val="000000"/>
          <w:szCs w:val="22"/>
        </w:rPr>
        <w:t>4.1</w:t>
      </w:r>
      <w:r w:rsidR="00371C3B" w:rsidRPr="00CD729C">
        <w:rPr>
          <w:b/>
          <w:color w:val="000000"/>
          <w:szCs w:val="22"/>
        </w:rPr>
        <w:t>.</w:t>
      </w:r>
      <w:r w:rsidRPr="00CD729C">
        <w:rPr>
          <w:b/>
          <w:color w:val="000000"/>
          <w:szCs w:val="22"/>
        </w:rPr>
        <w:tab/>
        <w:t>Terapeitiskās indikācijas</w:t>
      </w:r>
    </w:p>
    <w:p w14:paraId="3D39497A" w14:textId="77777777" w:rsidR="00412E40" w:rsidRPr="00CD729C" w:rsidRDefault="00412E40" w:rsidP="009B4BB6">
      <w:pPr>
        <w:keepNext/>
        <w:widowControl w:val="0"/>
        <w:tabs>
          <w:tab w:val="clear" w:pos="567"/>
        </w:tabs>
        <w:spacing w:line="240" w:lineRule="auto"/>
        <w:rPr>
          <w:color w:val="000000"/>
          <w:szCs w:val="22"/>
        </w:rPr>
      </w:pPr>
    </w:p>
    <w:p w14:paraId="3D39497B" w14:textId="77777777" w:rsidR="00412E40" w:rsidRPr="00CD729C" w:rsidRDefault="00412E40" w:rsidP="009B4BB6">
      <w:pPr>
        <w:keepNext/>
        <w:widowControl w:val="0"/>
        <w:tabs>
          <w:tab w:val="clear" w:pos="567"/>
        </w:tabs>
        <w:spacing w:line="240" w:lineRule="auto"/>
        <w:rPr>
          <w:color w:val="000000"/>
          <w:szCs w:val="22"/>
        </w:rPr>
      </w:pPr>
      <w:r w:rsidRPr="00CD729C">
        <w:rPr>
          <w:color w:val="000000"/>
          <w:szCs w:val="22"/>
        </w:rPr>
        <w:t>Glivec ir indicēts:</w:t>
      </w:r>
    </w:p>
    <w:p w14:paraId="3D39497C" w14:textId="77777777" w:rsidR="00412E40" w:rsidRPr="00CD729C" w:rsidRDefault="00412E40" w:rsidP="009B4BB6">
      <w:pPr>
        <w:widowControl w:val="0"/>
        <w:numPr>
          <w:ilvl w:val="0"/>
          <w:numId w:val="10"/>
        </w:numPr>
        <w:tabs>
          <w:tab w:val="clear" w:pos="720"/>
          <w:tab w:val="num" w:pos="567"/>
        </w:tabs>
        <w:spacing w:line="240" w:lineRule="auto"/>
        <w:ind w:left="567" w:hanging="567"/>
        <w:rPr>
          <w:color w:val="000000"/>
          <w:szCs w:val="22"/>
        </w:rPr>
      </w:pPr>
      <w:r w:rsidRPr="00CD729C">
        <w:rPr>
          <w:color w:val="000000"/>
          <w:szCs w:val="22"/>
        </w:rPr>
        <w:t>pieaugušajiem un pediatrijas pacientiem, kam nesen diagnosticēta Filadelfijas hromosomas (bcr-abl) pozitīva (Ph</w:t>
      </w:r>
      <w:r w:rsidRPr="00CD729C">
        <w:rPr>
          <w:color w:val="000000"/>
          <w:szCs w:val="22"/>
          <w:vertAlign w:val="superscript"/>
        </w:rPr>
        <w:t>+</w:t>
      </w:r>
      <w:r w:rsidRPr="00CD729C">
        <w:rPr>
          <w:color w:val="000000"/>
          <w:szCs w:val="22"/>
        </w:rPr>
        <w:t>) hroniska mieloleik</w:t>
      </w:r>
      <w:r w:rsidR="00F05C89" w:rsidRPr="00CD729C">
        <w:rPr>
          <w:color w:val="000000"/>
          <w:szCs w:val="22"/>
        </w:rPr>
        <w:t>oze</w:t>
      </w:r>
      <w:r w:rsidRPr="00CD729C">
        <w:rPr>
          <w:color w:val="000000"/>
          <w:szCs w:val="22"/>
        </w:rPr>
        <w:t xml:space="preserve"> (</w:t>
      </w:r>
      <w:r w:rsidRPr="00CD729C">
        <w:rPr>
          <w:i/>
          <w:color w:val="000000"/>
          <w:szCs w:val="22"/>
        </w:rPr>
        <w:t>Chronic Myeloid Leukaemia</w:t>
      </w:r>
      <w:r w:rsidRPr="00CD729C">
        <w:rPr>
          <w:color w:val="000000"/>
          <w:szCs w:val="22"/>
        </w:rPr>
        <w:t xml:space="preserve"> - CML) un kam pirmās līnijas terapijā kaulu smadzeņu transplantācija nav paredzama.</w:t>
      </w:r>
    </w:p>
    <w:p w14:paraId="3D39497D" w14:textId="77777777" w:rsidR="00412E40" w:rsidRPr="00CD729C" w:rsidRDefault="00412E40" w:rsidP="009B4BB6">
      <w:pPr>
        <w:widowControl w:val="0"/>
        <w:numPr>
          <w:ilvl w:val="0"/>
          <w:numId w:val="10"/>
        </w:numPr>
        <w:tabs>
          <w:tab w:val="clear" w:pos="720"/>
          <w:tab w:val="num" w:pos="567"/>
        </w:tabs>
        <w:spacing w:line="240" w:lineRule="auto"/>
        <w:ind w:left="567" w:hanging="567"/>
        <w:rPr>
          <w:color w:val="000000"/>
          <w:szCs w:val="22"/>
        </w:rPr>
      </w:pPr>
      <w:r w:rsidRPr="00CD729C">
        <w:rPr>
          <w:color w:val="000000"/>
          <w:szCs w:val="22"/>
        </w:rPr>
        <w:t>pieaugušajiem un pediatrijas pacientiem ar Ph</w:t>
      </w:r>
      <w:r w:rsidRPr="00CD729C">
        <w:rPr>
          <w:color w:val="000000"/>
          <w:szCs w:val="22"/>
          <w:vertAlign w:val="superscript"/>
        </w:rPr>
        <w:t xml:space="preserve">+ </w:t>
      </w:r>
      <w:r w:rsidRPr="00CD729C">
        <w:rPr>
          <w:color w:val="000000"/>
          <w:szCs w:val="22"/>
        </w:rPr>
        <w:t>CML hroniskajā fāzē pēc neveiksmīgas terapijas ar interferonu alfa vai blastu krīzes akcelerācijas fāzē.</w:t>
      </w:r>
    </w:p>
    <w:p w14:paraId="3D39497E" w14:textId="77777777" w:rsidR="00412E40" w:rsidRPr="00CD729C" w:rsidRDefault="00412E40" w:rsidP="009B4BB6">
      <w:pPr>
        <w:pStyle w:val="EndnoteText"/>
        <w:widowControl w:val="0"/>
        <w:numPr>
          <w:ilvl w:val="0"/>
          <w:numId w:val="11"/>
        </w:numPr>
        <w:tabs>
          <w:tab w:val="clear" w:pos="720"/>
          <w:tab w:val="num" w:pos="567"/>
        </w:tabs>
        <w:ind w:left="567" w:hanging="567"/>
        <w:rPr>
          <w:snapToGrid w:val="0"/>
          <w:color w:val="000000"/>
          <w:szCs w:val="22"/>
          <w:lang w:eastAsia="de-DE"/>
        </w:rPr>
      </w:pPr>
      <w:r w:rsidRPr="00CD729C">
        <w:rPr>
          <w:rFonts w:eastAsia="MS Mincho"/>
          <w:color w:val="000000"/>
          <w:lang w:eastAsia="ja-JP"/>
        </w:rPr>
        <w:t xml:space="preserve">pieaugušiem </w:t>
      </w:r>
      <w:r w:rsidR="001F434B" w:rsidRPr="00CD729C">
        <w:rPr>
          <w:rFonts w:eastAsia="MS Mincho"/>
          <w:color w:val="000000"/>
          <w:lang w:eastAsia="ja-JP"/>
        </w:rPr>
        <w:t xml:space="preserve">un pediatrijas </w:t>
      </w:r>
      <w:r w:rsidRPr="00CD729C">
        <w:rPr>
          <w:rFonts w:eastAsia="MS Mincho"/>
          <w:color w:val="000000"/>
          <w:lang w:eastAsia="ja-JP"/>
        </w:rPr>
        <w:t xml:space="preserve">pacientiem ar </w:t>
      </w:r>
      <w:r w:rsidR="00B21479" w:rsidRPr="00CD729C">
        <w:rPr>
          <w:rFonts w:eastAsia="MS Mincho"/>
          <w:color w:val="000000"/>
          <w:lang w:eastAsia="ja-JP"/>
        </w:rPr>
        <w:t xml:space="preserve">nesen </w:t>
      </w:r>
      <w:r w:rsidRPr="00CD729C">
        <w:rPr>
          <w:rFonts w:eastAsia="MS Mincho"/>
          <w:color w:val="000000"/>
          <w:lang w:eastAsia="ja-JP"/>
        </w:rPr>
        <w:t xml:space="preserve">diagnosticētu </w:t>
      </w:r>
      <w:r w:rsidRPr="00CD729C">
        <w:rPr>
          <w:color w:val="000000"/>
          <w:szCs w:val="22"/>
        </w:rPr>
        <w:t>Filadelfijas hromosomas</w:t>
      </w:r>
      <w:r w:rsidRPr="00CD729C">
        <w:rPr>
          <w:rFonts w:eastAsia="MS Mincho"/>
          <w:color w:val="000000"/>
          <w:lang w:eastAsia="ja-JP"/>
        </w:rPr>
        <w:t xml:space="preserve"> pozitīvu akūtu limfoblastisku leik</w:t>
      </w:r>
      <w:r w:rsidR="00F05C89" w:rsidRPr="00CD729C">
        <w:rPr>
          <w:rFonts w:eastAsia="MS Mincho"/>
          <w:color w:val="000000"/>
          <w:lang w:eastAsia="ja-JP"/>
        </w:rPr>
        <w:t>ozi</w:t>
      </w:r>
      <w:r w:rsidRPr="00CD729C">
        <w:rPr>
          <w:rFonts w:eastAsia="MS Mincho"/>
          <w:color w:val="000000"/>
          <w:lang w:eastAsia="ja-JP"/>
        </w:rPr>
        <w:t xml:space="preserve"> (Ph+ ALL), apvienojumā ar</w:t>
      </w:r>
      <w:r w:rsidRPr="00CD729C">
        <w:rPr>
          <w:color w:val="000000"/>
        </w:rPr>
        <w:t xml:space="preserve"> ķīmijterapiju.</w:t>
      </w:r>
    </w:p>
    <w:p w14:paraId="3D39497F" w14:textId="77777777" w:rsidR="00412E40" w:rsidRPr="00CD729C" w:rsidRDefault="00412E40" w:rsidP="009B4BB6">
      <w:pPr>
        <w:pStyle w:val="EndnoteText"/>
        <w:widowControl w:val="0"/>
        <w:numPr>
          <w:ilvl w:val="0"/>
          <w:numId w:val="11"/>
        </w:numPr>
        <w:tabs>
          <w:tab w:val="clear" w:pos="720"/>
          <w:tab w:val="num" w:pos="567"/>
        </w:tabs>
        <w:ind w:left="567" w:hanging="567"/>
        <w:rPr>
          <w:snapToGrid w:val="0"/>
          <w:color w:val="000000"/>
          <w:szCs w:val="22"/>
          <w:lang w:eastAsia="de-DE"/>
        </w:rPr>
      </w:pPr>
      <w:r w:rsidRPr="00CD729C">
        <w:rPr>
          <w:rFonts w:eastAsia="MS Mincho"/>
          <w:color w:val="000000"/>
          <w:lang w:eastAsia="ja-JP"/>
        </w:rPr>
        <w:t>pieaugušiem pacientiem ar</w:t>
      </w:r>
      <w:r w:rsidRPr="00CD729C">
        <w:rPr>
          <w:rFonts w:eastAsia="MS Mincho"/>
          <w:color w:val="000000"/>
          <w:szCs w:val="24"/>
          <w:lang w:eastAsia="ja-JP"/>
        </w:rPr>
        <w:t xml:space="preserve"> recidivējošu vai refraktāru Ph+ ALL monoterapijas veidā.</w:t>
      </w:r>
    </w:p>
    <w:p w14:paraId="3D394980" w14:textId="77777777" w:rsidR="00412E40" w:rsidRPr="00CD729C" w:rsidRDefault="00412E40" w:rsidP="009B4BB6">
      <w:pPr>
        <w:pStyle w:val="EndnoteText"/>
        <w:widowControl w:val="0"/>
        <w:numPr>
          <w:ilvl w:val="0"/>
          <w:numId w:val="11"/>
        </w:numPr>
        <w:tabs>
          <w:tab w:val="clear" w:pos="720"/>
          <w:tab w:val="num" w:pos="567"/>
        </w:tabs>
        <w:ind w:left="567" w:hanging="567"/>
        <w:rPr>
          <w:snapToGrid w:val="0"/>
          <w:color w:val="000000"/>
          <w:szCs w:val="22"/>
          <w:lang w:eastAsia="de-DE"/>
        </w:rPr>
      </w:pPr>
      <w:r w:rsidRPr="00CD729C">
        <w:rPr>
          <w:rFonts w:eastAsia="MS Mincho"/>
          <w:color w:val="000000"/>
          <w:lang w:eastAsia="ja-JP"/>
        </w:rPr>
        <w:t>pieaugušiem pacientiem ar</w:t>
      </w:r>
      <w:r w:rsidRPr="00CD729C">
        <w:rPr>
          <w:snapToGrid w:val="0"/>
          <w:color w:val="000000"/>
        </w:rPr>
        <w:t xml:space="preserve"> mielodisplastiskām/mieloproliferatīvām slimībām (MDS/MPD), kas saistītas ar trombocītu augšanas faktora receptoru (</w:t>
      </w:r>
      <w:r w:rsidRPr="00CD729C">
        <w:rPr>
          <w:i/>
          <w:snapToGrid w:val="0"/>
          <w:color w:val="000000"/>
        </w:rPr>
        <w:t>platelet-derived growth factor receptor - PDGFR</w:t>
      </w:r>
      <w:r w:rsidRPr="00CD729C">
        <w:rPr>
          <w:snapToGrid w:val="0"/>
          <w:color w:val="000000"/>
        </w:rPr>
        <w:t>) gēnu pārkārtošanos.</w:t>
      </w:r>
    </w:p>
    <w:p w14:paraId="3D394981" w14:textId="77777777" w:rsidR="00412E40" w:rsidRPr="00CD729C" w:rsidRDefault="00412E40" w:rsidP="009B4BB6">
      <w:pPr>
        <w:widowControl w:val="0"/>
        <w:numPr>
          <w:ilvl w:val="0"/>
          <w:numId w:val="11"/>
        </w:numPr>
        <w:tabs>
          <w:tab w:val="clear" w:pos="720"/>
          <w:tab w:val="num" w:pos="567"/>
        </w:tabs>
        <w:spacing w:line="240" w:lineRule="auto"/>
        <w:ind w:left="567" w:hanging="567"/>
        <w:rPr>
          <w:color w:val="000000"/>
          <w:szCs w:val="22"/>
        </w:rPr>
      </w:pPr>
      <w:r w:rsidRPr="00CD729C">
        <w:rPr>
          <w:rFonts w:eastAsia="MS Mincho"/>
          <w:color w:val="000000"/>
          <w:szCs w:val="22"/>
          <w:lang w:eastAsia="ja-JP"/>
        </w:rPr>
        <w:t>pieaugušiem pacientiem ar progresējošu hipereozinofīlisko sindromu (</w:t>
      </w:r>
      <w:r w:rsidRPr="00CD729C">
        <w:rPr>
          <w:i/>
          <w:color w:val="000000"/>
        </w:rPr>
        <w:t>hypereosinophilic syndrome</w:t>
      </w:r>
      <w:r w:rsidRPr="00CD729C">
        <w:rPr>
          <w:rFonts w:eastAsia="MS Mincho"/>
          <w:i/>
          <w:color w:val="000000"/>
          <w:szCs w:val="22"/>
          <w:lang w:eastAsia="ja-JP"/>
        </w:rPr>
        <w:t xml:space="preserve"> - </w:t>
      </w:r>
      <w:r w:rsidR="00CB3DD4" w:rsidRPr="00CD729C">
        <w:rPr>
          <w:rFonts w:eastAsia="MS Mincho"/>
          <w:color w:val="000000"/>
          <w:szCs w:val="22"/>
          <w:lang w:eastAsia="ja-JP"/>
        </w:rPr>
        <w:t>HES</w:t>
      </w:r>
      <w:r w:rsidRPr="00CD729C">
        <w:rPr>
          <w:rFonts w:eastAsia="MS Mincho"/>
          <w:color w:val="000000"/>
          <w:szCs w:val="22"/>
          <w:lang w:eastAsia="ja-JP"/>
        </w:rPr>
        <w:t>) un/vai hronisku eozinofīlu leik</w:t>
      </w:r>
      <w:r w:rsidR="00F05C89" w:rsidRPr="00CD729C">
        <w:rPr>
          <w:rFonts w:eastAsia="MS Mincho"/>
          <w:color w:val="000000"/>
          <w:szCs w:val="22"/>
          <w:lang w:eastAsia="ja-JP"/>
        </w:rPr>
        <w:t>ozi</w:t>
      </w:r>
      <w:r w:rsidRPr="00CD729C">
        <w:rPr>
          <w:rFonts w:eastAsia="MS Mincho"/>
          <w:color w:val="000000"/>
          <w:szCs w:val="22"/>
          <w:lang w:eastAsia="ja-JP"/>
        </w:rPr>
        <w:t xml:space="preserve"> (</w:t>
      </w:r>
      <w:r w:rsidRPr="00CD729C">
        <w:rPr>
          <w:i/>
          <w:color w:val="000000"/>
        </w:rPr>
        <w:t>chronic eosinophilic leukaemia</w:t>
      </w:r>
      <w:r w:rsidRPr="00CD729C">
        <w:rPr>
          <w:rFonts w:eastAsia="MS Mincho"/>
          <w:i/>
          <w:color w:val="000000"/>
          <w:szCs w:val="22"/>
          <w:lang w:eastAsia="ja-JP"/>
        </w:rPr>
        <w:t xml:space="preserve"> - CEL</w:t>
      </w:r>
      <w:r w:rsidRPr="00CD729C">
        <w:rPr>
          <w:rFonts w:eastAsia="MS Mincho"/>
          <w:color w:val="000000"/>
          <w:szCs w:val="22"/>
          <w:lang w:eastAsia="ja-JP"/>
        </w:rPr>
        <w:t xml:space="preserve">) ar </w:t>
      </w:r>
      <w:r w:rsidRPr="00CD729C">
        <w:rPr>
          <w:color w:val="000000"/>
        </w:rPr>
        <w:t>FIP1L1-PDGFR</w:t>
      </w:r>
      <w:r w:rsidRPr="00CD729C">
        <w:rPr>
          <w:color w:val="000000"/>
        </w:rPr>
        <w:sym w:font="Symbol" w:char="F061"/>
      </w:r>
      <w:r w:rsidRPr="00CD729C">
        <w:rPr>
          <w:color w:val="000000"/>
        </w:rPr>
        <w:t xml:space="preserve"> pārkārtošanos</w:t>
      </w:r>
      <w:r w:rsidRPr="00CD729C">
        <w:rPr>
          <w:rFonts w:eastAsia="MS Mincho"/>
          <w:color w:val="000000"/>
          <w:szCs w:val="22"/>
          <w:lang w:eastAsia="ja-JP"/>
        </w:rPr>
        <w:t>.</w:t>
      </w:r>
    </w:p>
    <w:p w14:paraId="3D394982" w14:textId="77777777" w:rsidR="00412E40" w:rsidRPr="00CD729C" w:rsidRDefault="00412E40" w:rsidP="009B4BB6">
      <w:pPr>
        <w:widowControl w:val="0"/>
        <w:tabs>
          <w:tab w:val="clear" w:pos="567"/>
        </w:tabs>
        <w:spacing w:line="240" w:lineRule="auto"/>
        <w:rPr>
          <w:color w:val="000000"/>
          <w:szCs w:val="22"/>
        </w:rPr>
      </w:pPr>
    </w:p>
    <w:p w14:paraId="3D394983"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lastRenderedPageBreak/>
        <w:t>Glivec ietekme uz kaulu smadzeņu transplantācijas iznākumu nav noskaidrota.</w:t>
      </w:r>
    </w:p>
    <w:p w14:paraId="3D394984" w14:textId="77777777" w:rsidR="00412E40" w:rsidRPr="00CD729C" w:rsidRDefault="00412E40" w:rsidP="009B4BB6">
      <w:pPr>
        <w:widowControl w:val="0"/>
        <w:tabs>
          <w:tab w:val="clear" w:pos="567"/>
        </w:tabs>
        <w:spacing w:line="240" w:lineRule="auto"/>
        <w:rPr>
          <w:color w:val="000000"/>
          <w:szCs w:val="22"/>
        </w:rPr>
      </w:pPr>
    </w:p>
    <w:p w14:paraId="3D394985" w14:textId="77777777" w:rsidR="00412E40" w:rsidRPr="00CD729C" w:rsidRDefault="00412E40" w:rsidP="009B4BB6">
      <w:pPr>
        <w:keepNext/>
        <w:widowControl w:val="0"/>
        <w:tabs>
          <w:tab w:val="clear" w:pos="567"/>
        </w:tabs>
        <w:spacing w:line="240" w:lineRule="auto"/>
        <w:rPr>
          <w:color w:val="000000"/>
          <w:szCs w:val="22"/>
        </w:rPr>
      </w:pPr>
      <w:r w:rsidRPr="00CD729C">
        <w:rPr>
          <w:color w:val="000000"/>
          <w:szCs w:val="22"/>
        </w:rPr>
        <w:t>Glivec ir indicēts:</w:t>
      </w:r>
    </w:p>
    <w:p w14:paraId="3D394986" w14:textId="77777777" w:rsidR="00412E40" w:rsidRPr="00CD729C" w:rsidRDefault="00412E40" w:rsidP="009B4BB6">
      <w:pPr>
        <w:widowControl w:val="0"/>
        <w:numPr>
          <w:ilvl w:val="0"/>
          <w:numId w:val="12"/>
        </w:numPr>
        <w:tabs>
          <w:tab w:val="clear" w:pos="720"/>
          <w:tab w:val="num" w:pos="567"/>
        </w:tabs>
        <w:spacing w:line="240" w:lineRule="auto"/>
        <w:ind w:left="567" w:hanging="567"/>
        <w:rPr>
          <w:color w:val="000000"/>
          <w:szCs w:val="22"/>
        </w:rPr>
      </w:pPr>
      <w:r w:rsidRPr="00CD729C">
        <w:rPr>
          <w:color w:val="000000"/>
          <w:szCs w:val="22"/>
        </w:rPr>
        <w:t>pieaugušo pacientu ar Kit (CD 117) pozitīvu nerezecējamu un/vai metastazējušu ļaundabīgu stromas audzēju kuņģa – zarnu traktā (</w:t>
      </w:r>
      <w:r w:rsidRPr="00CD729C">
        <w:rPr>
          <w:i/>
          <w:color w:val="000000"/>
          <w:szCs w:val="22"/>
        </w:rPr>
        <w:t>Gastrointestinal Stromal Tumor</w:t>
      </w:r>
      <w:r w:rsidRPr="00CD729C">
        <w:rPr>
          <w:color w:val="000000"/>
          <w:szCs w:val="22"/>
        </w:rPr>
        <w:t xml:space="preserve"> -GIST) ārstēšanai.</w:t>
      </w:r>
    </w:p>
    <w:p w14:paraId="3D394987" w14:textId="77777777" w:rsidR="00412E40" w:rsidRPr="00CD729C" w:rsidRDefault="00412E40" w:rsidP="009B4BB6">
      <w:pPr>
        <w:widowControl w:val="0"/>
        <w:numPr>
          <w:ilvl w:val="0"/>
          <w:numId w:val="12"/>
        </w:numPr>
        <w:tabs>
          <w:tab w:val="clear" w:pos="720"/>
          <w:tab w:val="num" w:pos="567"/>
        </w:tabs>
        <w:spacing w:line="240" w:lineRule="auto"/>
        <w:ind w:left="567" w:hanging="567"/>
        <w:rPr>
          <w:color w:val="000000"/>
          <w:szCs w:val="22"/>
        </w:rPr>
      </w:pPr>
      <w:r w:rsidRPr="00CD729C">
        <w:rPr>
          <w:color w:val="000000"/>
          <w:szCs w:val="22"/>
        </w:rPr>
        <w:t>pieaugušo pacientu ar nozīmīgu recidīva risku pēc Kit (CD117)-pozitīva GIST rezekcijas adjuvantai ārstēšanai. Pacienti, kuriem ir zems vai ļoti zems recidīva risks, nedrīkst saņemt adjuvantu ārstēšanu.</w:t>
      </w:r>
    </w:p>
    <w:p w14:paraId="3D394988" w14:textId="77777777" w:rsidR="00412E40" w:rsidRPr="00CD729C" w:rsidRDefault="00412E40" w:rsidP="009B4BB6">
      <w:pPr>
        <w:widowControl w:val="0"/>
        <w:numPr>
          <w:ilvl w:val="0"/>
          <w:numId w:val="13"/>
        </w:numPr>
        <w:tabs>
          <w:tab w:val="clear" w:pos="720"/>
          <w:tab w:val="num" w:pos="567"/>
        </w:tabs>
        <w:spacing w:line="240" w:lineRule="auto"/>
        <w:ind w:left="567" w:hanging="567"/>
        <w:rPr>
          <w:color w:val="000000"/>
          <w:szCs w:val="22"/>
        </w:rPr>
      </w:pPr>
      <w:r w:rsidRPr="00CD729C">
        <w:rPr>
          <w:color w:val="000000"/>
          <w:szCs w:val="22"/>
        </w:rPr>
        <w:t xml:space="preserve">pieaugušo pacientu ar nerezecējamu </w:t>
      </w:r>
      <w:r w:rsidRPr="00CD729C">
        <w:rPr>
          <w:i/>
          <w:color w:val="000000"/>
          <w:szCs w:val="22"/>
        </w:rPr>
        <w:t>dermatofibrosarcoma protuberans</w:t>
      </w:r>
      <w:r w:rsidRPr="00CD729C">
        <w:rPr>
          <w:color w:val="000000"/>
          <w:szCs w:val="22"/>
        </w:rPr>
        <w:t xml:space="preserve"> (DFSP) un pieaugušo pacientu ar recidivējošu un/vai metastazējošu </w:t>
      </w:r>
      <w:r w:rsidRPr="00CD729C">
        <w:rPr>
          <w:color w:val="000000"/>
        </w:rPr>
        <w:t>DFSP ārstēšanai, kam nav piemērojama ķirurģiska ārstēšana</w:t>
      </w:r>
      <w:r w:rsidRPr="00CD729C">
        <w:rPr>
          <w:color w:val="000000"/>
          <w:szCs w:val="22"/>
        </w:rPr>
        <w:t>.</w:t>
      </w:r>
    </w:p>
    <w:p w14:paraId="3D394989" w14:textId="77777777" w:rsidR="00412E40" w:rsidRPr="00CD729C" w:rsidRDefault="00412E40" w:rsidP="009B4BB6">
      <w:pPr>
        <w:widowControl w:val="0"/>
        <w:tabs>
          <w:tab w:val="clear" w:pos="567"/>
        </w:tabs>
        <w:spacing w:line="240" w:lineRule="auto"/>
        <w:rPr>
          <w:color w:val="000000"/>
          <w:szCs w:val="22"/>
        </w:rPr>
      </w:pPr>
    </w:p>
    <w:p w14:paraId="3D39498A"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 xml:space="preserve">Glivec efektivitāti pieaugušiem un pediatrijas pacientiem pamato kopējās hematoloģiskās un šūnu veidošanās reakcijas pakāpe, kā arī dzīvildze bez CML progresijas, hematoloģiskā un citoģenētiskā atbildreakcijas pakāpe Ph+ ALL, MDS/MPD, hematoloģiskā atbildreakcijas pakāpe HES/CEL un objektīvas reakcijas pakāpe pieaugušiem pacientiem nerezecējama un/vai metastazējuša GIST un DFSP gadījumā, un dzīvildze bez adjuvanta GIST recidīva. Pieredze par Glivec lietošanu pacientiem ar MDS/MPD, kas saistīta ar </w:t>
      </w:r>
      <w:r w:rsidRPr="00CD729C">
        <w:rPr>
          <w:snapToGrid w:val="0"/>
          <w:color w:val="000000"/>
          <w:szCs w:val="22"/>
        </w:rPr>
        <w:t>PDGFR gēnu pārkārtošanos</w:t>
      </w:r>
      <w:r w:rsidRPr="00CD729C">
        <w:rPr>
          <w:color w:val="000000"/>
          <w:szCs w:val="22"/>
        </w:rPr>
        <w:t xml:space="preserve"> ir ļoti ierobežota (skatīt 5.1</w:t>
      </w:r>
      <w:r w:rsidR="00371C3B" w:rsidRPr="00CD729C">
        <w:rPr>
          <w:color w:val="000000"/>
          <w:szCs w:val="22"/>
        </w:rPr>
        <w:t>.</w:t>
      </w:r>
      <w:r w:rsidR="000B2D8A" w:rsidRPr="00CD729C">
        <w:rPr>
          <w:color w:val="000000"/>
          <w:szCs w:val="22"/>
        </w:rPr>
        <w:t> apakšpunktu</w:t>
      </w:r>
      <w:r w:rsidRPr="00CD729C">
        <w:rPr>
          <w:color w:val="000000"/>
          <w:szCs w:val="22"/>
        </w:rPr>
        <w:t>). Nav kontrolētu pētījumu, kas pierādītu klīnisku ieguvumu vai lielāku dzīvildzi attiecībā uz šo slimību izņemot nesen diagnosticētas hroniskas fāzes CML gadījumā.</w:t>
      </w:r>
    </w:p>
    <w:p w14:paraId="3D39498B" w14:textId="77777777" w:rsidR="00412E40" w:rsidRPr="00CD729C" w:rsidRDefault="00412E40" w:rsidP="009B4BB6">
      <w:pPr>
        <w:widowControl w:val="0"/>
        <w:tabs>
          <w:tab w:val="clear" w:pos="567"/>
        </w:tabs>
        <w:spacing w:line="240" w:lineRule="auto"/>
        <w:rPr>
          <w:color w:val="000000"/>
          <w:szCs w:val="22"/>
        </w:rPr>
      </w:pPr>
    </w:p>
    <w:p w14:paraId="3D39498C" w14:textId="77777777" w:rsidR="00412E40" w:rsidRPr="00CD729C" w:rsidRDefault="00412E40" w:rsidP="009B4BB6">
      <w:pPr>
        <w:keepNext/>
        <w:widowControl w:val="0"/>
        <w:tabs>
          <w:tab w:val="clear" w:pos="567"/>
        </w:tabs>
        <w:spacing w:line="240" w:lineRule="auto"/>
        <w:ind w:left="567" w:hanging="567"/>
        <w:rPr>
          <w:color w:val="000000"/>
          <w:szCs w:val="22"/>
        </w:rPr>
      </w:pPr>
      <w:r w:rsidRPr="00CD729C">
        <w:rPr>
          <w:b/>
          <w:color w:val="000000"/>
          <w:szCs w:val="22"/>
        </w:rPr>
        <w:t>4.2</w:t>
      </w:r>
      <w:r w:rsidR="00371C3B" w:rsidRPr="00CD729C">
        <w:rPr>
          <w:b/>
          <w:color w:val="000000"/>
          <w:szCs w:val="22"/>
        </w:rPr>
        <w:t>.</w:t>
      </w:r>
      <w:r w:rsidRPr="00CD729C">
        <w:rPr>
          <w:b/>
          <w:color w:val="000000"/>
          <w:szCs w:val="22"/>
        </w:rPr>
        <w:tab/>
        <w:t>Devas un lietošanas veids</w:t>
      </w:r>
    </w:p>
    <w:p w14:paraId="3D39498D" w14:textId="77777777" w:rsidR="00412E40" w:rsidRPr="00CD729C" w:rsidRDefault="00412E40" w:rsidP="009B4BB6">
      <w:pPr>
        <w:keepNext/>
        <w:widowControl w:val="0"/>
        <w:tabs>
          <w:tab w:val="clear" w:pos="567"/>
        </w:tabs>
        <w:spacing w:line="240" w:lineRule="auto"/>
        <w:rPr>
          <w:color w:val="000000"/>
          <w:szCs w:val="22"/>
        </w:rPr>
      </w:pPr>
    </w:p>
    <w:p w14:paraId="3D39498E"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Terapija ir jāuzsāk ārstam</w:t>
      </w:r>
      <w:r w:rsidR="001557BB" w:rsidRPr="00CD729C">
        <w:rPr>
          <w:color w:val="000000"/>
          <w:szCs w:val="22"/>
        </w:rPr>
        <w:t>, kam ir pacientu ar attiecīgām hematoloģiskām ļaundabīgām slimībām un ļaundabīgām sarkomām</w:t>
      </w:r>
      <w:r w:rsidRPr="00CD729C">
        <w:rPr>
          <w:color w:val="000000"/>
          <w:szCs w:val="22"/>
        </w:rPr>
        <w:t xml:space="preserve"> ārstēšanas pieredz</w:t>
      </w:r>
      <w:r w:rsidR="001557BB" w:rsidRPr="00CD729C">
        <w:rPr>
          <w:color w:val="000000"/>
          <w:szCs w:val="22"/>
        </w:rPr>
        <w:t>e</w:t>
      </w:r>
      <w:r w:rsidRPr="00CD729C">
        <w:rPr>
          <w:color w:val="000000"/>
          <w:szCs w:val="22"/>
        </w:rPr>
        <w:t>.</w:t>
      </w:r>
    </w:p>
    <w:p w14:paraId="3D39498F" w14:textId="77777777" w:rsidR="005117C7" w:rsidRPr="00CD729C" w:rsidRDefault="005117C7" w:rsidP="009B4BB6">
      <w:pPr>
        <w:widowControl w:val="0"/>
        <w:tabs>
          <w:tab w:val="clear" w:pos="567"/>
        </w:tabs>
        <w:spacing w:line="240" w:lineRule="auto"/>
        <w:rPr>
          <w:color w:val="000000"/>
          <w:szCs w:val="22"/>
        </w:rPr>
      </w:pPr>
    </w:p>
    <w:p w14:paraId="3D394990" w14:textId="77777777" w:rsidR="00D007DC" w:rsidRDefault="00D007DC" w:rsidP="009B4BB6">
      <w:pPr>
        <w:widowControl w:val="0"/>
        <w:tabs>
          <w:tab w:val="clear" w:pos="567"/>
        </w:tabs>
        <w:spacing w:line="240" w:lineRule="auto"/>
        <w:rPr>
          <w:color w:val="000000"/>
          <w:szCs w:val="22"/>
        </w:rPr>
      </w:pPr>
      <w:r>
        <w:rPr>
          <w:color w:val="000000"/>
          <w:szCs w:val="22"/>
        </w:rPr>
        <w:t>Gadījumiem, kad jāizmato citas devas, nevis 400 mg un 800 mg (skatīt devu ieteikumus zemāk), ir pieejama 100 mg dalāma tablete.</w:t>
      </w:r>
    </w:p>
    <w:p w14:paraId="3D394991" w14:textId="77777777" w:rsidR="00341FA1" w:rsidRDefault="00341FA1" w:rsidP="009B4BB6">
      <w:pPr>
        <w:widowControl w:val="0"/>
        <w:tabs>
          <w:tab w:val="clear" w:pos="567"/>
        </w:tabs>
        <w:spacing w:line="240" w:lineRule="auto"/>
        <w:rPr>
          <w:color w:val="000000"/>
          <w:szCs w:val="22"/>
        </w:rPr>
      </w:pPr>
    </w:p>
    <w:p w14:paraId="3D394992"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Gadījumiem, kad jāizmanto 400 mg vai lielākas devas (sk</w:t>
      </w:r>
      <w:r w:rsidR="001E63F7" w:rsidRPr="00CD729C">
        <w:rPr>
          <w:color w:val="000000"/>
          <w:szCs w:val="22"/>
        </w:rPr>
        <w:t>atīt</w:t>
      </w:r>
      <w:r w:rsidRPr="00CD729C">
        <w:rPr>
          <w:color w:val="000000"/>
          <w:szCs w:val="22"/>
        </w:rPr>
        <w:t xml:space="preserve"> turpmākos devu ieteikumus), ir pieejamas nedalāmas tabletes pa 400 mg.</w:t>
      </w:r>
    </w:p>
    <w:p w14:paraId="3D394993" w14:textId="77777777" w:rsidR="005117C7" w:rsidRPr="00CD729C" w:rsidRDefault="005117C7" w:rsidP="009B4BB6">
      <w:pPr>
        <w:widowControl w:val="0"/>
        <w:tabs>
          <w:tab w:val="clear" w:pos="567"/>
        </w:tabs>
        <w:spacing w:line="240" w:lineRule="auto"/>
        <w:rPr>
          <w:color w:val="000000"/>
          <w:szCs w:val="22"/>
        </w:rPr>
      </w:pPr>
    </w:p>
    <w:p w14:paraId="3D394994" w14:textId="77777777" w:rsidR="005117C7" w:rsidRPr="00CD729C" w:rsidRDefault="00E9173D" w:rsidP="009B4BB6">
      <w:pPr>
        <w:widowControl w:val="0"/>
        <w:tabs>
          <w:tab w:val="clear" w:pos="567"/>
        </w:tabs>
        <w:spacing w:line="240" w:lineRule="auto"/>
        <w:rPr>
          <w:color w:val="000000"/>
          <w:szCs w:val="22"/>
        </w:rPr>
      </w:pPr>
      <w:r w:rsidRPr="00CD729C">
        <w:rPr>
          <w:color w:val="000000"/>
          <w:szCs w:val="22"/>
        </w:rPr>
        <w:t xml:space="preserve">Ordinēto devu </w:t>
      </w:r>
      <w:r w:rsidR="00A211BA" w:rsidRPr="00CD729C">
        <w:rPr>
          <w:color w:val="000000"/>
          <w:szCs w:val="22"/>
        </w:rPr>
        <w:t>lieto iekšķīgi</w:t>
      </w:r>
      <w:r w:rsidRPr="00CD729C">
        <w:rPr>
          <w:color w:val="000000"/>
          <w:szCs w:val="22"/>
        </w:rPr>
        <w:t xml:space="preserve"> kopā ar ēdienu vai lielu glāzi ūdens, lai mazinātu kuņģa-zarnu trakta kairinājuma risku. 400 mg un 600 mg devas jālieto reizi dienā, bet 800 mg dienas deva jālieto pa 400 mg divreiz dienā, no rīta un vakarā. </w:t>
      </w:r>
      <w:r w:rsidR="005117C7" w:rsidRPr="00CD729C">
        <w:rPr>
          <w:color w:val="000000"/>
          <w:szCs w:val="22"/>
        </w:rPr>
        <w:t xml:space="preserve">Dienas devu iespējams </w:t>
      </w:r>
      <w:r w:rsidR="00F147D5" w:rsidRPr="00CD729C">
        <w:rPr>
          <w:color w:val="000000"/>
          <w:szCs w:val="22"/>
        </w:rPr>
        <w:t xml:space="preserve">lietot </w:t>
      </w:r>
      <w:r w:rsidR="005117C7" w:rsidRPr="00CD729C">
        <w:rPr>
          <w:color w:val="000000"/>
          <w:szCs w:val="22"/>
        </w:rPr>
        <w:t>vienā reizē vai arī sadalīt, lietojot divas reizes – no rīta un vakarā.</w:t>
      </w:r>
    </w:p>
    <w:p w14:paraId="3D394995" w14:textId="77777777" w:rsidR="005117C7" w:rsidRPr="00CD729C" w:rsidRDefault="005117C7" w:rsidP="009B4BB6">
      <w:pPr>
        <w:widowControl w:val="0"/>
        <w:tabs>
          <w:tab w:val="clear" w:pos="567"/>
        </w:tabs>
        <w:spacing w:line="240" w:lineRule="auto"/>
        <w:rPr>
          <w:color w:val="000000"/>
          <w:szCs w:val="22"/>
        </w:rPr>
      </w:pPr>
    </w:p>
    <w:p w14:paraId="3D394996"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 xml:space="preserve">Ja pacients apvalkotās tabletes norīt nespēj, tās atļauts iejaukt glāzē ar </w:t>
      </w:r>
      <w:r w:rsidR="00886C8C" w:rsidRPr="00CD729C">
        <w:rPr>
          <w:color w:val="000000"/>
          <w:szCs w:val="22"/>
        </w:rPr>
        <w:t xml:space="preserve">negāzētu </w:t>
      </w:r>
      <w:r w:rsidRPr="00CD729C">
        <w:rPr>
          <w:color w:val="000000"/>
          <w:szCs w:val="22"/>
        </w:rPr>
        <w:t>ūdeni vai ābolu sulu (aptuveni 50 ml uz 100 mg tableti vai 200 ml uz 400 mg tableti), samaisot ar karoti. Iegūtā suspensija tūlīt pēc tablešu izšķīšanas ir jāizdzer.</w:t>
      </w:r>
    </w:p>
    <w:p w14:paraId="3D394997" w14:textId="77777777" w:rsidR="005117C7" w:rsidRPr="00CD729C" w:rsidRDefault="005117C7" w:rsidP="009B4BB6">
      <w:pPr>
        <w:widowControl w:val="0"/>
        <w:tabs>
          <w:tab w:val="clear" w:pos="567"/>
        </w:tabs>
        <w:spacing w:line="240" w:lineRule="auto"/>
        <w:rPr>
          <w:color w:val="000000"/>
          <w:szCs w:val="22"/>
        </w:rPr>
      </w:pPr>
    </w:p>
    <w:p w14:paraId="3D394998" w14:textId="77777777" w:rsidR="00412E40" w:rsidRPr="00CD729C" w:rsidRDefault="00412E40" w:rsidP="009B4BB6">
      <w:pPr>
        <w:keepNext/>
        <w:widowControl w:val="0"/>
        <w:tabs>
          <w:tab w:val="clear" w:pos="567"/>
        </w:tabs>
        <w:spacing w:line="240" w:lineRule="auto"/>
        <w:rPr>
          <w:color w:val="000000"/>
          <w:szCs w:val="22"/>
          <w:u w:val="single"/>
        </w:rPr>
      </w:pPr>
      <w:r w:rsidRPr="00CD729C">
        <w:rPr>
          <w:color w:val="000000"/>
          <w:szCs w:val="22"/>
          <w:u w:val="single"/>
        </w:rPr>
        <w:t>Devas CML terapijai pieaugušajiem</w:t>
      </w:r>
    </w:p>
    <w:p w14:paraId="3D394999"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P</w:t>
      </w:r>
      <w:r w:rsidR="006B16CF" w:rsidRPr="00CD729C">
        <w:rPr>
          <w:color w:val="000000"/>
          <w:szCs w:val="22"/>
        </w:rPr>
        <w:t>ieaugušiem p</w:t>
      </w:r>
      <w:r w:rsidRPr="00CD729C">
        <w:rPr>
          <w:color w:val="000000"/>
          <w:szCs w:val="22"/>
        </w:rPr>
        <w:t>acientiem ar hronisku CML ieteicamā Glivec deva ir 400 mg dienā. CML</w:t>
      </w:r>
      <w:r w:rsidRPr="00CD729C">
        <w:rPr>
          <w:i/>
          <w:color w:val="000000"/>
          <w:szCs w:val="22"/>
        </w:rPr>
        <w:t xml:space="preserve"> </w:t>
      </w:r>
      <w:r w:rsidRPr="00CD729C">
        <w:rPr>
          <w:color w:val="000000"/>
          <w:szCs w:val="22"/>
        </w:rPr>
        <w:t>hronisko fāzi definē sekojoši kritēriji: blastu daudzums asinīs un kaulu smadzenēs &lt;15%, bazofilu daudzums perifērajās asinīs &lt;20%, trombocītu daudzums pārsniedz &gt;100 x 10</w:t>
      </w:r>
      <w:r w:rsidRPr="00CD729C">
        <w:rPr>
          <w:color w:val="000000"/>
          <w:szCs w:val="22"/>
          <w:vertAlign w:val="superscript"/>
        </w:rPr>
        <w:t>9</w:t>
      </w:r>
      <w:r w:rsidRPr="00CD729C">
        <w:rPr>
          <w:color w:val="000000"/>
          <w:szCs w:val="22"/>
        </w:rPr>
        <w:t>/l.</w:t>
      </w:r>
    </w:p>
    <w:p w14:paraId="3D39499A" w14:textId="77777777" w:rsidR="00412E40" w:rsidRPr="00CD729C" w:rsidRDefault="00412E40" w:rsidP="009B4BB6">
      <w:pPr>
        <w:widowControl w:val="0"/>
        <w:tabs>
          <w:tab w:val="clear" w:pos="567"/>
        </w:tabs>
        <w:spacing w:line="240" w:lineRule="auto"/>
        <w:rPr>
          <w:color w:val="000000"/>
          <w:szCs w:val="22"/>
        </w:rPr>
      </w:pPr>
    </w:p>
    <w:p w14:paraId="3D39499B"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P</w:t>
      </w:r>
      <w:r w:rsidR="006B16CF" w:rsidRPr="00CD729C">
        <w:rPr>
          <w:color w:val="000000"/>
          <w:szCs w:val="22"/>
        </w:rPr>
        <w:t>ieaugušiem p</w:t>
      </w:r>
      <w:r w:rsidRPr="00CD729C">
        <w:rPr>
          <w:color w:val="000000"/>
          <w:szCs w:val="22"/>
        </w:rPr>
        <w:t xml:space="preserve">acientiem akcelerācijas fāzē ieteicamā Glivec deva ir 600 mg dienā. Akcelerācijas fāzi definē jebkurš no sekojošiem parametriem: blastu daudzums </w:t>
      </w:r>
      <w:r w:rsidRPr="00CD729C">
        <w:rPr>
          <w:color w:val="000000"/>
          <w:szCs w:val="22"/>
        </w:rPr>
        <w:sym w:font="Symbol" w:char="F0B3"/>
      </w:r>
      <w:r w:rsidRPr="00CD729C">
        <w:rPr>
          <w:rStyle w:val="CommentReference"/>
          <w:color w:val="000000"/>
          <w:sz w:val="22"/>
          <w:szCs w:val="22"/>
        </w:rPr>
        <w:t>1</w:t>
      </w:r>
      <w:r w:rsidRPr="00CD729C">
        <w:rPr>
          <w:color w:val="000000"/>
          <w:szCs w:val="22"/>
        </w:rPr>
        <w:t xml:space="preserve">5%, bet asinīs vai kaulu smadzenēs &lt;30%, blastu un promielocītu daudzums asinīs vai kaulu smadzenēs </w:t>
      </w:r>
      <w:r w:rsidRPr="00CD729C">
        <w:rPr>
          <w:color w:val="000000"/>
          <w:szCs w:val="22"/>
        </w:rPr>
        <w:sym w:font="Symbol" w:char="F0B3"/>
      </w:r>
      <w:r w:rsidRPr="00CD729C">
        <w:rPr>
          <w:color w:val="000000"/>
          <w:szCs w:val="22"/>
        </w:rPr>
        <w:t xml:space="preserve">30% (nodrošina &lt;30% blastu), bazofilu daudzums perifērajās asinīs </w:t>
      </w:r>
      <w:r w:rsidRPr="00CD729C">
        <w:rPr>
          <w:color w:val="000000"/>
          <w:szCs w:val="22"/>
        </w:rPr>
        <w:sym w:font="Symbol" w:char="F0B3"/>
      </w:r>
      <w:r w:rsidRPr="00CD729C">
        <w:rPr>
          <w:color w:val="000000"/>
          <w:szCs w:val="22"/>
        </w:rPr>
        <w:t>20%, trombocītu daudzums neatkarīgi no terapijas &lt;100 x 10</w:t>
      </w:r>
      <w:r w:rsidRPr="00CD729C">
        <w:rPr>
          <w:color w:val="000000"/>
          <w:szCs w:val="22"/>
          <w:vertAlign w:val="superscript"/>
        </w:rPr>
        <w:t>9</w:t>
      </w:r>
      <w:r w:rsidRPr="00CD729C">
        <w:rPr>
          <w:color w:val="000000"/>
          <w:szCs w:val="22"/>
        </w:rPr>
        <w:t>/l.</w:t>
      </w:r>
    </w:p>
    <w:p w14:paraId="3D39499C" w14:textId="77777777" w:rsidR="00412E40" w:rsidRPr="00CD729C" w:rsidRDefault="00412E40" w:rsidP="009B4BB6">
      <w:pPr>
        <w:widowControl w:val="0"/>
        <w:tabs>
          <w:tab w:val="clear" w:pos="567"/>
        </w:tabs>
        <w:spacing w:line="240" w:lineRule="auto"/>
        <w:rPr>
          <w:color w:val="000000"/>
          <w:szCs w:val="22"/>
        </w:rPr>
      </w:pPr>
    </w:p>
    <w:p w14:paraId="3D39499D" w14:textId="77777777" w:rsidR="00412E40" w:rsidRPr="00CD729C" w:rsidRDefault="00412E40" w:rsidP="009B4BB6">
      <w:pPr>
        <w:widowControl w:val="0"/>
        <w:spacing w:line="240" w:lineRule="auto"/>
        <w:rPr>
          <w:color w:val="000000"/>
          <w:szCs w:val="22"/>
        </w:rPr>
      </w:pPr>
      <w:r w:rsidRPr="00CD729C">
        <w:rPr>
          <w:color w:val="000000"/>
          <w:szCs w:val="22"/>
        </w:rPr>
        <w:t>Glivec rekomendējamā deva p</w:t>
      </w:r>
      <w:r w:rsidR="006B16CF" w:rsidRPr="00CD729C">
        <w:rPr>
          <w:color w:val="000000"/>
          <w:szCs w:val="22"/>
        </w:rPr>
        <w:t>ieaugušiem p</w:t>
      </w:r>
      <w:r w:rsidRPr="00CD729C">
        <w:rPr>
          <w:color w:val="000000"/>
          <w:szCs w:val="22"/>
        </w:rPr>
        <w:t xml:space="preserve">acientiem blastu krīzes gadījumā ir 600 mg/dienā. Blastu krīze tiek definēta kā blastu skaits asinīs vai kaulu smadzenēs </w:t>
      </w:r>
      <w:r w:rsidRPr="00CD729C">
        <w:rPr>
          <w:color w:val="000000"/>
          <w:szCs w:val="22"/>
        </w:rPr>
        <w:sym w:font="Symbol" w:char="F0B3"/>
      </w:r>
      <w:r w:rsidRPr="00CD729C">
        <w:rPr>
          <w:color w:val="000000"/>
          <w:szCs w:val="22"/>
        </w:rPr>
        <w:t>30% vai ekstramedulārā slimība izteiktāka nekā hepatosplenomegālija.</w:t>
      </w:r>
    </w:p>
    <w:p w14:paraId="3D39499E" w14:textId="77777777" w:rsidR="00412E40" w:rsidRPr="00CD729C" w:rsidRDefault="00412E40" w:rsidP="009B4BB6">
      <w:pPr>
        <w:widowControl w:val="0"/>
        <w:tabs>
          <w:tab w:val="clear" w:pos="567"/>
        </w:tabs>
        <w:spacing w:line="240" w:lineRule="auto"/>
        <w:rPr>
          <w:color w:val="000000"/>
          <w:szCs w:val="22"/>
        </w:rPr>
      </w:pPr>
    </w:p>
    <w:p w14:paraId="3D39499F"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Terapijas ilgums: klīnisko pētījumu laikā Glivec terapiju turpināja līdz slimības progresijai. Terapijas pārtraukšanas sekas pēc tam, kad panākta pilnīga citoģenētiska atbildes reakcija, nav noskaidrota.</w:t>
      </w:r>
    </w:p>
    <w:p w14:paraId="3D3949A0" w14:textId="77777777" w:rsidR="00412E40" w:rsidRPr="00CD729C" w:rsidRDefault="00412E40" w:rsidP="009B4BB6">
      <w:pPr>
        <w:widowControl w:val="0"/>
        <w:tabs>
          <w:tab w:val="clear" w:pos="567"/>
        </w:tabs>
        <w:spacing w:line="240" w:lineRule="auto"/>
        <w:rPr>
          <w:color w:val="000000"/>
          <w:szCs w:val="22"/>
        </w:rPr>
      </w:pPr>
    </w:p>
    <w:p w14:paraId="3D3949A1"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Iespēju palielināt devu no 400 mg līdz 600 mg vai 800 mg pacientiem hroniskajā slimības fāzē vai no 600 mg līdz ne vairāk kā 800 mg (lieto pa 400 mg 2 reizes dienā) pacientiem akcelerācijas vai blastu krīzes fāzē iespējams apsvērt gadījumā, ja nenovēro smagas nevēlamas blakusparādības vai smagu, ar leik</w:t>
      </w:r>
      <w:r w:rsidR="00F05C89" w:rsidRPr="00CD729C">
        <w:rPr>
          <w:color w:val="000000"/>
          <w:szCs w:val="22"/>
        </w:rPr>
        <w:t>ozi</w:t>
      </w:r>
      <w:r w:rsidRPr="00CD729C">
        <w:rPr>
          <w:color w:val="000000"/>
          <w:szCs w:val="22"/>
        </w:rPr>
        <w:t xml:space="preserve"> nesaistītu neitropēniju vai trombocitopēniju sekojošos apstākļos: slimības progresija (jebkurā laikā), apmierinošu hematoloģisku reakciju neizdodas sasniegt pēc vismaz 3 mēnešus ilgas terapijas; citoģenētisku reakciju neizdodas sasniegt pēc 12 mēnešus ilgas terapijas; vai iepriekš sasniegtās hematoloģiskās un/vai citoģenētiskās reakcijas zaudējums. Ievērojot faktu, ka, lietojot lielākas preparāta devas, var pieaugt nevēlamo blakusparādību biežums, pacienti pēc tam, kad šo zāļu deva palielināta, ir rūpīgi jākontrolē.</w:t>
      </w:r>
    </w:p>
    <w:p w14:paraId="3D3949A2" w14:textId="77777777" w:rsidR="00412E40" w:rsidRPr="00CD729C" w:rsidRDefault="00412E40" w:rsidP="009B4BB6">
      <w:pPr>
        <w:widowControl w:val="0"/>
        <w:tabs>
          <w:tab w:val="clear" w:pos="567"/>
        </w:tabs>
        <w:spacing w:line="240" w:lineRule="auto"/>
        <w:rPr>
          <w:color w:val="000000"/>
          <w:szCs w:val="22"/>
        </w:rPr>
      </w:pPr>
    </w:p>
    <w:p w14:paraId="3D3949A3" w14:textId="77777777" w:rsidR="00412E40" w:rsidRPr="00CD729C" w:rsidRDefault="00412E40" w:rsidP="009B4BB6">
      <w:pPr>
        <w:keepNext/>
        <w:widowControl w:val="0"/>
        <w:tabs>
          <w:tab w:val="clear" w:pos="567"/>
        </w:tabs>
        <w:spacing w:line="240" w:lineRule="auto"/>
        <w:rPr>
          <w:color w:val="000000"/>
          <w:szCs w:val="22"/>
        </w:rPr>
      </w:pPr>
      <w:r w:rsidRPr="00CD729C">
        <w:rPr>
          <w:color w:val="000000"/>
          <w:szCs w:val="22"/>
          <w:u w:val="single"/>
        </w:rPr>
        <w:t>Devas CML terapijai bērniem</w:t>
      </w:r>
    </w:p>
    <w:p w14:paraId="3D3949A4"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Devas bērniem jānosaka, ievērojot to ķermeņa virsmas laukumu (mg/m</w:t>
      </w:r>
      <w:r w:rsidRPr="00CD729C">
        <w:rPr>
          <w:color w:val="000000"/>
          <w:szCs w:val="22"/>
          <w:vertAlign w:val="superscript"/>
        </w:rPr>
        <w:t>2</w:t>
      </w:r>
      <w:r w:rsidRPr="00CD729C">
        <w:rPr>
          <w:color w:val="000000"/>
          <w:szCs w:val="22"/>
        </w:rPr>
        <w:t>). Bērniem ar hronisku un progresējušu CML</w:t>
      </w:r>
      <w:r w:rsidRPr="00CD729C">
        <w:rPr>
          <w:i/>
          <w:color w:val="000000"/>
          <w:szCs w:val="22"/>
        </w:rPr>
        <w:t xml:space="preserve"> </w:t>
      </w:r>
      <w:r w:rsidRPr="00CD729C">
        <w:rPr>
          <w:color w:val="000000"/>
          <w:szCs w:val="22"/>
        </w:rPr>
        <w:t>ir ieteicamas attiecīgi 340 mg/m</w:t>
      </w:r>
      <w:r w:rsidRPr="00CD729C">
        <w:rPr>
          <w:color w:val="000000"/>
          <w:szCs w:val="22"/>
          <w:vertAlign w:val="superscript"/>
        </w:rPr>
        <w:t>2</w:t>
      </w:r>
      <w:r w:rsidRPr="00CD729C">
        <w:rPr>
          <w:color w:val="000000"/>
          <w:szCs w:val="22"/>
        </w:rPr>
        <w:t xml:space="preserve"> liela preparāta dienas deva (nepārsniegt kopējo devu 800 mg). Devu atļauts lietot vienā reizē vai sadalīt 2 daļās, no kurām vienu lieto no rīta, otru – vakarā. Pediatriskajai praksei ieteiktās devas pašlaik pamato no ļoti neliela pacientu skaita iegūti dati (skatīt 5.1</w:t>
      </w:r>
      <w:r w:rsidR="002A00E9" w:rsidRPr="00CD729C">
        <w:rPr>
          <w:color w:val="000000"/>
          <w:szCs w:val="22"/>
        </w:rPr>
        <w:t>.</w:t>
      </w:r>
      <w:r w:rsidRPr="00CD729C">
        <w:rPr>
          <w:color w:val="000000"/>
          <w:szCs w:val="22"/>
        </w:rPr>
        <w:t xml:space="preserve"> un 5.2</w:t>
      </w:r>
      <w:r w:rsidR="002A00E9" w:rsidRPr="00CD729C">
        <w:rPr>
          <w:color w:val="000000"/>
          <w:szCs w:val="22"/>
        </w:rPr>
        <w:t>.</w:t>
      </w:r>
      <w:r w:rsidR="000B2D8A" w:rsidRPr="00CD729C">
        <w:rPr>
          <w:color w:val="000000"/>
          <w:szCs w:val="22"/>
        </w:rPr>
        <w:t> apakšpunktu</w:t>
      </w:r>
      <w:r w:rsidRPr="00CD729C">
        <w:rPr>
          <w:color w:val="000000"/>
          <w:szCs w:val="22"/>
        </w:rPr>
        <w:t>). Par bērnu, kuru vecums nepārsniedz 2 gadus, ārstēšanu pieredzes nav.</w:t>
      </w:r>
    </w:p>
    <w:p w14:paraId="3D3949A5" w14:textId="77777777" w:rsidR="00412E40" w:rsidRPr="00CD729C" w:rsidRDefault="00412E40" w:rsidP="009B4BB6">
      <w:pPr>
        <w:widowControl w:val="0"/>
        <w:spacing w:line="240" w:lineRule="auto"/>
        <w:rPr>
          <w:color w:val="000000"/>
        </w:rPr>
      </w:pPr>
    </w:p>
    <w:p w14:paraId="3D3949A6"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Devas palielināšana no 340 mg/m</w:t>
      </w:r>
      <w:r w:rsidRPr="00CD729C">
        <w:rPr>
          <w:color w:val="000000"/>
          <w:szCs w:val="22"/>
          <w:vertAlign w:val="superscript"/>
        </w:rPr>
        <w:t>2</w:t>
      </w:r>
      <w:r w:rsidRPr="00CD729C">
        <w:rPr>
          <w:color w:val="000000"/>
          <w:szCs w:val="22"/>
        </w:rPr>
        <w:t xml:space="preserve"> dienā uz 570 mg/m</w:t>
      </w:r>
      <w:r w:rsidRPr="00CD729C">
        <w:rPr>
          <w:color w:val="000000"/>
          <w:szCs w:val="22"/>
          <w:vertAlign w:val="superscript"/>
        </w:rPr>
        <w:t>2</w:t>
      </w:r>
      <w:r w:rsidRPr="00CD729C">
        <w:rPr>
          <w:color w:val="000000"/>
          <w:szCs w:val="22"/>
        </w:rPr>
        <w:t xml:space="preserve"> dienā (nepārsniegt kopējo devu 800 mg) var tikt apsvērta bērniem, kuriem nenovēro smagas nevēlamas blakusparādības vai smagu, ar leik</w:t>
      </w:r>
      <w:r w:rsidR="00F05C89" w:rsidRPr="00CD729C">
        <w:rPr>
          <w:color w:val="000000"/>
          <w:szCs w:val="22"/>
        </w:rPr>
        <w:t>ozi</w:t>
      </w:r>
      <w:r w:rsidRPr="00CD729C">
        <w:rPr>
          <w:color w:val="000000"/>
          <w:szCs w:val="22"/>
        </w:rPr>
        <w:t xml:space="preserve"> nesaistītu neitropēniju vai trombocitopēniju sekojošos apstākļos: slimības progresija (jebkurā laikā), apmierinošu hematoloģisku reakciju neizdodas sasniegt pēc vismaz 3 mēnešus ilgas terapijas; citoģenētisku reakciju neizdodas sasniegt pēc 12 mēnešus ilgas terapijas; vai iepriekš sasniegtās hematoloģiskās un/vai citoģenētiskās reakcijas zaudējums. Ievērojot faktu, ka, lietojot lielākas preparāta devas, var pieaugt nevēlamo blakusparādību biežums, pacienti pēc tam, kad šo zāļu deva palielināta, ir rūpīgi jākontrolē.</w:t>
      </w:r>
    </w:p>
    <w:p w14:paraId="3D3949A7" w14:textId="77777777" w:rsidR="00412E40" w:rsidRPr="00CD729C" w:rsidRDefault="00412E40" w:rsidP="009B4BB6">
      <w:pPr>
        <w:widowControl w:val="0"/>
        <w:tabs>
          <w:tab w:val="clear" w:pos="567"/>
        </w:tabs>
        <w:spacing w:line="240" w:lineRule="auto"/>
        <w:rPr>
          <w:color w:val="000000"/>
          <w:szCs w:val="22"/>
        </w:rPr>
      </w:pPr>
    </w:p>
    <w:p w14:paraId="3D3949A8" w14:textId="77777777" w:rsidR="00412E40" w:rsidRPr="00CD729C" w:rsidRDefault="00412E40" w:rsidP="009B4BB6">
      <w:pPr>
        <w:keepNext/>
        <w:widowControl w:val="0"/>
        <w:tabs>
          <w:tab w:val="clear" w:pos="567"/>
        </w:tabs>
        <w:spacing w:line="240" w:lineRule="auto"/>
        <w:rPr>
          <w:color w:val="000000"/>
          <w:szCs w:val="22"/>
          <w:u w:val="single"/>
        </w:rPr>
      </w:pPr>
      <w:r w:rsidRPr="00CD729C">
        <w:rPr>
          <w:color w:val="000000"/>
          <w:szCs w:val="22"/>
          <w:u w:val="single"/>
        </w:rPr>
        <w:t>Devas Ph+ ALL terapijai</w:t>
      </w:r>
      <w:r w:rsidR="001F434B" w:rsidRPr="00CD729C">
        <w:rPr>
          <w:color w:val="000000"/>
          <w:szCs w:val="22"/>
          <w:u w:val="single"/>
        </w:rPr>
        <w:t xml:space="preserve"> pieaugušiem pacientiem</w:t>
      </w:r>
    </w:p>
    <w:p w14:paraId="3D3949A9"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P</w:t>
      </w:r>
      <w:r w:rsidR="00A271FB" w:rsidRPr="00CD729C">
        <w:rPr>
          <w:color w:val="000000"/>
          <w:szCs w:val="22"/>
        </w:rPr>
        <w:t>ieaugušiem p</w:t>
      </w:r>
      <w:r w:rsidRPr="00CD729C">
        <w:rPr>
          <w:color w:val="000000"/>
          <w:szCs w:val="22"/>
        </w:rPr>
        <w:t>acientiem ar Ph+ ALL ieteicamā Glivec deva ir 600 mg dienā.</w:t>
      </w:r>
      <w:r w:rsidRPr="00CD729C">
        <w:rPr>
          <w:rFonts w:eastAsia="MS Mincho"/>
          <w:color w:val="000000"/>
          <w:lang w:eastAsia="ja-JP"/>
        </w:rPr>
        <w:t xml:space="preserve"> Hematoloģijas ekspertiem, lai nodrošinātu slimības kontroli, jānodrošina pacientu uzraudzība visās ārstēšanas fāzēs.</w:t>
      </w:r>
    </w:p>
    <w:p w14:paraId="3D3949AA" w14:textId="77777777" w:rsidR="00412E40" w:rsidRPr="00CD729C" w:rsidRDefault="00412E40" w:rsidP="009B4BB6">
      <w:pPr>
        <w:widowControl w:val="0"/>
        <w:spacing w:line="240" w:lineRule="auto"/>
        <w:rPr>
          <w:color w:val="000000"/>
        </w:rPr>
      </w:pPr>
    </w:p>
    <w:p w14:paraId="3D3949AB" w14:textId="77777777" w:rsidR="00412E40" w:rsidRPr="00CD729C" w:rsidRDefault="00412E40" w:rsidP="009B4BB6">
      <w:pPr>
        <w:widowControl w:val="0"/>
        <w:spacing w:line="240" w:lineRule="auto"/>
        <w:rPr>
          <w:rFonts w:eastAsia="MS Mincho"/>
          <w:color w:val="000000"/>
          <w:lang w:eastAsia="ja-JP"/>
        </w:rPr>
      </w:pPr>
      <w:r w:rsidRPr="00CD729C">
        <w:rPr>
          <w:rFonts w:eastAsia="MS Mincho"/>
          <w:color w:val="000000"/>
          <w:lang w:eastAsia="ja-JP"/>
        </w:rPr>
        <w:t>Terapijas režīms: pamatojoties uz iegūtajiem datiem, Glivec uzrādījis pietiekamu efektivitāti un droš</w:t>
      </w:r>
      <w:r w:rsidR="00743B0B">
        <w:rPr>
          <w:rFonts w:eastAsia="MS Mincho"/>
          <w:color w:val="000000"/>
          <w:lang w:eastAsia="ja-JP"/>
        </w:rPr>
        <w:t>um</w:t>
      </w:r>
      <w:r w:rsidRPr="00CD729C">
        <w:rPr>
          <w:rFonts w:eastAsia="MS Mincho"/>
          <w:color w:val="000000"/>
          <w:lang w:eastAsia="ja-JP"/>
        </w:rPr>
        <w:t>u lietojot 600 mg/dienā devu kombinācijā ar ķīmijterapiju indukcijas fāzē, konsolidācijas un uzturošajās fāzēs (skatīt 5.1</w:t>
      </w:r>
      <w:r w:rsidR="002A00E9" w:rsidRPr="00CD729C">
        <w:rPr>
          <w:rFonts w:eastAsia="MS Mincho"/>
          <w:color w:val="000000"/>
          <w:lang w:eastAsia="ja-JP"/>
        </w:rPr>
        <w:t>.</w:t>
      </w:r>
      <w:r w:rsidR="000B2D8A" w:rsidRPr="00CD729C">
        <w:rPr>
          <w:color w:val="000000"/>
          <w:szCs w:val="22"/>
        </w:rPr>
        <w:t> apakšpunktu</w:t>
      </w:r>
      <w:r w:rsidRPr="00CD729C">
        <w:rPr>
          <w:rFonts w:eastAsia="MS Mincho"/>
          <w:color w:val="000000"/>
          <w:lang w:eastAsia="ja-JP"/>
        </w:rPr>
        <w:t>) pieaugušajiem ar no jauna diagnosticētu Ph+ALL. Terapijas ilgums ar Glivec var atšķirties atkarībā no izvēlētās ārstēšanas programmas, bet kopumā ilgāka ārstēšana ar Glivec devusi labākus rezultātus.</w:t>
      </w:r>
    </w:p>
    <w:p w14:paraId="3D3949AC" w14:textId="77777777" w:rsidR="00412E40" w:rsidRPr="00CD729C" w:rsidRDefault="00412E40" w:rsidP="009B4BB6">
      <w:pPr>
        <w:widowControl w:val="0"/>
        <w:spacing w:line="240" w:lineRule="auto"/>
        <w:rPr>
          <w:rFonts w:eastAsia="MS Mincho"/>
          <w:color w:val="000000"/>
          <w:lang w:eastAsia="ja-JP"/>
        </w:rPr>
      </w:pPr>
    </w:p>
    <w:p w14:paraId="3D3949AD" w14:textId="77777777" w:rsidR="00412E40" w:rsidRPr="00CD729C" w:rsidRDefault="00412E40" w:rsidP="009B4BB6">
      <w:pPr>
        <w:widowControl w:val="0"/>
        <w:spacing w:line="240" w:lineRule="auto"/>
        <w:rPr>
          <w:color w:val="000000"/>
        </w:rPr>
      </w:pPr>
      <w:r w:rsidRPr="00CD729C">
        <w:rPr>
          <w:rFonts w:eastAsia="MS Mincho"/>
          <w:color w:val="000000"/>
          <w:lang w:eastAsia="ja-JP"/>
        </w:rPr>
        <w:t>Pieaugušajiem ar recidivējošu vai refraktāru Ph+ALL Glivec monoterapija ar 600 mg/dienā devu ir droša, efektīva un var tikt pielietota līdz slimības progresijai.</w:t>
      </w:r>
    </w:p>
    <w:p w14:paraId="3D3949AE" w14:textId="77777777" w:rsidR="001F434B" w:rsidRPr="00CD729C" w:rsidRDefault="001F434B" w:rsidP="009B4BB6">
      <w:pPr>
        <w:widowControl w:val="0"/>
        <w:spacing w:line="240" w:lineRule="auto"/>
        <w:rPr>
          <w:rFonts w:eastAsia="MS Mincho"/>
          <w:color w:val="000000"/>
          <w:lang w:eastAsia="ja-JP"/>
        </w:rPr>
      </w:pPr>
    </w:p>
    <w:p w14:paraId="3D3949AF" w14:textId="77777777" w:rsidR="001F434B" w:rsidRPr="00CD729C" w:rsidRDefault="001F434B" w:rsidP="009B4BB6">
      <w:pPr>
        <w:keepNext/>
        <w:widowControl w:val="0"/>
        <w:spacing w:line="240" w:lineRule="auto"/>
        <w:rPr>
          <w:rFonts w:eastAsia="MS Mincho"/>
          <w:color w:val="000000"/>
          <w:u w:val="single"/>
          <w:lang w:eastAsia="ja-JP"/>
        </w:rPr>
      </w:pPr>
      <w:r w:rsidRPr="00CD729C">
        <w:rPr>
          <w:rFonts w:eastAsia="MS Mincho"/>
          <w:color w:val="000000"/>
          <w:u w:val="single"/>
          <w:lang w:eastAsia="ja-JP"/>
        </w:rPr>
        <w:t>Devas Ph+ ALL terapijai pediatrijas pacientiem</w:t>
      </w:r>
    </w:p>
    <w:p w14:paraId="3D3949B0" w14:textId="77777777" w:rsidR="001F434B" w:rsidRPr="00CD729C" w:rsidRDefault="001F434B" w:rsidP="009B4BB6">
      <w:pPr>
        <w:widowControl w:val="0"/>
        <w:spacing w:line="240" w:lineRule="auto"/>
        <w:rPr>
          <w:color w:val="000000"/>
        </w:rPr>
      </w:pPr>
      <w:r w:rsidRPr="00CD729C">
        <w:rPr>
          <w:color w:val="000000"/>
          <w:szCs w:val="22"/>
        </w:rPr>
        <w:t>Devas bērniem jānosaka, ievērojot to ķermeņa virsmas laukumu (mg/m</w:t>
      </w:r>
      <w:r w:rsidRPr="00CD729C">
        <w:rPr>
          <w:color w:val="000000"/>
          <w:szCs w:val="22"/>
          <w:vertAlign w:val="superscript"/>
        </w:rPr>
        <w:t>2</w:t>
      </w:r>
      <w:r w:rsidRPr="00CD729C">
        <w:rPr>
          <w:color w:val="000000"/>
          <w:szCs w:val="22"/>
        </w:rPr>
        <w:t xml:space="preserve">). Bērniem ar </w:t>
      </w:r>
      <w:r w:rsidRPr="00CD729C">
        <w:rPr>
          <w:rFonts w:eastAsia="MS Mincho"/>
          <w:color w:val="000000"/>
          <w:lang w:eastAsia="ja-JP"/>
        </w:rPr>
        <w:t xml:space="preserve">Ph+ALL </w:t>
      </w:r>
      <w:r w:rsidRPr="00CD729C">
        <w:rPr>
          <w:color w:val="000000"/>
          <w:szCs w:val="22"/>
        </w:rPr>
        <w:t>ir ieteicama attiecīgi 340 mg/m</w:t>
      </w:r>
      <w:r w:rsidRPr="00CD729C">
        <w:rPr>
          <w:color w:val="000000"/>
          <w:szCs w:val="22"/>
          <w:vertAlign w:val="superscript"/>
        </w:rPr>
        <w:t>2</w:t>
      </w:r>
      <w:r w:rsidRPr="00CD729C">
        <w:rPr>
          <w:color w:val="000000"/>
          <w:szCs w:val="22"/>
        </w:rPr>
        <w:t xml:space="preserve"> liela zāļu dienas deva (nepārsniegt kopējo devu 600 mg).</w:t>
      </w:r>
    </w:p>
    <w:p w14:paraId="3D3949B1" w14:textId="77777777" w:rsidR="00412E40" w:rsidRPr="00CD729C" w:rsidRDefault="00412E40" w:rsidP="009B4BB6">
      <w:pPr>
        <w:widowControl w:val="0"/>
        <w:tabs>
          <w:tab w:val="clear" w:pos="567"/>
        </w:tabs>
        <w:spacing w:line="240" w:lineRule="auto"/>
        <w:rPr>
          <w:color w:val="000000"/>
          <w:szCs w:val="22"/>
        </w:rPr>
      </w:pPr>
    </w:p>
    <w:p w14:paraId="3D3949B2" w14:textId="77777777" w:rsidR="00412E40" w:rsidRPr="00CD729C" w:rsidRDefault="00412E40" w:rsidP="009B4BB6">
      <w:pPr>
        <w:keepNext/>
        <w:widowControl w:val="0"/>
        <w:tabs>
          <w:tab w:val="clear" w:pos="567"/>
        </w:tabs>
        <w:spacing w:line="240" w:lineRule="auto"/>
        <w:rPr>
          <w:color w:val="000000"/>
          <w:szCs w:val="22"/>
          <w:u w:val="single"/>
        </w:rPr>
      </w:pPr>
      <w:r w:rsidRPr="00CD729C">
        <w:rPr>
          <w:color w:val="000000"/>
          <w:szCs w:val="22"/>
          <w:u w:val="single"/>
        </w:rPr>
        <w:t>Devas MDS/MPD terapijai</w:t>
      </w:r>
    </w:p>
    <w:p w14:paraId="3D3949B3"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P</w:t>
      </w:r>
      <w:r w:rsidR="00A271FB" w:rsidRPr="00CD729C">
        <w:rPr>
          <w:color w:val="000000"/>
          <w:szCs w:val="22"/>
        </w:rPr>
        <w:t>ieaugušiem p</w:t>
      </w:r>
      <w:r w:rsidRPr="00CD729C">
        <w:rPr>
          <w:color w:val="000000"/>
          <w:szCs w:val="22"/>
        </w:rPr>
        <w:t>acientiem ar MDS/MPD ieteicamā Glivec deva ir 400 mg dienā.</w:t>
      </w:r>
    </w:p>
    <w:p w14:paraId="3D3949B4" w14:textId="77777777" w:rsidR="00412E40" w:rsidRPr="00CD729C" w:rsidRDefault="00412E40" w:rsidP="009B4BB6">
      <w:pPr>
        <w:pStyle w:val="EndnoteText"/>
        <w:widowControl w:val="0"/>
        <w:tabs>
          <w:tab w:val="clear" w:pos="567"/>
        </w:tabs>
        <w:rPr>
          <w:color w:val="000000"/>
          <w:szCs w:val="22"/>
        </w:rPr>
      </w:pPr>
    </w:p>
    <w:p w14:paraId="3D3949B5" w14:textId="77777777" w:rsidR="00412E40" w:rsidRPr="00CD729C" w:rsidRDefault="00412E40" w:rsidP="009B4BB6">
      <w:pPr>
        <w:pStyle w:val="EndnoteText"/>
        <w:widowControl w:val="0"/>
        <w:tabs>
          <w:tab w:val="clear" w:pos="567"/>
        </w:tabs>
        <w:rPr>
          <w:color w:val="000000"/>
          <w:szCs w:val="22"/>
        </w:rPr>
      </w:pPr>
      <w:r w:rsidRPr="00CD729C">
        <w:rPr>
          <w:color w:val="000000"/>
          <w:szCs w:val="22"/>
        </w:rPr>
        <w:t>Ārstēšanas ilgums: līdz šim vienīgajā veiktajā klīniskajā pētījumā, ārstēšana ar Glivec tika turpināta līdz slimības progresijai (skatīt 5.1</w:t>
      </w:r>
      <w:r w:rsidR="00371C3B" w:rsidRPr="00CD729C">
        <w:rPr>
          <w:color w:val="000000"/>
          <w:szCs w:val="22"/>
        </w:rPr>
        <w:t>.</w:t>
      </w:r>
      <w:r w:rsidR="000B2D8A" w:rsidRPr="00CD729C">
        <w:rPr>
          <w:color w:val="000000"/>
          <w:szCs w:val="22"/>
        </w:rPr>
        <w:t> apakšpunktu</w:t>
      </w:r>
      <w:r w:rsidRPr="00CD729C">
        <w:rPr>
          <w:color w:val="000000"/>
          <w:szCs w:val="22"/>
        </w:rPr>
        <w:t>). Analīzes veikšanas brīdī vidējais ārstēšanas ilgums bija 47 mēneši (24 dienas - 60 mēneši).</w:t>
      </w:r>
    </w:p>
    <w:p w14:paraId="3D3949B6" w14:textId="77777777" w:rsidR="00412E40" w:rsidRPr="00CD729C" w:rsidRDefault="00412E40" w:rsidP="009B4BB6">
      <w:pPr>
        <w:pStyle w:val="EndnoteText"/>
        <w:widowControl w:val="0"/>
        <w:tabs>
          <w:tab w:val="clear" w:pos="567"/>
        </w:tabs>
        <w:rPr>
          <w:color w:val="000000"/>
          <w:szCs w:val="22"/>
        </w:rPr>
      </w:pPr>
    </w:p>
    <w:p w14:paraId="3D3949B7" w14:textId="77777777" w:rsidR="00412E40" w:rsidRPr="00CD729C" w:rsidRDefault="00412E40" w:rsidP="009B4BB6">
      <w:pPr>
        <w:keepNext/>
        <w:widowControl w:val="0"/>
        <w:spacing w:line="240" w:lineRule="auto"/>
        <w:rPr>
          <w:color w:val="000000"/>
          <w:u w:val="single"/>
        </w:rPr>
      </w:pPr>
      <w:r w:rsidRPr="00CD729C">
        <w:rPr>
          <w:color w:val="000000"/>
          <w:u w:val="single"/>
        </w:rPr>
        <w:t>Devas HES/CEL terapijai</w:t>
      </w:r>
    </w:p>
    <w:p w14:paraId="3D3949B8" w14:textId="77777777" w:rsidR="00412E40" w:rsidRPr="00CD729C" w:rsidRDefault="00412E40" w:rsidP="009B4BB6">
      <w:pPr>
        <w:widowControl w:val="0"/>
        <w:spacing w:line="240" w:lineRule="auto"/>
        <w:rPr>
          <w:color w:val="000000"/>
        </w:rPr>
      </w:pPr>
      <w:r w:rsidRPr="00CD729C">
        <w:rPr>
          <w:color w:val="000000"/>
        </w:rPr>
        <w:t>P</w:t>
      </w:r>
      <w:r w:rsidR="00A271FB" w:rsidRPr="00CD729C">
        <w:rPr>
          <w:color w:val="000000"/>
          <w:szCs w:val="22"/>
        </w:rPr>
        <w:t>ieaugušiem p</w:t>
      </w:r>
      <w:r w:rsidRPr="00CD729C">
        <w:rPr>
          <w:color w:val="000000"/>
        </w:rPr>
        <w:t>acientiem ar HES/CEL ieteicamā Glivec deva ir 100 mg dienā.</w:t>
      </w:r>
    </w:p>
    <w:p w14:paraId="3D3949B9" w14:textId="77777777" w:rsidR="00412E40" w:rsidRPr="00CD729C" w:rsidRDefault="00412E40" w:rsidP="009B4BB6">
      <w:pPr>
        <w:pStyle w:val="Text"/>
        <w:widowControl w:val="0"/>
        <w:spacing w:before="0"/>
        <w:jc w:val="left"/>
        <w:rPr>
          <w:color w:val="000000"/>
          <w:sz w:val="22"/>
          <w:szCs w:val="22"/>
          <w:lang w:val="lv-LV"/>
        </w:rPr>
      </w:pPr>
    </w:p>
    <w:p w14:paraId="3D3949BA" w14:textId="77777777" w:rsidR="00412E40" w:rsidRPr="00CD729C" w:rsidRDefault="00412E40" w:rsidP="009B4BB6">
      <w:pPr>
        <w:pStyle w:val="Text"/>
        <w:widowControl w:val="0"/>
        <w:spacing w:before="0"/>
        <w:jc w:val="left"/>
        <w:rPr>
          <w:color w:val="000000"/>
          <w:sz w:val="22"/>
          <w:szCs w:val="22"/>
          <w:lang w:val="lv-LV"/>
        </w:rPr>
      </w:pPr>
      <w:r w:rsidRPr="00CD729C">
        <w:rPr>
          <w:color w:val="000000"/>
          <w:sz w:val="22"/>
          <w:szCs w:val="22"/>
          <w:lang w:val="lv-LV"/>
        </w:rPr>
        <w:t>Šiem pacientiem var apsvērt devas palielināšanu no 100 mg līdz 400 mg, ja nav blakusparādību un novērtējums liecina par nepietiekamu atbildreakciju pret terapiju.</w:t>
      </w:r>
    </w:p>
    <w:p w14:paraId="3D3949BB" w14:textId="77777777" w:rsidR="00412E40" w:rsidRPr="00CD729C" w:rsidRDefault="00412E40" w:rsidP="009B4BB6">
      <w:pPr>
        <w:pStyle w:val="Text"/>
        <w:widowControl w:val="0"/>
        <w:spacing w:before="0"/>
        <w:jc w:val="left"/>
        <w:rPr>
          <w:color w:val="000000"/>
          <w:sz w:val="22"/>
          <w:szCs w:val="22"/>
          <w:lang w:val="lv-LV"/>
        </w:rPr>
      </w:pPr>
    </w:p>
    <w:p w14:paraId="3D3949BC" w14:textId="77777777" w:rsidR="00412E40" w:rsidRPr="00CD729C" w:rsidRDefault="00412E40" w:rsidP="009B4BB6">
      <w:pPr>
        <w:widowControl w:val="0"/>
        <w:tabs>
          <w:tab w:val="clear" w:pos="567"/>
        </w:tabs>
        <w:spacing w:line="240" w:lineRule="auto"/>
        <w:rPr>
          <w:szCs w:val="22"/>
        </w:rPr>
      </w:pPr>
      <w:r w:rsidRPr="00CD729C">
        <w:rPr>
          <w:szCs w:val="22"/>
        </w:rPr>
        <w:t>Ārstēšana jāturpina tik ilgi, kamēr pacientam novēro uzlabošanos.</w:t>
      </w:r>
    </w:p>
    <w:p w14:paraId="3D3949BD" w14:textId="77777777" w:rsidR="00412E40" w:rsidRPr="00CD729C" w:rsidRDefault="00412E40" w:rsidP="009B4BB6">
      <w:pPr>
        <w:widowControl w:val="0"/>
        <w:tabs>
          <w:tab w:val="clear" w:pos="567"/>
        </w:tabs>
        <w:spacing w:line="240" w:lineRule="auto"/>
        <w:rPr>
          <w:color w:val="000000"/>
          <w:szCs w:val="22"/>
        </w:rPr>
      </w:pPr>
    </w:p>
    <w:p w14:paraId="3D3949BE" w14:textId="77777777" w:rsidR="00412E40" w:rsidRPr="00CD729C" w:rsidRDefault="00412E40" w:rsidP="009B4BB6">
      <w:pPr>
        <w:keepNext/>
        <w:widowControl w:val="0"/>
        <w:tabs>
          <w:tab w:val="clear" w:pos="567"/>
        </w:tabs>
        <w:spacing w:line="240" w:lineRule="auto"/>
        <w:rPr>
          <w:color w:val="000000"/>
          <w:szCs w:val="22"/>
          <w:u w:val="single"/>
        </w:rPr>
      </w:pPr>
      <w:r w:rsidRPr="00CD729C">
        <w:rPr>
          <w:color w:val="000000"/>
          <w:szCs w:val="22"/>
          <w:u w:val="single"/>
        </w:rPr>
        <w:t>Devas GIST terapijai</w:t>
      </w:r>
    </w:p>
    <w:p w14:paraId="3D3949BF"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P</w:t>
      </w:r>
      <w:r w:rsidR="00A271FB" w:rsidRPr="00CD729C">
        <w:rPr>
          <w:color w:val="000000"/>
          <w:szCs w:val="22"/>
        </w:rPr>
        <w:t>ieaugušiem p</w:t>
      </w:r>
      <w:r w:rsidRPr="00CD729C">
        <w:rPr>
          <w:color w:val="000000"/>
          <w:szCs w:val="22"/>
        </w:rPr>
        <w:t>acientiem ar ļaundabīgu nerezecējamu un/vai metastazējušu GIST ieteicamā Glivec deva ir 400 mg dienā.</w:t>
      </w:r>
    </w:p>
    <w:p w14:paraId="3D3949C0" w14:textId="77777777" w:rsidR="00412E40" w:rsidRPr="00CD729C" w:rsidRDefault="00412E40" w:rsidP="009B4BB6">
      <w:pPr>
        <w:widowControl w:val="0"/>
        <w:tabs>
          <w:tab w:val="clear" w:pos="567"/>
        </w:tabs>
        <w:spacing w:line="240" w:lineRule="auto"/>
        <w:rPr>
          <w:color w:val="000000"/>
          <w:szCs w:val="22"/>
        </w:rPr>
      </w:pPr>
    </w:p>
    <w:p w14:paraId="3D3949C1"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Datu apjoms par efektu, ko sniedz preparāta devas palielinājums no 400 mg līdz 600 mg vai 800 mg pacientiem, kam slimība progresē, lietojot zemāko devu, ir ierobežots (skatīt 5.1</w:t>
      </w:r>
      <w:r w:rsidR="00371C3B" w:rsidRPr="00CD729C">
        <w:rPr>
          <w:color w:val="000000"/>
          <w:szCs w:val="22"/>
        </w:rPr>
        <w:t>.</w:t>
      </w:r>
      <w:r w:rsidR="000B2D8A" w:rsidRPr="00CD729C">
        <w:rPr>
          <w:color w:val="000000"/>
          <w:szCs w:val="22"/>
        </w:rPr>
        <w:t> apakšpunktu</w:t>
      </w:r>
      <w:r w:rsidRPr="00CD729C">
        <w:rPr>
          <w:color w:val="000000"/>
          <w:szCs w:val="22"/>
        </w:rPr>
        <w:t>).</w:t>
      </w:r>
    </w:p>
    <w:p w14:paraId="3D3949C2" w14:textId="77777777" w:rsidR="00412E40" w:rsidRPr="00CD729C" w:rsidRDefault="00412E40" w:rsidP="009B4BB6">
      <w:pPr>
        <w:widowControl w:val="0"/>
        <w:tabs>
          <w:tab w:val="clear" w:pos="567"/>
        </w:tabs>
        <w:spacing w:line="240" w:lineRule="auto"/>
        <w:rPr>
          <w:color w:val="000000"/>
          <w:szCs w:val="22"/>
        </w:rPr>
      </w:pPr>
    </w:p>
    <w:p w14:paraId="3D3949C3"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Terapijas ilgums: klīnisko pētījumu laikā GIST slimniekiem terapiju turpināja līdz slimības progresijai. Laikā, kad tika analizēti iegūtie rezultāti, terapijas vidējais ilgums bija 7 mēneši (7 dienas līdz 13 mēneši). Terapijas pārtraukšanas ietekme pēc tam, kad ir panākta reakcija, nav noskaidrota.</w:t>
      </w:r>
    </w:p>
    <w:p w14:paraId="3D3949C4" w14:textId="77777777" w:rsidR="00412E40" w:rsidRPr="00CD729C" w:rsidRDefault="00412E40" w:rsidP="009B4BB6">
      <w:pPr>
        <w:widowControl w:val="0"/>
        <w:spacing w:line="240" w:lineRule="auto"/>
      </w:pPr>
    </w:p>
    <w:p w14:paraId="3D3949C5" w14:textId="77777777" w:rsidR="00412E40" w:rsidRPr="00CD729C" w:rsidRDefault="00412E40" w:rsidP="009B4BB6">
      <w:pPr>
        <w:widowControl w:val="0"/>
        <w:spacing w:line="240" w:lineRule="auto"/>
        <w:rPr>
          <w:color w:val="000000"/>
          <w:szCs w:val="22"/>
        </w:rPr>
      </w:pPr>
      <w:r w:rsidRPr="00CD729C">
        <w:rPr>
          <w:color w:val="000000"/>
          <w:szCs w:val="22"/>
        </w:rPr>
        <w:t xml:space="preserve">Pieaugušiem pacientiem pēc GIST rezekcijas ieteicamā adjuvantas terapijas Glivec deva ir 400 mg/dienā. Ārstēšanas optimālais ilgums nav noteikts. Klīniskajos pētījumos pierādītais ārstēšanas ilgums šai indikācijai ir </w:t>
      </w:r>
      <w:r w:rsidR="00FE2F65" w:rsidRPr="00CD729C">
        <w:rPr>
          <w:color w:val="000000"/>
          <w:szCs w:val="22"/>
        </w:rPr>
        <w:t>36</w:t>
      </w:r>
      <w:r w:rsidRPr="00CD729C">
        <w:rPr>
          <w:color w:val="000000"/>
          <w:szCs w:val="22"/>
        </w:rPr>
        <w:t> mēneši</w:t>
      </w:r>
      <w:r w:rsidR="00FE2F65" w:rsidRPr="00CD729C">
        <w:rPr>
          <w:color w:val="000000"/>
          <w:szCs w:val="22"/>
        </w:rPr>
        <w:t xml:space="preserve"> (skatīt 5.1</w:t>
      </w:r>
      <w:r w:rsidR="00371C3B" w:rsidRPr="00CD729C">
        <w:rPr>
          <w:color w:val="000000"/>
          <w:szCs w:val="22"/>
        </w:rPr>
        <w:t>.</w:t>
      </w:r>
      <w:r w:rsidR="000B2D8A" w:rsidRPr="00CD729C">
        <w:rPr>
          <w:color w:val="000000"/>
          <w:szCs w:val="22"/>
        </w:rPr>
        <w:t> apakšpunktu</w:t>
      </w:r>
      <w:r w:rsidR="00FE2F65" w:rsidRPr="00CD729C">
        <w:rPr>
          <w:color w:val="000000"/>
          <w:szCs w:val="22"/>
        </w:rPr>
        <w:t>)</w:t>
      </w:r>
      <w:r w:rsidRPr="00CD729C">
        <w:rPr>
          <w:color w:val="000000"/>
          <w:szCs w:val="22"/>
        </w:rPr>
        <w:t>.</w:t>
      </w:r>
    </w:p>
    <w:p w14:paraId="3D3949C6" w14:textId="77777777" w:rsidR="00412E40" w:rsidRPr="00CD729C" w:rsidRDefault="00412E40" w:rsidP="009B4BB6">
      <w:pPr>
        <w:widowControl w:val="0"/>
        <w:tabs>
          <w:tab w:val="clear" w:pos="567"/>
        </w:tabs>
        <w:spacing w:line="240" w:lineRule="auto"/>
        <w:ind w:left="567" w:hanging="567"/>
        <w:rPr>
          <w:color w:val="000000"/>
          <w:szCs w:val="22"/>
        </w:rPr>
      </w:pPr>
    </w:p>
    <w:p w14:paraId="3D3949C7" w14:textId="77777777" w:rsidR="00412E40" w:rsidRPr="00CD729C" w:rsidRDefault="00412E40" w:rsidP="009B4BB6">
      <w:pPr>
        <w:keepNext/>
        <w:widowControl w:val="0"/>
        <w:tabs>
          <w:tab w:val="clear" w:pos="567"/>
        </w:tabs>
        <w:spacing w:line="240" w:lineRule="auto"/>
        <w:ind w:left="567" w:hanging="567"/>
        <w:rPr>
          <w:color w:val="000000"/>
          <w:szCs w:val="22"/>
          <w:u w:val="single"/>
        </w:rPr>
      </w:pPr>
      <w:r w:rsidRPr="00CD729C">
        <w:rPr>
          <w:color w:val="000000"/>
          <w:szCs w:val="22"/>
          <w:u w:val="single"/>
        </w:rPr>
        <w:t>Devas DFSP terapijai</w:t>
      </w:r>
    </w:p>
    <w:p w14:paraId="3D3949C8" w14:textId="77777777" w:rsidR="00412E40" w:rsidRPr="00CD729C" w:rsidRDefault="00412E40" w:rsidP="009B4BB6">
      <w:pPr>
        <w:widowControl w:val="0"/>
        <w:tabs>
          <w:tab w:val="clear" w:pos="567"/>
        </w:tabs>
        <w:spacing w:line="240" w:lineRule="auto"/>
        <w:ind w:left="567" w:hanging="567"/>
        <w:rPr>
          <w:color w:val="000000"/>
          <w:szCs w:val="22"/>
        </w:rPr>
      </w:pPr>
      <w:r w:rsidRPr="00CD729C">
        <w:rPr>
          <w:color w:val="000000"/>
          <w:szCs w:val="22"/>
        </w:rPr>
        <w:t>P</w:t>
      </w:r>
      <w:r w:rsidR="00E25695" w:rsidRPr="00CD729C">
        <w:rPr>
          <w:color w:val="000000"/>
          <w:szCs w:val="22"/>
        </w:rPr>
        <w:t>ieaugušiem p</w:t>
      </w:r>
      <w:r w:rsidRPr="00CD729C">
        <w:rPr>
          <w:color w:val="000000"/>
          <w:szCs w:val="22"/>
        </w:rPr>
        <w:t>acientiem ar DFSP ieteicamā Glivec deva ir 800 mg dienā.</w:t>
      </w:r>
    </w:p>
    <w:p w14:paraId="3D3949C9" w14:textId="77777777" w:rsidR="00412E40" w:rsidRPr="00CD729C" w:rsidRDefault="00412E40" w:rsidP="009B4BB6">
      <w:pPr>
        <w:widowControl w:val="0"/>
        <w:tabs>
          <w:tab w:val="clear" w:pos="567"/>
        </w:tabs>
        <w:spacing w:line="240" w:lineRule="auto"/>
        <w:ind w:left="567" w:hanging="567"/>
        <w:rPr>
          <w:color w:val="000000"/>
          <w:szCs w:val="22"/>
        </w:rPr>
      </w:pPr>
    </w:p>
    <w:p w14:paraId="3D3949CA" w14:textId="77777777" w:rsidR="00412E40" w:rsidRPr="00CD729C" w:rsidRDefault="00412E40" w:rsidP="009B4BB6">
      <w:pPr>
        <w:keepNext/>
        <w:widowControl w:val="0"/>
        <w:tabs>
          <w:tab w:val="clear" w:pos="567"/>
        </w:tabs>
        <w:spacing w:line="240" w:lineRule="auto"/>
        <w:ind w:left="567" w:hanging="567"/>
        <w:rPr>
          <w:color w:val="000000"/>
          <w:szCs w:val="22"/>
          <w:u w:val="single"/>
        </w:rPr>
      </w:pPr>
      <w:r w:rsidRPr="00CD729C">
        <w:rPr>
          <w:color w:val="000000"/>
          <w:szCs w:val="22"/>
          <w:u w:val="single"/>
        </w:rPr>
        <w:t>Devas korekcija nevēlamu blakusparādību gadījumā</w:t>
      </w:r>
    </w:p>
    <w:p w14:paraId="3D3949CB" w14:textId="77777777" w:rsidR="00412E40" w:rsidRPr="00CD729C" w:rsidRDefault="00412E40" w:rsidP="009B4BB6">
      <w:pPr>
        <w:keepNext/>
        <w:widowControl w:val="0"/>
        <w:tabs>
          <w:tab w:val="clear" w:pos="567"/>
        </w:tabs>
        <w:spacing w:line="240" w:lineRule="auto"/>
        <w:ind w:left="567" w:hanging="567"/>
        <w:rPr>
          <w:i/>
          <w:color w:val="000000"/>
          <w:szCs w:val="22"/>
        </w:rPr>
      </w:pPr>
      <w:r w:rsidRPr="00CD729C">
        <w:rPr>
          <w:i/>
          <w:color w:val="000000"/>
          <w:szCs w:val="22"/>
        </w:rPr>
        <w:t>Ne-hematoloģiska rakstura nevēlamas blakusparādības</w:t>
      </w:r>
    </w:p>
    <w:p w14:paraId="3D3949CC"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Ja Glivec lietošanas laikā attīstās smagas,</w:t>
      </w:r>
      <w:r w:rsidRPr="00CD729C">
        <w:rPr>
          <w:i/>
          <w:color w:val="000000"/>
          <w:szCs w:val="22"/>
        </w:rPr>
        <w:t xml:space="preserve"> </w:t>
      </w:r>
      <w:r w:rsidRPr="00CD729C">
        <w:rPr>
          <w:color w:val="000000"/>
          <w:szCs w:val="22"/>
        </w:rPr>
        <w:t>ne-hematoloģiska rakstura nevēlamas blakusparādības, nākamās devas lietošana ir jāatliek, līdz parādību simptomi izzūd. Vēlāk, atkarīgi no nevēlamo blakusparādību sākotnējā smaguma, terapiju ir atļauts turpināt.</w:t>
      </w:r>
    </w:p>
    <w:p w14:paraId="3D3949CD" w14:textId="77777777" w:rsidR="00412E40" w:rsidRPr="00CD729C" w:rsidRDefault="00412E40" w:rsidP="009B4BB6">
      <w:pPr>
        <w:widowControl w:val="0"/>
        <w:tabs>
          <w:tab w:val="clear" w:pos="567"/>
        </w:tabs>
        <w:spacing w:line="240" w:lineRule="auto"/>
        <w:rPr>
          <w:color w:val="000000"/>
          <w:szCs w:val="22"/>
        </w:rPr>
      </w:pPr>
    </w:p>
    <w:p w14:paraId="3D3949CE"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Ja bilirubīna koncentrācija vairāk kā 3 reizes pārsniedz normas augšējo robežu (</w:t>
      </w:r>
      <w:r w:rsidRPr="00CD729C">
        <w:rPr>
          <w:i/>
          <w:color w:val="000000"/>
          <w:szCs w:val="22"/>
        </w:rPr>
        <w:t xml:space="preserve">Upper Limit of Normal </w:t>
      </w:r>
      <w:r w:rsidRPr="00CD729C">
        <w:rPr>
          <w:color w:val="000000"/>
          <w:szCs w:val="22"/>
        </w:rPr>
        <w:t>- ULN) vai aknu transamināžu daudzums normas augšējo robežu pārsniedz vairāk kā 5 reizes, nākamās Glivec devas lietošana ir jāatliek, līdz bilirubīna koncentrācija atjaunojas līdz lielumam, kas ir &lt;1,5 ULN, bet transamināžu koncentrācija atjaunojas līmenī, kas ir &lt;2,5 ULN. Pēc tam, samazinot Glivec dienas devu, terapiju ir atļauts turpināt. Pieaugušajiem deva ir jāsamazina no 400 mg līdz 300 mg vai no 600 mg līdz 400 mg dienā, vai no 800 mg līdz 600 mg, bet bērniem – no 340 mg/m</w:t>
      </w:r>
      <w:r w:rsidRPr="00CD729C">
        <w:rPr>
          <w:color w:val="000000"/>
          <w:szCs w:val="22"/>
          <w:vertAlign w:val="superscript"/>
        </w:rPr>
        <w:t>2</w:t>
      </w:r>
      <w:r w:rsidRPr="00CD729C">
        <w:rPr>
          <w:color w:val="000000"/>
          <w:szCs w:val="22"/>
        </w:rPr>
        <w:t xml:space="preserve"> līdz 260 mg/m</w:t>
      </w:r>
      <w:r w:rsidRPr="00CD729C">
        <w:rPr>
          <w:color w:val="000000"/>
          <w:szCs w:val="22"/>
          <w:vertAlign w:val="superscript"/>
        </w:rPr>
        <w:t>2</w:t>
      </w:r>
      <w:r w:rsidRPr="00CD729C">
        <w:rPr>
          <w:color w:val="000000"/>
          <w:szCs w:val="22"/>
        </w:rPr>
        <w:t> dienā.</w:t>
      </w:r>
    </w:p>
    <w:p w14:paraId="3D3949CF" w14:textId="77777777" w:rsidR="00412E40" w:rsidRPr="00CD729C" w:rsidRDefault="00412E40" w:rsidP="009B4BB6">
      <w:pPr>
        <w:widowControl w:val="0"/>
        <w:tabs>
          <w:tab w:val="clear" w:pos="567"/>
        </w:tabs>
        <w:spacing w:line="240" w:lineRule="auto"/>
        <w:ind w:left="567" w:hanging="567"/>
        <w:rPr>
          <w:color w:val="000000"/>
          <w:szCs w:val="22"/>
        </w:rPr>
      </w:pPr>
    </w:p>
    <w:p w14:paraId="3D3949D0" w14:textId="77777777" w:rsidR="00412E40" w:rsidRPr="00CD729C" w:rsidRDefault="00412E40" w:rsidP="009B4BB6">
      <w:pPr>
        <w:keepNext/>
        <w:widowControl w:val="0"/>
        <w:tabs>
          <w:tab w:val="clear" w:pos="567"/>
        </w:tabs>
        <w:spacing w:line="240" w:lineRule="auto"/>
        <w:ind w:left="567" w:hanging="567"/>
        <w:rPr>
          <w:color w:val="000000"/>
          <w:szCs w:val="22"/>
        </w:rPr>
      </w:pPr>
      <w:r w:rsidRPr="00CD729C">
        <w:rPr>
          <w:i/>
          <w:color w:val="000000"/>
          <w:szCs w:val="22"/>
        </w:rPr>
        <w:t>Hematoloģiska rakstura nevēlamas blakusparādības</w:t>
      </w:r>
    </w:p>
    <w:p w14:paraId="3D3949D1"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Indikācijas, kad, smagas neitropēnijas vai trombocitopēnijas gadījumā, nepieciešams samazināt preparāta devu vai terapiju pārtraukt, ir norādītas turpmākajā tabulā.</w:t>
      </w:r>
    </w:p>
    <w:p w14:paraId="3D3949D2" w14:textId="77777777" w:rsidR="00412E40" w:rsidRPr="00CD729C" w:rsidRDefault="00412E40" w:rsidP="009B4BB6">
      <w:pPr>
        <w:widowControl w:val="0"/>
        <w:tabs>
          <w:tab w:val="clear" w:pos="567"/>
        </w:tabs>
        <w:spacing w:line="240" w:lineRule="auto"/>
        <w:ind w:left="567" w:hanging="567"/>
        <w:rPr>
          <w:color w:val="000000"/>
          <w:szCs w:val="22"/>
        </w:rPr>
      </w:pPr>
    </w:p>
    <w:p w14:paraId="3D3949D3" w14:textId="77777777" w:rsidR="00412E40" w:rsidRPr="00CD729C" w:rsidRDefault="00412E40" w:rsidP="009B4BB6">
      <w:pPr>
        <w:pStyle w:val="ParastaisTreknraksts"/>
        <w:keepNext/>
        <w:widowControl w:val="0"/>
        <w:rPr>
          <w:b w:val="0"/>
          <w:color w:val="000000"/>
          <w:szCs w:val="22"/>
        </w:rPr>
      </w:pPr>
      <w:r w:rsidRPr="00CD729C">
        <w:rPr>
          <w:b w:val="0"/>
          <w:color w:val="000000"/>
          <w:szCs w:val="22"/>
        </w:rPr>
        <w:t>Devas korekcija neitropēnijas vai trombocitopēnijas gadījumā:</w:t>
      </w:r>
    </w:p>
    <w:p w14:paraId="3D3949D4" w14:textId="77777777" w:rsidR="00412E40" w:rsidRPr="00CD729C" w:rsidRDefault="00412E40" w:rsidP="009B4BB6">
      <w:pPr>
        <w:pStyle w:val="ParastaisTreknraksts"/>
        <w:keepNext/>
        <w:widowControl w:val="0"/>
        <w:rPr>
          <w:b w:val="0"/>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268"/>
        <w:gridCol w:w="4215"/>
      </w:tblGrid>
      <w:tr w:rsidR="00412E40" w:rsidRPr="00CD729C" w14:paraId="3D3949D9" w14:textId="77777777" w:rsidTr="00341FA1">
        <w:trPr>
          <w:cantSplit/>
        </w:trPr>
        <w:tc>
          <w:tcPr>
            <w:tcW w:w="2802" w:type="dxa"/>
          </w:tcPr>
          <w:p w14:paraId="3D3949D5" w14:textId="77777777" w:rsidR="00412E40" w:rsidRPr="00CD729C" w:rsidRDefault="00412E40" w:rsidP="009B4BB6">
            <w:pPr>
              <w:pStyle w:val="EndnoteText"/>
              <w:keepNext/>
              <w:widowControl w:val="0"/>
              <w:tabs>
                <w:tab w:val="clear" w:pos="567"/>
              </w:tabs>
              <w:rPr>
                <w:color w:val="000000"/>
                <w:szCs w:val="22"/>
              </w:rPr>
            </w:pPr>
            <w:r w:rsidRPr="00CD729C">
              <w:rPr>
                <w:color w:val="000000"/>
                <w:szCs w:val="22"/>
              </w:rPr>
              <w:t>HES/CEL (sākotnējā deva 100 mg)</w:t>
            </w:r>
          </w:p>
        </w:tc>
        <w:tc>
          <w:tcPr>
            <w:tcW w:w="2268" w:type="dxa"/>
          </w:tcPr>
          <w:p w14:paraId="3D3949D6" w14:textId="77777777" w:rsidR="00412E40" w:rsidRPr="00CD729C" w:rsidRDefault="00412E40" w:rsidP="009B4BB6">
            <w:pPr>
              <w:keepNext/>
              <w:widowControl w:val="0"/>
              <w:tabs>
                <w:tab w:val="clear" w:pos="567"/>
              </w:tabs>
              <w:spacing w:line="240" w:lineRule="auto"/>
              <w:rPr>
                <w:color w:val="000000"/>
                <w:szCs w:val="22"/>
              </w:rPr>
            </w:pPr>
            <w:r w:rsidRPr="00CD729C">
              <w:rPr>
                <w:color w:val="000000"/>
                <w:szCs w:val="22"/>
              </w:rPr>
              <w:t>ANC &lt;1,0 x 10</w:t>
            </w:r>
            <w:r w:rsidRPr="00CD729C">
              <w:rPr>
                <w:color w:val="000000"/>
                <w:szCs w:val="22"/>
                <w:vertAlign w:val="superscript"/>
              </w:rPr>
              <w:t>9</w:t>
            </w:r>
            <w:r w:rsidRPr="00CD729C">
              <w:rPr>
                <w:color w:val="000000"/>
                <w:szCs w:val="22"/>
              </w:rPr>
              <w:t>/l un/vai trombocītu daudzums &lt;50 x 10</w:t>
            </w:r>
            <w:r w:rsidRPr="00CD729C">
              <w:rPr>
                <w:color w:val="000000"/>
                <w:szCs w:val="22"/>
                <w:vertAlign w:val="superscript"/>
              </w:rPr>
              <w:t>9</w:t>
            </w:r>
            <w:r w:rsidRPr="00CD729C">
              <w:rPr>
                <w:color w:val="000000"/>
                <w:szCs w:val="22"/>
              </w:rPr>
              <w:t>/l</w:t>
            </w:r>
          </w:p>
        </w:tc>
        <w:tc>
          <w:tcPr>
            <w:tcW w:w="4215" w:type="dxa"/>
          </w:tcPr>
          <w:p w14:paraId="3D3949D7" w14:textId="77777777" w:rsidR="00412E40" w:rsidRPr="00CD729C" w:rsidRDefault="00412E40" w:rsidP="009B4BB6">
            <w:pPr>
              <w:keepNext/>
              <w:widowControl w:val="0"/>
              <w:tabs>
                <w:tab w:val="clear" w:pos="567"/>
              </w:tabs>
              <w:spacing w:line="240" w:lineRule="auto"/>
              <w:ind w:left="572" w:hanging="572"/>
              <w:rPr>
                <w:color w:val="000000"/>
                <w:szCs w:val="22"/>
              </w:rPr>
            </w:pPr>
            <w:r w:rsidRPr="00CD729C">
              <w:rPr>
                <w:color w:val="000000"/>
                <w:szCs w:val="22"/>
              </w:rPr>
              <w:t>1.</w:t>
            </w:r>
            <w:r w:rsidRPr="00CD729C">
              <w:rPr>
                <w:color w:val="000000"/>
                <w:szCs w:val="22"/>
              </w:rPr>
              <w:tab/>
              <w:t xml:space="preserve">Glivec lietošanu pārtrauc, līdz ANC </w:t>
            </w:r>
            <w:r w:rsidRPr="00CD729C">
              <w:rPr>
                <w:color w:val="000000"/>
                <w:szCs w:val="22"/>
              </w:rPr>
              <w:sym w:font="Symbol" w:char="F0B3"/>
            </w:r>
            <w:r w:rsidRPr="00CD729C">
              <w:rPr>
                <w:color w:val="000000"/>
                <w:szCs w:val="22"/>
              </w:rPr>
              <w:t>1,5 x 10</w:t>
            </w:r>
            <w:r w:rsidRPr="00CD729C">
              <w:rPr>
                <w:color w:val="000000"/>
                <w:szCs w:val="22"/>
                <w:vertAlign w:val="superscript"/>
              </w:rPr>
              <w:t>9</w:t>
            </w:r>
            <w:r w:rsidRPr="00CD729C">
              <w:rPr>
                <w:color w:val="000000"/>
                <w:szCs w:val="22"/>
              </w:rPr>
              <w:t xml:space="preserve">/l un trombocītu daudzums </w:t>
            </w:r>
            <w:r w:rsidRPr="00CD729C">
              <w:rPr>
                <w:color w:val="000000"/>
                <w:szCs w:val="22"/>
              </w:rPr>
              <w:sym w:font="Symbol" w:char="F0B3"/>
            </w:r>
            <w:r w:rsidRPr="00CD729C">
              <w:rPr>
                <w:color w:val="000000"/>
                <w:szCs w:val="22"/>
              </w:rPr>
              <w:t>75 x 10</w:t>
            </w:r>
            <w:r w:rsidRPr="00CD729C">
              <w:rPr>
                <w:color w:val="000000"/>
                <w:szCs w:val="22"/>
                <w:vertAlign w:val="superscript"/>
              </w:rPr>
              <w:t>9</w:t>
            </w:r>
            <w:r w:rsidRPr="00CD729C">
              <w:rPr>
                <w:color w:val="000000"/>
                <w:szCs w:val="22"/>
              </w:rPr>
              <w:t>/l.</w:t>
            </w:r>
          </w:p>
          <w:p w14:paraId="3D3949D8" w14:textId="77777777" w:rsidR="00412E40" w:rsidRPr="00CD729C" w:rsidRDefault="00412E40" w:rsidP="009B4BB6">
            <w:pPr>
              <w:keepNext/>
              <w:widowControl w:val="0"/>
              <w:tabs>
                <w:tab w:val="clear" w:pos="567"/>
              </w:tabs>
              <w:spacing w:line="240" w:lineRule="auto"/>
              <w:ind w:left="572" w:hanging="572"/>
              <w:rPr>
                <w:color w:val="000000"/>
                <w:szCs w:val="22"/>
              </w:rPr>
            </w:pPr>
            <w:r w:rsidRPr="00CD729C">
              <w:rPr>
                <w:color w:val="000000"/>
                <w:szCs w:val="22"/>
              </w:rPr>
              <w:t>2.</w:t>
            </w:r>
            <w:r w:rsidRPr="00CD729C">
              <w:rPr>
                <w:color w:val="000000"/>
                <w:szCs w:val="22"/>
              </w:rPr>
              <w:tab/>
              <w:t>Terapiju turpina ar Glivec iepriekšējo devu (kādu lietoja pirms smagas blakusparādības rašanās).</w:t>
            </w:r>
          </w:p>
        </w:tc>
      </w:tr>
      <w:tr w:rsidR="00412E40" w:rsidRPr="00CD729C" w14:paraId="3D3949E1" w14:textId="77777777" w:rsidTr="00341FA1">
        <w:trPr>
          <w:cantSplit/>
        </w:trPr>
        <w:tc>
          <w:tcPr>
            <w:tcW w:w="2802" w:type="dxa"/>
          </w:tcPr>
          <w:p w14:paraId="3D3949DA" w14:textId="77777777" w:rsidR="00412E40" w:rsidRPr="00CD729C" w:rsidRDefault="00412E40" w:rsidP="009B4BB6">
            <w:pPr>
              <w:pStyle w:val="EndnoteText"/>
              <w:widowControl w:val="0"/>
              <w:tabs>
                <w:tab w:val="clear" w:pos="567"/>
              </w:tabs>
              <w:rPr>
                <w:color w:val="000000"/>
                <w:szCs w:val="22"/>
              </w:rPr>
            </w:pPr>
            <w:r w:rsidRPr="00CD729C">
              <w:rPr>
                <w:color w:val="000000"/>
                <w:szCs w:val="22"/>
              </w:rPr>
              <w:t>CML hroniskā fāze, MDS/MPD un GIST (sākotnējā deva – 400 mg)</w:t>
            </w:r>
          </w:p>
          <w:p w14:paraId="3D3949DB" w14:textId="77777777" w:rsidR="00412E40" w:rsidRPr="00CD729C" w:rsidRDefault="00412E40" w:rsidP="009B4BB6">
            <w:pPr>
              <w:pStyle w:val="EndnoteText"/>
              <w:widowControl w:val="0"/>
              <w:tabs>
                <w:tab w:val="clear" w:pos="567"/>
              </w:tabs>
              <w:rPr>
                <w:color w:val="000000"/>
                <w:szCs w:val="22"/>
              </w:rPr>
            </w:pPr>
            <w:r w:rsidRPr="00CD729C">
              <w:rPr>
                <w:color w:val="000000"/>
                <w:szCs w:val="22"/>
              </w:rPr>
              <w:t>HES/CEL</w:t>
            </w:r>
          </w:p>
          <w:p w14:paraId="3D3949DC" w14:textId="77777777" w:rsidR="00412E40" w:rsidRPr="00CD729C" w:rsidRDefault="00412E40" w:rsidP="009B4BB6">
            <w:pPr>
              <w:widowControl w:val="0"/>
              <w:spacing w:line="240" w:lineRule="auto"/>
              <w:rPr>
                <w:color w:val="000000"/>
              </w:rPr>
            </w:pPr>
            <w:r w:rsidRPr="00CD729C">
              <w:rPr>
                <w:color w:val="000000"/>
                <w:szCs w:val="22"/>
              </w:rPr>
              <w:t>(deva 400 mg)</w:t>
            </w:r>
          </w:p>
        </w:tc>
        <w:tc>
          <w:tcPr>
            <w:tcW w:w="2268" w:type="dxa"/>
          </w:tcPr>
          <w:p w14:paraId="3D3949DD"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ANC &lt;1,0 x 10</w:t>
            </w:r>
            <w:r w:rsidRPr="00CD729C">
              <w:rPr>
                <w:color w:val="000000"/>
                <w:szCs w:val="22"/>
                <w:vertAlign w:val="superscript"/>
              </w:rPr>
              <w:t>9</w:t>
            </w:r>
            <w:r w:rsidRPr="00CD729C">
              <w:rPr>
                <w:color w:val="000000"/>
                <w:szCs w:val="22"/>
              </w:rPr>
              <w:t>/l un/vai trombocītu daudzums &lt;50 x 10</w:t>
            </w:r>
            <w:r w:rsidRPr="00CD729C">
              <w:rPr>
                <w:color w:val="000000"/>
                <w:szCs w:val="22"/>
                <w:vertAlign w:val="superscript"/>
              </w:rPr>
              <w:t>9</w:t>
            </w:r>
            <w:r w:rsidRPr="00CD729C">
              <w:rPr>
                <w:color w:val="000000"/>
                <w:szCs w:val="22"/>
              </w:rPr>
              <w:t>/l</w:t>
            </w:r>
          </w:p>
        </w:tc>
        <w:tc>
          <w:tcPr>
            <w:tcW w:w="4215" w:type="dxa"/>
          </w:tcPr>
          <w:p w14:paraId="3D3949DE" w14:textId="77777777" w:rsidR="00412E40" w:rsidRPr="00CD729C" w:rsidRDefault="00412E40" w:rsidP="009B4BB6">
            <w:pPr>
              <w:widowControl w:val="0"/>
              <w:tabs>
                <w:tab w:val="clear" w:pos="567"/>
                <w:tab w:val="left" w:pos="600"/>
              </w:tabs>
              <w:spacing w:line="240" w:lineRule="auto"/>
              <w:ind w:left="572" w:hanging="572"/>
              <w:rPr>
                <w:color w:val="000000"/>
                <w:szCs w:val="22"/>
              </w:rPr>
            </w:pPr>
            <w:r w:rsidRPr="00CD729C">
              <w:rPr>
                <w:color w:val="000000"/>
                <w:szCs w:val="22"/>
              </w:rPr>
              <w:t>1.</w:t>
            </w:r>
            <w:r w:rsidRPr="00CD729C">
              <w:rPr>
                <w:color w:val="000000"/>
                <w:szCs w:val="22"/>
              </w:rPr>
              <w:tab/>
              <w:t xml:space="preserve">Glivec lietošanu pārtrauc, līdz ANC </w:t>
            </w:r>
            <w:r w:rsidRPr="00CD729C">
              <w:rPr>
                <w:color w:val="000000"/>
                <w:szCs w:val="22"/>
              </w:rPr>
              <w:sym w:font="Symbol" w:char="F0B3"/>
            </w:r>
            <w:r w:rsidRPr="00CD729C">
              <w:rPr>
                <w:color w:val="000000"/>
                <w:szCs w:val="22"/>
              </w:rPr>
              <w:t>1,5 x 10</w:t>
            </w:r>
            <w:r w:rsidRPr="00CD729C">
              <w:rPr>
                <w:color w:val="000000"/>
                <w:szCs w:val="22"/>
                <w:vertAlign w:val="superscript"/>
              </w:rPr>
              <w:t>9</w:t>
            </w:r>
            <w:r w:rsidRPr="00CD729C">
              <w:rPr>
                <w:color w:val="000000"/>
                <w:szCs w:val="22"/>
              </w:rPr>
              <w:t xml:space="preserve">/l un trombocītu daudzums </w:t>
            </w:r>
            <w:r w:rsidRPr="00CD729C">
              <w:rPr>
                <w:color w:val="000000"/>
                <w:szCs w:val="22"/>
              </w:rPr>
              <w:sym w:font="Symbol" w:char="F0B3"/>
            </w:r>
            <w:r w:rsidRPr="00CD729C">
              <w:rPr>
                <w:color w:val="000000"/>
                <w:szCs w:val="22"/>
              </w:rPr>
              <w:t>75 x 10</w:t>
            </w:r>
            <w:r w:rsidRPr="00CD729C">
              <w:rPr>
                <w:color w:val="000000"/>
                <w:szCs w:val="22"/>
                <w:vertAlign w:val="superscript"/>
              </w:rPr>
              <w:t>9</w:t>
            </w:r>
            <w:r w:rsidRPr="00CD729C">
              <w:rPr>
                <w:color w:val="000000"/>
                <w:szCs w:val="22"/>
              </w:rPr>
              <w:t>/l.</w:t>
            </w:r>
          </w:p>
          <w:p w14:paraId="3D3949DF" w14:textId="77777777" w:rsidR="00412E40" w:rsidRPr="00CD729C" w:rsidRDefault="00412E40" w:rsidP="009B4BB6">
            <w:pPr>
              <w:widowControl w:val="0"/>
              <w:tabs>
                <w:tab w:val="clear" w:pos="567"/>
                <w:tab w:val="left" w:pos="600"/>
              </w:tabs>
              <w:spacing w:line="240" w:lineRule="auto"/>
              <w:ind w:left="572" w:hanging="572"/>
              <w:rPr>
                <w:color w:val="000000"/>
                <w:szCs w:val="22"/>
              </w:rPr>
            </w:pPr>
            <w:r w:rsidRPr="00CD729C">
              <w:rPr>
                <w:color w:val="000000"/>
                <w:szCs w:val="22"/>
              </w:rPr>
              <w:t>2.</w:t>
            </w:r>
            <w:r w:rsidRPr="00CD729C">
              <w:rPr>
                <w:color w:val="000000"/>
                <w:szCs w:val="22"/>
              </w:rPr>
              <w:tab/>
              <w:t>Terapiju turpina ar Glivec iepriekšējo devu (kādu lietoja pirms smagas blakusparādības rašanās).</w:t>
            </w:r>
          </w:p>
          <w:p w14:paraId="3D3949E0" w14:textId="77777777" w:rsidR="00412E40" w:rsidRPr="00CD729C" w:rsidRDefault="00412E40" w:rsidP="009B4BB6">
            <w:pPr>
              <w:widowControl w:val="0"/>
              <w:tabs>
                <w:tab w:val="clear" w:pos="567"/>
                <w:tab w:val="left" w:pos="600"/>
              </w:tabs>
              <w:spacing w:line="240" w:lineRule="auto"/>
              <w:ind w:left="572" w:hanging="572"/>
              <w:rPr>
                <w:color w:val="000000"/>
                <w:szCs w:val="22"/>
              </w:rPr>
            </w:pPr>
            <w:r w:rsidRPr="00CD729C">
              <w:rPr>
                <w:color w:val="000000"/>
                <w:szCs w:val="22"/>
              </w:rPr>
              <w:t>3.</w:t>
            </w:r>
            <w:r w:rsidRPr="00CD729C">
              <w:rPr>
                <w:color w:val="000000"/>
                <w:szCs w:val="22"/>
              </w:rPr>
              <w:tab/>
              <w:t>Gadījumā, ja recidivē ANC &lt;1,0 x 10</w:t>
            </w:r>
            <w:r w:rsidRPr="00CD729C">
              <w:rPr>
                <w:color w:val="000000"/>
                <w:szCs w:val="22"/>
                <w:vertAlign w:val="superscript"/>
              </w:rPr>
              <w:t>9</w:t>
            </w:r>
            <w:r w:rsidRPr="00CD729C">
              <w:rPr>
                <w:color w:val="000000"/>
                <w:szCs w:val="22"/>
              </w:rPr>
              <w:t>/l un trombocītu daudzums &lt;50 x 10</w:t>
            </w:r>
            <w:r w:rsidRPr="00CD729C">
              <w:rPr>
                <w:color w:val="000000"/>
                <w:szCs w:val="22"/>
                <w:vertAlign w:val="superscript"/>
              </w:rPr>
              <w:t>9</w:t>
            </w:r>
            <w:r w:rsidRPr="00CD729C">
              <w:rPr>
                <w:color w:val="000000"/>
                <w:szCs w:val="22"/>
              </w:rPr>
              <w:t>/l, atkārto p. 1. un terapiju turpina ar samazinātu, 300 mg lielu Glivec devu.</w:t>
            </w:r>
          </w:p>
        </w:tc>
      </w:tr>
      <w:tr w:rsidR="00412E40" w:rsidRPr="00CD729C" w14:paraId="3D3949EB" w14:textId="77777777" w:rsidTr="00341FA1">
        <w:trPr>
          <w:cantSplit/>
        </w:trPr>
        <w:tc>
          <w:tcPr>
            <w:tcW w:w="2802" w:type="dxa"/>
          </w:tcPr>
          <w:p w14:paraId="3D3949E2" w14:textId="77777777" w:rsidR="00412E40" w:rsidRPr="00CD729C" w:rsidRDefault="00412E40" w:rsidP="009B4BB6">
            <w:pPr>
              <w:pStyle w:val="EndnoteText"/>
              <w:widowControl w:val="0"/>
              <w:tabs>
                <w:tab w:val="clear" w:pos="567"/>
              </w:tabs>
              <w:rPr>
                <w:color w:val="000000"/>
                <w:szCs w:val="22"/>
              </w:rPr>
            </w:pPr>
            <w:r w:rsidRPr="00CD729C">
              <w:rPr>
                <w:color w:val="000000"/>
                <w:szCs w:val="22"/>
              </w:rPr>
              <w:t>CML hroniskā fāze pediatrijas pacientiem</w:t>
            </w:r>
          </w:p>
          <w:p w14:paraId="3D3949E3" w14:textId="77777777" w:rsidR="00412E40" w:rsidRPr="00CD729C" w:rsidRDefault="00412E40" w:rsidP="009B4BB6">
            <w:pPr>
              <w:pStyle w:val="EndnoteText"/>
              <w:widowControl w:val="0"/>
              <w:tabs>
                <w:tab w:val="clear" w:pos="567"/>
              </w:tabs>
              <w:rPr>
                <w:color w:val="000000"/>
                <w:szCs w:val="22"/>
              </w:rPr>
            </w:pPr>
            <w:r w:rsidRPr="00CD729C">
              <w:rPr>
                <w:color w:val="000000"/>
                <w:szCs w:val="22"/>
              </w:rPr>
              <w:t>(deva 340 mg/m</w:t>
            </w:r>
            <w:r w:rsidRPr="00CD729C">
              <w:rPr>
                <w:color w:val="000000"/>
                <w:szCs w:val="22"/>
                <w:vertAlign w:val="superscript"/>
              </w:rPr>
              <w:t>2</w:t>
            </w:r>
            <w:r w:rsidRPr="00CD729C">
              <w:rPr>
                <w:color w:val="000000"/>
                <w:szCs w:val="22"/>
              </w:rPr>
              <w:t>)</w:t>
            </w:r>
          </w:p>
        </w:tc>
        <w:tc>
          <w:tcPr>
            <w:tcW w:w="2268" w:type="dxa"/>
          </w:tcPr>
          <w:p w14:paraId="3D3949E4" w14:textId="77777777" w:rsidR="00412E40" w:rsidRPr="00CD729C" w:rsidRDefault="00412E40" w:rsidP="009B4BB6">
            <w:pPr>
              <w:pStyle w:val="Table"/>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ANC &lt;1,0 x 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/l</w:t>
            </w:r>
          </w:p>
          <w:p w14:paraId="3D3949E5" w14:textId="77777777" w:rsidR="00412E40" w:rsidRPr="00CD729C" w:rsidRDefault="00412E40" w:rsidP="009B4BB6">
            <w:pPr>
              <w:pStyle w:val="Table"/>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un/vai</w:t>
            </w:r>
          </w:p>
          <w:p w14:paraId="3D3949E6" w14:textId="77777777" w:rsidR="00412E40" w:rsidRPr="00CD729C" w:rsidRDefault="00412E40" w:rsidP="009B4BB6">
            <w:pPr>
              <w:pStyle w:val="Table"/>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trombocītu daudzums &lt;50 x 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/l</w:t>
            </w:r>
          </w:p>
          <w:p w14:paraId="3D3949E7" w14:textId="77777777" w:rsidR="00412E40" w:rsidRPr="00CD729C" w:rsidRDefault="00412E40" w:rsidP="009B4BB6">
            <w:pPr>
              <w:widowControl w:val="0"/>
              <w:tabs>
                <w:tab w:val="clear" w:pos="567"/>
              </w:tabs>
              <w:spacing w:line="240" w:lineRule="auto"/>
              <w:rPr>
                <w:color w:val="000000"/>
                <w:szCs w:val="22"/>
              </w:rPr>
            </w:pPr>
          </w:p>
        </w:tc>
        <w:tc>
          <w:tcPr>
            <w:tcW w:w="4215" w:type="dxa"/>
          </w:tcPr>
          <w:p w14:paraId="3D3949E8" w14:textId="77777777" w:rsidR="00412E40" w:rsidRPr="00CD729C" w:rsidRDefault="00412E40" w:rsidP="009B4BB6">
            <w:pPr>
              <w:pStyle w:val="Table"/>
              <w:keepNext w:val="0"/>
              <w:widowControl w:val="0"/>
              <w:tabs>
                <w:tab w:val="clear" w:pos="284"/>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1.</w:t>
            </w:r>
            <w:r w:rsidRPr="00CD729C">
              <w:rPr>
                <w:rFonts w:ascii="Times New Roman" w:hAnsi="Times New Roman"/>
                <w:color w:val="000000"/>
                <w:szCs w:val="22"/>
                <w:lang w:val="lv-LV"/>
              </w:rPr>
              <w:tab/>
              <w:t xml:space="preserve">Glivec lietošanu pārtrauc, līdz ANC </w:t>
            </w:r>
            <w:r w:rsidRPr="00CD729C">
              <w:rPr>
                <w:rFonts w:ascii="Times New Roman" w:hAnsi="Times New Roman"/>
                <w:color w:val="000000"/>
                <w:szCs w:val="22"/>
                <w:lang w:val="lv-LV"/>
              </w:rPr>
              <w:sym w:font="Symbol" w:char="F0B3"/>
            </w:r>
            <w:r w:rsidRPr="00CD729C">
              <w:rPr>
                <w:rFonts w:ascii="Times New Roman" w:hAnsi="Times New Roman"/>
                <w:color w:val="000000"/>
                <w:szCs w:val="22"/>
                <w:lang w:val="lv-LV"/>
              </w:rPr>
              <w:t>1,5 x 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 xml:space="preserve">/l un trombocītu daudzums </w:t>
            </w:r>
            <w:r w:rsidRPr="00CD729C">
              <w:rPr>
                <w:rFonts w:ascii="Times New Roman" w:hAnsi="Times New Roman"/>
                <w:color w:val="000000"/>
                <w:szCs w:val="22"/>
                <w:lang w:val="lv-LV"/>
              </w:rPr>
              <w:sym w:font="Symbol" w:char="F0B3"/>
            </w:r>
            <w:r w:rsidRPr="00CD729C">
              <w:rPr>
                <w:rFonts w:ascii="Times New Roman" w:hAnsi="Times New Roman"/>
                <w:color w:val="000000"/>
                <w:szCs w:val="22"/>
                <w:lang w:val="lv-LV"/>
              </w:rPr>
              <w:t>75 x 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/l.</w:t>
            </w:r>
          </w:p>
          <w:p w14:paraId="3D3949E9" w14:textId="77777777" w:rsidR="00412E40" w:rsidRPr="00CD729C" w:rsidRDefault="00412E40" w:rsidP="009B4BB6">
            <w:pPr>
              <w:pStyle w:val="Table"/>
              <w:keepNext w:val="0"/>
              <w:widowControl w:val="0"/>
              <w:tabs>
                <w:tab w:val="clear" w:pos="284"/>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2.</w:t>
            </w:r>
            <w:r w:rsidRPr="00CD729C">
              <w:rPr>
                <w:rFonts w:ascii="Times New Roman" w:hAnsi="Times New Roman"/>
                <w:color w:val="000000"/>
                <w:szCs w:val="22"/>
                <w:lang w:val="lv-LV"/>
              </w:rPr>
              <w:tab/>
              <w:t>Terapiju turpina ar Glivec iepriekšējo devu (kādu lietoja pirms smagas blakusparādības rašanās).</w:t>
            </w:r>
          </w:p>
          <w:p w14:paraId="3D3949EA" w14:textId="77777777" w:rsidR="00412E40" w:rsidRPr="00CD729C" w:rsidRDefault="00412E40" w:rsidP="009B4BB6">
            <w:pPr>
              <w:pStyle w:val="Table"/>
              <w:keepNext w:val="0"/>
              <w:widowControl w:val="0"/>
              <w:tabs>
                <w:tab w:val="clear" w:pos="284"/>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3.</w:t>
            </w:r>
            <w:r w:rsidRPr="00CD729C">
              <w:rPr>
                <w:rFonts w:ascii="Times New Roman" w:hAnsi="Times New Roman"/>
                <w:color w:val="000000"/>
                <w:szCs w:val="22"/>
                <w:lang w:val="lv-LV"/>
              </w:rPr>
              <w:tab/>
              <w:t>Gadījumā, ja recidivē ANC &lt;1,0 x10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/l un trombocītu daudzums &lt;50 x10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/l, atkārto p. 1. un terapiju turpina ar samazinātu, 260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lielu Glivec devu.</w:t>
            </w:r>
          </w:p>
        </w:tc>
      </w:tr>
      <w:tr w:rsidR="00412E40" w:rsidRPr="00CD729C" w14:paraId="3D3949F2" w14:textId="77777777" w:rsidTr="00341FA1">
        <w:trPr>
          <w:cantSplit/>
        </w:trPr>
        <w:tc>
          <w:tcPr>
            <w:tcW w:w="2802" w:type="dxa"/>
          </w:tcPr>
          <w:p w14:paraId="3D3949EC" w14:textId="77777777" w:rsidR="00412E40" w:rsidRPr="00CD729C" w:rsidRDefault="00412E40" w:rsidP="009B4BB6">
            <w:pPr>
              <w:pStyle w:val="EndnoteText"/>
              <w:widowControl w:val="0"/>
              <w:tabs>
                <w:tab w:val="clear" w:pos="567"/>
              </w:tabs>
              <w:rPr>
                <w:color w:val="000000"/>
                <w:szCs w:val="22"/>
              </w:rPr>
            </w:pPr>
            <w:r w:rsidRPr="00CD729C">
              <w:rPr>
                <w:color w:val="000000"/>
                <w:szCs w:val="22"/>
              </w:rPr>
              <w:t>CML akcelerācijas fāze un blastu krīze un Ph+ ALL (sākotnējā deva – 600 mg)</w:t>
            </w:r>
          </w:p>
        </w:tc>
        <w:tc>
          <w:tcPr>
            <w:tcW w:w="2268" w:type="dxa"/>
          </w:tcPr>
          <w:p w14:paraId="3D3949ED"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vertAlign w:val="superscript"/>
              </w:rPr>
              <w:t>a</w:t>
            </w:r>
            <w:r w:rsidRPr="00CD729C">
              <w:rPr>
                <w:color w:val="000000"/>
                <w:szCs w:val="22"/>
              </w:rPr>
              <w:t>ANC &lt;0,5 x 10</w:t>
            </w:r>
            <w:r w:rsidRPr="00CD729C">
              <w:rPr>
                <w:color w:val="000000"/>
                <w:szCs w:val="22"/>
                <w:vertAlign w:val="superscript"/>
              </w:rPr>
              <w:t>9</w:t>
            </w:r>
            <w:r w:rsidRPr="00CD729C">
              <w:rPr>
                <w:color w:val="000000"/>
                <w:szCs w:val="22"/>
              </w:rPr>
              <w:t>/l un/vai trombocītu daudzums &lt;10 x 10</w:t>
            </w:r>
            <w:r w:rsidRPr="00CD729C">
              <w:rPr>
                <w:color w:val="000000"/>
                <w:szCs w:val="22"/>
                <w:vertAlign w:val="superscript"/>
              </w:rPr>
              <w:t>9</w:t>
            </w:r>
            <w:r w:rsidRPr="00CD729C">
              <w:rPr>
                <w:color w:val="000000"/>
                <w:szCs w:val="22"/>
              </w:rPr>
              <w:t>/l</w:t>
            </w:r>
          </w:p>
        </w:tc>
        <w:tc>
          <w:tcPr>
            <w:tcW w:w="4215" w:type="dxa"/>
          </w:tcPr>
          <w:p w14:paraId="3D3949EE" w14:textId="77777777" w:rsidR="00412E40" w:rsidRPr="00CD729C" w:rsidRDefault="00412E40" w:rsidP="009B4BB6">
            <w:pPr>
              <w:widowControl w:val="0"/>
              <w:tabs>
                <w:tab w:val="clear" w:pos="567"/>
                <w:tab w:val="left" w:pos="600"/>
              </w:tabs>
              <w:spacing w:line="240" w:lineRule="auto"/>
              <w:ind w:left="572" w:hanging="572"/>
              <w:rPr>
                <w:color w:val="000000"/>
                <w:szCs w:val="22"/>
              </w:rPr>
            </w:pPr>
            <w:r w:rsidRPr="00CD729C">
              <w:rPr>
                <w:color w:val="000000"/>
                <w:szCs w:val="22"/>
              </w:rPr>
              <w:t>1.</w:t>
            </w:r>
            <w:r w:rsidRPr="00CD729C">
              <w:rPr>
                <w:color w:val="000000"/>
                <w:szCs w:val="22"/>
              </w:rPr>
              <w:tab/>
              <w:t>Pārbauda, vai citopēnija nav saistīta ar leik</w:t>
            </w:r>
            <w:r w:rsidR="00F05C89" w:rsidRPr="00CD729C">
              <w:rPr>
                <w:color w:val="000000"/>
                <w:szCs w:val="22"/>
              </w:rPr>
              <w:t>ozi</w:t>
            </w:r>
            <w:r w:rsidRPr="00CD729C">
              <w:rPr>
                <w:color w:val="000000"/>
                <w:szCs w:val="22"/>
              </w:rPr>
              <w:t xml:space="preserve"> (kaulu smadzeņu aspirāts vai biopsija).</w:t>
            </w:r>
          </w:p>
          <w:p w14:paraId="3D3949EF" w14:textId="77777777" w:rsidR="00412E40" w:rsidRPr="00CD729C" w:rsidRDefault="00412E40" w:rsidP="009B4BB6">
            <w:pPr>
              <w:widowControl w:val="0"/>
              <w:tabs>
                <w:tab w:val="clear" w:pos="567"/>
                <w:tab w:val="left" w:pos="600"/>
              </w:tabs>
              <w:spacing w:line="240" w:lineRule="auto"/>
              <w:ind w:left="572" w:hanging="572"/>
              <w:rPr>
                <w:color w:val="000000"/>
                <w:szCs w:val="22"/>
              </w:rPr>
            </w:pPr>
            <w:r w:rsidRPr="00CD729C">
              <w:rPr>
                <w:color w:val="000000"/>
                <w:szCs w:val="22"/>
              </w:rPr>
              <w:t>2.</w:t>
            </w:r>
            <w:r w:rsidRPr="00CD729C">
              <w:rPr>
                <w:color w:val="000000"/>
                <w:szCs w:val="22"/>
              </w:rPr>
              <w:tab/>
              <w:t>Ja citopēnija nav saistīta ar leik</w:t>
            </w:r>
            <w:r w:rsidR="00F05C89" w:rsidRPr="00CD729C">
              <w:rPr>
                <w:color w:val="000000"/>
                <w:szCs w:val="22"/>
              </w:rPr>
              <w:t>ozi</w:t>
            </w:r>
            <w:r w:rsidRPr="00CD729C">
              <w:rPr>
                <w:color w:val="000000"/>
                <w:szCs w:val="22"/>
              </w:rPr>
              <w:t>, Glivec devu samazina līdz 400 mg.</w:t>
            </w:r>
          </w:p>
          <w:p w14:paraId="3D3949F0" w14:textId="77777777" w:rsidR="00412E40" w:rsidRPr="00CD729C" w:rsidRDefault="00412E40" w:rsidP="009B4BB6">
            <w:pPr>
              <w:widowControl w:val="0"/>
              <w:tabs>
                <w:tab w:val="clear" w:pos="567"/>
                <w:tab w:val="left" w:pos="600"/>
              </w:tabs>
              <w:spacing w:line="240" w:lineRule="auto"/>
              <w:ind w:left="572" w:hanging="572"/>
              <w:rPr>
                <w:color w:val="000000"/>
                <w:szCs w:val="22"/>
              </w:rPr>
            </w:pPr>
            <w:r w:rsidRPr="00CD729C">
              <w:rPr>
                <w:color w:val="000000"/>
                <w:szCs w:val="22"/>
              </w:rPr>
              <w:t>3.</w:t>
            </w:r>
            <w:r w:rsidRPr="00CD729C">
              <w:rPr>
                <w:color w:val="000000"/>
                <w:szCs w:val="22"/>
              </w:rPr>
              <w:tab/>
              <w:t>Ja citopēnija saglabājas 2 nedēļas, devu samazina vēl vairāk – līdz 300 mg.</w:t>
            </w:r>
          </w:p>
          <w:p w14:paraId="3D3949F1" w14:textId="77777777" w:rsidR="00412E40" w:rsidRPr="00CD729C" w:rsidRDefault="00412E40" w:rsidP="009B4BB6">
            <w:pPr>
              <w:widowControl w:val="0"/>
              <w:tabs>
                <w:tab w:val="clear" w:pos="567"/>
                <w:tab w:val="left" w:pos="600"/>
              </w:tabs>
              <w:spacing w:line="240" w:lineRule="auto"/>
              <w:ind w:left="572" w:hanging="572"/>
              <w:rPr>
                <w:color w:val="000000"/>
                <w:szCs w:val="22"/>
              </w:rPr>
            </w:pPr>
            <w:r w:rsidRPr="00CD729C">
              <w:rPr>
                <w:color w:val="000000"/>
                <w:szCs w:val="22"/>
              </w:rPr>
              <w:t>4.</w:t>
            </w:r>
            <w:r w:rsidRPr="00CD729C">
              <w:rPr>
                <w:color w:val="000000"/>
                <w:szCs w:val="22"/>
              </w:rPr>
              <w:tab/>
              <w:t>Ja citopēnija saglabājas 4 nedēļas un joprojām nav saistīta ar leik</w:t>
            </w:r>
            <w:r w:rsidR="00F05C89" w:rsidRPr="00CD729C">
              <w:rPr>
                <w:color w:val="000000"/>
                <w:szCs w:val="22"/>
              </w:rPr>
              <w:t>ozi</w:t>
            </w:r>
            <w:r w:rsidRPr="00CD729C">
              <w:rPr>
                <w:color w:val="000000"/>
                <w:szCs w:val="22"/>
              </w:rPr>
              <w:t xml:space="preserve">, Glivec lietošanu pārtrauc, līdz ANC </w:t>
            </w:r>
            <w:r w:rsidRPr="00CD729C">
              <w:rPr>
                <w:color w:val="000000"/>
                <w:szCs w:val="22"/>
              </w:rPr>
              <w:sym w:font="Symbol" w:char="F0B3"/>
            </w:r>
            <w:r w:rsidRPr="00CD729C">
              <w:rPr>
                <w:color w:val="000000"/>
                <w:szCs w:val="22"/>
              </w:rPr>
              <w:t>1 x 10</w:t>
            </w:r>
            <w:r w:rsidRPr="00CD729C">
              <w:rPr>
                <w:color w:val="000000"/>
                <w:szCs w:val="22"/>
                <w:vertAlign w:val="superscript"/>
              </w:rPr>
              <w:t>9</w:t>
            </w:r>
            <w:r w:rsidRPr="00CD729C">
              <w:rPr>
                <w:color w:val="000000"/>
                <w:szCs w:val="22"/>
              </w:rPr>
              <w:t xml:space="preserve">/l un trombocītu daudzums </w:t>
            </w:r>
            <w:r w:rsidRPr="00CD729C">
              <w:rPr>
                <w:color w:val="000000"/>
                <w:szCs w:val="22"/>
              </w:rPr>
              <w:sym w:font="Symbol" w:char="F0B3"/>
            </w:r>
            <w:r w:rsidRPr="00CD729C">
              <w:rPr>
                <w:color w:val="000000"/>
                <w:szCs w:val="22"/>
              </w:rPr>
              <w:t>20 x 10</w:t>
            </w:r>
            <w:r w:rsidRPr="00CD729C">
              <w:rPr>
                <w:color w:val="000000"/>
                <w:szCs w:val="22"/>
                <w:vertAlign w:val="superscript"/>
              </w:rPr>
              <w:t>9</w:t>
            </w:r>
            <w:r w:rsidRPr="00CD729C">
              <w:rPr>
                <w:color w:val="000000"/>
                <w:szCs w:val="22"/>
              </w:rPr>
              <w:t>/l. Pēc tam terapiju turpina ar 300 mg lielu Glivec devu.</w:t>
            </w:r>
          </w:p>
        </w:tc>
      </w:tr>
      <w:tr w:rsidR="00412E40" w:rsidRPr="00CD729C" w14:paraId="3D3949FA" w14:textId="77777777" w:rsidTr="00341FA1">
        <w:trPr>
          <w:cantSplit/>
        </w:trPr>
        <w:tc>
          <w:tcPr>
            <w:tcW w:w="2802" w:type="dxa"/>
          </w:tcPr>
          <w:p w14:paraId="3D3949F3" w14:textId="77777777" w:rsidR="00412E40" w:rsidRPr="00CD729C" w:rsidRDefault="00412E40" w:rsidP="009B4BB6">
            <w:pPr>
              <w:pStyle w:val="EndnoteText"/>
              <w:widowControl w:val="0"/>
              <w:tabs>
                <w:tab w:val="clear" w:pos="567"/>
              </w:tabs>
              <w:rPr>
                <w:color w:val="000000"/>
                <w:szCs w:val="22"/>
              </w:rPr>
            </w:pPr>
            <w:r w:rsidRPr="00CD729C">
              <w:rPr>
                <w:color w:val="000000"/>
                <w:szCs w:val="22"/>
              </w:rPr>
              <w:t>CML akcelerācijas fāze bērniem un blastu krīze (sākotnējā deva - 340 mg/m</w:t>
            </w:r>
            <w:r w:rsidRPr="00CD729C">
              <w:rPr>
                <w:color w:val="000000"/>
                <w:szCs w:val="22"/>
                <w:vertAlign w:val="superscript"/>
              </w:rPr>
              <w:t>2</w:t>
            </w:r>
            <w:r w:rsidRPr="00CD729C">
              <w:rPr>
                <w:color w:val="000000"/>
                <w:szCs w:val="22"/>
              </w:rPr>
              <w:t>)</w:t>
            </w:r>
          </w:p>
        </w:tc>
        <w:tc>
          <w:tcPr>
            <w:tcW w:w="2268" w:type="dxa"/>
          </w:tcPr>
          <w:p w14:paraId="3D3949F4" w14:textId="77777777" w:rsidR="00412E40" w:rsidRPr="00CD729C" w:rsidRDefault="00412E40" w:rsidP="009B4BB6">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vertAlign w:val="superscript"/>
                <w:lang w:val="lv-LV"/>
              </w:rPr>
              <w:t>a</w:t>
            </w:r>
            <w:r w:rsidRPr="00CD729C">
              <w:rPr>
                <w:rFonts w:ascii="Times New Roman" w:hAnsi="Times New Roman"/>
                <w:color w:val="000000"/>
                <w:szCs w:val="22"/>
                <w:lang w:val="lv-LV"/>
              </w:rPr>
              <w:t>ANC &lt;0,5 x 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/l</w:t>
            </w:r>
          </w:p>
          <w:p w14:paraId="3D3949F5" w14:textId="77777777" w:rsidR="00412E40" w:rsidRPr="00CD729C" w:rsidDel="000E6FF4" w:rsidRDefault="00412E40" w:rsidP="009B4BB6">
            <w:pPr>
              <w:widowControl w:val="0"/>
              <w:tabs>
                <w:tab w:val="clear" w:pos="567"/>
              </w:tabs>
              <w:spacing w:line="240" w:lineRule="auto"/>
              <w:rPr>
                <w:color w:val="000000"/>
                <w:szCs w:val="22"/>
                <w:vertAlign w:val="superscript"/>
              </w:rPr>
            </w:pPr>
            <w:r w:rsidRPr="00CD729C">
              <w:rPr>
                <w:color w:val="000000"/>
                <w:szCs w:val="22"/>
              </w:rPr>
              <w:t>un/vai trombocītu daudzums &lt;10 x 10</w:t>
            </w:r>
            <w:r w:rsidRPr="00CD729C">
              <w:rPr>
                <w:color w:val="000000"/>
                <w:szCs w:val="22"/>
                <w:vertAlign w:val="superscript"/>
              </w:rPr>
              <w:t>9</w:t>
            </w:r>
            <w:r w:rsidRPr="00CD729C">
              <w:rPr>
                <w:color w:val="000000"/>
                <w:szCs w:val="22"/>
              </w:rPr>
              <w:t>/l</w:t>
            </w:r>
          </w:p>
        </w:tc>
        <w:tc>
          <w:tcPr>
            <w:tcW w:w="4215" w:type="dxa"/>
          </w:tcPr>
          <w:p w14:paraId="3D3949F6" w14:textId="77777777" w:rsidR="00412E40" w:rsidRPr="00CD729C" w:rsidRDefault="00412E40" w:rsidP="009B4BB6">
            <w:pPr>
              <w:pStyle w:val="Table"/>
              <w:keepNext w:val="0"/>
              <w:keepLines w:val="0"/>
              <w:widowControl w:val="0"/>
              <w:tabs>
                <w:tab w:val="clear" w:pos="284"/>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1.</w:t>
            </w:r>
            <w:r w:rsidRPr="00CD729C">
              <w:rPr>
                <w:rFonts w:ascii="Times New Roman" w:hAnsi="Times New Roman"/>
                <w:color w:val="000000"/>
                <w:szCs w:val="22"/>
                <w:lang w:val="lv-LV"/>
              </w:rPr>
              <w:tab/>
              <w:t>Pārbauda, vai citopēnija nav saistīta ar leik</w:t>
            </w:r>
            <w:r w:rsidR="00F05C89" w:rsidRPr="00CD729C">
              <w:rPr>
                <w:rFonts w:ascii="Times New Roman" w:hAnsi="Times New Roman"/>
                <w:color w:val="000000"/>
                <w:szCs w:val="22"/>
                <w:lang w:val="lv-LV"/>
              </w:rPr>
              <w:t>ozi</w:t>
            </w:r>
            <w:r w:rsidRPr="00CD729C">
              <w:rPr>
                <w:rFonts w:ascii="Times New Roman" w:hAnsi="Times New Roman"/>
                <w:color w:val="000000"/>
                <w:szCs w:val="22"/>
                <w:lang w:val="lv-LV"/>
              </w:rPr>
              <w:t xml:space="preserve"> (kaulu smadzeņu aspirāts vai biopsija).</w:t>
            </w:r>
          </w:p>
          <w:p w14:paraId="3D3949F7" w14:textId="77777777" w:rsidR="00412E40" w:rsidRPr="00CD729C" w:rsidRDefault="00412E40" w:rsidP="009B4BB6">
            <w:pPr>
              <w:pStyle w:val="Table"/>
              <w:keepNext w:val="0"/>
              <w:keepLines w:val="0"/>
              <w:widowControl w:val="0"/>
              <w:tabs>
                <w:tab w:val="clear" w:pos="284"/>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2.</w:t>
            </w:r>
            <w:r w:rsidRPr="00CD729C">
              <w:rPr>
                <w:rFonts w:ascii="Times New Roman" w:hAnsi="Times New Roman"/>
                <w:color w:val="000000"/>
                <w:szCs w:val="22"/>
                <w:lang w:val="lv-LV"/>
              </w:rPr>
              <w:tab/>
              <w:t>Ja citopēnija nav saistīta ar leik</w:t>
            </w:r>
            <w:r w:rsidR="00F05C89" w:rsidRPr="00CD729C">
              <w:rPr>
                <w:rFonts w:ascii="Times New Roman" w:hAnsi="Times New Roman"/>
                <w:color w:val="000000"/>
                <w:szCs w:val="22"/>
                <w:lang w:val="lv-LV"/>
              </w:rPr>
              <w:t>ozi</w:t>
            </w:r>
            <w:r w:rsidRPr="00CD729C">
              <w:rPr>
                <w:rFonts w:ascii="Times New Roman" w:hAnsi="Times New Roman"/>
                <w:color w:val="000000"/>
                <w:szCs w:val="22"/>
                <w:lang w:val="lv-LV"/>
              </w:rPr>
              <w:t>, Glivec devu samazina līdz 260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w:t>
            </w:r>
          </w:p>
          <w:p w14:paraId="3D3949F8" w14:textId="77777777" w:rsidR="00412E40" w:rsidRPr="00CD729C" w:rsidRDefault="00412E40" w:rsidP="009B4BB6">
            <w:pPr>
              <w:pStyle w:val="Table"/>
              <w:keepNext w:val="0"/>
              <w:keepLines w:val="0"/>
              <w:widowControl w:val="0"/>
              <w:tabs>
                <w:tab w:val="clear" w:pos="284"/>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3.</w:t>
            </w:r>
            <w:r w:rsidRPr="00CD729C">
              <w:rPr>
                <w:rFonts w:ascii="Times New Roman" w:hAnsi="Times New Roman"/>
                <w:color w:val="000000"/>
                <w:szCs w:val="22"/>
                <w:lang w:val="lv-LV"/>
              </w:rPr>
              <w:tab/>
              <w:t>Ja citopēnija saglabājas 2 nedēļas, devu samazina vēl vairāk – līdz 200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w:t>
            </w:r>
          </w:p>
          <w:p w14:paraId="3D3949F9" w14:textId="77777777" w:rsidR="00412E40" w:rsidRPr="00CD729C" w:rsidRDefault="00412E40" w:rsidP="009B4BB6">
            <w:pPr>
              <w:pStyle w:val="Table"/>
              <w:keepNext w:val="0"/>
              <w:keepLines w:val="0"/>
              <w:widowControl w:val="0"/>
              <w:tabs>
                <w:tab w:val="clear" w:pos="284"/>
              </w:tabs>
              <w:spacing w:before="0" w:after="0"/>
              <w:ind w:left="572" w:hanging="572"/>
              <w:rPr>
                <w:rFonts w:ascii="Times New Roman" w:hAnsi="Times New Roman"/>
                <w:color w:val="000000"/>
                <w:szCs w:val="22"/>
                <w:lang w:val="lv-LV"/>
              </w:rPr>
            </w:pPr>
            <w:r w:rsidRPr="00CD729C">
              <w:rPr>
                <w:rFonts w:ascii="Times New Roman" w:hAnsi="Times New Roman"/>
                <w:color w:val="000000"/>
                <w:lang w:val="lv-LV"/>
              </w:rPr>
              <w:t>4.</w:t>
            </w:r>
            <w:r w:rsidRPr="00CD729C">
              <w:rPr>
                <w:rFonts w:ascii="Times New Roman" w:hAnsi="Times New Roman"/>
                <w:color w:val="000000"/>
                <w:lang w:val="lv-LV"/>
              </w:rPr>
              <w:tab/>
              <w:t>Ja citopēnija saglabājas 4 nedēļas un joprojām nav saistīta ar leik</w:t>
            </w:r>
            <w:r w:rsidR="00F05C89" w:rsidRPr="00CD729C">
              <w:rPr>
                <w:rFonts w:ascii="Times New Roman" w:hAnsi="Times New Roman"/>
                <w:color w:val="000000"/>
                <w:lang w:val="lv-LV"/>
              </w:rPr>
              <w:t>ozi</w:t>
            </w:r>
            <w:r w:rsidRPr="00CD729C">
              <w:rPr>
                <w:rFonts w:ascii="Times New Roman" w:hAnsi="Times New Roman"/>
                <w:color w:val="000000"/>
                <w:lang w:val="lv-LV"/>
              </w:rPr>
              <w:t xml:space="preserve">, Glivec lietošanu pārtrauc, līdz ANC </w:t>
            </w:r>
            <w:r w:rsidRPr="00CD729C">
              <w:rPr>
                <w:rFonts w:ascii="Times New Roman" w:hAnsi="Times New Roman"/>
                <w:color w:val="000000"/>
                <w:lang w:val="lv-LV"/>
              </w:rPr>
              <w:sym w:font="Symbol" w:char="F0B3"/>
            </w:r>
            <w:r w:rsidRPr="00CD729C">
              <w:rPr>
                <w:rFonts w:ascii="Times New Roman" w:hAnsi="Times New Roman"/>
                <w:color w:val="000000"/>
                <w:lang w:val="lv-LV"/>
              </w:rPr>
              <w:t>1 x 10</w:t>
            </w:r>
            <w:r w:rsidRPr="00CD729C">
              <w:rPr>
                <w:rFonts w:ascii="Times New Roman" w:hAnsi="Times New Roman"/>
                <w:color w:val="000000"/>
                <w:vertAlign w:val="superscript"/>
                <w:lang w:val="lv-LV"/>
              </w:rPr>
              <w:t>9</w:t>
            </w:r>
            <w:r w:rsidRPr="00CD729C">
              <w:rPr>
                <w:rFonts w:ascii="Times New Roman" w:hAnsi="Times New Roman"/>
                <w:color w:val="000000"/>
                <w:lang w:val="lv-LV"/>
              </w:rPr>
              <w:t xml:space="preserve">/l un trombocītu daudzums </w:t>
            </w:r>
            <w:r w:rsidRPr="00CD729C">
              <w:rPr>
                <w:rFonts w:ascii="Times New Roman" w:hAnsi="Times New Roman"/>
                <w:color w:val="000000"/>
                <w:lang w:val="lv-LV"/>
              </w:rPr>
              <w:sym w:font="Symbol" w:char="F0B3"/>
            </w:r>
            <w:r w:rsidRPr="00CD729C">
              <w:rPr>
                <w:rFonts w:ascii="Times New Roman" w:hAnsi="Times New Roman"/>
                <w:color w:val="000000"/>
                <w:lang w:val="lv-LV"/>
              </w:rPr>
              <w:t>20 x 10</w:t>
            </w:r>
            <w:r w:rsidRPr="00CD729C">
              <w:rPr>
                <w:rFonts w:ascii="Times New Roman" w:hAnsi="Times New Roman"/>
                <w:color w:val="000000"/>
                <w:vertAlign w:val="superscript"/>
                <w:lang w:val="lv-LV"/>
              </w:rPr>
              <w:t>9</w:t>
            </w:r>
            <w:r w:rsidRPr="00CD729C">
              <w:rPr>
                <w:rFonts w:ascii="Times New Roman" w:hAnsi="Times New Roman"/>
                <w:color w:val="000000"/>
                <w:lang w:val="lv-LV"/>
              </w:rPr>
              <w:t>/l. Pēc tam terapiju turpina ar 200 mg/m</w:t>
            </w:r>
            <w:r w:rsidRPr="00CD729C">
              <w:rPr>
                <w:rFonts w:ascii="Times New Roman" w:hAnsi="Times New Roman"/>
                <w:color w:val="000000"/>
                <w:vertAlign w:val="superscript"/>
                <w:lang w:val="lv-LV"/>
              </w:rPr>
              <w:t>2</w:t>
            </w:r>
            <w:r w:rsidRPr="00CD729C">
              <w:rPr>
                <w:rFonts w:ascii="Times New Roman" w:hAnsi="Times New Roman"/>
                <w:color w:val="000000"/>
                <w:lang w:val="lv-LV"/>
              </w:rPr>
              <w:t xml:space="preserve"> lielu Glivec devu.</w:t>
            </w:r>
          </w:p>
        </w:tc>
      </w:tr>
      <w:tr w:rsidR="00412E40" w:rsidRPr="00CD729C" w14:paraId="3D394A03" w14:textId="77777777" w:rsidTr="00341FA1">
        <w:trPr>
          <w:cantSplit/>
        </w:trPr>
        <w:tc>
          <w:tcPr>
            <w:tcW w:w="2802" w:type="dxa"/>
          </w:tcPr>
          <w:p w14:paraId="3D3949FB" w14:textId="77777777" w:rsidR="00412E40" w:rsidRPr="00CD729C" w:rsidRDefault="00412E40"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DFSP</w:t>
            </w:r>
          </w:p>
          <w:p w14:paraId="3D3949FC" w14:textId="77777777" w:rsidR="00412E40" w:rsidRPr="00CD729C" w:rsidRDefault="00412E40" w:rsidP="009B4BB6">
            <w:pPr>
              <w:pStyle w:val="EndnoteText"/>
              <w:keepNext/>
              <w:widowControl w:val="0"/>
              <w:tabs>
                <w:tab w:val="clear" w:pos="567"/>
              </w:tabs>
              <w:rPr>
                <w:color w:val="000000"/>
                <w:szCs w:val="22"/>
              </w:rPr>
            </w:pPr>
            <w:r w:rsidRPr="00CD729C">
              <w:rPr>
                <w:color w:val="000000"/>
                <w:szCs w:val="22"/>
              </w:rPr>
              <w:t>(sākumdeva 800 mg)</w:t>
            </w:r>
          </w:p>
        </w:tc>
        <w:tc>
          <w:tcPr>
            <w:tcW w:w="2268" w:type="dxa"/>
          </w:tcPr>
          <w:p w14:paraId="3D3949FD" w14:textId="77777777" w:rsidR="00412E40" w:rsidRPr="00CD729C" w:rsidRDefault="00412E40"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ANC &lt;1,0 x 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/l</w:t>
            </w:r>
          </w:p>
          <w:p w14:paraId="3D3949FE" w14:textId="77777777" w:rsidR="00412E40" w:rsidRPr="00CD729C" w:rsidRDefault="00412E40" w:rsidP="009B4BB6">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un/vai</w:t>
            </w:r>
          </w:p>
          <w:p w14:paraId="3D3949FF" w14:textId="77777777" w:rsidR="00412E40" w:rsidRPr="00CD729C" w:rsidRDefault="00412E40" w:rsidP="009B4BB6">
            <w:pPr>
              <w:pStyle w:val="Table"/>
              <w:keepLines w:val="0"/>
              <w:widowControl w:val="0"/>
              <w:spacing w:before="0" w:after="0"/>
              <w:rPr>
                <w:rFonts w:ascii="Times New Roman" w:hAnsi="Times New Roman"/>
                <w:color w:val="000000"/>
                <w:szCs w:val="22"/>
                <w:vertAlign w:val="superscript"/>
                <w:lang w:val="lv-LV"/>
              </w:rPr>
            </w:pPr>
            <w:r w:rsidRPr="00CD729C">
              <w:rPr>
                <w:rFonts w:ascii="Times New Roman" w:hAnsi="Times New Roman"/>
                <w:color w:val="000000"/>
                <w:szCs w:val="22"/>
                <w:lang w:val="lv-LV"/>
              </w:rPr>
              <w:t>trombocīti &lt;50 x 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/l</w:t>
            </w:r>
          </w:p>
        </w:tc>
        <w:tc>
          <w:tcPr>
            <w:tcW w:w="4215" w:type="dxa"/>
          </w:tcPr>
          <w:p w14:paraId="3D394A00" w14:textId="77777777" w:rsidR="00412E40" w:rsidRPr="00CD729C" w:rsidRDefault="00412E40" w:rsidP="009B4BB6">
            <w:pPr>
              <w:pStyle w:val="Table"/>
              <w:keepLines w:val="0"/>
              <w:widowControl w:val="0"/>
              <w:tabs>
                <w:tab w:val="clear" w:pos="284"/>
                <w:tab w:val="left" w:pos="611"/>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1.</w:t>
            </w:r>
            <w:r w:rsidRPr="00CD729C">
              <w:rPr>
                <w:rFonts w:ascii="Times New Roman" w:hAnsi="Times New Roman"/>
                <w:color w:val="000000"/>
                <w:szCs w:val="22"/>
                <w:lang w:val="lv-LV"/>
              </w:rPr>
              <w:tab/>
              <w:t xml:space="preserve">Pārtraukt Glivec terapiju, līdz ANC </w:t>
            </w:r>
            <w:r w:rsidRPr="00CD729C">
              <w:rPr>
                <w:rFonts w:ascii="Times New Roman" w:hAnsi="Times New Roman"/>
                <w:color w:val="000000"/>
                <w:szCs w:val="22"/>
                <w:lang w:val="lv-LV"/>
              </w:rPr>
              <w:sym w:font="Symbol" w:char="F0B3"/>
            </w:r>
            <w:r w:rsidRPr="00CD729C">
              <w:rPr>
                <w:rFonts w:ascii="Times New Roman" w:hAnsi="Times New Roman"/>
                <w:color w:val="000000"/>
                <w:szCs w:val="22"/>
                <w:lang w:val="lv-LV"/>
              </w:rPr>
              <w:t>1,5 x 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 xml:space="preserve">/l un trombocīti </w:t>
            </w:r>
            <w:r w:rsidRPr="00CD729C">
              <w:rPr>
                <w:rFonts w:ascii="Times New Roman" w:hAnsi="Times New Roman"/>
                <w:color w:val="000000"/>
                <w:szCs w:val="22"/>
                <w:lang w:val="lv-LV"/>
              </w:rPr>
              <w:sym w:font="Symbol" w:char="F0B3"/>
            </w:r>
            <w:r w:rsidRPr="00CD729C">
              <w:rPr>
                <w:rFonts w:ascii="Times New Roman" w:hAnsi="Times New Roman"/>
                <w:color w:val="000000"/>
                <w:szCs w:val="22"/>
                <w:lang w:val="lv-LV"/>
              </w:rPr>
              <w:t>75 x 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/l.</w:t>
            </w:r>
          </w:p>
          <w:p w14:paraId="3D394A01" w14:textId="77777777" w:rsidR="00412E40" w:rsidRPr="00CD729C" w:rsidRDefault="00412E40" w:rsidP="009B4BB6">
            <w:pPr>
              <w:pStyle w:val="Table"/>
              <w:keepLines w:val="0"/>
              <w:widowControl w:val="0"/>
              <w:tabs>
                <w:tab w:val="clear" w:pos="284"/>
                <w:tab w:val="left" w:pos="611"/>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2.</w:t>
            </w:r>
            <w:r w:rsidRPr="00CD729C">
              <w:rPr>
                <w:rFonts w:ascii="Times New Roman" w:hAnsi="Times New Roman"/>
                <w:color w:val="000000"/>
                <w:szCs w:val="22"/>
                <w:lang w:val="lv-LV"/>
              </w:rPr>
              <w:tab/>
              <w:t>Atsākt ārstēšanu ar Glivec 600 mg devā.</w:t>
            </w:r>
          </w:p>
          <w:p w14:paraId="3D394A02" w14:textId="77777777" w:rsidR="00412E40" w:rsidRPr="00CD729C" w:rsidRDefault="00412E40" w:rsidP="009B4BB6">
            <w:pPr>
              <w:pStyle w:val="Table"/>
              <w:keepLines w:val="0"/>
              <w:widowControl w:val="0"/>
              <w:tabs>
                <w:tab w:val="clear" w:pos="284"/>
              </w:tabs>
              <w:spacing w:before="0" w:after="0"/>
              <w:ind w:left="572" w:hanging="572"/>
              <w:rPr>
                <w:rFonts w:ascii="Times New Roman" w:hAnsi="Times New Roman"/>
                <w:color w:val="000000"/>
                <w:szCs w:val="22"/>
                <w:lang w:val="lv-LV"/>
              </w:rPr>
            </w:pPr>
            <w:r w:rsidRPr="00CD729C">
              <w:rPr>
                <w:rFonts w:ascii="Times New Roman" w:hAnsi="Times New Roman"/>
                <w:color w:val="000000"/>
                <w:szCs w:val="22"/>
                <w:lang w:val="lv-LV"/>
              </w:rPr>
              <w:t>3.</w:t>
            </w:r>
            <w:r w:rsidRPr="00CD729C">
              <w:rPr>
                <w:rFonts w:ascii="Times New Roman" w:hAnsi="Times New Roman"/>
                <w:color w:val="000000"/>
                <w:szCs w:val="22"/>
                <w:lang w:val="lv-LV"/>
              </w:rPr>
              <w:tab/>
              <w:t>Ja ANC atkal ir &lt;1,0 x 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/l un/vai trombocīti &lt;50 x 10</w:t>
            </w:r>
            <w:r w:rsidRPr="00CD729C">
              <w:rPr>
                <w:rFonts w:ascii="Times New Roman" w:hAnsi="Times New Roman"/>
                <w:color w:val="000000"/>
                <w:szCs w:val="22"/>
                <w:vertAlign w:val="superscript"/>
                <w:lang w:val="lv-LV"/>
              </w:rPr>
              <w:t>9</w:t>
            </w:r>
            <w:r w:rsidRPr="00CD729C">
              <w:rPr>
                <w:rFonts w:ascii="Times New Roman" w:hAnsi="Times New Roman"/>
                <w:color w:val="000000"/>
                <w:szCs w:val="22"/>
                <w:lang w:val="lv-LV"/>
              </w:rPr>
              <w:t>/l, atkārtojiet 1. punktu un atsāciet terapiju ar mazāku Glivec devu - 400 mg.</w:t>
            </w:r>
          </w:p>
        </w:tc>
      </w:tr>
      <w:tr w:rsidR="00412E40" w:rsidRPr="00CD729C" w14:paraId="3D394A06" w14:textId="77777777" w:rsidTr="00341FA1">
        <w:trPr>
          <w:cantSplit/>
        </w:trPr>
        <w:tc>
          <w:tcPr>
            <w:tcW w:w="9285" w:type="dxa"/>
            <w:gridSpan w:val="3"/>
          </w:tcPr>
          <w:p w14:paraId="3D394A04" w14:textId="77777777" w:rsidR="00412E40" w:rsidRPr="00CD729C" w:rsidRDefault="00412E40" w:rsidP="009B4BB6">
            <w:pPr>
              <w:keepNext/>
              <w:widowControl w:val="0"/>
              <w:tabs>
                <w:tab w:val="clear" w:pos="567"/>
              </w:tabs>
              <w:spacing w:line="240" w:lineRule="auto"/>
              <w:rPr>
                <w:color w:val="000000"/>
                <w:szCs w:val="22"/>
              </w:rPr>
            </w:pPr>
            <w:r w:rsidRPr="00CD729C">
              <w:rPr>
                <w:color w:val="000000"/>
                <w:szCs w:val="22"/>
              </w:rPr>
              <w:t>ANC = absolūtais neitrofilu skaits</w:t>
            </w:r>
          </w:p>
          <w:p w14:paraId="3D394A05" w14:textId="77777777" w:rsidR="00412E40" w:rsidRPr="00CD729C" w:rsidRDefault="00412E40" w:rsidP="009B4BB6">
            <w:pPr>
              <w:keepNext/>
              <w:widowControl w:val="0"/>
              <w:tabs>
                <w:tab w:val="clear" w:pos="567"/>
              </w:tabs>
              <w:spacing w:line="240" w:lineRule="auto"/>
              <w:rPr>
                <w:color w:val="000000"/>
                <w:szCs w:val="22"/>
              </w:rPr>
            </w:pPr>
            <w:r w:rsidRPr="00CD729C">
              <w:rPr>
                <w:color w:val="000000"/>
                <w:szCs w:val="22"/>
                <w:vertAlign w:val="superscript"/>
              </w:rPr>
              <w:t>a</w:t>
            </w:r>
            <w:r w:rsidRPr="00CD729C">
              <w:rPr>
                <w:color w:val="000000"/>
                <w:szCs w:val="22"/>
              </w:rPr>
              <w:t>iestājas pēc ne mazāk kā 1 mēnesi ilgas terapijas</w:t>
            </w:r>
          </w:p>
        </w:tc>
      </w:tr>
    </w:tbl>
    <w:p w14:paraId="3D394A07" w14:textId="77777777" w:rsidR="003100CA" w:rsidRPr="0034378B" w:rsidRDefault="003100CA" w:rsidP="009B4BB6">
      <w:pPr>
        <w:widowControl w:val="0"/>
        <w:tabs>
          <w:tab w:val="clear" w:pos="567"/>
        </w:tabs>
        <w:spacing w:line="240" w:lineRule="auto"/>
        <w:ind w:left="567" w:hanging="567"/>
        <w:rPr>
          <w:color w:val="000000"/>
          <w:szCs w:val="22"/>
        </w:rPr>
      </w:pPr>
    </w:p>
    <w:p w14:paraId="3D394A08" w14:textId="77777777" w:rsidR="003100CA" w:rsidRPr="00CD729C" w:rsidRDefault="003100CA" w:rsidP="009B4BB6">
      <w:pPr>
        <w:keepNext/>
        <w:widowControl w:val="0"/>
        <w:tabs>
          <w:tab w:val="clear" w:pos="567"/>
        </w:tabs>
        <w:spacing w:line="240" w:lineRule="auto"/>
        <w:ind w:left="567" w:hanging="567"/>
        <w:rPr>
          <w:color w:val="000000"/>
          <w:szCs w:val="22"/>
          <w:u w:val="single"/>
        </w:rPr>
      </w:pPr>
      <w:r w:rsidRPr="00CD729C">
        <w:rPr>
          <w:color w:val="000000"/>
          <w:szCs w:val="22"/>
          <w:u w:val="single"/>
        </w:rPr>
        <w:t>Īpašas pacientu grupas</w:t>
      </w:r>
    </w:p>
    <w:p w14:paraId="3D394A09" w14:textId="77777777" w:rsidR="003100CA" w:rsidRPr="00CD729C" w:rsidRDefault="003100CA" w:rsidP="009B4BB6">
      <w:pPr>
        <w:widowControl w:val="0"/>
        <w:tabs>
          <w:tab w:val="clear" w:pos="567"/>
        </w:tabs>
        <w:spacing w:line="240" w:lineRule="auto"/>
        <w:rPr>
          <w:color w:val="000000"/>
          <w:szCs w:val="22"/>
        </w:rPr>
      </w:pPr>
      <w:r w:rsidRPr="00CD729C">
        <w:rPr>
          <w:i/>
          <w:color w:val="000000"/>
          <w:szCs w:val="22"/>
        </w:rPr>
        <w:t>Pediatrija:</w:t>
      </w:r>
      <w:r w:rsidRPr="00CD729C">
        <w:rPr>
          <w:color w:val="000000"/>
          <w:szCs w:val="22"/>
        </w:rPr>
        <w:t xml:space="preserve"> n</w:t>
      </w:r>
      <w:r w:rsidRPr="00CD729C">
        <w:rPr>
          <w:color w:val="000000"/>
        </w:rPr>
        <w:t xml:space="preserve">av pieredzes lietošanai bērniem </w:t>
      </w:r>
      <w:r w:rsidRPr="00CD729C">
        <w:rPr>
          <w:color w:val="000000"/>
          <w:szCs w:val="22"/>
        </w:rPr>
        <w:t xml:space="preserve">ar CML līdz 2 gadu vecumam </w:t>
      </w:r>
      <w:r w:rsidR="001F434B" w:rsidRPr="00CD729C">
        <w:rPr>
          <w:color w:val="000000"/>
          <w:szCs w:val="22"/>
        </w:rPr>
        <w:t xml:space="preserve">un ar Ph+ALL līdz 1 gada vecumam </w:t>
      </w:r>
      <w:r w:rsidRPr="00CD729C">
        <w:rPr>
          <w:color w:val="000000"/>
          <w:szCs w:val="22"/>
        </w:rPr>
        <w:t>(skatīt 5.1</w:t>
      </w:r>
      <w:r w:rsidR="00371C3B" w:rsidRPr="00CD729C">
        <w:rPr>
          <w:color w:val="000000"/>
          <w:szCs w:val="22"/>
        </w:rPr>
        <w:t>.</w:t>
      </w:r>
      <w:r w:rsidR="00096797" w:rsidRPr="00CD729C">
        <w:rPr>
          <w:color w:val="000000"/>
          <w:szCs w:val="22"/>
        </w:rPr>
        <w:t> apakšpunktu</w:t>
      </w:r>
      <w:r w:rsidRPr="00CD729C">
        <w:rPr>
          <w:color w:val="000000"/>
          <w:szCs w:val="22"/>
        </w:rPr>
        <w:t>). Pieredze lietošanai bērniem ar MDS/MPD</w:t>
      </w:r>
      <w:r w:rsidR="00390B1D" w:rsidRPr="00CD729C">
        <w:rPr>
          <w:color w:val="000000"/>
          <w:szCs w:val="22"/>
        </w:rPr>
        <w:t>,</w:t>
      </w:r>
      <w:r w:rsidRPr="00CD729C">
        <w:rPr>
          <w:color w:val="000000"/>
          <w:szCs w:val="22"/>
        </w:rPr>
        <w:t xml:space="preserve"> DFSP</w:t>
      </w:r>
      <w:r w:rsidR="00390B1D" w:rsidRPr="00CD729C">
        <w:rPr>
          <w:color w:val="000000"/>
          <w:szCs w:val="22"/>
        </w:rPr>
        <w:t>,</w:t>
      </w:r>
      <w:r w:rsidRPr="00CD729C">
        <w:rPr>
          <w:color w:val="000000"/>
          <w:szCs w:val="22"/>
        </w:rPr>
        <w:t xml:space="preserve"> GIST un HES/CEL</w:t>
      </w:r>
      <w:r w:rsidR="00390B1D" w:rsidRPr="00CD729C">
        <w:rPr>
          <w:color w:val="000000"/>
          <w:szCs w:val="22"/>
        </w:rPr>
        <w:t xml:space="preserve"> ir ļoti ierobežota</w:t>
      </w:r>
      <w:r w:rsidRPr="00CD729C">
        <w:rPr>
          <w:color w:val="000000"/>
          <w:szCs w:val="22"/>
        </w:rPr>
        <w:t>.</w:t>
      </w:r>
    </w:p>
    <w:p w14:paraId="3D394A0A" w14:textId="77777777" w:rsidR="00390B1D" w:rsidRPr="00CD729C" w:rsidRDefault="00390B1D" w:rsidP="009B4BB6">
      <w:pPr>
        <w:widowControl w:val="0"/>
        <w:tabs>
          <w:tab w:val="clear" w:pos="567"/>
        </w:tabs>
        <w:spacing w:line="240" w:lineRule="auto"/>
        <w:rPr>
          <w:color w:val="000000"/>
          <w:szCs w:val="22"/>
        </w:rPr>
      </w:pPr>
    </w:p>
    <w:p w14:paraId="3D394A0B" w14:textId="77777777" w:rsidR="00390B1D" w:rsidRPr="00CD729C" w:rsidRDefault="00390B1D" w:rsidP="009B4BB6">
      <w:pPr>
        <w:widowControl w:val="0"/>
        <w:tabs>
          <w:tab w:val="clear" w:pos="567"/>
        </w:tabs>
        <w:spacing w:line="240" w:lineRule="auto"/>
        <w:rPr>
          <w:color w:val="000000"/>
          <w:szCs w:val="22"/>
        </w:rPr>
      </w:pPr>
      <w:r w:rsidRPr="00CD729C">
        <w:rPr>
          <w:color w:val="000000"/>
          <w:szCs w:val="22"/>
        </w:rPr>
        <w:t>Imatiniba droš</w:t>
      </w:r>
      <w:r w:rsidR="00743B0B">
        <w:rPr>
          <w:color w:val="000000"/>
          <w:szCs w:val="22"/>
        </w:rPr>
        <w:t>ums</w:t>
      </w:r>
      <w:r w:rsidRPr="00CD729C">
        <w:rPr>
          <w:color w:val="000000"/>
          <w:szCs w:val="22"/>
        </w:rPr>
        <w:t xml:space="preserve"> un efektivitāte, lietojot bērniem ar MDS/MPD, DFSP, GIST un HES/CEL vecumā līdz 18 gadiem, nav pierādīta klīniskajos pētījumos. Pašlaik pieejamie publicētie dati aprakstīti 5.1</w:t>
      </w:r>
      <w:r w:rsidR="002A00E9" w:rsidRPr="00CD729C">
        <w:rPr>
          <w:color w:val="000000"/>
          <w:szCs w:val="22"/>
        </w:rPr>
        <w:t>.</w:t>
      </w:r>
      <w:r w:rsidRPr="00CD729C">
        <w:rPr>
          <w:color w:val="000000"/>
          <w:szCs w:val="22"/>
        </w:rPr>
        <w:t xml:space="preserve"> apakšpunktā, taču ieteikumus par devām sniegt nevar.</w:t>
      </w:r>
    </w:p>
    <w:p w14:paraId="3D394A0C" w14:textId="77777777" w:rsidR="003100CA" w:rsidRPr="00CD729C" w:rsidRDefault="003100CA" w:rsidP="009B4BB6">
      <w:pPr>
        <w:widowControl w:val="0"/>
        <w:tabs>
          <w:tab w:val="clear" w:pos="567"/>
        </w:tabs>
        <w:spacing w:line="240" w:lineRule="auto"/>
        <w:rPr>
          <w:color w:val="000000"/>
          <w:szCs w:val="22"/>
        </w:rPr>
      </w:pPr>
    </w:p>
    <w:p w14:paraId="3D394A0D" w14:textId="77777777" w:rsidR="003100CA" w:rsidRPr="00CD729C" w:rsidRDefault="003100CA" w:rsidP="009B4BB6">
      <w:pPr>
        <w:widowControl w:val="0"/>
        <w:tabs>
          <w:tab w:val="clear" w:pos="567"/>
        </w:tabs>
        <w:spacing w:line="240" w:lineRule="auto"/>
        <w:rPr>
          <w:color w:val="000000"/>
          <w:szCs w:val="22"/>
        </w:rPr>
      </w:pPr>
      <w:r w:rsidRPr="00CD729C">
        <w:rPr>
          <w:i/>
          <w:color w:val="000000"/>
          <w:szCs w:val="22"/>
        </w:rPr>
        <w:t>Aknu mazspēja:</w:t>
      </w:r>
      <w:r w:rsidRPr="00CD729C">
        <w:rPr>
          <w:color w:val="000000"/>
          <w:szCs w:val="22"/>
        </w:rPr>
        <w:t xml:space="preserve"> imatiniba vielmaiņas procesi galvenokārt notiek aknās. Pacientiem ar viegliem, vidēji smagiem vai smagiem aknu darbības traucējumiem jālieto mazākā ieteicamā deva 400 mg dienā. Ja nav pietiekamas panesamības, devu var samazināt (skatīt 4.4</w:t>
      </w:r>
      <w:r w:rsidR="00371C3B" w:rsidRPr="00CD729C">
        <w:rPr>
          <w:color w:val="000000"/>
          <w:szCs w:val="22"/>
        </w:rPr>
        <w:t>.</w:t>
      </w:r>
      <w:r w:rsidRPr="00CD729C">
        <w:rPr>
          <w:color w:val="000000"/>
          <w:szCs w:val="22"/>
        </w:rPr>
        <w:t>, 4.8</w:t>
      </w:r>
      <w:r w:rsidR="00371C3B" w:rsidRPr="00CD729C">
        <w:rPr>
          <w:color w:val="000000"/>
          <w:szCs w:val="22"/>
        </w:rPr>
        <w:t>.</w:t>
      </w:r>
      <w:r w:rsidRPr="00CD729C">
        <w:rPr>
          <w:color w:val="000000"/>
          <w:szCs w:val="22"/>
        </w:rPr>
        <w:t xml:space="preserve"> un 5.2</w:t>
      </w:r>
      <w:r w:rsidR="00371C3B" w:rsidRPr="00CD729C">
        <w:rPr>
          <w:color w:val="000000"/>
          <w:szCs w:val="22"/>
        </w:rPr>
        <w:t>.</w:t>
      </w:r>
      <w:r w:rsidR="000B2D8A" w:rsidRPr="00CD729C">
        <w:rPr>
          <w:color w:val="000000"/>
          <w:szCs w:val="22"/>
        </w:rPr>
        <w:t> apakšpunktu</w:t>
      </w:r>
      <w:r w:rsidRPr="00CD729C">
        <w:rPr>
          <w:color w:val="000000"/>
          <w:szCs w:val="22"/>
        </w:rPr>
        <w:t>).</w:t>
      </w:r>
    </w:p>
    <w:p w14:paraId="3D394A0E" w14:textId="77777777" w:rsidR="003100CA" w:rsidRPr="00CD729C" w:rsidRDefault="003100CA" w:rsidP="009B4BB6">
      <w:pPr>
        <w:widowControl w:val="0"/>
        <w:tabs>
          <w:tab w:val="clear" w:pos="567"/>
        </w:tabs>
        <w:spacing w:line="240" w:lineRule="auto"/>
        <w:rPr>
          <w:color w:val="000000"/>
          <w:szCs w:val="22"/>
        </w:rPr>
      </w:pPr>
    </w:p>
    <w:p w14:paraId="3D394A0F" w14:textId="77777777" w:rsidR="003100CA" w:rsidRPr="00CD729C" w:rsidRDefault="003100CA" w:rsidP="009B4BB6">
      <w:pPr>
        <w:keepNext/>
        <w:keepLines/>
        <w:widowControl w:val="0"/>
        <w:tabs>
          <w:tab w:val="clear" w:pos="567"/>
        </w:tabs>
        <w:spacing w:line="240" w:lineRule="auto"/>
        <w:rPr>
          <w:bCs/>
          <w:color w:val="000000"/>
          <w:szCs w:val="22"/>
        </w:rPr>
      </w:pPr>
      <w:r w:rsidRPr="00CD729C">
        <w:rPr>
          <w:bCs/>
          <w:color w:val="000000"/>
          <w:szCs w:val="22"/>
        </w:rPr>
        <w:t>Aknu darbības traucējumu klasifikācija:</w:t>
      </w:r>
    </w:p>
    <w:p w14:paraId="3D394A10" w14:textId="77777777" w:rsidR="003100CA" w:rsidRPr="00CD729C" w:rsidRDefault="003100CA" w:rsidP="009B4BB6">
      <w:pPr>
        <w:keepNext/>
        <w:keepLines/>
        <w:widowControl w:val="0"/>
        <w:tabs>
          <w:tab w:val="clear" w:pos="567"/>
        </w:tabs>
        <w:spacing w:line="240" w:lineRule="auto"/>
        <w:rPr>
          <w:color w:val="00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530"/>
      </w:tblGrid>
      <w:tr w:rsidR="003100CA" w:rsidRPr="00CD729C" w14:paraId="3D394A13" w14:textId="77777777" w:rsidTr="009B4BB6">
        <w:trPr>
          <w:cantSplit/>
        </w:trPr>
        <w:tc>
          <w:tcPr>
            <w:tcW w:w="4643" w:type="dxa"/>
          </w:tcPr>
          <w:p w14:paraId="3D394A11" w14:textId="77777777" w:rsidR="003100CA" w:rsidRPr="00CD729C" w:rsidRDefault="003100CA" w:rsidP="009B4BB6">
            <w:pPr>
              <w:keepNext/>
              <w:keepLines/>
              <w:widowControl w:val="0"/>
              <w:tabs>
                <w:tab w:val="clear" w:pos="567"/>
              </w:tabs>
              <w:spacing w:line="240" w:lineRule="auto"/>
              <w:rPr>
                <w:color w:val="000000"/>
                <w:szCs w:val="22"/>
              </w:rPr>
            </w:pPr>
            <w:r w:rsidRPr="00CD729C">
              <w:rPr>
                <w:color w:val="000000"/>
                <w:szCs w:val="22"/>
              </w:rPr>
              <w:t>Aknu darbības traucējumi</w:t>
            </w:r>
          </w:p>
        </w:tc>
        <w:tc>
          <w:tcPr>
            <w:tcW w:w="4644" w:type="dxa"/>
          </w:tcPr>
          <w:p w14:paraId="3D394A12" w14:textId="77777777" w:rsidR="003100CA" w:rsidRPr="00CD729C" w:rsidRDefault="003100CA" w:rsidP="009B4BB6">
            <w:pPr>
              <w:keepNext/>
              <w:keepLines/>
              <w:widowControl w:val="0"/>
              <w:tabs>
                <w:tab w:val="clear" w:pos="567"/>
              </w:tabs>
              <w:spacing w:line="240" w:lineRule="auto"/>
              <w:rPr>
                <w:color w:val="000000"/>
                <w:szCs w:val="22"/>
              </w:rPr>
            </w:pPr>
            <w:r w:rsidRPr="00CD729C">
              <w:rPr>
                <w:color w:val="000000"/>
                <w:szCs w:val="22"/>
              </w:rPr>
              <w:t>Aknu darbības pārbaudes</w:t>
            </w:r>
          </w:p>
        </w:tc>
      </w:tr>
      <w:tr w:rsidR="003100CA" w:rsidRPr="00CD729C" w14:paraId="3D394A17" w14:textId="77777777" w:rsidTr="009B4BB6">
        <w:trPr>
          <w:cantSplit/>
        </w:trPr>
        <w:tc>
          <w:tcPr>
            <w:tcW w:w="4643" w:type="dxa"/>
          </w:tcPr>
          <w:p w14:paraId="3D394A14" w14:textId="77777777" w:rsidR="003100CA" w:rsidRPr="00CD729C" w:rsidRDefault="003100CA" w:rsidP="009B4BB6">
            <w:pPr>
              <w:keepNext/>
              <w:keepLines/>
              <w:widowControl w:val="0"/>
              <w:tabs>
                <w:tab w:val="clear" w:pos="567"/>
              </w:tabs>
              <w:spacing w:line="240" w:lineRule="auto"/>
              <w:rPr>
                <w:color w:val="000000"/>
                <w:szCs w:val="22"/>
              </w:rPr>
            </w:pPr>
            <w:r w:rsidRPr="00CD729C">
              <w:rPr>
                <w:color w:val="000000"/>
                <w:szCs w:val="22"/>
              </w:rPr>
              <w:t>Viegli</w:t>
            </w:r>
          </w:p>
        </w:tc>
        <w:tc>
          <w:tcPr>
            <w:tcW w:w="4644" w:type="dxa"/>
          </w:tcPr>
          <w:p w14:paraId="3D394A15" w14:textId="77777777" w:rsidR="003100CA" w:rsidRPr="00CD729C" w:rsidRDefault="003100CA" w:rsidP="009B4BB6">
            <w:pPr>
              <w:keepNext/>
              <w:keepLines/>
              <w:widowControl w:val="0"/>
              <w:tabs>
                <w:tab w:val="clear" w:pos="567"/>
              </w:tabs>
              <w:spacing w:line="240" w:lineRule="auto"/>
              <w:rPr>
                <w:color w:val="000000"/>
                <w:szCs w:val="22"/>
              </w:rPr>
            </w:pPr>
            <w:r w:rsidRPr="00CD729C">
              <w:rPr>
                <w:color w:val="000000"/>
                <w:szCs w:val="22"/>
              </w:rPr>
              <w:t>Kopējais bilirubīns: = 1,5 ANR</w:t>
            </w:r>
          </w:p>
          <w:p w14:paraId="3D394A16" w14:textId="77777777" w:rsidR="003100CA" w:rsidRPr="00CD729C" w:rsidRDefault="003100CA" w:rsidP="009B4BB6">
            <w:pPr>
              <w:keepNext/>
              <w:keepLines/>
              <w:widowControl w:val="0"/>
              <w:tabs>
                <w:tab w:val="clear" w:pos="567"/>
              </w:tabs>
              <w:spacing w:line="240" w:lineRule="auto"/>
              <w:rPr>
                <w:color w:val="000000"/>
                <w:szCs w:val="22"/>
              </w:rPr>
            </w:pPr>
            <w:r w:rsidRPr="00CD729C">
              <w:rPr>
                <w:color w:val="000000"/>
                <w:szCs w:val="22"/>
              </w:rPr>
              <w:t xml:space="preserve">ASAT: </w:t>
            </w:r>
            <w:r w:rsidRPr="00CD729C">
              <w:rPr>
                <w:color w:val="000000"/>
                <w:szCs w:val="22"/>
              </w:rPr>
              <w:sym w:font="Symbol" w:char="F03E"/>
            </w:r>
            <w:r w:rsidRPr="00CD729C">
              <w:rPr>
                <w:color w:val="000000"/>
                <w:szCs w:val="22"/>
              </w:rPr>
              <w:t xml:space="preserve">ANR (var būt normāls vai </w:t>
            </w:r>
            <w:r w:rsidRPr="00CD729C">
              <w:rPr>
                <w:color w:val="000000"/>
                <w:szCs w:val="22"/>
              </w:rPr>
              <w:sym w:font="Symbol" w:char="F03C"/>
            </w:r>
            <w:r w:rsidRPr="00CD729C">
              <w:rPr>
                <w:color w:val="000000"/>
                <w:szCs w:val="22"/>
              </w:rPr>
              <w:t xml:space="preserve">ANR, ja kopējā bilirubīna līmenis ir </w:t>
            </w:r>
            <w:r w:rsidRPr="00CD729C">
              <w:rPr>
                <w:color w:val="000000"/>
                <w:szCs w:val="22"/>
              </w:rPr>
              <w:sym w:font="Symbol" w:char="F03E"/>
            </w:r>
            <w:r w:rsidRPr="00CD729C">
              <w:rPr>
                <w:color w:val="000000"/>
                <w:szCs w:val="22"/>
              </w:rPr>
              <w:t>ANR)</w:t>
            </w:r>
          </w:p>
        </w:tc>
      </w:tr>
      <w:tr w:rsidR="003100CA" w:rsidRPr="00CD729C" w14:paraId="3D394A1B" w14:textId="77777777" w:rsidTr="009B4BB6">
        <w:trPr>
          <w:cantSplit/>
        </w:trPr>
        <w:tc>
          <w:tcPr>
            <w:tcW w:w="4643" w:type="dxa"/>
          </w:tcPr>
          <w:p w14:paraId="3D394A18" w14:textId="77777777" w:rsidR="003100CA" w:rsidRPr="00CD729C" w:rsidRDefault="003100CA" w:rsidP="009B4BB6">
            <w:pPr>
              <w:keepNext/>
              <w:keepLines/>
              <w:widowControl w:val="0"/>
              <w:tabs>
                <w:tab w:val="clear" w:pos="567"/>
              </w:tabs>
              <w:spacing w:line="240" w:lineRule="auto"/>
              <w:rPr>
                <w:color w:val="000000"/>
                <w:szCs w:val="22"/>
              </w:rPr>
            </w:pPr>
            <w:r w:rsidRPr="00CD729C">
              <w:rPr>
                <w:color w:val="000000"/>
                <w:szCs w:val="22"/>
              </w:rPr>
              <w:t>Vidēji smagi</w:t>
            </w:r>
          </w:p>
        </w:tc>
        <w:tc>
          <w:tcPr>
            <w:tcW w:w="4644" w:type="dxa"/>
          </w:tcPr>
          <w:p w14:paraId="3D394A19" w14:textId="77777777" w:rsidR="003100CA" w:rsidRPr="00CD729C" w:rsidRDefault="003100CA" w:rsidP="009B4BB6">
            <w:pPr>
              <w:keepNext/>
              <w:keepLines/>
              <w:widowControl w:val="0"/>
              <w:tabs>
                <w:tab w:val="clear" w:pos="567"/>
              </w:tabs>
              <w:spacing w:line="240" w:lineRule="auto"/>
              <w:rPr>
                <w:color w:val="000000"/>
                <w:szCs w:val="22"/>
              </w:rPr>
            </w:pPr>
            <w:r w:rsidRPr="00CD729C">
              <w:rPr>
                <w:color w:val="000000"/>
                <w:szCs w:val="22"/>
              </w:rPr>
              <w:t xml:space="preserve">Kopējais bilirubīns: </w:t>
            </w:r>
            <w:r w:rsidRPr="00CD729C">
              <w:rPr>
                <w:color w:val="000000"/>
                <w:szCs w:val="22"/>
              </w:rPr>
              <w:sym w:font="Symbol" w:char="F03E"/>
            </w:r>
            <w:r w:rsidRPr="00CD729C">
              <w:rPr>
                <w:color w:val="000000"/>
                <w:szCs w:val="22"/>
              </w:rPr>
              <w:t>1,5–3,0 ANR</w:t>
            </w:r>
          </w:p>
          <w:p w14:paraId="3D394A1A" w14:textId="77777777" w:rsidR="003100CA" w:rsidRPr="00CD729C" w:rsidRDefault="003100CA" w:rsidP="009B4BB6">
            <w:pPr>
              <w:keepNext/>
              <w:keepLines/>
              <w:widowControl w:val="0"/>
              <w:tabs>
                <w:tab w:val="clear" w:pos="567"/>
              </w:tabs>
              <w:spacing w:line="240" w:lineRule="auto"/>
              <w:rPr>
                <w:color w:val="000000"/>
                <w:szCs w:val="22"/>
              </w:rPr>
            </w:pPr>
            <w:r w:rsidRPr="00CD729C">
              <w:rPr>
                <w:color w:val="000000"/>
                <w:szCs w:val="22"/>
              </w:rPr>
              <w:t>ASAT: jebkāds</w:t>
            </w:r>
          </w:p>
        </w:tc>
      </w:tr>
      <w:tr w:rsidR="003100CA" w:rsidRPr="00CD729C" w14:paraId="3D394A1F" w14:textId="77777777" w:rsidTr="009B4BB6">
        <w:trPr>
          <w:cantSplit/>
        </w:trPr>
        <w:tc>
          <w:tcPr>
            <w:tcW w:w="4643" w:type="dxa"/>
          </w:tcPr>
          <w:p w14:paraId="3D394A1C" w14:textId="77777777" w:rsidR="003100CA" w:rsidRPr="00CD729C" w:rsidRDefault="003100CA" w:rsidP="009B4BB6">
            <w:pPr>
              <w:keepNext/>
              <w:keepLines/>
              <w:widowControl w:val="0"/>
              <w:tabs>
                <w:tab w:val="clear" w:pos="567"/>
              </w:tabs>
              <w:spacing w:line="240" w:lineRule="auto"/>
              <w:rPr>
                <w:color w:val="000000"/>
                <w:szCs w:val="22"/>
              </w:rPr>
            </w:pPr>
            <w:r w:rsidRPr="00CD729C">
              <w:rPr>
                <w:color w:val="000000"/>
                <w:szCs w:val="22"/>
              </w:rPr>
              <w:t>Smagi</w:t>
            </w:r>
          </w:p>
        </w:tc>
        <w:tc>
          <w:tcPr>
            <w:tcW w:w="4644" w:type="dxa"/>
          </w:tcPr>
          <w:p w14:paraId="3D394A1D" w14:textId="77777777" w:rsidR="003100CA" w:rsidRPr="00CD729C" w:rsidRDefault="003100CA" w:rsidP="009B4BB6">
            <w:pPr>
              <w:keepNext/>
              <w:keepLines/>
              <w:widowControl w:val="0"/>
              <w:tabs>
                <w:tab w:val="clear" w:pos="567"/>
              </w:tabs>
              <w:spacing w:line="240" w:lineRule="auto"/>
              <w:rPr>
                <w:color w:val="000000"/>
                <w:szCs w:val="22"/>
              </w:rPr>
            </w:pPr>
            <w:r w:rsidRPr="00CD729C">
              <w:rPr>
                <w:color w:val="000000"/>
                <w:szCs w:val="22"/>
              </w:rPr>
              <w:t xml:space="preserve">Kopējais bilirubīns: </w:t>
            </w:r>
            <w:r w:rsidRPr="00CD729C">
              <w:rPr>
                <w:color w:val="000000"/>
                <w:szCs w:val="22"/>
              </w:rPr>
              <w:sym w:font="Symbol" w:char="F03E"/>
            </w:r>
            <w:r w:rsidRPr="00CD729C">
              <w:rPr>
                <w:color w:val="000000"/>
                <w:szCs w:val="22"/>
              </w:rPr>
              <w:t>3–10 ANR</w:t>
            </w:r>
          </w:p>
          <w:p w14:paraId="3D394A1E" w14:textId="77777777" w:rsidR="003100CA" w:rsidRPr="00CD729C" w:rsidRDefault="003100CA" w:rsidP="009B4BB6">
            <w:pPr>
              <w:keepNext/>
              <w:keepLines/>
              <w:widowControl w:val="0"/>
              <w:tabs>
                <w:tab w:val="clear" w:pos="567"/>
              </w:tabs>
              <w:spacing w:line="240" w:lineRule="auto"/>
              <w:rPr>
                <w:color w:val="000000"/>
                <w:szCs w:val="22"/>
              </w:rPr>
            </w:pPr>
            <w:r w:rsidRPr="00CD729C">
              <w:rPr>
                <w:color w:val="000000"/>
                <w:szCs w:val="22"/>
              </w:rPr>
              <w:t>ASAT: jebkāds</w:t>
            </w:r>
          </w:p>
        </w:tc>
      </w:tr>
    </w:tbl>
    <w:p w14:paraId="3D394A20" w14:textId="77777777" w:rsidR="003100CA" w:rsidRPr="00CD729C" w:rsidRDefault="003100CA" w:rsidP="009B4BB6">
      <w:pPr>
        <w:keepNext/>
        <w:keepLines/>
        <w:widowControl w:val="0"/>
        <w:tabs>
          <w:tab w:val="clear" w:pos="567"/>
        </w:tabs>
        <w:spacing w:line="240" w:lineRule="auto"/>
        <w:rPr>
          <w:color w:val="000000"/>
          <w:szCs w:val="22"/>
        </w:rPr>
      </w:pPr>
      <w:r w:rsidRPr="00CD729C">
        <w:rPr>
          <w:color w:val="000000"/>
          <w:szCs w:val="22"/>
        </w:rPr>
        <w:t>ANR = augšējā normas robeža iestādē</w:t>
      </w:r>
    </w:p>
    <w:p w14:paraId="3D394A21" w14:textId="77777777" w:rsidR="003100CA" w:rsidRPr="00CD729C" w:rsidRDefault="003100CA" w:rsidP="009B4BB6">
      <w:pPr>
        <w:keepNext/>
        <w:keepLines/>
        <w:widowControl w:val="0"/>
        <w:tabs>
          <w:tab w:val="clear" w:pos="567"/>
        </w:tabs>
        <w:spacing w:line="240" w:lineRule="auto"/>
        <w:rPr>
          <w:color w:val="000000"/>
          <w:szCs w:val="22"/>
        </w:rPr>
      </w:pPr>
      <w:r w:rsidRPr="00CD729C">
        <w:rPr>
          <w:color w:val="000000"/>
          <w:szCs w:val="22"/>
        </w:rPr>
        <w:t>ASAT = aspartāta aminotransferāze</w:t>
      </w:r>
    </w:p>
    <w:p w14:paraId="3D394A22" w14:textId="77777777" w:rsidR="003100CA" w:rsidRPr="00CD729C" w:rsidRDefault="003100CA" w:rsidP="009B4BB6">
      <w:pPr>
        <w:widowControl w:val="0"/>
        <w:tabs>
          <w:tab w:val="clear" w:pos="567"/>
        </w:tabs>
        <w:spacing w:line="240" w:lineRule="auto"/>
        <w:rPr>
          <w:color w:val="000000"/>
          <w:szCs w:val="22"/>
        </w:rPr>
      </w:pPr>
    </w:p>
    <w:p w14:paraId="3D394A23" w14:textId="77777777" w:rsidR="003100CA" w:rsidRPr="00CD729C" w:rsidRDefault="003100CA" w:rsidP="009B4BB6">
      <w:pPr>
        <w:widowControl w:val="0"/>
        <w:tabs>
          <w:tab w:val="clear" w:pos="567"/>
        </w:tabs>
        <w:spacing w:line="240" w:lineRule="auto"/>
        <w:rPr>
          <w:color w:val="000000"/>
          <w:szCs w:val="22"/>
        </w:rPr>
      </w:pPr>
      <w:r w:rsidRPr="00CD729C">
        <w:rPr>
          <w:i/>
          <w:color w:val="000000"/>
          <w:szCs w:val="22"/>
        </w:rPr>
        <w:t>Nieru mazspēja:</w:t>
      </w:r>
      <w:r w:rsidRPr="00CD729C">
        <w:rPr>
          <w:color w:val="000000"/>
          <w:szCs w:val="22"/>
        </w:rPr>
        <w:t xml:space="preserve"> </w:t>
      </w:r>
      <w:r w:rsidR="002B5915">
        <w:rPr>
          <w:color w:val="000000"/>
          <w:szCs w:val="22"/>
        </w:rPr>
        <w:t>p</w:t>
      </w:r>
      <w:r w:rsidR="002B5915" w:rsidRPr="00CD729C">
        <w:rPr>
          <w:color w:val="000000"/>
          <w:szCs w:val="22"/>
        </w:rPr>
        <w:t xml:space="preserve">acientiem </w:t>
      </w:r>
      <w:r w:rsidRPr="00CD729C">
        <w:rPr>
          <w:color w:val="000000"/>
          <w:szCs w:val="22"/>
        </w:rPr>
        <w:t>ar nieru disfunkciju</w:t>
      </w:r>
      <w:r w:rsidRPr="00CD729C">
        <w:t xml:space="preserve"> </w:t>
      </w:r>
      <w:r w:rsidRPr="00CD729C">
        <w:rPr>
          <w:color w:val="000000"/>
          <w:szCs w:val="22"/>
        </w:rPr>
        <w:t>vai kuriem tiek veikta dialīze, par sākumdevu jālieto minimālā ieteicamā deva 400 mg dienā. Tomēr šiem pacientiem jāievēro piesardzība. Devu var mazināt, ja rodas blakusparādības. Ja panesamība ir laba, devu var palielināt nepietiekamas efektivitātes gadījumā (skatīt 4.4</w:t>
      </w:r>
      <w:r w:rsidR="00371C3B" w:rsidRPr="00CD729C">
        <w:rPr>
          <w:color w:val="000000"/>
          <w:szCs w:val="22"/>
        </w:rPr>
        <w:t>.</w:t>
      </w:r>
      <w:r w:rsidRPr="00CD729C">
        <w:rPr>
          <w:color w:val="000000"/>
          <w:szCs w:val="22"/>
        </w:rPr>
        <w:t xml:space="preserve"> un 5.2</w:t>
      </w:r>
      <w:r w:rsidR="00371C3B" w:rsidRPr="00CD729C">
        <w:rPr>
          <w:color w:val="000000"/>
          <w:szCs w:val="22"/>
        </w:rPr>
        <w:t>.</w:t>
      </w:r>
      <w:r w:rsidR="000B2D8A" w:rsidRPr="00CD729C">
        <w:rPr>
          <w:color w:val="000000"/>
          <w:szCs w:val="22"/>
        </w:rPr>
        <w:t> apakšpunktu</w:t>
      </w:r>
      <w:r w:rsidRPr="00CD729C">
        <w:rPr>
          <w:color w:val="000000"/>
          <w:szCs w:val="22"/>
        </w:rPr>
        <w:t>).</w:t>
      </w:r>
    </w:p>
    <w:p w14:paraId="3D394A24" w14:textId="77777777" w:rsidR="003100CA" w:rsidRPr="00CD729C" w:rsidRDefault="003100CA" w:rsidP="009B4BB6">
      <w:pPr>
        <w:widowControl w:val="0"/>
        <w:tabs>
          <w:tab w:val="clear" w:pos="567"/>
        </w:tabs>
        <w:spacing w:line="240" w:lineRule="auto"/>
        <w:rPr>
          <w:color w:val="000000"/>
          <w:szCs w:val="22"/>
        </w:rPr>
      </w:pPr>
    </w:p>
    <w:p w14:paraId="3D394A25" w14:textId="77777777" w:rsidR="003100CA" w:rsidRPr="00CD729C" w:rsidRDefault="003100CA" w:rsidP="009B4BB6">
      <w:pPr>
        <w:widowControl w:val="0"/>
        <w:tabs>
          <w:tab w:val="clear" w:pos="567"/>
        </w:tabs>
        <w:spacing w:line="240" w:lineRule="auto"/>
        <w:rPr>
          <w:color w:val="000000"/>
          <w:szCs w:val="22"/>
        </w:rPr>
      </w:pPr>
      <w:r w:rsidRPr="00CD729C">
        <w:rPr>
          <w:i/>
          <w:color w:val="000000"/>
          <w:szCs w:val="22"/>
        </w:rPr>
        <w:t xml:space="preserve">Gados vecāki </w:t>
      </w:r>
      <w:r w:rsidR="00371C3B" w:rsidRPr="00CD729C">
        <w:rPr>
          <w:i/>
          <w:color w:val="000000"/>
          <w:szCs w:val="22"/>
        </w:rPr>
        <w:t>cilvēki</w:t>
      </w:r>
      <w:r w:rsidRPr="00CD729C">
        <w:rPr>
          <w:i/>
          <w:color w:val="000000"/>
          <w:szCs w:val="22"/>
        </w:rPr>
        <w:t>:</w:t>
      </w:r>
      <w:r w:rsidRPr="00CD729C">
        <w:rPr>
          <w:color w:val="000000"/>
          <w:szCs w:val="22"/>
        </w:rPr>
        <w:t xml:space="preserve"> ar gados vecākiem </w:t>
      </w:r>
      <w:r w:rsidR="00371C3B" w:rsidRPr="00CD729C">
        <w:rPr>
          <w:color w:val="000000"/>
          <w:szCs w:val="22"/>
        </w:rPr>
        <w:t xml:space="preserve">cilvēkiem </w:t>
      </w:r>
      <w:r w:rsidRPr="00CD729C">
        <w:rPr>
          <w:color w:val="000000"/>
          <w:szCs w:val="22"/>
        </w:rPr>
        <w:t xml:space="preserve">specifiski imatiniba farmakokinētikas pētījumi nav veikti. Klīnisko pētījumu laikā, iekļaujot vairāk kā 20% pacientu vecumā no 65 gadiem, nozīmīgas preparāta farmakokinētikas izmaiņas, kas saistītas ar pacienta vecumu, nav konstatētas. Gados vecākiem </w:t>
      </w:r>
      <w:r w:rsidR="00371C3B" w:rsidRPr="00CD729C">
        <w:rPr>
          <w:color w:val="000000"/>
          <w:szCs w:val="22"/>
        </w:rPr>
        <w:t xml:space="preserve">cilvēkiem </w:t>
      </w:r>
      <w:r w:rsidRPr="00CD729C">
        <w:rPr>
          <w:color w:val="000000"/>
          <w:szCs w:val="22"/>
        </w:rPr>
        <w:t>specifiskas preparāta devas ieteikt nav nepieciešams.</w:t>
      </w:r>
    </w:p>
    <w:p w14:paraId="3D394A26" w14:textId="77777777" w:rsidR="003100CA" w:rsidRPr="00CD729C" w:rsidRDefault="003100CA" w:rsidP="009B4BB6">
      <w:pPr>
        <w:widowControl w:val="0"/>
        <w:tabs>
          <w:tab w:val="clear" w:pos="567"/>
        </w:tabs>
        <w:spacing w:line="240" w:lineRule="auto"/>
        <w:rPr>
          <w:color w:val="000000"/>
          <w:szCs w:val="22"/>
        </w:rPr>
      </w:pPr>
    </w:p>
    <w:p w14:paraId="3D394A27" w14:textId="77777777" w:rsidR="009E01F8" w:rsidRPr="00CD729C" w:rsidRDefault="009E01F8" w:rsidP="009B4BB6">
      <w:pPr>
        <w:keepNext/>
        <w:widowControl w:val="0"/>
        <w:tabs>
          <w:tab w:val="clear" w:pos="567"/>
        </w:tabs>
        <w:spacing w:line="240" w:lineRule="auto"/>
        <w:ind w:left="567" w:hanging="567"/>
        <w:rPr>
          <w:color w:val="000000"/>
          <w:szCs w:val="22"/>
        </w:rPr>
      </w:pPr>
      <w:r w:rsidRPr="00CD729C">
        <w:rPr>
          <w:b/>
          <w:color w:val="000000"/>
          <w:szCs w:val="22"/>
        </w:rPr>
        <w:t>4.3.</w:t>
      </w:r>
      <w:r w:rsidRPr="00CD729C">
        <w:rPr>
          <w:b/>
          <w:color w:val="000000"/>
          <w:szCs w:val="22"/>
        </w:rPr>
        <w:tab/>
        <w:t>Kontrindikācijas</w:t>
      </w:r>
    </w:p>
    <w:p w14:paraId="3D394A28" w14:textId="77777777" w:rsidR="009E01F8" w:rsidRPr="00CD729C" w:rsidRDefault="009E01F8" w:rsidP="009B4BB6">
      <w:pPr>
        <w:keepNext/>
        <w:widowControl w:val="0"/>
        <w:tabs>
          <w:tab w:val="clear" w:pos="567"/>
        </w:tabs>
        <w:spacing w:line="240" w:lineRule="auto"/>
        <w:ind w:left="567" w:hanging="567"/>
        <w:rPr>
          <w:color w:val="000000"/>
          <w:szCs w:val="22"/>
        </w:rPr>
      </w:pPr>
    </w:p>
    <w:p w14:paraId="3D394A29"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Paaugstināta jutība pret aktīvo vielu vai jebkuru no 6.1.</w:t>
      </w:r>
      <w:r w:rsidR="00BE3B8E">
        <w:rPr>
          <w:color w:val="000000"/>
          <w:szCs w:val="22"/>
        </w:rPr>
        <w:t> </w:t>
      </w:r>
      <w:r w:rsidRPr="00CD729C">
        <w:rPr>
          <w:color w:val="000000"/>
          <w:szCs w:val="22"/>
        </w:rPr>
        <w:t>apakšpunktā uzskaitītajām palīgvielām.</w:t>
      </w:r>
    </w:p>
    <w:p w14:paraId="3D394A2A" w14:textId="77777777" w:rsidR="009E01F8" w:rsidRPr="00CD729C" w:rsidRDefault="009E01F8" w:rsidP="009B4BB6">
      <w:pPr>
        <w:widowControl w:val="0"/>
        <w:tabs>
          <w:tab w:val="clear" w:pos="567"/>
        </w:tabs>
        <w:spacing w:line="240" w:lineRule="auto"/>
        <w:ind w:left="567" w:hanging="567"/>
        <w:rPr>
          <w:color w:val="000000"/>
          <w:szCs w:val="22"/>
        </w:rPr>
      </w:pPr>
    </w:p>
    <w:p w14:paraId="3D394A2B" w14:textId="77777777" w:rsidR="009E01F8" w:rsidRPr="00CD729C" w:rsidRDefault="009E01F8" w:rsidP="009B4BB6">
      <w:pPr>
        <w:keepNext/>
        <w:widowControl w:val="0"/>
        <w:tabs>
          <w:tab w:val="clear" w:pos="567"/>
        </w:tabs>
        <w:spacing w:line="240" w:lineRule="auto"/>
        <w:ind w:left="567" w:hanging="567"/>
        <w:rPr>
          <w:b/>
          <w:color w:val="000000"/>
          <w:szCs w:val="22"/>
        </w:rPr>
      </w:pPr>
      <w:r w:rsidRPr="00CD729C">
        <w:rPr>
          <w:b/>
          <w:color w:val="000000"/>
          <w:szCs w:val="22"/>
        </w:rPr>
        <w:t>4.4.</w:t>
      </w:r>
      <w:r w:rsidRPr="00CD729C">
        <w:rPr>
          <w:b/>
          <w:color w:val="000000"/>
          <w:szCs w:val="22"/>
        </w:rPr>
        <w:tab/>
        <w:t>Īpaši brīdinājumi un piesardzība lietošanā</w:t>
      </w:r>
    </w:p>
    <w:p w14:paraId="3D394A2C" w14:textId="77777777" w:rsidR="009E01F8" w:rsidRPr="00CD729C" w:rsidRDefault="009E01F8" w:rsidP="009B4BB6">
      <w:pPr>
        <w:keepNext/>
        <w:widowControl w:val="0"/>
        <w:tabs>
          <w:tab w:val="clear" w:pos="567"/>
        </w:tabs>
        <w:spacing w:line="240" w:lineRule="auto"/>
        <w:ind w:left="567" w:hanging="567"/>
        <w:rPr>
          <w:color w:val="000000"/>
          <w:szCs w:val="22"/>
        </w:rPr>
      </w:pPr>
    </w:p>
    <w:p w14:paraId="3D394A2D"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Ja Glivec ordinē kopā ar citām zālēm, ir iespējama mijiedarbība. Lietojot Glivec kopā ar proteāzes inhibitoriem, azola grupas pretsēnīšu līdzekļiem, noteiktiem makrolīdu grupas līdzekļiem (skatīt 4.5.</w:t>
      </w:r>
      <w:r w:rsidR="00C00894" w:rsidRPr="00CD729C">
        <w:rPr>
          <w:color w:val="000000"/>
          <w:szCs w:val="22"/>
        </w:rPr>
        <w:t> apakšpunktu</w:t>
      </w:r>
      <w:r w:rsidRPr="00CD729C">
        <w:rPr>
          <w:color w:val="000000"/>
          <w:szCs w:val="22"/>
        </w:rPr>
        <w:t>), CYP3A4 substrātiem ar šauru terapeitisku indeksu (piemēram, ciklosporīnu, pimozīdu,</w:t>
      </w:r>
      <w:r w:rsidRPr="00CD729C">
        <w:t xml:space="preserve"> </w:t>
      </w:r>
      <w:r w:rsidRPr="00CD729C">
        <w:rPr>
          <w:color w:val="000000"/>
          <w:szCs w:val="22"/>
        </w:rPr>
        <w:t>takrolimu, sirolimu, ergotamīnu, diergotamīnu, fentanilu, alfentanilu, terfenadīnu, bortezomibu, docetakselu, hinidīnu) vai varfarīnu un citiem kumarīna atvasinājumiem, jāievēro piesardzība (skatīt 4.5.</w:t>
      </w:r>
      <w:r w:rsidR="00C00894" w:rsidRPr="00CD729C">
        <w:rPr>
          <w:color w:val="000000"/>
          <w:szCs w:val="22"/>
        </w:rPr>
        <w:t> apakšpunktu</w:t>
      </w:r>
      <w:r w:rsidRPr="00CD729C">
        <w:rPr>
          <w:color w:val="000000"/>
          <w:szCs w:val="22"/>
        </w:rPr>
        <w:t>).</w:t>
      </w:r>
    </w:p>
    <w:p w14:paraId="3D394A2E" w14:textId="77777777" w:rsidR="009E01F8" w:rsidRPr="00CD729C" w:rsidRDefault="009E01F8" w:rsidP="009B4BB6">
      <w:pPr>
        <w:widowControl w:val="0"/>
        <w:tabs>
          <w:tab w:val="clear" w:pos="567"/>
        </w:tabs>
        <w:spacing w:line="240" w:lineRule="auto"/>
        <w:ind w:left="567" w:hanging="567"/>
        <w:rPr>
          <w:color w:val="000000"/>
          <w:szCs w:val="22"/>
        </w:rPr>
      </w:pPr>
    </w:p>
    <w:p w14:paraId="3D394A2F"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Vienlaicīga imatiniba un zāļu, kas inducē CYP3A4 (piemēram, deksametazonu, fenitoīnu, karbamazepīnu, rifampicīnu, fenobarbitālu, vai asinszāles (</w:t>
      </w:r>
      <w:r w:rsidRPr="00CD729C">
        <w:rPr>
          <w:i/>
          <w:color w:val="000000"/>
          <w:szCs w:val="22"/>
        </w:rPr>
        <w:t xml:space="preserve">Hypericum perforatum) </w:t>
      </w:r>
      <w:r w:rsidRPr="00CD729C">
        <w:rPr>
          <w:color w:val="000000"/>
          <w:szCs w:val="22"/>
        </w:rPr>
        <w:t>preparātiem) lietošana var ievērojami vājināt Glivec iedarbību un, iespējams, paaugstināt terapeitiskas neveiksmes risku. Tādējādi ir jāizvairās vienlaicīgi ordinēt spēcīgus CYP3A4 induktorus un imatinibu (skatīt 4.5.</w:t>
      </w:r>
      <w:r w:rsidR="00C00894" w:rsidRPr="00CD729C">
        <w:rPr>
          <w:color w:val="000000"/>
          <w:szCs w:val="22"/>
        </w:rPr>
        <w:t> apakšpunktu</w:t>
      </w:r>
      <w:r w:rsidRPr="00CD729C">
        <w:rPr>
          <w:color w:val="000000"/>
          <w:szCs w:val="22"/>
        </w:rPr>
        <w:t>).</w:t>
      </w:r>
    </w:p>
    <w:p w14:paraId="3D394A30" w14:textId="77777777" w:rsidR="009E01F8" w:rsidRPr="00CD729C" w:rsidRDefault="009E01F8" w:rsidP="009B4BB6">
      <w:pPr>
        <w:widowControl w:val="0"/>
        <w:spacing w:line="240" w:lineRule="auto"/>
        <w:rPr>
          <w:color w:val="000000"/>
          <w:szCs w:val="22"/>
        </w:rPr>
      </w:pPr>
    </w:p>
    <w:p w14:paraId="3D394A31" w14:textId="77777777" w:rsidR="009E01F8" w:rsidRPr="00CD729C" w:rsidRDefault="009E01F8" w:rsidP="009B4BB6">
      <w:pPr>
        <w:keepNext/>
        <w:widowControl w:val="0"/>
        <w:spacing w:line="240" w:lineRule="auto"/>
        <w:rPr>
          <w:color w:val="000000"/>
          <w:szCs w:val="22"/>
          <w:u w:val="single"/>
        </w:rPr>
      </w:pPr>
      <w:r w:rsidRPr="00CD729C">
        <w:rPr>
          <w:color w:val="000000"/>
          <w:szCs w:val="22"/>
          <w:u w:val="single"/>
        </w:rPr>
        <w:t>Hipotireoze</w:t>
      </w:r>
    </w:p>
    <w:p w14:paraId="3D394A32" w14:textId="77777777" w:rsidR="009E01F8" w:rsidRPr="00CD729C" w:rsidRDefault="009E01F8" w:rsidP="009B4BB6">
      <w:pPr>
        <w:widowControl w:val="0"/>
        <w:spacing w:line="240" w:lineRule="auto"/>
        <w:rPr>
          <w:color w:val="000000"/>
          <w:szCs w:val="22"/>
        </w:rPr>
      </w:pPr>
      <w:r w:rsidRPr="00CD729C">
        <w:rPr>
          <w:color w:val="000000"/>
          <w:szCs w:val="22"/>
        </w:rPr>
        <w:t>Pacientiem, kam veikta tireoidektomija, un kas saņem levotiroksīna aizstājterapiju Glivec terapijas laikā, ziņots par klīniskiem hipotireozes gadījumiem (skatīt 4.5.</w:t>
      </w:r>
      <w:r w:rsidR="00C00894" w:rsidRPr="00CD729C">
        <w:rPr>
          <w:color w:val="000000"/>
          <w:szCs w:val="22"/>
        </w:rPr>
        <w:t> apakšpunktu</w:t>
      </w:r>
      <w:r w:rsidRPr="00CD729C">
        <w:rPr>
          <w:color w:val="000000"/>
          <w:szCs w:val="22"/>
        </w:rPr>
        <w:t>). Šiem pacientiem rūpīgi jākontrolē vairogdziedzeri stimulējošā hormona (</w:t>
      </w:r>
      <w:r w:rsidRPr="00CD729C">
        <w:rPr>
          <w:i/>
          <w:color w:val="000000"/>
          <w:szCs w:val="22"/>
        </w:rPr>
        <w:t>TSH - thyroid-stimulating hormone</w:t>
      </w:r>
      <w:r w:rsidRPr="00CD729C">
        <w:rPr>
          <w:color w:val="000000"/>
          <w:szCs w:val="22"/>
        </w:rPr>
        <w:t>) līmenis.</w:t>
      </w:r>
    </w:p>
    <w:p w14:paraId="3D394A33" w14:textId="77777777" w:rsidR="009E01F8" w:rsidRPr="00CD729C" w:rsidRDefault="009E01F8" w:rsidP="009B4BB6">
      <w:pPr>
        <w:widowControl w:val="0"/>
        <w:tabs>
          <w:tab w:val="clear" w:pos="567"/>
        </w:tabs>
        <w:spacing w:line="240" w:lineRule="auto"/>
        <w:rPr>
          <w:color w:val="000000"/>
          <w:szCs w:val="22"/>
        </w:rPr>
      </w:pPr>
    </w:p>
    <w:p w14:paraId="3D394A34" w14:textId="77777777" w:rsidR="009E01F8" w:rsidRPr="00CD729C" w:rsidRDefault="009E01F8" w:rsidP="009B4BB6">
      <w:pPr>
        <w:keepNext/>
        <w:widowControl w:val="0"/>
        <w:tabs>
          <w:tab w:val="clear" w:pos="567"/>
        </w:tabs>
        <w:spacing w:line="240" w:lineRule="auto"/>
        <w:rPr>
          <w:color w:val="000000"/>
          <w:szCs w:val="22"/>
          <w:u w:val="single"/>
        </w:rPr>
      </w:pPr>
      <w:r w:rsidRPr="00CD729C">
        <w:rPr>
          <w:color w:val="000000"/>
          <w:szCs w:val="22"/>
          <w:u w:val="single"/>
        </w:rPr>
        <w:t>Hepatotoksicitāte</w:t>
      </w:r>
    </w:p>
    <w:p w14:paraId="3D394A35"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Glivec vielmaiņas procesi galvenokārt notiek aknās un tikai 13% devas izdalās caur nierēm. Pacientiem ar aknu darbības traucējumiem (viegliem, vidēji smagiem vai smagiem) rūpīgi jākontrolē perifērā asinsaina un aknu fermentu daudzums (skatīt 4.2., 4.8. un 5.2.</w:t>
      </w:r>
      <w:r w:rsidR="00E76E7F" w:rsidRPr="00CD729C">
        <w:rPr>
          <w:color w:val="000000"/>
          <w:szCs w:val="22"/>
        </w:rPr>
        <w:t> apakšpunktu</w:t>
      </w:r>
      <w:r w:rsidRPr="00CD729C">
        <w:rPr>
          <w:color w:val="000000"/>
          <w:szCs w:val="22"/>
        </w:rPr>
        <w:t>). Ir jāievēro, ka GIST slimniekiem iespējamas metastāzes aknās, kā dēļ ir iespējami aknu darbības traucējumi.</w:t>
      </w:r>
    </w:p>
    <w:p w14:paraId="3D394A36" w14:textId="77777777" w:rsidR="009E01F8" w:rsidRPr="00CD729C" w:rsidRDefault="009E01F8" w:rsidP="009B4BB6">
      <w:pPr>
        <w:widowControl w:val="0"/>
        <w:tabs>
          <w:tab w:val="clear" w:pos="567"/>
        </w:tabs>
        <w:spacing w:line="240" w:lineRule="auto"/>
        <w:rPr>
          <w:color w:val="000000"/>
          <w:szCs w:val="22"/>
        </w:rPr>
      </w:pPr>
    </w:p>
    <w:p w14:paraId="3D394A37"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Saistībā ar imatiniba lietošanu saņemti ziņojumi par aknu bojājumiem, tai skaitā aknu mazspēju un aknu nekrozi. Imatinibu kombinējot ar lielu devu ķīmijterapijas shēmām novērots palielināts skaits smagu ar aknām saistītu blakusparādību. Nepieciešams rūpīgi kontrolēt aknu darbību gadījumos, kad imatinibs tiek kombinēts ar ķīmijterapijas shēmām, kas, kā zināms, saistītas ar aknu disfunkciju (skatīt 4.5. un 4.8.</w:t>
      </w:r>
      <w:r w:rsidR="00E76E7F" w:rsidRPr="00CD729C">
        <w:rPr>
          <w:color w:val="000000"/>
          <w:szCs w:val="22"/>
        </w:rPr>
        <w:t> apakšpunktu</w:t>
      </w:r>
      <w:r w:rsidRPr="00CD729C">
        <w:rPr>
          <w:color w:val="000000"/>
          <w:szCs w:val="22"/>
        </w:rPr>
        <w:t>).</w:t>
      </w:r>
    </w:p>
    <w:p w14:paraId="3D394A38" w14:textId="77777777" w:rsidR="009E01F8" w:rsidRPr="00CD729C" w:rsidRDefault="009E01F8" w:rsidP="009B4BB6">
      <w:pPr>
        <w:widowControl w:val="0"/>
        <w:tabs>
          <w:tab w:val="clear" w:pos="567"/>
        </w:tabs>
        <w:spacing w:line="240" w:lineRule="auto"/>
        <w:rPr>
          <w:color w:val="000000"/>
          <w:szCs w:val="22"/>
        </w:rPr>
      </w:pPr>
    </w:p>
    <w:p w14:paraId="3D394A39" w14:textId="77777777" w:rsidR="009E01F8" w:rsidRPr="00CD729C" w:rsidRDefault="009E01F8" w:rsidP="009B4BB6">
      <w:pPr>
        <w:keepNext/>
        <w:widowControl w:val="0"/>
        <w:tabs>
          <w:tab w:val="clear" w:pos="567"/>
        </w:tabs>
        <w:spacing w:line="240" w:lineRule="auto"/>
        <w:rPr>
          <w:color w:val="000000"/>
          <w:szCs w:val="22"/>
          <w:u w:val="single"/>
        </w:rPr>
      </w:pPr>
      <w:r w:rsidRPr="00CD729C">
        <w:rPr>
          <w:color w:val="000000"/>
          <w:szCs w:val="22"/>
          <w:u w:val="single"/>
        </w:rPr>
        <w:t>Šķidruma aizture</w:t>
      </w:r>
    </w:p>
    <w:p w14:paraId="3D394A3A"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Aptuveni 2,5% pacientu ar nesen diagnosticētu CML, kas lieto Glivec, ir aprakstīta smaga šķidruma aizture (eksudatīvs pleirīts, tūska, plaušu tūska, ascīts, virspusēja tūska). Tādējādi ir ļoti ieteicams kontrolēt pacienta svaru. Negaidīts, straujš pacienta ķermeņa masas pieaugums ir rūpīgi jāizmeklē un, ja nepieciešams, jāordinē piemēroti uzturoši un terapeitiski pasākumi. Klīnisko pētījumu laikā iepriekš nosauktās parādības biežāk novēroja gados vecākiem cilvēkiem, kā arī pacientiem, kuriem anamnēzē ir sirds slimības. Tādējādi, ja pacientam ir sirds darbības traucējumi, jāievēro piesardzība.</w:t>
      </w:r>
    </w:p>
    <w:p w14:paraId="3D394A3B" w14:textId="77777777" w:rsidR="009E01F8" w:rsidRPr="00CD729C" w:rsidRDefault="009E01F8" w:rsidP="009B4BB6">
      <w:pPr>
        <w:pStyle w:val="EndnoteText"/>
        <w:widowControl w:val="0"/>
        <w:tabs>
          <w:tab w:val="clear" w:pos="567"/>
        </w:tabs>
        <w:rPr>
          <w:color w:val="000000"/>
        </w:rPr>
      </w:pPr>
    </w:p>
    <w:p w14:paraId="3D394A3C" w14:textId="77777777" w:rsidR="009E01F8" w:rsidRPr="00CD729C" w:rsidRDefault="009E01F8" w:rsidP="009B4BB6">
      <w:pPr>
        <w:pStyle w:val="EndnoteText"/>
        <w:keepNext/>
        <w:widowControl w:val="0"/>
        <w:tabs>
          <w:tab w:val="clear" w:pos="567"/>
        </w:tabs>
        <w:rPr>
          <w:color w:val="000000"/>
          <w:u w:val="single"/>
        </w:rPr>
      </w:pPr>
      <w:r w:rsidRPr="00CD729C">
        <w:rPr>
          <w:color w:val="000000"/>
          <w:u w:val="single"/>
        </w:rPr>
        <w:t>Pacienti ar sirds slimībām</w:t>
      </w:r>
    </w:p>
    <w:p w14:paraId="3D394A3D" w14:textId="77777777" w:rsidR="009E01F8" w:rsidRPr="00CD729C" w:rsidRDefault="009E01F8" w:rsidP="009B4BB6">
      <w:pPr>
        <w:pStyle w:val="EndnoteText"/>
        <w:widowControl w:val="0"/>
        <w:tabs>
          <w:tab w:val="clear" w:pos="567"/>
        </w:tabs>
        <w:rPr>
          <w:color w:val="000000"/>
        </w:rPr>
      </w:pPr>
      <w:r w:rsidRPr="00CD729C">
        <w:rPr>
          <w:color w:val="000000"/>
        </w:rPr>
        <w:t>Pacieti ar sirds slimībām, sirds mazspējas riska faktoriem vai nieru mazspēju anamnēzē ir rūpīgi jānovēro, un ikviens pacients ar sirds vai nieru mazspēju saistītiem simptomiem ir jāizmeklē un jāārstē.</w:t>
      </w:r>
    </w:p>
    <w:p w14:paraId="3D394A3E" w14:textId="77777777" w:rsidR="009E01F8" w:rsidRPr="00CD729C" w:rsidRDefault="009E01F8" w:rsidP="009B4BB6">
      <w:pPr>
        <w:pStyle w:val="Text"/>
        <w:widowControl w:val="0"/>
        <w:spacing w:before="0"/>
        <w:jc w:val="left"/>
        <w:rPr>
          <w:color w:val="000000"/>
          <w:sz w:val="22"/>
          <w:szCs w:val="22"/>
          <w:lang w:val="lv-LV"/>
        </w:rPr>
      </w:pPr>
    </w:p>
    <w:p w14:paraId="3D394A3F" w14:textId="77777777" w:rsidR="009E01F8" w:rsidRPr="00CD729C" w:rsidRDefault="009E01F8" w:rsidP="009B4BB6">
      <w:pPr>
        <w:pStyle w:val="Text"/>
        <w:widowControl w:val="0"/>
        <w:spacing w:before="0"/>
        <w:jc w:val="left"/>
        <w:rPr>
          <w:color w:val="000000"/>
          <w:sz w:val="22"/>
          <w:szCs w:val="22"/>
          <w:lang w:val="lv-LV"/>
        </w:rPr>
      </w:pPr>
      <w:r w:rsidRPr="00CD729C">
        <w:rPr>
          <w:color w:val="000000"/>
          <w:sz w:val="22"/>
          <w:szCs w:val="22"/>
          <w:lang w:val="lv-LV"/>
        </w:rPr>
        <w:t>Pacientiem ar hipereozinofīlijas sindromu (HES) ar slēptu HES šūnu infiltrāciju miokardā bijuši atsevišķi kardiogēniskā šoka/kreisā kambara disfunkcijas gadījumi, kas saistīti ar HES šūnu degranulāciju, uzsākot terapiju ar imatinibu. Ziņots, ka šis stāvoklis bija atgriezenisks, kad tika pielietoti sistēmiskie steroīdi, asinsriti nodrošinoši pasākumi un uz laiku tika pārtraukta imatiniba lietošana. Tā kā saistībā ar imatiniba lietošanu saņemti retāki blakusparādību ziņojumi par sirdsdarbības traucējumiem, pirms imatiniba lietošanas HES/CEL pacientiem nepieciešams rūpīgi izvērtēt imatiniba terapijas ieguvuma/riska attiecību.</w:t>
      </w:r>
    </w:p>
    <w:p w14:paraId="3D394A40" w14:textId="77777777" w:rsidR="009E01F8" w:rsidRPr="00CD729C" w:rsidRDefault="009E01F8" w:rsidP="009B4BB6">
      <w:pPr>
        <w:pStyle w:val="Text"/>
        <w:widowControl w:val="0"/>
        <w:spacing w:before="0"/>
        <w:jc w:val="left"/>
        <w:rPr>
          <w:color w:val="000000"/>
          <w:sz w:val="22"/>
          <w:szCs w:val="22"/>
          <w:lang w:val="lv-LV"/>
        </w:rPr>
      </w:pPr>
    </w:p>
    <w:p w14:paraId="3D394A41" w14:textId="77777777" w:rsidR="009E01F8" w:rsidRPr="00CD729C" w:rsidRDefault="009E01F8" w:rsidP="009B4BB6">
      <w:pPr>
        <w:pStyle w:val="Text"/>
        <w:widowControl w:val="0"/>
        <w:spacing w:before="0"/>
        <w:jc w:val="left"/>
        <w:rPr>
          <w:color w:val="000000"/>
          <w:sz w:val="22"/>
          <w:szCs w:val="22"/>
          <w:lang w:val="lv-LV"/>
        </w:rPr>
      </w:pPr>
      <w:r w:rsidRPr="00CD729C">
        <w:rPr>
          <w:color w:val="000000"/>
          <w:sz w:val="22"/>
          <w:szCs w:val="22"/>
          <w:lang w:val="lv-LV"/>
        </w:rPr>
        <w:t>Mielodisplāziskas/mieloproliferatīvas slimības ar PDGFR gēnu pārkārtošanos var būt saistītas ar augstu eozinofīlu līmeni. Tāpēc pacientiem ar HES/CEL un pacientiem ar MDS/MPD, kas saistīti ar augstu eozinofīlu līmeni, pirms imatiniba lietošanas apsverama konsultācija pie kardioloģijas speciālista, ehokardiogrammas veikšana un seruma troponīna noteikšana. Ja kādas no šo pārbaužu rezultātiem uzrāda novirzes, ārstēšanas sākumā apsverama kardioloģijas speciālista uzraudzība un profilaktiska sistēmisko steroīdu (1</w:t>
      </w:r>
      <w:r w:rsidRPr="00CD729C">
        <w:rPr>
          <w:color w:val="000000"/>
          <w:sz w:val="22"/>
          <w:szCs w:val="22"/>
          <w:lang w:val="lv-LV"/>
        </w:rPr>
        <w:noBreakHyphen/>
        <w:t>2 mg/kg) lietošana vienu vai divas nedēļas vienlaikus ar imatinibu.</w:t>
      </w:r>
    </w:p>
    <w:p w14:paraId="3D394A42" w14:textId="77777777" w:rsidR="009E01F8" w:rsidRPr="00CD729C" w:rsidRDefault="009E01F8" w:rsidP="009B4BB6">
      <w:pPr>
        <w:widowControl w:val="0"/>
        <w:tabs>
          <w:tab w:val="clear" w:pos="567"/>
        </w:tabs>
        <w:spacing w:line="240" w:lineRule="auto"/>
        <w:rPr>
          <w:color w:val="000000"/>
          <w:szCs w:val="22"/>
        </w:rPr>
      </w:pPr>
    </w:p>
    <w:p w14:paraId="3D394A43" w14:textId="77777777" w:rsidR="009E01F8" w:rsidRPr="00CD729C" w:rsidRDefault="009E01F8" w:rsidP="009B4BB6">
      <w:pPr>
        <w:keepNext/>
        <w:widowControl w:val="0"/>
        <w:tabs>
          <w:tab w:val="clear" w:pos="567"/>
        </w:tabs>
        <w:spacing w:line="240" w:lineRule="auto"/>
        <w:rPr>
          <w:color w:val="000000"/>
          <w:szCs w:val="22"/>
          <w:u w:val="single"/>
        </w:rPr>
      </w:pPr>
      <w:r w:rsidRPr="00CD729C">
        <w:rPr>
          <w:color w:val="000000"/>
          <w:szCs w:val="22"/>
          <w:u w:val="single"/>
        </w:rPr>
        <w:t>Kuņģa-zarnu trakta asiņošana</w:t>
      </w:r>
    </w:p>
    <w:p w14:paraId="3D394A44" w14:textId="77777777" w:rsidR="000261F0" w:rsidRPr="00CD729C" w:rsidRDefault="009E01F8" w:rsidP="009B4BB6">
      <w:pPr>
        <w:widowControl w:val="0"/>
        <w:tabs>
          <w:tab w:val="clear" w:pos="567"/>
        </w:tabs>
        <w:spacing w:line="240" w:lineRule="auto"/>
        <w:rPr>
          <w:color w:val="000000"/>
          <w:szCs w:val="22"/>
        </w:rPr>
      </w:pPr>
      <w:r w:rsidRPr="00CD729C">
        <w:rPr>
          <w:color w:val="000000"/>
          <w:szCs w:val="22"/>
        </w:rPr>
        <w:t>Klīniskā pētījumā slimniekiem ar nerezecējamu un/vai metastazējušu GIST ir aprakstīta gan kuņģa-zarnu trakta, gan intratumorālā asiņošana (skatīt 4.8.</w:t>
      </w:r>
      <w:r w:rsidR="00E76E7F" w:rsidRPr="00CD729C">
        <w:rPr>
          <w:color w:val="000000"/>
          <w:szCs w:val="22"/>
        </w:rPr>
        <w:t> apakšpunktu</w:t>
      </w:r>
      <w:r w:rsidRPr="00CD729C">
        <w:rPr>
          <w:color w:val="000000"/>
          <w:szCs w:val="22"/>
        </w:rPr>
        <w:t>). Ievērojot pieejamos datus, predisponējoši faktori (piemēram, audzēja lielums un lokalizācija vai asins koagulācijas traucējumi) nav konstatēti. Tādēļ GIST slimnieki, ievērojot jebkādas etioloģijas asiņošanas iespēju, paaugstināta riska grupā neietilpst. Tā kā palielināts asinsvadu daudzums audos un asiņošanas tendence ir attiecināmas uz GIST klīniskās gaitas īpašībām, visiem šāda veida pacientiem ir jāpiemēro standarta pieeja un procedūras asiņošanas kontrolei un terapijai.</w:t>
      </w:r>
    </w:p>
    <w:p w14:paraId="3D394A45" w14:textId="77777777" w:rsidR="000261F0" w:rsidRPr="00CD729C" w:rsidRDefault="000261F0" w:rsidP="009B4BB6">
      <w:pPr>
        <w:widowControl w:val="0"/>
        <w:tabs>
          <w:tab w:val="clear" w:pos="567"/>
        </w:tabs>
        <w:spacing w:line="240" w:lineRule="auto"/>
        <w:rPr>
          <w:color w:val="000000"/>
          <w:szCs w:val="22"/>
        </w:rPr>
      </w:pPr>
    </w:p>
    <w:p w14:paraId="3D394A46" w14:textId="77777777" w:rsidR="009E01F8" w:rsidRPr="00CD729C" w:rsidRDefault="000261F0" w:rsidP="009B4BB6">
      <w:pPr>
        <w:widowControl w:val="0"/>
        <w:tabs>
          <w:tab w:val="clear" w:pos="567"/>
        </w:tabs>
        <w:spacing w:line="240" w:lineRule="auto"/>
        <w:rPr>
          <w:color w:val="000000"/>
          <w:szCs w:val="22"/>
        </w:rPr>
      </w:pPr>
      <w:r w:rsidRPr="00CD729C">
        <w:rPr>
          <w:color w:val="000000"/>
          <w:szCs w:val="22"/>
        </w:rPr>
        <w:t xml:space="preserve">Turklāt pacientiem ar CML, ALL un citām slimībām (skatīt 4.8. apakšpunktu) pēcreģistrācijas periodā ziņots par kuņģa antrālo vaskulāro ektāziju (GAVE – </w:t>
      </w:r>
      <w:r w:rsidRPr="00CD729C">
        <w:rPr>
          <w:i/>
          <w:color w:val="000000"/>
          <w:szCs w:val="22"/>
        </w:rPr>
        <w:t>gastric antral vascular ectasia</w:t>
      </w:r>
      <w:r w:rsidRPr="00CD729C">
        <w:rPr>
          <w:color w:val="000000"/>
          <w:szCs w:val="22"/>
        </w:rPr>
        <w:t>) – retu kuņģa-zarnu trakta asiņošanas iemeslu. Nepieciešamības gadījumā var apsvērt ārstēšanas ar Glivec pārtraukšanu.</w:t>
      </w:r>
    </w:p>
    <w:p w14:paraId="3D394A47" w14:textId="77777777" w:rsidR="009E01F8" w:rsidRPr="00CD729C" w:rsidRDefault="009E01F8" w:rsidP="009B4BB6">
      <w:pPr>
        <w:pStyle w:val="EndnoteText"/>
        <w:widowControl w:val="0"/>
        <w:tabs>
          <w:tab w:val="clear" w:pos="567"/>
        </w:tabs>
        <w:rPr>
          <w:snapToGrid w:val="0"/>
          <w:color w:val="000000"/>
          <w:szCs w:val="22"/>
        </w:rPr>
      </w:pPr>
    </w:p>
    <w:p w14:paraId="3D394A48" w14:textId="77777777" w:rsidR="009E01F8" w:rsidRPr="00CD729C" w:rsidRDefault="009E01F8" w:rsidP="009B4BB6">
      <w:pPr>
        <w:pStyle w:val="EndnoteText"/>
        <w:keepNext/>
        <w:widowControl w:val="0"/>
        <w:tabs>
          <w:tab w:val="clear" w:pos="567"/>
        </w:tabs>
        <w:rPr>
          <w:snapToGrid w:val="0"/>
          <w:color w:val="000000"/>
          <w:szCs w:val="22"/>
          <w:u w:val="single"/>
        </w:rPr>
      </w:pPr>
      <w:r w:rsidRPr="00CD729C">
        <w:rPr>
          <w:snapToGrid w:val="0"/>
          <w:color w:val="000000"/>
          <w:szCs w:val="22"/>
          <w:u w:val="single"/>
        </w:rPr>
        <w:t>Audzēja sabrukšanas sindroms</w:t>
      </w:r>
    </w:p>
    <w:p w14:paraId="3D394A49" w14:textId="77777777" w:rsidR="009E01F8" w:rsidRDefault="009E01F8" w:rsidP="009B4BB6">
      <w:pPr>
        <w:pStyle w:val="EndnoteText"/>
        <w:widowControl w:val="0"/>
        <w:tabs>
          <w:tab w:val="clear" w:pos="567"/>
        </w:tabs>
        <w:rPr>
          <w:snapToGrid w:val="0"/>
          <w:color w:val="000000"/>
          <w:szCs w:val="22"/>
        </w:rPr>
      </w:pPr>
      <w:r w:rsidRPr="00CD729C">
        <w:rPr>
          <w:snapToGrid w:val="0"/>
          <w:color w:val="000000"/>
          <w:szCs w:val="22"/>
        </w:rPr>
        <w:t>Saistībā ar iespējamu audzēja sabrukšanas sindroma (ASS) attīstības risku, pirms ārstēšanas ar Glivec uzsākšanas nepieciešams veikt klīniski nozīmīgas dehidratācijas korekciju un augsta urīnskābes līmeņa asinīs terapiju (skatīt 4.8.</w:t>
      </w:r>
      <w:r w:rsidR="00E76E7F" w:rsidRPr="00CD729C">
        <w:rPr>
          <w:color w:val="000000"/>
          <w:szCs w:val="22"/>
        </w:rPr>
        <w:t> apakšpunktu</w:t>
      </w:r>
      <w:r w:rsidRPr="00CD729C">
        <w:rPr>
          <w:snapToGrid w:val="0"/>
          <w:color w:val="000000"/>
          <w:szCs w:val="22"/>
        </w:rPr>
        <w:t>).</w:t>
      </w:r>
    </w:p>
    <w:p w14:paraId="3D394A4A" w14:textId="77777777" w:rsidR="00341FA1" w:rsidRPr="00341FA1" w:rsidRDefault="00341FA1" w:rsidP="009B4BB6">
      <w:pPr>
        <w:widowControl w:val="0"/>
        <w:spacing w:line="240" w:lineRule="auto"/>
      </w:pPr>
    </w:p>
    <w:p w14:paraId="3D394A4B" w14:textId="77777777" w:rsidR="00DB74ED" w:rsidRPr="002D2A1E" w:rsidRDefault="00DB74ED" w:rsidP="009B4BB6">
      <w:pPr>
        <w:pStyle w:val="Default"/>
        <w:keepNext/>
        <w:widowControl w:val="0"/>
        <w:rPr>
          <w:rFonts w:ascii="Times New Roman" w:hAnsi="Times New Roman" w:cs="Times New Roman"/>
          <w:sz w:val="22"/>
          <w:szCs w:val="22"/>
          <w:u w:val="single"/>
          <w:lang w:val="lv-LV"/>
        </w:rPr>
      </w:pPr>
      <w:r w:rsidRPr="002D2A1E">
        <w:rPr>
          <w:rFonts w:ascii="Times New Roman" w:hAnsi="Times New Roman" w:cs="Times New Roman"/>
          <w:sz w:val="22"/>
          <w:szCs w:val="22"/>
          <w:u w:val="single"/>
          <w:lang w:val="lv-LV"/>
        </w:rPr>
        <w:t>B hepatīta reaktivācija</w:t>
      </w:r>
    </w:p>
    <w:p w14:paraId="3D394A4C" w14:textId="77777777" w:rsidR="0059270C" w:rsidRDefault="00DB74ED" w:rsidP="009B4BB6">
      <w:pPr>
        <w:pStyle w:val="Default"/>
        <w:widowControl w:val="0"/>
        <w:rPr>
          <w:rFonts w:ascii="Times New Roman" w:hAnsi="Times New Roman" w:cs="Times New Roman"/>
          <w:sz w:val="22"/>
          <w:szCs w:val="22"/>
          <w:lang w:val="lv-LV"/>
        </w:rPr>
      </w:pPr>
      <w:r w:rsidRPr="002D2A1E">
        <w:rPr>
          <w:rFonts w:ascii="Times New Roman" w:hAnsi="Times New Roman" w:cs="Times New Roman"/>
          <w:sz w:val="22"/>
          <w:szCs w:val="22"/>
          <w:lang w:val="lv-LV"/>
        </w:rPr>
        <w:t xml:space="preserve">Pēc tam, kad pacienti, kuri ir hroniski B hepatīta vīrusa nēsātāji, bija lietojuši </w:t>
      </w:r>
      <w:r w:rsidRPr="002D2A1E">
        <w:rPr>
          <w:rFonts w:ascii="Times New Roman" w:hAnsi="Times New Roman" w:cs="Times New Roman"/>
          <w:i/>
          <w:iCs/>
          <w:sz w:val="22"/>
          <w:szCs w:val="22"/>
          <w:lang w:val="lv-LV"/>
        </w:rPr>
        <w:t xml:space="preserve">Brc-Abl </w:t>
      </w:r>
      <w:r w:rsidRPr="002D2A1E">
        <w:rPr>
          <w:rFonts w:ascii="Times New Roman" w:hAnsi="Times New Roman" w:cs="Times New Roman"/>
          <w:sz w:val="22"/>
          <w:szCs w:val="22"/>
          <w:lang w:val="lv-LV"/>
        </w:rPr>
        <w:t>tirozīnkināzes inhibitorus, novēroja šā vīrusa reaktivāciju. Dažos gadījumos iestājās akūta aknu mazspēja vai fulminants hepatīts, kura dēļ bija jāveic aknu transplantācija, vai iznākums bija letāls.</w:t>
      </w:r>
    </w:p>
    <w:p w14:paraId="3D394A4D" w14:textId="77777777" w:rsidR="00DB74ED" w:rsidRPr="002D2A1E" w:rsidRDefault="00DB74ED" w:rsidP="009B4BB6">
      <w:pPr>
        <w:pStyle w:val="Default"/>
        <w:widowControl w:val="0"/>
        <w:rPr>
          <w:rFonts w:ascii="Times New Roman" w:hAnsi="Times New Roman" w:cs="Times New Roman"/>
          <w:sz w:val="22"/>
          <w:szCs w:val="22"/>
          <w:lang w:val="lv-LV"/>
        </w:rPr>
      </w:pPr>
    </w:p>
    <w:p w14:paraId="3D394A4E" w14:textId="77777777" w:rsidR="00DB74ED" w:rsidRDefault="00DB74ED" w:rsidP="009B4BB6">
      <w:pPr>
        <w:widowControl w:val="0"/>
        <w:spacing w:line="240" w:lineRule="auto"/>
        <w:rPr>
          <w:szCs w:val="22"/>
        </w:rPr>
      </w:pPr>
      <w:r w:rsidRPr="00A73076">
        <w:rPr>
          <w:szCs w:val="22"/>
        </w:rPr>
        <w:t>Pirms uzsākt ārstēš</w:t>
      </w:r>
      <w:r>
        <w:rPr>
          <w:szCs w:val="22"/>
        </w:rPr>
        <w:t>anu ar Tasigna</w:t>
      </w:r>
      <w:r w:rsidRPr="00A73076">
        <w:rPr>
          <w:szCs w:val="22"/>
        </w:rPr>
        <w:t>, pacienti jātestē uz BHV infekciju. Pacientiem ar pozitīvu B hepatīta vīrusa seroloģiju (tajā skaitā pacientiem ar aktīvu slimību) pirms ārstēšanas uzsākšanas un pacientiem, kuriem ārstēšanas laikā BHV infekcijas tests ir pozitīvs, jākonsultējas ar aknu slimību un B hepatīta vīrusa ārstēšanas speciālistiem. Terapijas laikā un vairākus mēnešus pēc terapijas beigšanas BHV nēsātāji, kuriem nepieciešama ārstēš</w:t>
      </w:r>
      <w:r>
        <w:rPr>
          <w:szCs w:val="22"/>
        </w:rPr>
        <w:t>ana ar Tasigna</w:t>
      </w:r>
      <w:r w:rsidRPr="00A73076">
        <w:rPr>
          <w:szCs w:val="22"/>
        </w:rPr>
        <w:t>, rūpīgi jānovēro, vai nerodas aktīvas BHV infekcijas pazīmes un simptomi (skatī</w:t>
      </w:r>
      <w:r>
        <w:rPr>
          <w:szCs w:val="22"/>
        </w:rPr>
        <w:t>t 4.8. </w:t>
      </w:r>
      <w:r w:rsidRPr="00A73076">
        <w:rPr>
          <w:szCs w:val="22"/>
        </w:rPr>
        <w:t>apakšpunktu).</w:t>
      </w:r>
    </w:p>
    <w:p w14:paraId="3D394A4F" w14:textId="77777777" w:rsidR="00561580" w:rsidRDefault="00561580" w:rsidP="009B4BB6">
      <w:pPr>
        <w:widowControl w:val="0"/>
        <w:spacing w:line="240" w:lineRule="auto"/>
        <w:rPr>
          <w:szCs w:val="22"/>
        </w:rPr>
      </w:pPr>
    </w:p>
    <w:p w14:paraId="3D394A50" w14:textId="77777777" w:rsidR="00561580" w:rsidRPr="00DF7DD8" w:rsidRDefault="00561580" w:rsidP="009B4BB6">
      <w:pPr>
        <w:keepNext/>
        <w:widowControl w:val="0"/>
        <w:spacing w:line="240" w:lineRule="auto"/>
        <w:rPr>
          <w:szCs w:val="22"/>
          <w:u w:val="single"/>
        </w:rPr>
      </w:pPr>
      <w:r w:rsidRPr="00DF7DD8">
        <w:rPr>
          <w:szCs w:val="22"/>
          <w:u w:val="single"/>
        </w:rPr>
        <w:t>Fototoksicitāte</w:t>
      </w:r>
    </w:p>
    <w:p w14:paraId="3D394A51" w14:textId="77777777" w:rsidR="00561580" w:rsidRPr="005C000F" w:rsidRDefault="00561580" w:rsidP="009B4BB6">
      <w:pPr>
        <w:widowControl w:val="0"/>
        <w:spacing w:line="240" w:lineRule="auto"/>
        <w:rPr>
          <w:szCs w:val="22"/>
        </w:rPr>
      </w:pPr>
      <w:r>
        <w:rPr>
          <w:szCs w:val="22"/>
        </w:rPr>
        <w:t xml:space="preserve">Jāizvairās no tiešas saules staru iedarbības vai tā jāsamazina fototoksicitātes riska dēļ, kas ir saistīts ar imatinaba lietošanu. </w:t>
      </w:r>
      <w:r w:rsidRPr="005C000F">
        <w:rPr>
          <w:szCs w:val="22"/>
        </w:rPr>
        <w:t>Pacient</w:t>
      </w:r>
      <w:r w:rsidR="00B40010" w:rsidRPr="005C000F">
        <w:rPr>
          <w:szCs w:val="22"/>
        </w:rPr>
        <w:t>i</w:t>
      </w:r>
      <w:r w:rsidRPr="005C000F">
        <w:rPr>
          <w:szCs w:val="22"/>
        </w:rPr>
        <w:t xml:space="preserve"> ir jāinformē par </w:t>
      </w:r>
      <w:r w:rsidR="00195EDE" w:rsidRPr="005C000F">
        <w:rPr>
          <w:szCs w:val="22"/>
        </w:rPr>
        <w:t>piesardzības</w:t>
      </w:r>
      <w:r w:rsidRPr="005C000F">
        <w:rPr>
          <w:szCs w:val="22"/>
        </w:rPr>
        <w:t xml:space="preserve"> </w:t>
      </w:r>
      <w:r w:rsidR="00E021A1" w:rsidRPr="005C000F">
        <w:rPr>
          <w:szCs w:val="22"/>
        </w:rPr>
        <w:t>pasākumiem</w:t>
      </w:r>
      <w:r w:rsidRPr="005C000F">
        <w:rPr>
          <w:szCs w:val="22"/>
        </w:rPr>
        <w:t>, tād</w:t>
      </w:r>
      <w:r w:rsidR="00B40010" w:rsidRPr="005C000F">
        <w:rPr>
          <w:szCs w:val="22"/>
        </w:rPr>
        <w:t>iem</w:t>
      </w:r>
      <w:r w:rsidRPr="005C000F">
        <w:rPr>
          <w:szCs w:val="22"/>
        </w:rPr>
        <w:t xml:space="preserve"> kā aizsargājoša apģērba un sauļošanās krēma ar augstu saules aizsardzības faktoru (</w:t>
      </w:r>
      <w:r w:rsidRPr="005C000F">
        <w:rPr>
          <w:i/>
          <w:szCs w:val="22"/>
        </w:rPr>
        <w:t>SPF</w:t>
      </w:r>
      <w:r w:rsidRPr="005C000F">
        <w:rPr>
          <w:szCs w:val="22"/>
        </w:rPr>
        <w:t>) lietošanu.</w:t>
      </w:r>
    </w:p>
    <w:p w14:paraId="3D394A52" w14:textId="77777777" w:rsidR="003F703E" w:rsidRPr="005C000F" w:rsidRDefault="003F703E" w:rsidP="009B4BB6">
      <w:pPr>
        <w:widowControl w:val="0"/>
        <w:tabs>
          <w:tab w:val="clear" w:pos="567"/>
        </w:tabs>
        <w:spacing w:line="240" w:lineRule="auto"/>
        <w:rPr>
          <w:color w:val="000000"/>
          <w:szCs w:val="22"/>
        </w:rPr>
      </w:pPr>
    </w:p>
    <w:p w14:paraId="3D394A53" w14:textId="77777777" w:rsidR="003F703E" w:rsidRPr="005C000F" w:rsidRDefault="003F703E" w:rsidP="009B4BB6">
      <w:pPr>
        <w:keepNext/>
        <w:widowControl w:val="0"/>
        <w:tabs>
          <w:tab w:val="clear" w:pos="567"/>
        </w:tabs>
        <w:spacing w:line="240" w:lineRule="auto"/>
        <w:rPr>
          <w:color w:val="000000"/>
          <w:szCs w:val="22"/>
          <w:u w:val="single"/>
        </w:rPr>
      </w:pPr>
      <w:r w:rsidRPr="005C000F">
        <w:rPr>
          <w:color w:val="000000"/>
          <w:szCs w:val="22"/>
          <w:u w:val="single"/>
        </w:rPr>
        <w:t>Trombotiska mikroangiopātija</w:t>
      </w:r>
    </w:p>
    <w:p w14:paraId="3D394A54" w14:textId="77777777" w:rsidR="003F703E" w:rsidRDefault="003F703E" w:rsidP="009B4BB6">
      <w:pPr>
        <w:widowControl w:val="0"/>
        <w:tabs>
          <w:tab w:val="clear" w:pos="567"/>
        </w:tabs>
        <w:spacing w:line="240" w:lineRule="auto"/>
        <w:rPr>
          <w:color w:val="000000"/>
          <w:szCs w:val="22"/>
        </w:rPr>
      </w:pPr>
      <w:r w:rsidRPr="005C000F">
        <w:rPr>
          <w:color w:val="000000"/>
          <w:szCs w:val="22"/>
        </w:rPr>
        <w:t>B</w:t>
      </w:r>
      <w:r w:rsidR="007E4D93" w:rsidRPr="005C000F">
        <w:rPr>
          <w:color w:val="000000"/>
          <w:szCs w:val="22"/>
        </w:rPr>
        <w:t>cr</w:t>
      </w:r>
      <w:r w:rsidRPr="005C000F">
        <w:rPr>
          <w:color w:val="000000"/>
          <w:szCs w:val="22"/>
        </w:rPr>
        <w:t>-A</w:t>
      </w:r>
      <w:r w:rsidR="007E4D93" w:rsidRPr="005C000F">
        <w:rPr>
          <w:color w:val="000000"/>
          <w:szCs w:val="22"/>
        </w:rPr>
        <w:t>bl</w:t>
      </w:r>
      <w:r w:rsidRPr="005C000F">
        <w:rPr>
          <w:color w:val="000000"/>
          <w:szCs w:val="22"/>
        </w:rPr>
        <w:t xml:space="preserve"> tirozīnkināzes inhibitoru (TKIs) lietošana saistīta ar trombotisku mikroangiopātiju (TMA), tajā skaitā individuāl</w:t>
      </w:r>
      <w:r w:rsidR="005E47C7" w:rsidRPr="005C000F">
        <w:rPr>
          <w:color w:val="000000"/>
          <w:szCs w:val="22"/>
        </w:rPr>
        <w:t>u</w:t>
      </w:r>
      <w:r w:rsidRPr="005C000F">
        <w:rPr>
          <w:color w:val="000000"/>
          <w:szCs w:val="22"/>
        </w:rPr>
        <w:t xml:space="preserve"> </w:t>
      </w:r>
      <w:r w:rsidR="005E47C7" w:rsidRPr="005C000F">
        <w:rPr>
          <w:color w:val="000000"/>
          <w:szCs w:val="22"/>
        </w:rPr>
        <w:t xml:space="preserve">gadījumu </w:t>
      </w:r>
      <w:r w:rsidRPr="005C000F">
        <w:rPr>
          <w:color w:val="000000"/>
          <w:szCs w:val="22"/>
        </w:rPr>
        <w:t>ziņojumiem par Glivec (skatīt 4.8. apakšpunktu). Ja pacientam, kurš lieto Glivec, rodas laborator</w:t>
      </w:r>
      <w:r w:rsidR="00551AD3" w:rsidRPr="005C000F">
        <w:rPr>
          <w:color w:val="000000"/>
          <w:szCs w:val="22"/>
        </w:rPr>
        <w:t>isk</w:t>
      </w:r>
      <w:r w:rsidRPr="005C000F">
        <w:rPr>
          <w:color w:val="000000"/>
          <w:szCs w:val="22"/>
        </w:rPr>
        <w:t>as vai klīniskas atrades, kas sasitītas ar TMA, ārstēšana ir jāpārtrauc un rūpīgi j</w:t>
      </w:r>
      <w:r w:rsidR="00EA333F" w:rsidRPr="005C000F">
        <w:rPr>
          <w:color w:val="000000"/>
          <w:szCs w:val="22"/>
        </w:rPr>
        <w:t>ā</w:t>
      </w:r>
      <w:r w:rsidRPr="005C000F">
        <w:rPr>
          <w:color w:val="000000"/>
          <w:szCs w:val="22"/>
        </w:rPr>
        <w:t>izvērtē TMA, tajā skaitā nosakot ADAMTS13 aktivitāti un anti-ADAMTS13 antivielas. Ja anti-ADAMTS-13 antivielu līmenis</w:t>
      </w:r>
      <w:r>
        <w:rPr>
          <w:color w:val="000000"/>
          <w:szCs w:val="22"/>
        </w:rPr>
        <w:t xml:space="preserve"> ir paaugstināts kombinācijā ar zemu ADAMTS 13 aktivitāti, ārstēšanu ar Glivec nedrīkst turpināt.</w:t>
      </w:r>
    </w:p>
    <w:p w14:paraId="3D394A55" w14:textId="77777777" w:rsidR="009E01F8" w:rsidRPr="00CD729C" w:rsidRDefault="009E01F8" w:rsidP="009B4BB6">
      <w:pPr>
        <w:widowControl w:val="0"/>
        <w:tabs>
          <w:tab w:val="clear" w:pos="567"/>
        </w:tabs>
        <w:spacing w:line="240" w:lineRule="auto"/>
        <w:rPr>
          <w:color w:val="000000"/>
          <w:szCs w:val="22"/>
        </w:rPr>
      </w:pPr>
    </w:p>
    <w:p w14:paraId="3D394A56" w14:textId="77777777" w:rsidR="009E01F8" w:rsidRPr="00CD729C" w:rsidRDefault="009E01F8" w:rsidP="009B4BB6">
      <w:pPr>
        <w:keepNext/>
        <w:widowControl w:val="0"/>
        <w:tabs>
          <w:tab w:val="clear" w:pos="567"/>
        </w:tabs>
        <w:spacing w:line="240" w:lineRule="auto"/>
        <w:rPr>
          <w:color w:val="000000"/>
          <w:szCs w:val="22"/>
          <w:u w:val="single"/>
        </w:rPr>
      </w:pPr>
      <w:r w:rsidRPr="00CD729C">
        <w:rPr>
          <w:color w:val="000000"/>
          <w:szCs w:val="22"/>
          <w:u w:val="single"/>
        </w:rPr>
        <w:t>Laboratoriskie izmeklējumi</w:t>
      </w:r>
    </w:p>
    <w:p w14:paraId="3D394A57"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Glivec terapijas laikā regulāri jākontrolē pilna asinsaina. CML slimnieku ārstēšana ar Glivec ir saistīta ar neitropēniju un trombocitopēniju, tomēr šķiet, ka šīs citopēnijas ir saistītas ar ārstējamās slimības stadiju. Salīdzinot ar pacientiem, kam CML ir hroniskā fāzē, pacientiem CML akcelerācijas fāzē vai blastu krīzes apstākļos citopēniju novēro biežāk. Kā ieteikts apakšpunktā 4.2., Glivec terapiju ir iespējams pārtraukt vai samazināt preparāta devu.</w:t>
      </w:r>
    </w:p>
    <w:p w14:paraId="3D394A58" w14:textId="77777777" w:rsidR="009E01F8" w:rsidRPr="00CD729C" w:rsidRDefault="009E01F8" w:rsidP="009B4BB6">
      <w:pPr>
        <w:widowControl w:val="0"/>
        <w:tabs>
          <w:tab w:val="clear" w:pos="567"/>
        </w:tabs>
        <w:spacing w:line="240" w:lineRule="auto"/>
        <w:rPr>
          <w:color w:val="000000"/>
          <w:szCs w:val="22"/>
        </w:rPr>
      </w:pPr>
    </w:p>
    <w:p w14:paraId="3D394A59"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Pacientiem, kas saņem Glivec, regulāri jākontrolē aknu funkcija (transamināzes, bilirubīns un sārmainā fosfatāze).</w:t>
      </w:r>
    </w:p>
    <w:p w14:paraId="3D394A5A" w14:textId="77777777" w:rsidR="009E01F8" w:rsidRPr="00CD729C" w:rsidRDefault="009E01F8" w:rsidP="009B4BB6">
      <w:pPr>
        <w:widowControl w:val="0"/>
        <w:tabs>
          <w:tab w:val="clear" w:pos="567"/>
        </w:tabs>
        <w:spacing w:line="240" w:lineRule="auto"/>
        <w:rPr>
          <w:color w:val="000000"/>
          <w:szCs w:val="22"/>
        </w:rPr>
      </w:pPr>
    </w:p>
    <w:p w14:paraId="3D394A5B" w14:textId="77777777" w:rsidR="009E01F8" w:rsidRPr="00CD729C" w:rsidRDefault="009E01F8" w:rsidP="009B4BB6">
      <w:pPr>
        <w:pStyle w:val="EndnoteText"/>
        <w:widowControl w:val="0"/>
        <w:tabs>
          <w:tab w:val="clear" w:pos="567"/>
        </w:tabs>
        <w:rPr>
          <w:color w:val="000000"/>
        </w:rPr>
      </w:pPr>
      <w:r w:rsidRPr="00CD729C">
        <w:rPr>
          <w:color w:val="000000"/>
        </w:rPr>
        <w:t>Pacientiem ar nieru darbības traucējumiem imatiniba koncentrācija plazmā ir lielāka nekā pacientiem ar normālu nieru darbību, iespējams, paaugstināta alfa skābā glikoproteīna (AGP) (olbaltuma, kas saista imatinibu). Pacientiem ar nieru darbības traucējumiem jālieto minimālā sākuma deva. Pacietiem ar smagiem nieru darbības traucējumiem ārstēšanā jāievēro piesardzība. Devu var samazināt, ja rodas blakusparādības (skatīt 4.2. un 5.2.</w:t>
      </w:r>
      <w:r w:rsidR="00096280" w:rsidRPr="00CD729C">
        <w:rPr>
          <w:color w:val="000000"/>
          <w:szCs w:val="22"/>
        </w:rPr>
        <w:t> apakšpunktu</w:t>
      </w:r>
      <w:r w:rsidRPr="00CD729C">
        <w:rPr>
          <w:color w:val="000000"/>
        </w:rPr>
        <w:t>).</w:t>
      </w:r>
    </w:p>
    <w:p w14:paraId="3D394A5C" w14:textId="77777777" w:rsidR="00803783" w:rsidRDefault="00803783" w:rsidP="009B4BB6">
      <w:pPr>
        <w:pStyle w:val="EndnoteText"/>
        <w:widowControl w:val="0"/>
        <w:tabs>
          <w:tab w:val="clear" w:pos="567"/>
        </w:tabs>
        <w:rPr>
          <w:color w:val="000000"/>
          <w:szCs w:val="22"/>
        </w:rPr>
      </w:pPr>
    </w:p>
    <w:p w14:paraId="3D394A5D" w14:textId="77777777" w:rsidR="00803783" w:rsidRDefault="00803783" w:rsidP="009B4BB6">
      <w:pPr>
        <w:widowControl w:val="0"/>
        <w:spacing w:line="240" w:lineRule="auto"/>
      </w:pPr>
      <w:r>
        <w:t>Ilgtermiņa ārstēšana ar imatinibu var būt saistīta ar klīniski nozīmīgām nieru funkciju izmaiņām. Tādēļ nieru funkcijas ir jāizvērtē pirms terapijas ar imatinibu uzsākšanas un rūpīgi jākontrolē terapijas laikā, īpašu uzmanību veltot pacientiem ar nieru funkciju traucējumu riska faktoriem. Ja tiek novēroti nieru darbības traucējumi, jānozīmē atbilstoša rīcība un ārstēšana saskaņā ar standarta ārstēšanas vadlīnijām.</w:t>
      </w:r>
    </w:p>
    <w:p w14:paraId="3D394A5E" w14:textId="77777777" w:rsidR="009E01F8" w:rsidRPr="00CD729C" w:rsidRDefault="009E01F8" w:rsidP="009B4BB6">
      <w:pPr>
        <w:pStyle w:val="EndnoteText"/>
        <w:widowControl w:val="0"/>
        <w:tabs>
          <w:tab w:val="clear" w:pos="567"/>
        </w:tabs>
        <w:rPr>
          <w:color w:val="000000"/>
          <w:szCs w:val="22"/>
        </w:rPr>
      </w:pPr>
    </w:p>
    <w:p w14:paraId="3D394A5F" w14:textId="77777777" w:rsidR="009E01F8" w:rsidRPr="00CC3621" w:rsidRDefault="009E01F8" w:rsidP="009B4BB6">
      <w:pPr>
        <w:pStyle w:val="TOC6"/>
        <w:rPr>
          <w:lang w:val="lv-LV"/>
        </w:rPr>
      </w:pPr>
      <w:r w:rsidRPr="00CC3621">
        <w:rPr>
          <w:lang w:val="lv-LV"/>
        </w:rPr>
        <w:t>Pediatriskā populācija</w:t>
      </w:r>
    </w:p>
    <w:p w14:paraId="3D394A60" w14:textId="77777777" w:rsidR="009E01F8" w:rsidRPr="00CD729C" w:rsidRDefault="009E01F8" w:rsidP="009B4BB6">
      <w:pPr>
        <w:pStyle w:val="EndnoteText"/>
        <w:widowControl w:val="0"/>
        <w:tabs>
          <w:tab w:val="clear" w:pos="567"/>
        </w:tabs>
        <w:rPr>
          <w:color w:val="000000"/>
          <w:szCs w:val="22"/>
        </w:rPr>
      </w:pPr>
      <w:r w:rsidRPr="00CD729C">
        <w:rPr>
          <w:szCs w:val="22"/>
          <w:lang w:bidi="kn-IN"/>
        </w:rPr>
        <w:t xml:space="preserve">Saņemti ziņojumi par augšanas aizturi bērniem un pusaudžiem, kurus ārstēja ar imatinibu. </w:t>
      </w:r>
      <w:r w:rsidR="005A7064">
        <w:rPr>
          <w:szCs w:val="22"/>
          <w:lang w:bidi="kn-IN"/>
        </w:rPr>
        <w:t>Novērošanas pētījumā pediatriskā populācijā ar CML pē</w:t>
      </w:r>
      <w:r w:rsidR="00D622C4">
        <w:rPr>
          <w:szCs w:val="22"/>
          <w:lang w:bidi="kn-IN"/>
        </w:rPr>
        <w:t>c 12 </w:t>
      </w:r>
      <w:r w:rsidR="005A7064">
        <w:rPr>
          <w:szCs w:val="22"/>
          <w:lang w:bidi="kn-IN"/>
        </w:rPr>
        <w:t xml:space="preserve">un 24 ārstēšanas mēnešiem ziņoja par auguma standartnovirzes </w:t>
      </w:r>
      <w:r w:rsidR="000A5E78" w:rsidRPr="00F867B0">
        <w:rPr>
          <w:szCs w:val="22"/>
          <w:lang w:bidi="kn-IN"/>
        </w:rPr>
        <w:t>vērtības</w:t>
      </w:r>
      <w:r w:rsidR="005A7064">
        <w:rPr>
          <w:szCs w:val="22"/>
          <w:lang w:bidi="kn-IN"/>
        </w:rPr>
        <w:t xml:space="preserve"> mediānas </w:t>
      </w:r>
      <w:r w:rsidR="00A5279B">
        <w:rPr>
          <w:szCs w:val="22"/>
          <w:lang w:bidi="kn-IN"/>
        </w:rPr>
        <w:t>statistiski būtisku</w:t>
      </w:r>
      <w:r w:rsidR="005A7064">
        <w:rPr>
          <w:szCs w:val="22"/>
          <w:lang w:bidi="kn-IN"/>
        </w:rPr>
        <w:t xml:space="preserve"> samazināšanos (</w:t>
      </w:r>
      <w:r w:rsidR="00A5279B">
        <w:rPr>
          <w:szCs w:val="22"/>
          <w:lang w:bidi="kn-IN"/>
        </w:rPr>
        <w:t>bet klīniskā nozīme nav skaidra</w:t>
      </w:r>
      <w:r w:rsidR="005A7064">
        <w:rPr>
          <w:szCs w:val="22"/>
          <w:lang w:bidi="kn-IN"/>
        </w:rPr>
        <w:t>) divām mazām apakšgrupām neatkarīgi no pubertātes statusa un dzimuma. Ā</w:t>
      </w:r>
      <w:r w:rsidRPr="00CD729C">
        <w:rPr>
          <w:szCs w:val="22"/>
          <w:lang w:bidi="kn-IN"/>
        </w:rPr>
        <w:t xml:space="preserve">rstēšanas laikā ar imatinibu ieteicams regulāri pārbaudīt bērna augumu </w:t>
      </w:r>
      <w:r w:rsidRPr="00CD729C">
        <w:rPr>
          <w:szCs w:val="22"/>
        </w:rPr>
        <w:t>(skatīt 4.8.</w:t>
      </w:r>
      <w:r w:rsidR="00096280" w:rsidRPr="00CD729C">
        <w:rPr>
          <w:color w:val="000000"/>
          <w:szCs w:val="22"/>
        </w:rPr>
        <w:t> apakšpunktu</w:t>
      </w:r>
      <w:r w:rsidRPr="00CD729C">
        <w:rPr>
          <w:szCs w:val="22"/>
        </w:rPr>
        <w:t>).</w:t>
      </w:r>
    </w:p>
    <w:p w14:paraId="3D394A61" w14:textId="77777777" w:rsidR="009E01F8" w:rsidRPr="00CD729C" w:rsidRDefault="009E01F8" w:rsidP="009B4BB6">
      <w:pPr>
        <w:widowControl w:val="0"/>
        <w:tabs>
          <w:tab w:val="clear" w:pos="567"/>
        </w:tabs>
        <w:spacing w:line="240" w:lineRule="auto"/>
        <w:rPr>
          <w:color w:val="000000"/>
          <w:szCs w:val="22"/>
        </w:rPr>
      </w:pPr>
    </w:p>
    <w:p w14:paraId="3D394A62" w14:textId="77777777" w:rsidR="009E01F8" w:rsidRPr="00CD729C" w:rsidRDefault="009E01F8" w:rsidP="009B4BB6">
      <w:pPr>
        <w:keepNext/>
        <w:widowControl w:val="0"/>
        <w:tabs>
          <w:tab w:val="clear" w:pos="567"/>
        </w:tabs>
        <w:spacing w:line="240" w:lineRule="auto"/>
        <w:ind w:left="567" w:hanging="567"/>
        <w:rPr>
          <w:b/>
          <w:color w:val="000000"/>
          <w:szCs w:val="22"/>
        </w:rPr>
      </w:pPr>
      <w:r w:rsidRPr="00CD729C">
        <w:rPr>
          <w:b/>
          <w:color w:val="000000"/>
          <w:szCs w:val="22"/>
        </w:rPr>
        <w:t>4.5.</w:t>
      </w:r>
      <w:r w:rsidRPr="00CD729C">
        <w:rPr>
          <w:b/>
          <w:color w:val="000000"/>
          <w:szCs w:val="22"/>
        </w:rPr>
        <w:tab/>
        <w:t>Mijiedarbība ar citām zālēm un citi mijiedarbības veidi</w:t>
      </w:r>
    </w:p>
    <w:p w14:paraId="3D394A63" w14:textId="77777777" w:rsidR="009E01F8" w:rsidRPr="00CD729C" w:rsidRDefault="009E01F8" w:rsidP="009B4BB6">
      <w:pPr>
        <w:pStyle w:val="ParastaisTreknraksts"/>
        <w:keepNext/>
        <w:widowControl w:val="0"/>
        <w:rPr>
          <w:b w:val="0"/>
          <w:color w:val="000000"/>
          <w:szCs w:val="22"/>
        </w:rPr>
      </w:pPr>
    </w:p>
    <w:p w14:paraId="3D394A64" w14:textId="77777777" w:rsidR="009E01F8" w:rsidRPr="00CD729C" w:rsidRDefault="009E01F8" w:rsidP="009B4BB6">
      <w:pPr>
        <w:keepNext/>
        <w:widowControl w:val="0"/>
        <w:tabs>
          <w:tab w:val="clear" w:pos="567"/>
        </w:tabs>
        <w:spacing w:line="240" w:lineRule="auto"/>
        <w:ind w:left="567" w:hanging="567"/>
        <w:rPr>
          <w:color w:val="000000"/>
          <w:szCs w:val="22"/>
          <w:u w:val="single"/>
        </w:rPr>
      </w:pPr>
      <w:r w:rsidRPr="00CD729C">
        <w:rPr>
          <w:color w:val="000000"/>
          <w:szCs w:val="22"/>
          <w:u w:val="single"/>
        </w:rPr>
        <w:t xml:space="preserve">Aktīvās vielas, kas var </w:t>
      </w:r>
      <w:r w:rsidRPr="00CD729C">
        <w:rPr>
          <w:b/>
          <w:color w:val="000000"/>
          <w:szCs w:val="22"/>
          <w:u w:val="single"/>
        </w:rPr>
        <w:t>paaugstināt</w:t>
      </w:r>
      <w:r w:rsidRPr="00CD729C">
        <w:rPr>
          <w:color w:val="000000"/>
          <w:szCs w:val="22"/>
          <w:u w:val="single"/>
        </w:rPr>
        <w:t xml:space="preserve"> imatiniba koncentrāciju plazmā</w:t>
      </w:r>
    </w:p>
    <w:p w14:paraId="3D394A65"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Vielas, kas inhibē P450 izofermenta CYP3A4 aktivitāti (piemēram, proteāzes inhibitori, piemēram, indinavīrs, lopinavīrs/ritonavīrs, ritonavīrs, sahinavīrs, telaprevīrs, nelfinavīrs, boceprevīrs; azola grupas pretsēnīšu līdzekļi, tai skaitā ketokonazols, itrakonazols, posakonazols, vorikonazols; noteikti makrolīdu grupas līdzekļi, piemēram, eritromicīns, klaritromicīns</w:t>
      </w:r>
      <w:r w:rsidRPr="00CD729C">
        <w:t xml:space="preserve"> un </w:t>
      </w:r>
      <w:r w:rsidRPr="00CD729C">
        <w:rPr>
          <w:color w:val="000000"/>
          <w:szCs w:val="22"/>
        </w:rPr>
        <w:t>telitromicīns), var palēnināt imatiniba vielmaiņas procesus un paaugstināt tā koncentrāciju. Veseliem pētījumu objektiem gadījumā, ja imatinibu ievadīja vienlaicīgi ar vienu ketokonazola devu (CYP3A4 inhibitors), novēroja nozīmīgu preparāta iedarbības pastiprinājumu (vidējās C</w:t>
      </w:r>
      <w:r w:rsidRPr="00CD729C">
        <w:rPr>
          <w:color w:val="000000"/>
          <w:szCs w:val="22"/>
          <w:vertAlign w:val="subscript"/>
        </w:rPr>
        <w:t>max</w:t>
      </w:r>
      <w:r w:rsidRPr="00CD729C">
        <w:rPr>
          <w:color w:val="000000"/>
          <w:szCs w:val="22"/>
        </w:rPr>
        <w:t xml:space="preserve"> un AUC vērtības pieauga par attiecīgi 26% un 40%). Vienlaicīgi ordinējot Glivec un CYP3A4 grupas fermentu inhibitorus, ir jāievēro piesardzība.</w:t>
      </w:r>
    </w:p>
    <w:p w14:paraId="3D394A66" w14:textId="77777777" w:rsidR="009E01F8" w:rsidRPr="00CD729C" w:rsidRDefault="009E01F8" w:rsidP="009B4BB6">
      <w:pPr>
        <w:widowControl w:val="0"/>
        <w:tabs>
          <w:tab w:val="clear" w:pos="567"/>
        </w:tabs>
        <w:spacing w:line="240" w:lineRule="auto"/>
        <w:rPr>
          <w:color w:val="000000"/>
          <w:szCs w:val="22"/>
        </w:rPr>
      </w:pPr>
    </w:p>
    <w:p w14:paraId="3D394A67" w14:textId="77777777" w:rsidR="009E01F8" w:rsidRPr="00CD729C" w:rsidRDefault="009E01F8" w:rsidP="009B4BB6">
      <w:pPr>
        <w:keepNext/>
        <w:widowControl w:val="0"/>
        <w:tabs>
          <w:tab w:val="clear" w:pos="567"/>
        </w:tabs>
        <w:spacing w:line="240" w:lineRule="auto"/>
        <w:rPr>
          <w:color w:val="000000"/>
          <w:szCs w:val="22"/>
        </w:rPr>
      </w:pPr>
      <w:r w:rsidRPr="00CD729C">
        <w:rPr>
          <w:color w:val="000000"/>
          <w:szCs w:val="22"/>
          <w:u w:val="single"/>
        </w:rPr>
        <w:t xml:space="preserve">Aktīvās vielas, kas var </w:t>
      </w:r>
      <w:r w:rsidRPr="00CD729C">
        <w:rPr>
          <w:b/>
          <w:color w:val="000000"/>
          <w:szCs w:val="22"/>
          <w:u w:val="single"/>
        </w:rPr>
        <w:t>samazināt</w:t>
      </w:r>
      <w:r w:rsidRPr="00CD729C">
        <w:rPr>
          <w:color w:val="000000"/>
          <w:szCs w:val="22"/>
          <w:u w:val="single"/>
        </w:rPr>
        <w:t xml:space="preserve"> imatiniba koncentrāciju plazmā</w:t>
      </w:r>
    </w:p>
    <w:p w14:paraId="3D394A68"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 xml:space="preserve">Vielas, kas inducē CYP3A4 aktivitāti (deksametazons, fenitoīns, karbamazepīns, rifampicīns, fenobarbitāls, fosfenitoīns, primidons vai </w:t>
      </w:r>
      <w:r w:rsidRPr="00CD729C">
        <w:rPr>
          <w:i/>
          <w:color w:val="000000"/>
          <w:szCs w:val="22"/>
        </w:rPr>
        <w:t xml:space="preserve">Hypericum perforatum, </w:t>
      </w:r>
      <w:r w:rsidRPr="00CD729C">
        <w:rPr>
          <w:color w:val="000000"/>
          <w:szCs w:val="22"/>
        </w:rPr>
        <w:t>zināmi kā asinszāles preparāti) var ievērojami vājināt Glivec iedarbību un, iespējams, paaugstināt terapeitiskas neveiksmes risku. Pēc iepriekšējas vairākkārtējas 600 mg lielu rifampicīna devu lietošanas, pēc kā sekoja viena 400 mg Glivec deva, salīdzinot ar lielumiem, kas novēroti, rifampicīnu nelietojot, C</w:t>
      </w:r>
      <w:r w:rsidRPr="00CD729C">
        <w:rPr>
          <w:color w:val="000000"/>
          <w:szCs w:val="22"/>
          <w:vertAlign w:val="subscript"/>
        </w:rPr>
        <w:t>max</w:t>
      </w:r>
      <w:r w:rsidRPr="00CD729C">
        <w:rPr>
          <w:color w:val="000000"/>
          <w:szCs w:val="22"/>
        </w:rPr>
        <w:t xml:space="preserve"> un AUC</w:t>
      </w:r>
      <w:r w:rsidRPr="00CD729C">
        <w:rPr>
          <w:color w:val="000000"/>
          <w:szCs w:val="22"/>
          <w:vertAlign w:val="subscript"/>
        </w:rPr>
        <w:t>(0-∞)</w:t>
      </w:r>
      <w:r w:rsidRPr="00CD729C">
        <w:rPr>
          <w:color w:val="000000"/>
          <w:szCs w:val="22"/>
        </w:rPr>
        <w:t xml:space="preserve"> samazinājās par vismaz attiecīgi 54% un 74%. </w:t>
      </w:r>
      <w:r w:rsidRPr="00CD729C">
        <w:rPr>
          <w:snapToGrid w:val="0"/>
          <w:color w:val="000000"/>
          <w:szCs w:val="22"/>
        </w:rPr>
        <w:t xml:space="preserve">Līdzīgi rezultāti tika novēroti pacientiem ar ļaundabīgu gliomu, kuri terapijas laikā ar Glivec saņēma enzīmus inducējošus pretepilepsijas līdzekļus (EIPEL), piemēram, karbamazepīnu, okskarbazepīnu un fenitoīnu. Imatiniba plazmas AUC samazinājās par 73%, salīdzinot ar pacientiem, kas nelietoja EIPEL. </w:t>
      </w:r>
      <w:r w:rsidRPr="00CD729C">
        <w:rPr>
          <w:color w:val="000000"/>
          <w:szCs w:val="22"/>
        </w:rPr>
        <w:t>No vienlaicīgas imatiniba un rifampicīna vai citu spēcīgu CYP3A4 induktoru lietošanas ir jāizvairās.</w:t>
      </w:r>
    </w:p>
    <w:p w14:paraId="3D394A69" w14:textId="77777777" w:rsidR="009E01F8" w:rsidRPr="00CD729C" w:rsidRDefault="009E01F8" w:rsidP="009B4BB6">
      <w:pPr>
        <w:widowControl w:val="0"/>
        <w:tabs>
          <w:tab w:val="clear" w:pos="567"/>
        </w:tabs>
        <w:spacing w:line="240" w:lineRule="auto"/>
        <w:rPr>
          <w:color w:val="000000"/>
          <w:szCs w:val="22"/>
        </w:rPr>
      </w:pPr>
    </w:p>
    <w:p w14:paraId="3D394A6A" w14:textId="77777777" w:rsidR="009E01F8" w:rsidRPr="00CD729C" w:rsidRDefault="009E01F8" w:rsidP="009B4BB6">
      <w:pPr>
        <w:keepNext/>
        <w:widowControl w:val="0"/>
        <w:tabs>
          <w:tab w:val="clear" w:pos="567"/>
        </w:tabs>
        <w:spacing w:line="240" w:lineRule="auto"/>
        <w:rPr>
          <w:color w:val="000000"/>
          <w:szCs w:val="22"/>
        </w:rPr>
      </w:pPr>
      <w:r w:rsidRPr="00CD729C">
        <w:rPr>
          <w:b/>
          <w:color w:val="000000"/>
          <w:szCs w:val="22"/>
        </w:rPr>
        <w:t>Aktīvās vielas, kuru koncentrāciju plazmā var mainīt Glivec</w:t>
      </w:r>
    </w:p>
    <w:p w14:paraId="3D394A6B" w14:textId="77777777" w:rsidR="009E01F8" w:rsidRPr="00CD729C" w:rsidRDefault="009E01F8" w:rsidP="009B4BB6">
      <w:pPr>
        <w:pStyle w:val="Heading7"/>
        <w:keepNext w:val="0"/>
        <w:widowControl w:val="0"/>
        <w:spacing w:line="240" w:lineRule="auto"/>
        <w:jc w:val="left"/>
        <w:rPr>
          <w:i w:val="0"/>
          <w:color w:val="000000"/>
          <w:szCs w:val="22"/>
        </w:rPr>
      </w:pPr>
      <w:r w:rsidRPr="00CD729C">
        <w:rPr>
          <w:i w:val="0"/>
          <w:color w:val="000000"/>
          <w:szCs w:val="22"/>
        </w:rPr>
        <w:t>Imatinibs attiecīgi 2 un 3,5 reizes palielina simvastatīna (CYP3A4 substrāts) vidējo C</w:t>
      </w:r>
      <w:r w:rsidRPr="00CD729C">
        <w:rPr>
          <w:i w:val="0"/>
          <w:color w:val="000000"/>
          <w:szCs w:val="22"/>
          <w:vertAlign w:val="subscript"/>
        </w:rPr>
        <w:t>max</w:t>
      </w:r>
      <w:r w:rsidRPr="00CD729C">
        <w:rPr>
          <w:i w:val="0"/>
          <w:color w:val="000000"/>
          <w:szCs w:val="22"/>
        </w:rPr>
        <w:t xml:space="preserve"> un AUC, kas liecina, ka tas inhibē CYP3A4. Tādējādi, vienlaicīgi nozīmējot Glivec un CYP3A4 substrātus ar šauru terapeitisku indeksu (piemēram, ciklosporīnu, pimozīdu, takrolimu, sirolimu, ergotamīnu, diergotamīnu, fentanilu, alfentanilu, terfenadīnu, bortezomibu, docetakselu un hinidīnu), ieteicams ievērot piesardzību. Glivec var paaugstināt citu CYP3A4 metabolizēto zāļu koncentrāciju plazmā (t.i., triazol-benzodiazepīnus, dihidropiridīna grupas kalcija kanālu blokatorus, dažus HMG–CoA reduktāzes inhibitorus, t.i., statīnus u.c.).</w:t>
      </w:r>
    </w:p>
    <w:p w14:paraId="3D394A6C" w14:textId="77777777" w:rsidR="009E01F8" w:rsidRPr="00CD729C" w:rsidRDefault="009E01F8" w:rsidP="009B4BB6">
      <w:pPr>
        <w:widowControl w:val="0"/>
        <w:tabs>
          <w:tab w:val="clear" w:pos="567"/>
        </w:tabs>
        <w:spacing w:line="240" w:lineRule="auto"/>
        <w:rPr>
          <w:color w:val="000000"/>
          <w:szCs w:val="22"/>
        </w:rPr>
      </w:pPr>
    </w:p>
    <w:p w14:paraId="3D394A6D"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Tā kā ir zināms par pastāvošu paaugstināto asiņošanas risku sakarā ar imatiniba lietošanu (piemēram, hemorāģija), pacientiem, kam nepieciešami antikoagulanti, ir jāievada mazmolekulārais vai standarta heparīns, nevis kumarīna atvasinājumi, piemēram, varfarīns.</w:t>
      </w:r>
    </w:p>
    <w:p w14:paraId="3D394A6E" w14:textId="77777777" w:rsidR="009E01F8" w:rsidRPr="00CD729C" w:rsidRDefault="009E01F8" w:rsidP="009B4BB6">
      <w:pPr>
        <w:widowControl w:val="0"/>
        <w:tabs>
          <w:tab w:val="clear" w:pos="567"/>
        </w:tabs>
        <w:spacing w:line="240" w:lineRule="auto"/>
        <w:rPr>
          <w:color w:val="000000"/>
          <w:szCs w:val="22"/>
        </w:rPr>
      </w:pPr>
    </w:p>
    <w:p w14:paraId="3D394A6F" w14:textId="77777777" w:rsidR="009E01F8" w:rsidRPr="00CD729C" w:rsidRDefault="009E01F8" w:rsidP="009B4BB6">
      <w:pPr>
        <w:widowControl w:val="0"/>
        <w:tabs>
          <w:tab w:val="clear" w:pos="567"/>
        </w:tabs>
        <w:spacing w:line="240" w:lineRule="auto"/>
        <w:rPr>
          <w:color w:val="000000"/>
          <w:szCs w:val="22"/>
        </w:rPr>
      </w:pPr>
      <w:r w:rsidRPr="00CD729C">
        <w:rPr>
          <w:i/>
          <w:color w:val="000000"/>
          <w:szCs w:val="22"/>
        </w:rPr>
        <w:t xml:space="preserve">In vitro </w:t>
      </w:r>
      <w:r w:rsidRPr="00CD729C">
        <w:rPr>
          <w:color w:val="000000"/>
          <w:szCs w:val="22"/>
        </w:rPr>
        <w:t>apstākļos Glivec koncentrācijas, kas ir tuvas tām, kas ietekmē CYP3A4 aktivitāti, inhibē citohroma P450 izofermentu CYP2D6. Lietojot imatiniba 400 mg devu divas reizes dienā, tika novērots CYP2D6 mediētā metoprolola metabolisma nomākums, kur metoprolola C</w:t>
      </w:r>
      <w:r w:rsidRPr="00CD729C">
        <w:rPr>
          <w:color w:val="000000"/>
          <w:szCs w:val="22"/>
          <w:vertAlign w:val="subscript"/>
        </w:rPr>
        <w:t>max</w:t>
      </w:r>
      <w:r w:rsidRPr="00CD729C">
        <w:rPr>
          <w:color w:val="000000"/>
          <w:szCs w:val="22"/>
        </w:rPr>
        <w:t xml:space="preserve"> un AUC paaugstinājās par aptuveni 23% (90% TI [1,16</w:t>
      </w:r>
      <w:r w:rsidRPr="00CD729C">
        <w:rPr>
          <w:color w:val="000000"/>
          <w:szCs w:val="22"/>
        </w:rPr>
        <w:noBreakHyphen/>
        <w:t>1,30]). Devas pielāgošana nav nepieciešama, lietojot imatinibu kombinācijā ar CYP2D6 substrātiem, tomēr piesardzība jāievēro, lietojot CYP2D6 substrātus ar šauru terapeitiskās darbības platumu, piemēram, metoprololu. Pacientiem, kuri lieto metoprololu, jāapsver iespēja veikt klīnisku uzraudzību.</w:t>
      </w:r>
    </w:p>
    <w:p w14:paraId="3D394A70" w14:textId="77777777" w:rsidR="009E01F8" w:rsidRPr="00CD729C" w:rsidRDefault="009E01F8" w:rsidP="009B4BB6">
      <w:pPr>
        <w:widowControl w:val="0"/>
        <w:tabs>
          <w:tab w:val="clear" w:pos="567"/>
        </w:tabs>
        <w:spacing w:line="240" w:lineRule="auto"/>
        <w:rPr>
          <w:color w:val="000000"/>
          <w:szCs w:val="22"/>
        </w:rPr>
      </w:pPr>
    </w:p>
    <w:p w14:paraId="3D394A71" w14:textId="77777777" w:rsidR="009E01F8" w:rsidRPr="00CD729C" w:rsidRDefault="009E01F8" w:rsidP="009B4BB6">
      <w:pPr>
        <w:widowControl w:val="0"/>
        <w:tabs>
          <w:tab w:val="clear" w:pos="567"/>
        </w:tabs>
        <w:spacing w:line="240" w:lineRule="auto"/>
        <w:rPr>
          <w:color w:val="000000"/>
          <w:szCs w:val="22"/>
        </w:rPr>
      </w:pPr>
      <w:r w:rsidRPr="00CD729C">
        <w:rPr>
          <w:i/>
          <w:iCs/>
          <w:color w:val="000000"/>
          <w:szCs w:val="22"/>
        </w:rPr>
        <w:t>In vitro</w:t>
      </w:r>
      <w:r w:rsidRPr="00CD729C">
        <w:rPr>
          <w:color w:val="000000"/>
          <w:szCs w:val="22"/>
        </w:rPr>
        <w:t xml:space="preserve"> Glivec nomāc paracetamola O-glikuronidāciju ar Ki vērtību 58,5 mikromol/l. Šī inhibīcija nav novērota </w:t>
      </w:r>
      <w:r w:rsidRPr="00CD729C">
        <w:rPr>
          <w:i/>
          <w:color w:val="000000"/>
          <w:szCs w:val="22"/>
        </w:rPr>
        <w:t>in vivo</w:t>
      </w:r>
      <w:r w:rsidRPr="00CD729C">
        <w:rPr>
          <w:color w:val="000000"/>
          <w:szCs w:val="22"/>
        </w:rPr>
        <w:t xml:space="preserve"> pēc 400 mg Glivec un 1000 mg paracetamola lietošanas. Lielākas Glivec un paracetamola devas nav pētītas.</w:t>
      </w:r>
    </w:p>
    <w:p w14:paraId="3D394A72" w14:textId="77777777" w:rsidR="009E01F8" w:rsidRPr="00CD729C" w:rsidRDefault="009E01F8" w:rsidP="009B4BB6">
      <w:pPr>
        <w:widowControl w:val="0"/>
        <w:tabs>
          <w:tab w:val="clear" w:pos="567"/>
        </w:tabs>
        <w:spacing w:line="240" w:lineRule="auto"/>
        <w:rPr>
          <w:color w:val="000000"/>
          <w:szCs w:val="22"/>
        </w:rPr>
      </w:pPr>
    </w:p>
    <w:p w14:paraId="3D394A73"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Tādēļ, lietojot vienlaikus Glivec un paracetamolu lielās devās, jāievēro piesardzība.</w:t>
      </w:r>
    </w:p>
    <w:p w14:paraId="3D394A74" w14:textId="77777777" w:rsidR="009E01F8" w:rsidRPr="00CD729C" w:rsidRDefault="009E01F8" w:rsidP="009B4BB6">
      <w:pPr>
        <w:pStyle w:val="EndnoteText"/>
        <w:widowControl w:val="0"/>
        <w:tabs>
          <w:tab w:val="clear" w:pos="567"/>
        </w:tabs>
        <w:rPr>
          <w:color w:val="000000"/>
          <w:szCs w:val="22"/>
        </w:rPr>
      </w:pPr>
    </w:p>
    <w:p w14:paraId="3D394A75"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Pacientiem, kam veikta tireoidektomija, un kas saņem levotiroksīna aizstājterapiju Glivec terapijas laikā, var pazemināties levotiroksīna līmenis asinīs (skatīt 4.4.</w:t>
      </w:r>
      <w:r w:rsidR="00203C0B" w:rsidRPr="00CD729C">
        <w:rPr>
          <w:color w:val="000000"/>
          <w:szCs w:val="22"/>
        </w:rPr>
        <w:t> apakšpunktu</w:t>
      </w:r>
      <w:r w:rsidRPr="00CD729C">
        <w:rPr>
          <w:color w:val="000000"/>
          <w:szCs w:val="22"/>
        </w:rPr>
        <w:t>). Tādēļ ieteicams ievērot piesardzību. Tomēr novērotās mijiedarbības reakcijas mehānisms pašreiz nav noskaidrots.</w:t>
      </w:r>
    </w:p>
    <w:p w14:paraId="3D394A76" w14:textId="77777777" w:rsidR="009E01F8" w:rsidRPr="00CD729C" w:rsidRDefault="009E01F8" w:rsidP="009B4BB6">
      <w:pPr>
        <w:pStyle w:val="EndnoteText"/>
        <w:widowControl w:val="0"/>
        <w:tabs>
          <w:tab w:val="clear" w:pos="567"/>
        </w:tabs>
        <w:rPr>
          <w:color w:val="000000"/>
          <w:szCs w:val="22"/>
        </w:rPr>
      </w:pPr>
    </w:p>
    <w:p w14:paraId="3D394A77" w14:textId="77777777" w:rsidR="009E01F8" w:rsidRPr="00CD729C" w:rsidRDefault="009E01F8" w:rsidP="009B4BB6">
      <w:pPr>
        <w:widowControl w:val="0"/>
        <w:spacing w:line="240" w:lineRule="auto"/>
        <w:rPr>
          <w:color w:val="000000"/>
          <w:szCs w:val="22"/>
        </w:rPr>
      </w:pPr>
      <w:r w:rsidRPr="00CD729C">
        <w:rPr>
          <w:color w:val="000000"/>
          <w:szCs w:val="22"/>
        </w:rPr>
        <w:t>Ir pieejama klīniskā pieredze par Glivec lietošanu kombinācijā ar ķīmijterapiju (skatīt 5.1.</w:t>
      </w:r>
      <w:r w:rsidR="00203C0B" w:rsidRPr="00CD729C">
        <w:rPr>
          <w:color w:val="000000"/>
          <w:szCs w:val="22"/>
        </w:rPr>
        <w:t> apakšpunktu</w:t>
      </w:r>
      <w:r w:rsidRPr="00CD729C">
        <w:rPr>
          <w:color w:val="000000"/>
          <w:szCs w:val="22"/>
        </w:rPr>
        <w:t>) pacientiem ar Ph+ ALL, bet zāļu-zāļu mijiedarbība starp imatinibu un ķīmijterapijas režīmiem nav pilnībā noskaidrota. Iespējama imatiniba izraisīto blakusparādību, piemēram, hepatotoksicitātes, mielosupresijas un citu blakusparādību, pastiprināšanās, un saņemti ziņojumi, ka vienlaicīga lietošana kopā ar L-asparagināzi var tikt saistīta ar palielinātu hepatotoksicitāti (skatīt 4.8.</w:t>
      </w:r>
      <w:r w:rsidR="001A2618" w:rsidRPr="00CD729C">
        <w:rPr>
          <w:color w:val="000000"/>
          <w:szCs w:val="22"/>
        </w:rPr>
        <w:t> apakšpunktu</w:t>
      </w:r>
      <w:r w:rsidRPr="00CD729C">
        <w:rPr>
          <w:color w:val="000000"/>
          <w:szCs w:val="22"/>
        </w:rPr>
        <w:t>). Tādēļ lietojot Glivec kombinācijā jāievēro īpaša piesardzība.</w:t>
      </w:r>
    </w:p>
    <w:p w14:paraId="3D394A78" w14:textId="77777777" w:rsidR="009E01F8" w:rsidRPr="00CD729C" w:rsidRDefault="009E01F8" w:rsidP="009B4BB6">
      <w:pPr>
        <w:widowControl w:val="0"/>
        <w:tabs>
          <w:tab w:val="clear" w:pos="567"/>
        </w:tabs>
        <w:spacing w:line="240" w:lineRule="auto"/>
        <w:rPr>
          <w:color w:val="000000"/>
          <w:szCs w:val="22"/>
        </w:rPr>
      </w:pPr>
    </w:p>
    <w:p w14:paraId="3D394A79" w14:textId="77777777" w:rsidR="009E01F8" w:rsidRPr="00CD729C" w:rsidRDefault="009E01F8" w:rsidP="009B4BB6">
      <w:pPr>
        <w:keepNext/>
        <w:widowControl w:val="0"/>
        <w:tabs>
          <w:tab w:val="clear" w:pos="567"/>
        </w:tabs>
        <w:spacing w:line="240" w:lineRule="auto"/>
        <w:ind w:left="567" w:hanging="567"/>
        <w:rPr>
          <w:color w:val="000000"/>
          <w:szCs w:val="22"/>
        </w:rPr>
      </w:pPr>
      <w:r w:rsidRPr="00CD729C">
        <w:rPr>
          <w:b/>
          <w:color w:val="000000"/>
          <w:szCs w:val="22"/>
        </w:rPr>
        <w:t>4.6.</w:t>
      </w:r>
      <w:r w:rsidRPr="00CD729C">
        <w:rPr>
          <w:b/>
          <w:color w:val="000000"/>
          <w:szCs w:val="22"/>
        </w:rPr>
        <w:tab/>
        <w:t xml:space="preserve">Fertilitāte, grūtniecība un </w:t>
      </w:r>
      <w:r w:rsidRPr="00CD729C">
        <w:rPr>
          <w:b/>
          <w:szCs w:val="22"/>
        </w:rPr>
        <w:t>barošana ar krūti</w:t>
      </w:r>
    </w:p>
    <w:p w14:paraId="3D394A7A" w14:textId="77777777" w:rsidR="009E01F8" w:rsidRPr="00CD729C" w:rsidRDefault="009E01F8" w:rsidP="009B4BB6">
      <w:pPr>
        <w:keepNext/>
        <w:widowControl w:val="0"/>
        <w:tabs>
          <w:tab w:val="clear" w:pos="567"/>
        </w:tabs>
        <w:spacing w:line="240" w:lineRule="auto"/>
        <w:ind w:left="567" w:hanging="567"/>
        <w:rPr>
          <w:color w:val="000000"/>
          <w:szCs w:val="22"/>
        </w:rPr>
      </w:pPr>
    </w:p>
    <w:p w14:paraId="3D394A7B" w14:textId="77777777" w:rsidR="009E01F8" w:rsidRPr="00CD729C" w:rsidRDefault="009E01F8" w:rsidP="009B4BB6">
      <w:pPr>
        <w:keepNext/>
        <w:widowControl w:val="0"/>
        <w:tabs>
          <w:tab w:val="clear" w:pos="567"/>
        </w:tabs>
        <w:spacing w:line="240" w:lineRule="auto"/>
        <w:ind w:left="567" w:hanging="567"/>
        <w:rPr>
          <w:color w:val="000000"/>
          <w:szCs w:val="22"/>
          <w:u w:val="single"/>
        </w:rPr>
      </w:pPr>
      <w:r w:rsidRPr="00CD729C">
        <w:rPr>
          <w:color w:val="000000"/>
          <w:szCs w:val="22"/>
          <w:u w:val="single"/>
        </w:rPr>
        <w:t>Sievietes reproduktīvā vecumā</w:t>
      </w:r>
    </w:p>
    <w:p w14:paraId="3D394A7C" w14:textId="77777777" w:rsidR="009E01F8" w:rsidRPr="00CD729C" w:rsidRDefault="009E01F8" w:rsidP="009B4BB6">
      <w:pPr>
        <w:widowControl w:val="0"/>
        <w:spacing w:line="240" w:lineRule="auto"/>
        <w:rPr>
          <w:color w:val="000000"/>
          <w:szCs w:val="22"/>
        </w:rPr>
      </w:pPr>
      <w:r w:rsidRPr="00CD729C">
        <w:rPr>
          <w:color w:val="000000"/>
          <w:szCs w:val="22"/>
        </w:rPr>
        <w:t xml:space="preserve">Sievietēm reproduktīvā vecumā ārstēšanās laikā </w:t>
      </w:r>
      <w:r w:rsidR="002707EF">
        <w:rPr>
          <w:color w:val="000000"/>
          <w:szCs w:val="22"/>
        </w:rPr>
        <w:t>un vismaz 15 dienas pēc ārstēšanas pārtraukšanas ar Glivec</w:t>
      </w:r>
      <w:r w:rsidR="002707EF" w:rsidRPr="00CD729C">
        <w:rPr>
          <w:color w:val="000000"/>
          <w:szCs w:val="22"/>
        </w:rPr>
        <w:t xml:space="preserve"> </w:t>
      </w:r>
      <w:r w:rsidRPr="00CD729C">
        <w:rPr>
          <w:color w:val="000000"/>
          <w:szCs w:val="22"/>
        </w:rPr>
        <w:t>jāiesaka izmantot efektīvu kontracepcijas metodi.</w:t>
      </w:r>
    </w:p>
    <w:p w14:paraId="3D394A7D" w14:textId="77777777" w:rsidR="009E01F8" w:rsidRPr="00CD729C" w:rsidRDefault="009E01F8" w:rsidP="009B4BB6">
      <w:pPr>
        <w:widowControl w:val="0"/>
        <w:tabs>
          <w:tab w:val="clear" w:pos="567"/>
        </w:tabs>
        <w:spacing w:line="240" w:lineRule="auto"/>
        <w:ind w:left="567" w:hanging="567"/>
        <w:rPr>
          <w:color w:val="000000"/>
          <w:szCs w:val="22"/>
        </w:rPr>
      </w:pPr>
    </w:p>
    <w:p w14:paraId="3D394A7E" w14:textId="77777777" w:rsidR="009E01F8" w:rsidRPr="00CD729C" w:rsidRDefault="009E01F8" w:rsidP="009B4BB6">
      <w:pPr>
        <w:keepNext/>
        <w:widowControl w:val="0"/>
        <w:tabs>
          <w:tab w:val="clear" w:pos="567"/>
        </w:tabs>
        <w:spacing w:line="240" w:lineRule="auto"/>
        <w:rPr>
          <w:color w:val="000000"/>
          <w:szCs w:val="22"/>
          <w:u w:val="single"/>
        </w:rPr>
      </w:pPr>
      <w:r w:rsidRPr="00CD729C">
        <w:rPr>
          <w:color w:val="000000"/>
          <w:szCs w:val="22"/>
          <w:u w:val="single"/>
        </w:rPr>
        <w:t>Grūtniecība</w:t>
      </w:r>
    </w:p>
    <w:p w14:paraId="3D394A7F" w14:textId="77777777" w:rsidR="009E01F8" w:rsidRPr="00CD729C" w:rsidRDefault="009E01F8" w:rsidP="009B4BB6">
      <w:pPr>
        <w:widowControl w:val="0"/>
        <w:spacing w:line="240" w:lineRule="auto"/>
        <w:rPr>
          <w:color w:val="000000"/>
          <w:szCs w:val="22"/>
        </w:rPr>
      </w:pPr>
      <w:r w:rsidRPr="00CD729C">
        <w:rPr>
          <w:color w:val="000000"/>
          <w:szCs w:val="22"/>
        </w:rPr>
        <w:t xml:space="preserve">Dati par imatiniba lietošanu grūtniecēm ir ierobežoti. </w:t>
      </w:r>
      <w:r w:rsidR="002B5915">
        <w:rPr>
          <w:color w:val="000000"/>
          <w:szCs w:val="22"/>
        </w:rPr>
        <w:t xml:space="preserve">Pēcreģistrācijas periodā ir bijuši ziņojumi par spontāniem abortiem un iedzimtiem defektiem jaundzimušajiem sievietēm, kuras lietojušas Glivec. </w:t>
      </w:r>
      <w:r w:rsidRPr="00CD729C">
        <w:rPr>
          <w:color w:val="000000"/>
          <w:szCs w:val="22"/>
        </w:rPr>
        <w:t>Tomēr pētījumi ar dzīvniekiem pierāda reproduktīvo toksicitāti (skatīt 5.3.</w:t>
      </w:r>
      <w:r w:rsidR="00203C0B" w:rsidRPr="00CD729C">
        <w:rPr>
          <w:color w:val="000000"/>
          <w:szCs w:val="22"/>
        </w:rPr>
        <w:t> apakšpunktu</w:t>
      </w:r>
      <w:r w:rsidRPr="00CD729C">
        <w:rPr>
          <w:color w:val="000000"/>
          <w:szCs w:val="22"/>
        </w:rPr>
        <w:t>). Potenciālais risks auglim nav zināms. Glivec grūtniecības laikā nevajadzētu lietot, ja vien nav absolūta nepieciešamība. Ja preparātu lieto grūtniecības laikā, paciente ir jāinformē par potenciālo risku auglim.</w:t>
      </w:r>
    </w:p>
    <w:p w14:paraId="3D394A80" w14:textId="77777777" w:rsidR="009E01F8" w:rsidRPr="00CD729C" w:rsidRDefault="009E01F8" w:rsidP="009B4BB6">
      <w:pPr>
        <w:widowControl w:val="0"/>
        <w:spacing w:line="240" w:lineRule="auto"/>
        <w:rPr>
          <w:color w:val="000000"/>
          <w:szCs w:val="22"/>
        </w:rPr>
      </w:pPr>
    </w:p>
    <w:p w14:paraId="3D394A81" w14:textId="77777777" w:rsidR="009E01F8" w:rsidRPr="00CD729C" w:rsidRDefault="009E01F8" w:rsidP="009B4BB6">
      <w:pPr>
        <w:keepNext/>
        <w:widowControl w:val="0"/>
        <w:tabs>
          <w:tab w:val="clear" w:pos="567"/>
        </w:tabs>
        <w:spacing w:line="240" w:lineRule="auto"/>
        <w:rPr>
          <w:color w:val="000000"/>
          <w:szCs w:val="22"/>
          <w:u w:val="single"/>
        </w:rPr>
      </w:pPr>
      <w:r w:rsidRPr="00CD729C">
        <w:rPr>
          <w:u w:val="single"/>
        </w:rPr>
        <w:t>Barošana ar krūti</w:t>
      </w:r>
    </w:p>
    <w:p w14:paraId="3D394A82" w14:textId="20D6690D" w:rsidR="009E01F8" w:rsidRPr="00CD729C" w:rsidRDefault="009E01F8" w:rsidP="009B4BB6">
      <w:pPr>
        <w:widowControl w:val="0"/>
        <w:tabs>
          <w:tab w:val="clear" w:pos="567"/>
        </w:tabs>
        <w:spacing w:line="240" w:lineRule="auto"/>
        <w:rPr>
          <w:color w:val="000000"/>
          <w:szCs w:val="22"/>
        </w:rPr>
      </w:pPr>
      <w:r w:rsidRPr="00CD729C">
        <w:rPr>
          <w:color w:val="000000"/>
          <w:szCs w:val="22"/>
        </w:rPr>
        <w:t>Informācija par imatiniba izdalīšanos ar cilvēka mātes pienu ir ierobežota. Pētījumos divām sievietēm, kuras baroja bērnus ar krūti, konstatēts, ka gan imatinibs, gan tā aktīvais metabolīts var izdalīties ar cilvēka mātes pienu. Pētījumā vienai pacientei noteikts, ka attiecība starp imatiniba un tā metabolīta koncentrāciju mātes pienā un asinīs ir attiecīgi 0,5 un 0,9, kas liecina, ka imatiniba metabolīts pārsvarā izdalās ar mātes pienu. Ņemot vērā imatiniba un tā metabolīta kopējo koncentrāciju un zīdaiņa dienā uzņemto maksimālo piena daudzumu, sagaidāmā zāļu iedarbība būs zema (~10% terapeitiskās devas). Tomēr, tā kā nav zināma nelielu imatiniba devu iedarbība zīdaiņiem, sievietēm barot bērnu ar krūti nav atļauts</w:t>
      </w:r>
      <w:r w:rsidR="002707EF">
        <w:rPr>
          <w:color w:val="000000"/>
          <w:szCs w:val="22"/>
        </w:rPr>
        <w:t xml:space="preserve"> </w:t>
      </w:r>
      <w:r w:rsidR="002707EF" w:rsidRPr="00CD729C">
        <w:rPr>
          <w:color w:val="000000"/>
          <w:szCs w:val="22"/>
        </w:rPr>
        <w:t xml:space="preserve">ārstēšanās laikā </w:t>
      </w:r>
      <w:r w:rsidR="002707EF">
        <w:rPr>
          <w:color w:val="000000"/>
          <w:szCs w:val="22"/>
        </w:rPr>
        <w:t>un vismaz 15 dienas pēc ārstēšanas pārtraukšanas ar Glivec</w:t>
      </w:r>
      <w:r w:rsidRPr="00CD729C">
        <w:rPr>
          <w:color w:val="000000"/>
          <w:szCs w:val="22"/>
        </w:rPr>
        <w:t>.</w:t>
      </w:r>
    </w:p>
    <w:p w14:paraId="3D394A83" w14:textId="77777777" w:rsidR="009E01F8" w:rsidRPr="00CD729C" w:rsidRDefault="009E01F8" w:rsidP="009B4BB6">
      <w:pPr>
        <w:widowControl w:val="0"/>
        <w:tabs>
          <w:tab w:val="clear" w:pos="567"/>
        </w:tabs>
        <w:spacing w:line="240" w:lineRule="auto"/>
        <w:rPr>
          <w:color w:val="000000"/>
          <w:szCs w:val="22"/>
        </w:rPr>
      </w:pPr>
    </w:p>
    <w:p w14:paraId="3D394A84" w14:textId="77777777" w:rsidR="009E01F8" w:rsidRPr="00CD729C" w:rsidRDefault="009E01F8" w:rsidP="009B4BB6">
      <w:pPr>
        <w:keepNext/>
        <w:widowControl w:val="0"/>
        <w:tabs>
          <w:tab w:val="clear" w:pos="567"/>
        </w:tabs>
        <w:spacing w:line="240" w:lineRule="auto"/>
        <w:rPr>
          <w:color w:val="000000"/>
          <w:szCs w:val="22"/>
          <w:u w:val="single"/>
        </w:rPr>
      </w:pPr>
      <w:r w:rsidRPr="00CD729C">
        <w:rPr>
          <w:color w:val="000000"/>
          <w:szCs w:val="22"/>
          <w:u w:val="single"/>
        </w:rPr>
        <w:t>Fertilitāte</w:t>
      </w:r>
    </w:p>
    <w:p w14:paraId="3D394A85"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Preklīniskajos pētījumos nekonstatēja ietekmi uz vīriešu un sieviešu fertilitāti</w:t>
      </w:r>
      <w:r w:rsidR="002707EF">
        <w:rPr>
          <w:color w:val="000000"/>
          <w:szCs w:val="22"/>
        </w:rPr>
        <w:t xml:space="preserve">, </w:t>
      </w:r>
      <w:r w:rsidR="002707EF" w:rsidRPr="002707EF">
        <w:rPr>
          <w:color w:val="000000"/>
          <w:szCs w:val="22"/>
        </w:rPr>
        <w:t>kaut arī tika novērota ietekme uz reproduktīvajiem parametriem</w:t>
      </w:r>
      <w:r w:rsidRPr="00CD729C">
        <w:rPr>
          <w:color w:val="000000"/>
          <w:szCs w:val="22"/>
        </w:rPr>
        <w:t xml:space="preserve"> (skatīt 5.3.</w:t>
      </w:r>
      <w:r w:rsidR="00203C0B" w:rsidRPr="00CD729C">
        <w:rPr>
          <w:color w:val="000000"/>
          <w:szCs w:val="22"/>
        </w:rPr>
        <w:t> apakšpunktu</w:t>
      </w:r>
      <w:r w:rsidRPr="00CD729C">
        <w:rPr>
          <w:color w:val="000000"/>
          <w:szCs w:val="22"/>
        </w:rPr>
        <w:t>). Nav veikti pētījumi ar pacientiem, kuri saņēma Glivec, un nav izvērtēta tā ietekme uz fertilitāti un gametoģenēzi. Ārstēšanas laikā ar Glivec pacientiem, kuriem ir bažas par savu fertilitāti, jākonsultējas ar savu ārstu.</w:t>
      </w:r>
    </w:p>
    <w:p w14:paraId="3D394A86" w14:textId="77777777" w:rsidR="009E01F8" w:rsidRPr="00CD729C" w:rsidRDefault="009E01F8" w:rsidP="009B4BB6">
      <w:pPr>
        <w:widowControl w:val="0"/>
        <w:tabs>
          <w:tab w:val="clear" w:pos="567"/>
        </w:tabs>
        <w:spacing w:line="240" w:lineRule="auto"/>
        <w:rPr>
          <w:color w:val="000000"/>
          <w:szCs w:val="22"/>
        </w:rPr>
      </w:pPr>
    </w:p>
    <w:p w14:paraId="3D394A87" w14:textId="77777777" w:rsidR="009E01F8" w:rsidRPr="00CD729C" w:rsidRDefault="009E01F8" w:rsidP="009B4BB6">
      <w:pPr>
        <w:keepNext/>
        <w:widowControl w:val="0"/>
        <w:tabs>
          <w:tab w:val="clear" w:pos="567"/>
        </w:tabs>
        <w:spacing w:line="240" w:lineRule="auto"/>
        <w:ind w:left="567" w:hanging="567"/>
        <w:rPr>
          <w:color w:val="000000"/>
          <w:szCs w:val="22"/>
        </w:rPr>
      </w:pPr>
      <w:r w:rsidRPr="00CD729C">
        <w:rPr>
          <w:b/>
          <w:color w:val="000000"/>
          <w:szCs w:val="22"/>
        </w:rPr>
        <w:t>4.7.</w:t>
      </w:r>
      <w:r w:rsidRPr="00CD729C">
        <w:rPr>
          <w:b/>
          <w:color w:val="000000"/>
          <w:szCs w:val="22"/>
        </w:rPr>
        <w:tab/>
        <w:t>Ietekme uz spēju vadīt transportlīdzekļus un apkalpot mehānismus</w:t>
      </w:r>
    </w:p>
    <w:p w14:paraId="3D394A88" w14:textId="77777777" w:rsidR="009E01F8" w:rsidRPr="00CD729C" w:rsidRDefault="009E01F8" w:rsidP="009B4BB6">
      <w:pPr>
        <w:keepNext/>
        <w:widowControl w:val="0"/>
        <w:tabs>
          <w:tab w:val="clear" w:pos="567"/>
        </w:tabs>
        <w:spacing w:line="240" w:lineRule="auto"/>
        <w:ind w:left="567" w:hanging="567"/>
        <w:rPr>
          <w:color w:val="000000"/>
          <w:szCs w:val="22"/>
        </w:rPr>
      </w:pPr>
    </w:p>
    <w:p w14:paraId="3D394A89" w14:textId="77777777" w:rsidR="009E01F8" w:rsidRPr="00CD729C" w:rsidRDefault="009E01F8" w:rsidP="009B4BB6">
      <w:pPr>
        <w:widowControl w:val="0"/>
        <w:tabs>
          <w:tab w:val="clear" w:pos="567"/>
        </w:tabs>
        <w:spacing w:line="240" w:lineRule="auto"/>
        <w:rPr>
          <w:color w:val="000000"/>
          <w:szCs w:val="22"/>
        </w:rPr>
      </w:pPr>
      <w:r w:rsidRPr="00CD729C">
        <w:rPr>
          <w:color w:val="000000"/>
        </w:rPr>
        <w:t>P</w:t>
      </w:r>
      <w:r w:rsidRPr="00CD729C">
        <w:rPr>
          <w:color w:val="000000"/>
          <w:szCs w:val="22"/>
        </w:rPr>
        <w:t>acienti ir jābrīdina, ka imatiniba terapijas laikā tiem ir iespējamas nevēlamas blakusparādības, piemēram, reiboņi, neskaidra redze vai miegainība. Tādējādi, vadot transportlīdzekļus un apkalpojot mehānismus, ir ieteicams ievērot piesardzību.</w:t>
      </w:r>
    </w:p>
    <w:p w14:paraId="3D394A8A" w14:textId="77777777" w:rsidR="009E01F8" w:rsidRPr="00CD729C" w:rsidRDefault="009E01F8" w:rsidP="009B4BB6">
      <w:pPr>
        <w:widowControl w:val="0"/>
        <w:tabs>
          <w:tab w:val="clear" w:pos="567"/>
        </w:tabs>
        <w:spacing w:line="240" w:lineRule="auto"/>
        <w:ind w:left="567" w:hanging="567"/>
        <w:rPr>
          <w:color w:val="000000"/>
          <w:szCs w:val="22"/>
        </w:rPr>
      </w:pPr>
    </w:p>
    <w:p w14:paraId="3D394A8B" w14:textId="77777777" w:rsidR="009E01F8" w:rsidRPr="00CD729C" w:rsidRDefault="009E01F8" w:rsidP="009B4BB6">
      <w:pPr>
        <w:keepNext/>
        <w:widowControl w:val="0"/>
        <w:tabs>
          <w:tab w:val="clear" w:pos="567"/>
        </w:tabs>
        <w:spacing w:line="240" w:lineRule="auto"/>
        <w:ind w:left="567" w:hanging="567"/>
        <w:rPr>
          <w:b/>
          <w:color w:val="000000"/>
          <w:szCs w:val="22"/>
        </w:rPr>
      </w:pPr>
      <w:r w:rsidRPr="00CD729C">
        <w:rPr>
          <w:b/>
          <w:color w:val="000000"/>
          <w:szCs w:val="22"/>
        </w:rPr>
        <w:t>4.8.</w:t>
      </w:r>
      <w:r w:rsidRPr="00CD729C">
        <w:rPr>
          <w:b/>
          <w:color w:val="000000"/>
          <w:szCs w:val="22"/>
        </w:rPr>
        <w:tab/>
        <w:t>Nevēlamās blakusparādības</w:t>
      </w:r>
    </w:p>
    <w:p w14:paraId="3D394A8C" w14:textId="77777777" w:rsidR="009E01F8" w:rsidRPr="00CD729C" w:rsidRDefault="009E01F8" w:rsidP="009B4BB6">
      <w:pPr>
        <w:keepNext/>
        <w:widowControl w:val="0"/>
        <w:tabs>
          <w:tab w:val="clear" w:pos="567"/>
        </w:tabs>
        <w:spacing w:line="240" w:lineRule="auto"/>
        <w:ind w:left="567" w:hanging="567"/>
        <w:rPr>
          <w:color w:val="000000"/>
          <w:szCs w:val="22"/>
        </w:rPr>
      </w:pPr>
    </w:p>
    <w:p w14:paraId="3D394A8D"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Pacientiem ar ļaundabīgām slimībām ir iespējami dažādi neskaidras izcelsmes stāvokļi, kas var izraisīt nevēlamas blakusparādības, ko, sakarā blakusslimību simptomu dažādību, slimības progresiju un dažādu zāļu vienlaicīgu lietošanu, ir grūti novērtēt.</w:t>
      </w:r>
    </w:p>
    <w:p w14:paraId="3D394A8E" w14:textId="77777777" w:rsidR="009E01F8" w:rsidRPr="00CD729C" w:rsidRDefault="009E01F8" w:rsidP="009B4BB6">
      <w:pPr>
        <w:widowControl w:val="0"/>
        <w:tabs>
          <w:tab w:val="clear" w:pos="567"/>
        </w:tabs>
        <w:spacing w:line="240" w:lineRule="auto"/>
        <w:rPr>
          <w:color w:val="000000"/>
          <w:szCs w:val="22"/>
        </w:rPr>
      </w:pPr>
    </w:p>
    <w:p w14:paraId="3D394A8F"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CML klīnisko pētījumu laikā sakarā ar to izraisītām nevēlamām blakusparādībām zāļu lietošana tika pārtraukta 2,4% pacientu ar pirmreizēju diagnozi, 4% pacientu slimības vēlīnajā hroniskajā fāzē pēc neveiksmīgi izmantotas interferona terapijas, 4% pacientu akcelerācijas fāzē pēc neveiksmīgi izmantotas interferona terapijas un 5% pacientu blastu krīzes apstākļos pēc neveiksmīgi izmantotas interferona terapijas. GIST pētījumu laikā sakarā ar šo zāļu izraisītām nevēlamām blakusparādībām terapija tika pārtraukta 4% pacientu.</w:t>
      </w:r>
    </w:p>
    <w:p w14:paraId="3D394A90" w14:textId="77777777" w:rsidR="009E01F8" w:rsidRPr="00CD729C" w:rsidRDefault="009E01F8" w:rsidP="009B4BB6">
      <w:pPr>
        <w:widowControl w:val="0"/>
        <w:tabs>
          <w:tab w:val="clear" w:pos="567"/>
        </w:tabs>
        <w:spacing w:line="240" w:lineRule="auto"/>
        <w:rPr>
          <w:color w:val="000000"/>
          <w:szCs w:val="22"/>
        </w:rPr>
      </w:pPr>
    </w:p>
    <w:p w14:paraId="3D394A91"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Visu indikāciju gadījumā novērotās nevēlamās blakusparādības, neskaitot divus izņēmumus, ir līdzīgas. Salīdzinot ar GIST slimniekiem, CML gadījumā biežāk novēro kaulu smadzeņu darbības nomākumu, kas, iespējams, ir saistīts ar blakusslimību. Klīniskā pētījumā slimniekiem ar nerezecējamu un/vai metastazējušu GIST, 7 (5%) pacientiem novēroja 3 vai 4 smaguma pakāpes (pēc CTC terminoloģijas) asiņošanu kuņģa – zarnu traktā (3 pacientiem), 3 pacientiem – intratumorālu asiņošanu, un 1 pacientam – vienlaicīgi abas parādības. Audzēji kuņģa – zarnu traktā var būt vieta, kur novēro kuņģa – zarnu trakta asiņošanu (skatīt 4.4.</w:t>
      </w:r>
      <w:r w:rsidR="00203C0B" w:rsidRPr="00CD729C">
        <w:rPr>
          <w:color w:val="000000"/>
          <w:szCs w:val="22"/>
        </w:rPr>
        <w:t> apakšpunktu</w:t>
      </w:r>
      <w:r w:rsidRPr="00CD729C">
        <w:rPr>
          <w:color w:val="000000"/>
          <w:szCs w:val="22"/>
        </w:rPr>
        <w:t>). Kuņģa – zarnu trakta asiņošana dažkārt var būt smaga vai nāvējoša. Visbiežāk (</w:t>
      </w:r>
      <w:r w:rsidRPr="00CD729C">
        <w:rPr>
          <w:color w:val="000000"/>
          <w:szCs w:val="22"/>
        </w:rPr>
        <w:sym w:font="Symbol" w:char="F0B3"/>
      </w:r>
      <w:r w:rsidRPr="00CD729C">
        <w:rPr>
          <w:color w:val="000000"/>
          <w:szCs w:val="22"/>
        </w:rPr>
        <w:t>10% gadījumu), abos gadījumos aprakstītās, ar šo zāļu lietošanu saistītās nevēlamās blakusparādības ir izpaudušās kā viegls nelabums, vemšana, caureja, sāpes vēderā, vājums, muskuļu sāpes un krampji, kā arī izsitumi. Visu pētījumu laikā bieži novēroja virspusējas tūskas, galvenokārt – virs acu dobumiem un ekstremitāšu apakšējā daļā. Tomēr šīs tūskas reti ir bijušas smagas. Tās iespējams ārstēt, izmantojot diurētiskos preparātus, uzturošus pasākumus vai arī samazinot Glivec devu.</w:t>
      </w:r>
    </w:p>
    <w:p w14:paraId="3D394A92" w14:textId="77777777" w:rsidR="009E01F8" w:rsidRPr="00CD729C" w:rsidRDefault="009E01F8" w:rsidP="009B4BB6">
      <w:pPr>
        <w:widowControl w:val="0"/>
        <w:tabs>
          <w:tab w:val="clear" w:pos="567"/>
        </w:tabs>
        <w:spacing w:line="240" w:lineRule="auto"/>
        <w:rPr>
          <w:color w:val="000000"/>
          <w:szCs w:val="22"/>
        </w:rPr>
      </w:pPr>
    </w:p>
    <w:p w14:paraId="3D394A93"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Pacientiem ar Ph+ ALL, imatinibu kombinējot ar lielu ķīmijterapijas devu shēmām, var novērot pārejošu aknu toksicitāti transamināžu paaugstināšanās un hiperbilirubinēmijas veidā. Ņemot vērā ierobežoto drošuma datu datubāzi, līdz šīm brīdim saņemtie ziņojumi par nevēlamajām blakusparādībām bērniem atbilst šī brīža zināmajam drošuma profilam pieaugušajiem ar Ph+ ALL. Drošuma datu bāze bērniem ar Ph+ALL ir ļoti ierobežota, tomēr nav identificēti jauni drošuma riski.</w:t>
      </w:r>
    </w:p>
    <w:p w14:paraId="3D394A94" w14:textId="77777777" w:rsidR="009E01F8" w:rsidRPr="00CD729C" w:rsidRDefault="009E01F8" w:rsidP="009B4BB6">
      <w:pPr>
        <w:widowControl w:val="0"/>
        <w:tabs>
          <w:tab w:val="clear" w:pos="567"/>
        </w:tabs>
        <w:spacing w:line="240" w:lineRule="auto"/>
        <w:rPr>
          <w:color w:val="000000"/>
          <w:szCs w:val="22"/>
        </w:rPr>
      </w:pPr>
    </w:p>
    <w:p w14:paraId="3D394A95"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Jaukta tipa nevēlamām blakusparādībām, kas izpaužas kā, piemēram, pleiras eksudāts, ascīts, plaušu tūska un straujš svara pieaugums ar virspusēju tūsku vai bez tās, ir iespējams piešķirt kopīgu apzīmējumu “šķidruma aizture”. Parasti šīs reakcijas iespējams ārstēt, uz laiku atliekot Glivec lietošanu un izmantojot diurētiskos līdzekļus un citus piemērotus uzturošas aprūpes pasākumus. Tomēr atsevišķos gadījumos var būt smagas vai dzīvībai bīstamas, un dažiem pacientiem blastu krīzes apstākļos un kompleksu klīnisku eksudatīvu pleirītu, sastrēguma sirds mazspēju un nieru mazspēju anamnēzē, ir iestājusies nāve. Klīniskajos pētījumos, kuros iesaistīti bērni, īpaši nozīmīgi dati, kas attiecas uz preparāta lietošanas droš</w:t>
      </w:r>
      <w:r w:rsidR="00743B0B">
        <w:rPr>
          <w:color w:val="000000"/>
          <w:szCs w:val="22"/>
        </w:rPr>
        <w:t>um</w:t>
      </w:r>
      <w:r w:rsidRPr="00CD729C">
        <w:rPr>
          <w:color w:val="000000"/>
          <w:szCs w:val="22"/>
        </w:rPr>
        <w:t>u, nav konstatēti.</w:t>
      </w:r>
    </w:p>
    <w:p w14:paraId="3D394A96" w14:textId="77777777" w:rsidR="009E01F8" w:rsidRPr="00CD729C" w:rsidRDefault="009E01F8" w:rsidP="009B4BB6">
      <w:pPr>
        <w:widowControl w:val="0"/>
        <w:tabs>
          <w:tab w:val="clear" w:pos="567"/>
        </w:tabs>
        <w:spacing w:line="240" w:lineRule="auto"/>
        <w:rPr>
          <w:color w:val="000000"/>
          <w:szCs w:val="22"/>
        </w:rPr>
      </w:pPr>
    </w:p>
    <w:p w14:paraId="3D394A97" w14:textId="77777777" w:rsidR="009E01F8" w:rsidRPr="00CD729C" w:rsidRDefault="009E01F8" w:rsidP="009B4BB6">
      <w:pPr>
        <w:keepNext/>
        <w:widowControl w:val="0"/>
        <w:tabs>
          <w:tab w:val="clear" w:pos="567"/>
        </w:tabs>
        <w:spacing w:line="240" w:lineRule="auto"/>
        <w:rPr>
          <w:b/>
          <w:color w:val="000000"/>
          <w:szCs w:val="22"/>
        </w:rPr>
      </w:pPr>
      <w:r w:rsidRPr="00CD729C">
        <w:rPr>
          <w:b/>
          <w:color w:val="000000"/>
          <w:szCs w:val="22"/>
        </w:rPr>
        <w:t>Nevēlamās blakusparādības</w:t>
      </w:r>
    </w:p>
    <w:p w14:paraId="3D394A98"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Nevēlamās blakusparādības, kas aprakstītas biežāk kā tikai atsevišķos gadījumos ir uzskaitītas turpmāk. Tās ir sistematizētas pēc orgānu sistēmas un biežuma. Uzskaitītām blakusparādībām rašanās biežums definēts sekojoši: ļoti bieži (</w:t>
      </w:r>
      <w:r w:rsidRPr="00CD729C">
        <w:rPr>
          <w:szCs w:val="22"/>
        </w:rPr>
        <w:t>≥</w:t>
      </w:r>
      <w:r w:rsidRPr="00CD729C">
        <w:rPr>
          <w:color w:val="000000"/>
          <w:szCs w:val="22"/>
        </w:rPr>
        <w:t>1/10), bieži (</w:t>
      </w:r>
      <w:r w:rsidRPr="00CD729C">
        <w:rPr>
          <w:szCs w:val="22"/>
        </w:rPr>
        <w:t>≥</w:t>
      </w:r>
      <w:r w:rsidRPr="00CD729C">
        <w:rPr>
          <w:color w:val="000000"/>
          <w:szCs w:val="22"/>
        </w:rPr>
        <w:t>1/100 līdz &lt;1/10), retāk (</w:t>
      </w:r>
      <w:r w:rsidRPr="00CD729C">
        <w:rPr>
          <w:szCs w:val="22"/>
        </w:rPr>
        <w:t>≥</w:t>
      </w:r>
      <w:r w:rsidRPr="00CD729C">
        <w:rPr>
          <w:color w:val="000000"/>
          <w:szCs w:val="22"/>
        </w:rPr>
        <w:t>1/1 000 līdz &lt;1/100), reti (</w:t>
      </w:r>
      <w:r w:rsidRPr="00CD729C">
        <w:rPr>
          <w:szCs w:val="22"/>
        </w:rPr>
        <w:t>≥1/10 000 līdz &lt;</w:t>
      </w:r>
      <w:r w:rsidRPr="00CD729C">
        <w:rPr>
          <w:color w:val="000000"/>
          <w:szCs w:val="22"/>
        </w:rPr>
        <w:t>1/1 000),</w:t>
      </w:r>
      <w:r w:rsidRPr="00CD729C">
        <w:rPr>
          <w:szCs w:val="22"/>
        </w:rPr>
        <w:t xml:space="preserve"> ļoti reti (&lt;1/10 000)</w:t>
      </w:r>
      <w:r w:rsidRPr="00CD729C">
        <w:rPr>
          <w:color w:val="000000"/>
          <w:szCs w:val="22"/>
        </w:rPr>
        <w:t xml:space="preserve">, </w:t>
      </w:r>
      <w:r w:rsidRPr="00CD729C">
        <w:rPr>
          <w:bCs/>
          <w:color w:val="000000"/>
        </w:rPr>
        <w:t>nav zināmi (nevar noteikt pēc pieejamiem datiem)</w:t>
      </w:r>
      <w:r w:rsidRPr="00CD729C">
        <w:rPr>
          <w:color w:val="000000"/>
          <w:szCs w:val="22"/>
        </w:rPr>
        <w:t>.</w:t>
      </w:r>
    </w:p>
    <w:p w14:paraId="3D394A99" w14:textId="77777777" w:rsidR="009E01F8" w:rsidRPr="00CD729C" w:rsidRDefault="009E01F8" w:rsidP="009B4BB6">
      <w:pPr>
        <w:widowControl w:val="0"/>
        <w:tabs>
          <w:tab w:val="clear" w:pos="567"/>
        </w:tabs>
        <w:spacing w:line="240" w:lineRule="auto"/>
        <w:rPr>
          <w:color w:val="000000"/>
          <w:szCs w:val="22"/>
        </w:rPr>
      </w:pPr>
    </w:p>
    <w:p w14:paraId="3D394A9A" w14:textId="77777777" w:rsidR="009E01F8" w:rsidRPr="00CD729C" w:rsidRDefault="009E01F8" w:rsidP="009B4BB6">
      <w:pPr>
        <w:widowControl w:val="0"/>
        <w:tabs>
          <w:tab w:val="clear" w:pos="567"/>
        </w:tabs>
        <w:spacing w:line="240" w:lineRule="auto"/>
        <w:rPr>
          <w:color w:val="000000"/>
          <w:szCs w:val="22"/>
        </w:rPr>
      </w:pPr>
      <w:r w:rsidRPr="00CD729C">
        <w:rPr>
          <w:color w:val="000000"/>
        </w:rPr>
        <w:t xml:space="preserve">Katrā sastopamības biežuma grupā nevēlamās blakusparādības sakārtotas pēc to sastopamības </w:t>
      </w:r>
      <w:r w:rsidRPr="00CD729C">
        <w:rPr>
          <w:color w:val="000000"/>
          <w:szCs w:val="22"/>
        </w:rPr>
        <w:t>biežuma, biežākās vispirms.</w:t>
      </w:r>
    </w:p>
    <w:p w14:paraId="3D394A9B" w14:textId="77777777" w:rsidR="009E01F8" w:rsidRPr="00CD729C" w:rsidRDefault="009E01F8" w:rsidP="009B4BB6">
      <w:pPr>
        <w:widowControl w:val="0"/>
        <w:spacing w:line="240" w:lineRule="auto"/>
        <w:rPr>
          <w:color w:val="000000"/>
          <w:szCs w:val="24"/>
          <w:lang w:eastAsia="ja-JP"/>
        </w:rPr>
      </w:pPr>
    </w:p>
    <w:p w14:paraId="3D394A9C" w14:textId="77777777" w:rsidR="009E01F8" w:rsidRPr="00CD729C" w:rsidRDefault="009E01F8" w:rsidP="009B4BB6">
      <w:pPr>
        <w:widowControl w:val="0"/>
        <w:spacing w:line="240" w:lineRule="auto"/>
        <w:rPr>
          <w:color w:val="000000"/>
        </w:rPr>
      </w:pPr>
      <w:r w:rsidRPr="00CD729C">
        <w:rPr>
          <w:color w:val="000000"/>
          <w:szCs w:val="22"/>
          <w:lang w:eastAsia="ja-JP"/>
        </w:rPr>
        <w:t xml:space="preserve">Tabulā Nr. 1 </w:t>
      </w:r>
      <w:r w:rsidR="000261F0" w:rsidRPr="00CD729C">
        <w:rPr>
          <w:color w:val="000000"/>
          <w:szCs w:val="22"/>
          <w:lang w:eastAsia="ja-JP"/>
        </w:rPr>
        <w:t xml:space="preserve">ir </w:t>
      </w:r>
      <w:r w:rsidRPr="00CD729C">
        <w:rPr>
          <w:color w:val="000000"/>
          <w:szCs w:val="22"/>
          <w:lang w:eastAsia="ja-JP"/>
        </w:rPr>
        <w:t>minēt</w:t>
      </w:r>
      <w:r w:rsidR="000261F0" w:rsidRPr="00CD729C">
        <w:rPr>
          <w:color w:val="000000"/>
          <w:szCs w:val="22"/>
          <w:lang w:eastAsia="ja-JP"/>
        </w:rPr>
        <w:t>a</w:t>
      </w:r>
      <w:r w:rsidRPr="00CD729C">
        <w:rPr>
          <w:color w:val="000000"/>
          <w:szCs w:val="22"/>
          <w:lang w:eastAsia="ja-JP"/>
        </w:rPr>
        <w:t>s blakusparādības un to.</w:t>
      </w:r>
    </w:p>
    <w:p w14:paraId="3D394A9D" w14:textId="77777777" w:rsidR="009E01F8" w:rsidRPr="00CD729C" w:rsidRDefault="009E01F8" w:rsidP="009B4BB6">
      <w:pPr>
        <w:widowControl w:val="0"/>
        <w:spacing w:line="240" w:lineRule="auto"/>
        <w:rPr>
          <w:color w:val="000000"/>
        </w:rPr>
      </w:pPr>
    </w:p>
    <w:p w14:paraId="3D394A9E" w14:textId="77777777" w:rsidR="009E01F8" w:rsidRPr="00CD729C" w:rsidRDefault="009E01F8" w:rsidP="009B4BB6">
      <w:pPr>
        <w:keepNext/>
        <w:widowControl w:val="0"/>
        <w:tabs>
          <w:tab w:val="clear" w:pos="567"/>
          <w:tab w:val="left" w:pos="1134"/>
        </w:tabs>
        <w:spacing w:line="240" w:lineRule="auto"/>
        <w:rPr>
          <w:b/>
          <w:color w:val="000000"/>
        </w:rPr>
      </w:pPr>
      <w:r w:rsidRPr="00CD729C">
        <w:rPr>
          <w:b/>
          <w:color w:val="000000"/>
        </w:rPr>
        <w:t>Tabula Nr. 1</w:t>
      </w:r>
      <w:r w:rsidRPr="00CD729C">
        <w:rPr>
          <w:b/>
          <w:color w:val="000000"/>
        </w:rPr>
        <w:tab/>
      </w:r>
      <w:r w:rsidR="000261F0" w:rsidRPr="00CD729C">
        <w:rPr>
          <w:b/>
          <w:color w:val="000000"/>
          <w:szCs w:val="22"/>
        </w:rPr>
        <w:t>Tabulā apkopotās nevēlamās b</w:t>
      </w:r>
      <w:r w:rsidRPr="00CD729C">
        <w:rPr>
          <w:b/>
          <w:color w:val="000000"/>
          <w:szCs w:val="22"/>
        </w:rPr>
        <w:t>lakusparādības</w:t>
      </w:r>
    </w:p>
    <w:p w14:paraId="3D394A9F" w14:textId="77777777" w:rsidR="009E01F8" w:rsidRPr="00CD729C" w:rsidRDefault="009E01F8" w:rsidP="009B4BB6">
      <w:pPr>
        <w:keepNext/>
        <w:widowControl w:val="0"/>
        <w:spacing w:line="240" w:lineRule="auto"/>
        <w:rPr>
          <w:color w:val="000000"/>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087"/>
      </w:tblGrid>
      <w:tr w:rsidR="009E01F8" w:rsidRPr="00CD729C" w14:paraId="3D394AA1" w14:textId="77777777" w:rsidTr="009B4BB6">
        <w:trPr>
          <w:cantSplit/>
        </w:trPr>
        <w:tc>
          <w:tcPr>
            <w:tcW w:w="9322" w:type="dxa"/>
            <w:gridSpan w:val="2"/>
          </w:tcPr>
          <w:p w14:paraId="3D394AA0" w14:textId="77777777" w:rsidR="009E01F8" w:rsidRPr="00CD729C" w:rsidRDefault="009E01F8" w:rsidP="009B4BB6">
            <w:pPr>
              <w:keepNext/>
              <w:widowControl w:val="0"/>
              <w:spacing w:line="240" w:lineRule="auto"/>
              <w:rPr>
                <w:b/>
                <w:bCs/>
                <w:color w:val="000000"/>
                <w:szCs w:val="22"/>
              </w:rPr>
            </w:pPr>
            <w:r w:rsidRPr="00CD729C">
              <w:rPr>
                <w:b/>
                <w:bCs/>
                <w:szCs w:val="22"/>
              </w:rPr>
              <w:t>Infekcijas un infestācijas</w:t>
            </w:r>
          </w:p>
        </w:tc>
      </w:tr>
      <w:tr w:rsidR="009E01F8" w:rsidRPr="00CD729C" w14:paraId="3D394AA4" w14:textId="77777777" w:rsidTr="009B4BB6">
        <w:trPr>
          <w:cantSplit/>
        </w:trPr>
        <w:tc>
          <w:tcPr>
            <w:tcW w:w="2235" w:type="dxa"/>
          </w:tcPr>
          <w:p w14:paraId="3D394AA2" w14:textId="77777777" w:rsidR="009E01F8" w:rsidRPr="00CD729C" w:rsidRDefault="009E01F8" w:rsidP="009B4BB6">
            <w:pPr>
              <w:keepNext/>
              <w:widowControl w:val="0"/>
              <w:spacing w:line="240" w:lineRule="auto"/>
              <w:rPr>
                <w:i/>
                <w:color w:val="000000"/>
                <w:szCs w:val="22"/>
              </w:rPr>
            </w:pPr>
            <w:r w:rsidRPr="00CD729C">
              <w:rPr>
                <w:i/>
                <w:color w:val="000000"/>
                <w:szCs w:val="22"/>
              </w:rPr>
              <w:t>Retāk</w:t>
            </w:r>
          </w:p>
        </w:tc>
        <w:tc>
          <w:tcPr>
            <w:tcW w:w="7087" w:type="dxa"/>
          </w:tcPr>
          <w:p w14:paraId="3D394AA3" w14:textId="77777777" w:rsidR="009E01F8" w:rsidRPr="00CD729C" w:rsidRDefault="009E01F8" w:rsidP="009B4BB6">
            <w:pPr>
              <w:keepNext/>
              <w:widowControl w:val="0"/>
              <w:spacing w:line="240" w:lineRule="auto"/>
              <w:rPr>
                <w:color w:val="000000"/>
                <w:szCs w:val="22"/>
              </w:rPr>
            </w:pPr>
            <w:r w:rsidRPr="00CD729C">
              <w:rPr>
                <w:i/>
                <w:color w:val="000000"/>
                <w:szCs w:val="22"/>
              </w:rPr>
              <w:t>Herpes zoster</w:t>
            </w:r>
            <w:r w:rsidRPr="00CD729C">
              <w:rPr>
                <w:color w:val="000000"/>
                <w:szCs w:val="22"/>
              </w:rPr>
              <w:t xml:space="preserve">, </w:t>
            </w:r>
            <w:r w:rsidRPr="00CD729C">
              <w:rPr>
                <w:i/>
                <w:color w:val="000000"/>
                <w:szCs w:val="22"/>
              </w:rPr>
              <w:t>herpes simplex</w:t>
            </w:r>
            <w:r w:rsidRPr="00CD729C">
              <w:rPr>
                <w:color w:val="000000"/>
                <w:szCs w:val="22"/>
              </w:rPr>
              <w:t>, nazofaringīts, pneimonija</w:t>
            </w:r>
            <w:r w:rsidRPr="00CD729C">
              <w:rPr>
                <w:color w:val="000000"/>
                <w:szCs w:val="22"/>
                <w:vertAlign w:val="superscript"/>
              </w:rPr>
              <w:t>1</w:t>
            </w:r>
            <w:r w:rsidRPr="00CD729C">
              <w:rPr>
                <w:color w:val="000000"/>
                <w:szCs w:val="22"/>
              </w:rPr>
              <w:t>, sinusīts, celulīts, augšējo elpošanas ceļu infekcija, gripa, urīnceļu infekcija, gastroenterīts, sepse</w:t>
            </w:r>
          </w:p>
        </w:tc>
      </w:tr>
      <w:tr w:rsidR="009E01F8" w:rsidRPr="00CD729C" w14:paraId="3D394AA7" w14:textId="77777777" w:rsidTr="009B4BB6">
        <w:trPr>
          <w:cantSplit/>
        </w:trPr>
        <w:tc>
          <w:tcPr>
            <w:tcW w:w="2235" w:type="dxa"/>
          </w:tcPr>
          <w:p w14:paraId="3D394AA5" w14:textId="77777777" w:rsidR="009E01F8" w:rsidRPr="00CD729C" w:rsidRDefault="009E01F8" w:rsidP="009B4BB6">
            <w:pPr>
              <w:keepNext/>
              <w:widowControl w:val="0"/>
              <w:spacing w:line="240" w:lineRule="auto"/>
              <w:rPr>
                <w:i/>
                <w:color w:val="000000"/>
                <w:szCs w:val="22"/>
              </w:rPr>
            </w:pPr>
            <w:r w:rsidRPr="00CD729C">
              <w:rPr>
                <w:i/>
                <w:color w:val="000000"/>
                <w:szCs w:val="22"/>
              </w:rPr>
              <w:t>Reti</w:t>
            </w:r>
          </w:p>
        </w:tc>
        <w:tc>
          <w:tcPr>
            <w:tcW w:w="7087" w:type="dxa"/>
          </w:tcPr>
          <w:p w14:paraId="3D394AA6" w14:textId="77777777" w:rsidR="009E01F8" w:rsidRPr="00CD729C" w:rsidRDefault="009E01F8" w:rsidP="009B4BB6">
            <w:pPr>
              <w:keepNext/>
              <w:widowControl w:val="0"/>
              <w:spacing w:line="240" w:lineRule="auto"/>
              <w:rPr>
                <w:color w:val="000000"/>
                <w:szCs w:val="22"/>
              </w:rPr>
            </w:pPr>
            <w:r w:rsidRPr="00CD729C">
              <w:rPr>
                <w:color w:val="000000"/>
                <w:szCs w:val="22"/>
              </w:rPr>
              <w:t>Sēnīšu infekcija</w:t>
            </w:r>
          </w:p>
        </w:tc>
      </w:tr>
      <w:tr w:rsidR="00DB74ED" w:rsidRPr="00CD729C" w14:paraId="3D394AAA" w14:textId="77777777" w:rsidTr="009B4BB6">
        <w:trPr>
          <w:cantSplit/>
        </w:trPr>
        <w:tc>
          <w:tcPr>
            <w:tcW w:w="2235" w:type="dxa"/>
          </w:tcPr>
          <w:p w14:paraId="3D394AA8" w14:textId="77777777" w:rsidR="00DB74ED" w:rsidRPr="00CD729C" w:rsidRDefault="00DB74ED" w:rsidP="009B4BB6">
            <w:pPr>
              <w:widowControl w:val="0"/>
              <w:spacing w:line="240" w:lineRule="auto"/>
              <w:rPr>
                <w:i/>
                <w:color w:val="000000"/>
                <w:szCs w:val="22"/>
              </w:rPr>
            </w:pPr>
            <w:r>
              <w:rPr>
                <w:i/>
                <w:color w:val="000000"/>
                <w:szCs w:val="22"/>
              </w:rPr>
              <w:t>Nav zināmi</w:t>
            </w:r>
          </w:p>
        </w:tc>
        <w:tc>
          <w:tcPr>
            <w:tcW w:w="7087" w:type="dxa"/>
          </w:tcPr>
          <w:p w14:paraId="3D394AA9" w14:textId="77777777" w:rsidR="00DB74ED" w:rsidRPr="00CD729C" w:rsidRDefault="00DB74ED" w:rsidP="009B4BB6">
            <w:pPr>
              <w:widowControl w:val="0"/>
              <w:spacing w:line="240" w:lineRule="auto"/>
              <w:rPr>
                <w:color w:val="000000"/>
                <w:szCs w:val="22"/>
              </w:rPr>
            </w:pPr>
            <w:r>
              <w:rPr>
                <w:color w:val="000000"/>
                <w:szCs w:val="22"/>
              </w:rPr>
              <w:t>B hepatīta reaktivācija</w:t>
            </w:r>
            <w:r w:rsidRPr="00CD729C">
              <w:rPr>
                <w:color w:val="000000"/>
                <w:szCs w:val="22"/>
              </w:rPr>
              <w:t>*</w:t>
            </w:r>
          </w:p>
        </w:tc>
      </w:tr>
      <w:tr w:rsidR="009E01F8" w:rsidRPr="00CD729C" w14:paraId="3D394AAC" w14:textId="77777777" w:rsidTr="009B4BB6">
        <w:trPr>
          <w:cantSplit/>
        </w:trPr>
        <w:tc>
          <w:tcPr>
            <w:tcW w:w="9322" w:type="dxa"/>
            <w:gridSpan w:val="2"/>
          </w:tcPr>
          <w:p w14:paraId="3D394AAB" w14:textId="77777777" w:rsidR="009E01F8" w:rsidRPr="00CD729C" w:rsidRDefault="009E01F8" w:rsidP="009B4BB6">
            <w:pPr>
              <w:keepNext/>
              <w:widowControl w:val="0"/>
              <w:spacing w:line="240" w:lineRule="auto"/>
              <w:rPr>
                <w:b/>
                <w:color w:val="000000"/>
                <w:szCs w:val="22"/>
              </w:rPr>
            </w:pPr>
            <w:r w:rsidRPr="00CD729C">
              <w:rPr>
                <w:b/>
                <w:color w:val="000000"/>
                <w:szCs w:val="22"/>
              </w:rPr>
              <w:t>Labdabīgi, ļaundabīgi un neprecizēti audzēji (ieskaitot cistas un polipus)</w:t>
            </w:r>
          </w:p>
        </w:tc>
      </w:tr>
      <w:tr w:rsidR="009E01F8" w:rsidRPr="00CD729C" w14:paraId="3D394AAF" w14:textId="77777777" w:rsidTr="009B4BB6">
        <w:trPr>
          <w:cantSplit/>
        </w:trPr>
        <w:tc>
          <w:tcPr>
            <w:tcW w:w="2235" w:type="dxa"/>
          </w:tcPr>
          <w:p w14:paraId="3D394AAD" w14:textId="77777777" w:rsidR="009E01F8" w:rsidRPr="00CD729C" w:rsidRDefault="009E01F8" w:rsidP="009B4BB6">
            <w:pPr>
              <w:keepNext/>
              <w:widowControl w:val="0"/>
              <w:spacing w:line="240" w:lineRule="auto"/>
              <w:rPr>
                <w:i/>
                <w:color w:val="000000"/>
                <w:szCs w:val="22"/>
              </w:rPr>
            </w:pPr>
            <w:r w:rsidRPr="00CD729C">
              <w:rPr>
                <w:i/>
                <w:color w:val="000000"/>
                <w:szCs w:val="22"/>
              </w:rPr>
              <w:t>Reti</w:t>
            </w:r>
          </w:p>
        </w:tc>
        <w:tc>
          <w:tcPr>
            <w:tcW w:w="7087" w:type="dxa"/>
          </w:tcPr>
          <w:p w14:paraId="3D394AAE" w14:textId="77777777" w:rsidR="009E01F8" w:rsidRPr="00CD729C" w:rsidRDefault="009E01F8" w:rsidP="009B4BB6">
            <w:pPr>
              <w:keepNext/>
              <w:widowControl w:val="0"/>
              <w:spacing w:line="240" w:lineRule="auto"/>
              <w:rPr>
                <w:color w:val="000000"/>
                <w:szCs w:val="22"/>
              </w:rPr>
            </w:pPr>
            <w:r w:rsidRPr="00CD729C">
              <w:rPr>
                <w:color w:val="000000"/>
                <w:szCs w:val="22"/>
              </w:rPr>
              <w:t>Audzēja sabrukšanas sindroms</w:t>
            </w:r>
          </w:p>
        </w:tc>
      </w:tr>
      <w:tr w:rsidR="000261F0" w:rsidRPr="00CD729C" w14:paraId="3D394AB2" w14:textId="77777777" w:rsidTr="009B4BB6">
        <w:trPr>
          <w:cantSplit/>
        </w:trPr>
        <w:tc>
          <w:tcPr>
            <w:tcW w:w="2235" w:type="dxa"/>
          </w:tcPr>
          <w:p w14:paraId="3D394AB0" w14:textId="77777777" w:rsidR="000261F0" w:rsidRPr="00CD729C" w:rsidRDefault="000261F0" w:rsidP="009B4BB6">
            <w:pPr>
              <w:widowControl w:val="0"/>
              <w:spacing w:line="240" w:lineRule="auto"/>
              <w:rPr>
                <w:i/>
                <w:color w:val="000000"/>
                <w:szCs w:val="22"/>
              </w:rPr>
            </w:pPr>
            <w:r w:rsidRPr="00CD729C">
              <w:rPr>
                <w:i/>
                <w:color w:val="000000"/>
                <w:szCs w:val="22"/>
              </w:rPr>
              <w:t>Nav zināmi</w:t>
            </w:r>
          </w:p>
        </w:tc>
        <w:tc>
          <w:tcPr>
            <w:tcW w:w="7087" w:type="dxa"/>
          </w:tcPr>
          <w:p w14:paraId="3D394AB1" w14:textId="77777777" w:rsidR="000261F0" w:rsidRPr="00CD729C" w:rsidRDefault="000261F0" w:rsidP="009B4BB6">
            <w:pPr>
              <w:widowControl w:val="0"/>
              <w:spacing w:line="240" w:lineRule="auto"/>
              <w:rPr>
                <w:color w:val="000000"/>
                <w:szCs w:val="22"/>
              </w:rPr>
            </w:pPr>
            <w:r w:rsidRPr="00CD729C">
              <w:rPr>
                <w:color w:val="000000"/>
                <w:szCs w:val="22"/>
              </w:rPr>
              <w:t>Audzēja asiņošana/audzēja nekroze*</w:t>
            </w:r>
          </w:p>
        </w:tc>
      </w:tr>
      <w:tr w:rsidR="000261F0" w:rsidRPr="00CD729C" w14:paraId="3D394AB4" w14:textId="77777777" w:rsidTr="009B4BB6">
        <w:trPr>
          <w:cantSplit/>
        </w:trPr>
        <w:tc>
          <w:tcPr>
            <w:tcW w:w="9322" w:type="dxa"/>
            <w:gridSpan w:val="2"/>
          </w:tcPr>
          <w:p w14:paraId="3D394AB3" w14:textId="77777777" w:rsidR="000261F0" w:rsidRPr="00CD729C" w:rsidRDefault="000261F0" w:rsidP="009B4BB6">
            <w:pPr>
              <w:keepNext/>
              <w:widowControl w:val="0"/>
              <w:spacing w:line="240" w:lineRule="auto"/>
              <w:rPr>
                <w:color w:val="000000"/>
                <w:szCs w:val="22"/>
              </w:rPr>
            </w:pPr>
            <w:r w:rsidRPr="00CD729C">
              <w:rPr>
                <w:b/>
                <w:bCs/>
                <w:color w:val="000000"/>
                <w:szCs w:val="22"/>
              </w:rPr>
              <w:t>Imūnās sistēmas traucējumi</w:t>
            </w:r>
          </w:p>
        </w:tc>
      </w:tr>
      <w:tr w:rsidR="000261F0" w:rsidRPr="00CD729C" w14:paraId="3D394AB7" w14:textId="77777777" w:rsidTr="009B4BB6">
        <w:trPr>
          <w:cantSplit/>
        </w:trPr>
        <w:tc>
          <w:tcPr>
            <w:tcW w:w="2235" w:type="dxa"/>
          </w:tcPr>
          <w:p w14:paraId="3D394AB5" w14:textId="77777777" w:rsidR="000261F0" w:rsidRPr="00CD729C" w:rsidRDefault="000261F0" w:rsidP="009B4BB6">
            <w:pPr>
              <w:widowControl w:val="0"/>
              <w:spacing w:line="240" w:lineRule="auto"/>
              <w:rPr>
                <w:i/>
                <w:color w:val="000000"/>
                <w:szCs w:val="22"/>
              </w:rPr>
            </w:pPr>
            <w:r w:rsidRPr="00CD729C">
              <w:rPr>
                <w:i/>
                <w:color w:val="000000"/>
                <w:szCs w:val="22"/>
              </w:rPr>
              <w:t>Nav zināmi</w:t>
            </w:r>
          </w:p>
        </w:tc>
        <w:tc>
          <w:tcPr>
            <w:tcW w:w="7087" w:type="dxa"/>
          </w:tcPr>
          <w:p w14:paraId="3D394AB6" w14:textId="77777777" w:rsidR="000261F0" w:rsidRPr="00CD729C" w:rsidRDefault="000261F0" w:rsidP="009B4BB6">
            <w:pPr>
              <w:widowControl w:val="0"/>
              <w:spacing w:line="240" w:lineRule="auto"/>
              <w:rPr>
                <w:color w:val="000000"/>
                <w:szCs w:val="22"/>
              </w:rPr>
            </w:pPr>
            <w:r w:rsidRPr="00CD729C">
              <w:rPr>
                <w:color w:val="000000"/>
                <w:szCs w:val="22"/>
              </w:rPr>
              <w:t>Anafilaktiskais šoks*</w:t>
            </w:r>
          </w:p>
        </w:tc>
      </w:tr>
      <w:tr w:rsidR="009E01F8" w:rsidRPr="00CD729C" w14:paraId="3D394AB9" w14:textId="77777777" w:rsidTr="009B4BB6">
        <w:trPr>
          <w:cantSplit/>
        </w:trPr>
        <w:tc>
          <w:tcPr>
            <w:tcW w:w="9322" w:type="dxa"/>
            <w:gridSpan w:val="2"/>
          </w:tcPr>
          <w:p w14:paraId="3D394AB8" w14:textId="77777777" w:rsidR="009E01F8" w:rsidRPr="00CD729C" w:rsidRDefault="009E01F8" w:rsidP="009B4BB6">
            <w:pPr>
              <w:keepNext/>
              <w:widowControl w:val="0"/>
              <w:spacing w:line="240" w:lineRule="auto"/>
              <w:rPr>
                <w:color w:val="000000"/>
              </w:rPr>
            </w:pPr>
            <w:r w:rsidRPr="00CD729C">
              <w:rPr>
                <w:b/>
                <w:color w:val="000000"/>
                <w:szCs w:val="22"/>
              </w:rPr>
              <w:t>Asins un limfātiskās sistēmas traucējumi</w:t>
            </w:r>
          </w:p>
        </w:tc>
      </w:tr>
      <w:tr w:rsidR="009E01F8" w:rsidRPr="00CD729C" w14:paraId="3D394ABC" w14:textId="77777777" w:rsidTr="009B4BB6">
        <w:trPr>
          <w:cantSplit/>
        </w:trPr>
        <w:tc>
          <w:tcPr>
            <w:tcW w:w="2235" w:type="dxa"/>
          </w:tcPr>
          <w:p w14:paraId="3D394ABA" w14:textId="77777777" w:rsidR="009E01F8" w:rsidRPr="00CD729C" w:rsidRDefault="009E01F8" w:rsidP="009B4BB6">
            <w:pPr>
              <w:keepNext/>
              <w:widowControl w:val="0"/>
              <w:spacing w:line="240" w:lineRule="auto"/>
              <w:rPr>
                <w:color w:val="000000"/>
              </w:rPr>
            </w:pPr>
            <w:r w:rsidRPr="00CD729C">
              <w:rPr>
                <w:i/>
                <w:color w:val="000000"/>
                <w:szCs w:val="22"/>
              </w:rPr>
              <w:t>Ļoti bieži</w:t>
            </w:r>
          </w:p>
        </w:tc>
        <w:tc>
          <w:tcPr>
            <w:tcW w:w="7087" w:type="dxa"/>
          </w:tcPr>
          <w:p w14:paraId="3D394ABB" w14:textId="77777777" w:rsidR="009E01F8" w:rsidRPr="00CD729C" w:rsidRDefault="009E01F8" w:rsidP="009B4BB6">
            <w:pPr>
              <w:keepNext/>
              <w:widowControl w:val="0"/>
              <w:spacing w:line="240" w:lineRule="auto"/>
              <w:rPr>
                <w:color w:val="000000"/>
              </w:rPr>
            </w:pPr>
            <w:r w:rsidRPr="00CD729C">
              <w:rPr>
                <w:color w:val="000000"/>
                <w:szCs w:val="22"/>
              </w:rPr>
              <w:t>Neitropēnija, trombocitopēnija, anēmija</w:t>
            </w:r>
          </w:p>
        </w:tc>
      </w:tr>
      <w:tr w:rsidR="009E01F8" w:rsidRPr="00CD729C" w14:paraId="3D394ABF" w14:textId="77777777" w:rsidTr="009B4BB6">
        <w:trPr>
          <w:cantSplit/>
        </w:trPr>
        <w:tc>
          <w:tcPr>
            <w:tcW w:w="2235" w:type="dxa"/>
          </w:tcPr>
          <w:p w14:paraId="3D394ABD" w14:textId="77777777" w:rsidR="009E01F8" w:rsidRPr="00CD729C" w:rsidRDefault="009E01F8" w:rsidP="009B4BB6">
            <w:pPr>
              <w:keepNext/>
              <w:widowControl w:val="0"/>
              <w:spacing w:line="240" w:lineRule="auto"/>
              <w:rPr>
                <w:color w:val="000000"/>
              </w:rPr>
            </w:pPr>
            <w:r w:rsidRPr="00CD729C">
              <w:rPr>
                <w:i/>
                <w:color w:val="000000"/>
                <w:szCs w:val="22"/>
              </w:rPr>
              <w:t>Bieži</w:t>
            </w:r>
          </w:p>
        </w:tc>
        <w:tc>
          <w:tcPr>
            <w:tcW w:w="7087" w:type="dxa"/>
          </w:tcPr>
          <w:p w14:paraId="3D394ABE" w14:textId="77777777" w:rsidR="009E01F8" w:rsidRPr="00CD729C" w:rsidRDefault="009E01F8" w:rsidP="009B4BB6">
            <w:pPr>
              <w:keepNext/>
              <w:widowControl w:val="0"/>
              <w:spacing w:line="240" w:lineRule="auto"/>
              <w:rPr>
                <w:color w:val="000000"/>
              </w:rPr>
            </w:pPr>
            <w:r w:rsidRPr="00CD729C">
              <w:rPr>
                <w:color w:val="000000"/>
                <w:szCs w:val="22"/>
              </w:rPr>
              <w:t>Pancitopēnija, febrila neitropēnija</w:t>
            </w:r>
          </w:p>
        </w:tc>
      </w:tr>
      <w:tr w:rsidR="009E01F8" w:rsidRPr="00CD729C" w14:paraId="3D394AC2" w14:textId="77777777" w:rsidTr="009B4BB6">
        <w:trPr>
          <w:cantSplit/>
        </w:trPr>
        <w:tc>
          <w:tcPr>
            <w:tcW w:w="2235" w:type="dxa"/>
          </w:tcPr>
          <w:p w14:paraId="3D394AC0" w14:textId="77777777" w:rsidR="009E01F8" w:rsidRPr="00CD729C" w:rsidRDefault="009E01F8" w:rsidP="009B4BB6">
            <w:pPr>
              <w:keepNext/>
              <w:widowControl w:val="0"/>
              <w:spacing w:line="240" w:lineRule="auto"/>
              <w:rPr>
                <w:color w:val="000000"/>
              </w:rPr>
            </w:pPr>
            <w:r w:rsidRPr="00CD729C">
              <w:rPr>
                <w:i/>
                <w:color w:val="000000"/>
                <w:szCs w:val="22"/>
              </w:rPr>
              <w:t>Retāk</w:t>
            </w:r>
          </w:p>
        </w:tc>
        <w:tc>
          <w:tcPr>
            <w:tcW w:w="7087" w:type="dxa"/>
          </w:tcPr>
          <w:p w14:paraId="3D394AC1" w14:textId="77777777" w:rsidR="009E01F8" w:rsidRPr="00CD729C" w:rsidRDefault="009E01F8" w:rsidP="009B4BB6">
            <w:pPr>
              <w:keepNext/>
              <w:widowControl w:val="0"/>
              <w:spacing w:line="240" w:lineRule="auto"/>
              <w:rPr>
                <w:color w:val="000000"/>
              </w:rPr>
            </w:pPr>
            <w:r w:rsidRPr="00CD729C">
              <w:rPr>
                <w:color w:val="000000"/>
                <w:szCs w:val="22"/>
              </w:rPr>
              <w:t>Trombocitēmija, limfopēnija, kaulu smadzeņu nomākums, eozinofilija, limfadenopātija</w:t>
            </w:r>
          </w:p>
        </w:tc>
      </w:tr>
      <w:tr w:rsidR="009E01F8" w:rsidRPr="00CD729C" w14:paraId="3D394AC5" w14:textId="77777777" w:rsidTr="009B4BB6">
        <w:trPr>
          <w:cantSplit/>
        </w:trPr>
        <w:tc>
          <w:tcPr>
            <w:tcW w:w="2235" w:type="dxa"/>
          </w:tcPr>
          <w:p w14:paraId="3D394AC3" w14:textId="77777777" w:rsidR="009E01F8" w:rsidRPr="00CD729C" w:rsidRDefault="009E01F8" w:rsidP="009B4BB6">
            <w:pPr>
              <w:widowControl w:val="0"/>
              <w:spacing w:line="240" w:lineRule="auto"/>
              <w:rPr>
                <w:i/>
                <w:color w:val="000000"/>
              </w:rPr>
            </w:pPr>
            <w:r w:rsidRPr="00CD729C">
              <w:rPr>
                <w:i/>
                <w:color w:val="000000"/>
                <w:szCs w:val="22"/>
              </w:rPr>
              <w:t>Reti</w:t>
            </w:r>
          </w:p>
        </w:tc>
        <w:tc>
          <w:tcPr>
            <w:tcW w:w="7087" w:type="dxa"/>
          </w:tcPr>
          <w:p w14:paraId="3D394AC4" w14:textId="77777777" w:rsidR="009E01F8" w:rsidRPr="00CD729C" w:rsidRDefault="009E01F8" w:rsidP="009B4BB6">
            <w:pPr>
              <w:widowControl w:val="0"/>
              <w:spacing w:line="240" w:lineRule="auto"/>
              <w:rPr>
                <w:color w:val="000000"/>
              </w:rPr>
            </w:pPr>
            <w:r w:rsidRPr="00CD729C">
              <w:rPr>
                <w:color w:val="000000"/>
                <w:szCs w:val="22"/>
              </w:rPr>
              <w:t>Hemolītiska anēmija</w:t>
            </w:r>
            <w:r w:rsidR="003F703E">
              <w:rPr>
                <w:color w:val="000000"/>
                <w:szCs w:val="22"/>
              </w:rPr>
              <w:t>, trombotiska mikroangiopātija</w:t>
            </w:r>
          </w:p>
        </w:tc>
      </w:tr>
      <w:tr w:rsidR="009E01F8" w:rsidRPr="00CD729C" w14:paraId="3D394AC7" w14:textId="77777777" w:rsidTr="009B4BB6">
        <w:trPr>
          <w:cantSplit/>
        </w:trPr>
        <w:tc>
          <w:tcPr>
            <w:tcW w:w="9322" w:type="dxa"/>
            <w:gridSpan w:val="2"/>
          </w:tcPr>
          <w:p w14:paraId="3D394AC6" w14:textId="77777777" w:rsidR="009E01F8" w:rsidRPr="00CD729C" w:rsidRDefault="009E01F8" w:rsidP="009B4BB6">
            <w:pPr>
              <w:keepNext/>
              <w:widowControl w:val="0"/>
              <w:spacing w:line="240" w:lineRule="auto"/>
              <w:rPr>
                <w:color w:val="000000"/>
                <w:szCs w:val="22"/>
              </w:rPr>
            </w:pPr>
            <w:r w:rsidRPr="00CD729C">
              <w:rPr>
                <w:b/>
                <w:bCs/>
                <w:szCs w:val="22"/>
              </w:rPr>
              <w:t>Vielmaiņas un uztures traucējumi</w:t>
            </w:r>
          </w:p>
        </w:tc>
      </w:tr>
      <w:tr w:rsidR="009E01F8" w:rsidRPr="00CD729C" w14:paraId="3D394ACA" w14:textId="77777777" w:rsidTr="009B4BB6">
        <w:trPr>
          <w:cantSplit/>
        </w:trPr>
        <w:tc>
          <w:tcPr>
            <w:tcW w:w="2235" w:type="dxa"/>
          </w:tcPr>
          <w:p w14:paraId="3D394AC8" w14:textId="77777777" w:rsidR="009E01F8" w:rsidRPr="00CD729C" w:rsidRDefault="009E01F8" w:rsidP="009B4BB6">
            <w:pPr>
              <w:keepNext/>
              <w:widowControl w:val="0"/>
              <w:spacing w:line="240" w:lineRule="auto"/>
              <w:rPr>
                <w:i/>
                <w:color w:val="000000"/>
                <w:szCs w:val="22"/>
              </w:rPr>
            </w:pPr>
            <w:r w:rsidRPr="00CD729C">
              <w:rPr>
                <w:i/>
                <w:color w:val="000000"/>
                <w:szCs w:val="22"/>
              </w:rPr>
              <w:t>Bieži</w:t>
            </w:r>
          </w:p>
        </w:tc>
        <w:tc>
          <w:tcPr>
            <w:tcW w:w="7087" w:type="dxa"/>
          </w:tcPr>
          <w:p w14:paraId="3D394AC9" w14:textId="77777777" w:rsidR="009E01F8" w:rsidRPr="00CD729C" w:rsidRDefault="009E01F8" w:rsidP="009B4BB6">
            <w:pPr>
              <w:keepNext/>
              <w:widowControl w:val="0"/>
              <w:spacing w:line="240" w:lineRule="auto"/>
              <w:rPr>
                <w:color w:val="000000"/>
                <w:szCs w:val="22"/>
              </w:rPr>
            </w:pPr>
            <w:r w:rsidRPr="00CD729C">
              <w:rPr>
                <w:color w:val="000000"/>
                <w:szCs w:val="22"/>
              </w:rPr>
              <w:t>Anoreksija</w:t>
            </w:r>
          </w:p>
        </w:tc>
      </w:tr>
      <w:tr w:rsidR="009E01F8" w:rsidRPr="00CD729C" w14:paraId="3D394ACD" w14:textId="77777777" w:rsidTr="009B4BB6">
        <w:trPr>
          <w:cantSplit/>
        </w:trPr>
        <w:tc>
          <w:tcPr>
            <w:tcW w:w="2235" w:type="dxa"/>
          </w:tcPr>
          <w:p w14:paraId="3D394ACB" w14:textId="77777777" w:rsidR="009E01F8" w:rsidRPr="00CD729C" w:rsidRDefault="009E01F8" w:rsidP="009B4BB6">
            <w:pPr>
              <w:keepNext/>
              <w:widowControl w:val="0"/>
              <w:spacing w:line="240" w:lineRule="auto"/>
              <w:rPr>
                <w:i/>
                <w:color w:val="000000"/>
                <w:szCs w:val="22"/>
              </w:rPr>
            </w:pPr>
            <w:r w:rsidRPr="00CD729C">
              <w:rPr>
                <w:i/>
                <w:color w:val="000000"/>
                <w:szCs w:val="22"/>
              </w:rPr>
              <w:t>Retāk</w:t>
            </w:r>
          </w:p>
        </w:tc>
        <w:tc>
          <w:tcPr>
            <w:tcW w:w="7087" w:type="dxa"/>
          </w:tcPr>
          <w:p w14:paraId="3D394ACC" w14:textId="77777777" w:rsidR="009E01F8" w:rsidRPr="00CD729C" w:rsidRDefault="009E01F8" w:rsidP="009B4BB6">
            <w:pPr>
              <w:keepNext/>
              <w:widowControl w:val="0"/>
              <w:spacing w:line="240" w:lineRule="auto"/>
              <w:rPr>
                <w:color w:val="000000"/>
                <w:szCs w:val="22"/>
              </w:rPr>
            </w:pPr>
            <w:r w:rsidRPr="00CD729C">
              <w:rPr>
                <w:color w:val="000000"/>
                <w:szCs w:val="22"/>
              </w:rPr>
              <w:t>Hipokaliēmija, pastiprināta ēstgriba, hipofosfatēmija, samazināta ēstgriba, dehidratācija, podagra, hiperurikēmija, hiperkalciēmija, hiperglikēmija, hiponatriēmija</w:t>
            </w:r>
          </w:p>
        </w:tc>
      </w:tr>
      <w:tr w:rsidR="009E01F8" w:rsidRPr="00CD729C" w14:paraId="3D394AD0" w14:textId="77777777" w:rsidTr="009B4BB6">
        <w:trPr>
          <w:cantSplit/>
        </w:trPr>
        <w:tc>
          <w:tcPr>
            <w:tcW w:w="2235" w:type="dxa"/>
          </w:tcPr>
          <w:p w14:paraId="3D394ACE" w14:textId="77777777" w:rsidR="009E01F8" w:rsidRPr="00CD729C" w:rsidRDefault="009E01F8" w:rsidP="009B4BB6">
            <w:pPr>
              <w:widowControl w:val="0"/>
              <w:spacing w:line="240" w:lineRule="auto"/>
              <w:rPr>
                <w:i/>
                <w:color w:val="000000"/>
                <w:szCs w:val="22"/>
              </w:rPr>
            </w:pPr>
            <w:r w:rsidRPr="00CD729C">
              <w:rPr>
                <w:i/>
                <w:color w:val="000000"/>
                <w:szCs w:val="22"/>
              </w:rPr>
              <w:t>Reti</w:t>
            </w:r>
          </w:p>
        </w:tc>
        <w:tc>
          <w:tcPr>
            <w:tcW w:w="7087" w:type="dxa"/>
          </w:tcPr>
          <w:p w14:paraId="3D394ACF" w14:textId="77777777" w:rsidR="009E01F8" w:rsidRPr="00CD729C" w:rsidRDefault="009E01F8" w:rsidP="009B4BB6">
            <w:pPr>
              <w:widowControl w:val="0"/>
              <w:spacing w:line="240" w:lineRule="auto"/>
              <w:rPr>
                <w:color w:val="000000"/>
                <w:szCs w:val="22"/>
              </w:rPr>
            </w:pPr>
            <w:r w:rsidRPr="00CD729C">
              <w:rPr>
                <w:color w:val="000000"/>
                <w:szCs w:val="22"/>
              </w:rPr>
              <w:t>Hiperkaliēmija, hipomagniēmija</w:t>
            </w:r>
          </w:p>
        </w:tc>
      </w:tr>
      <w:tr w:rsidR="009E01F8" w:rsidRPr="00CD729C" w14:paraId="3D394AD2" w14:textId="77777777" w:rsidTr="009B4BB6">
        <w:trPr>
          <w:cantSplit/>
        </w:trPr>
        <w:tc>
          <w:tcPr>
            <w:tcW w:w="9322" w:type="dxa"/>
            <w:gridSpan w:val="2"/>
          </w:tcPr>
          <w:p w14:paraId="3D394AD1" w14:textId="77777777" w:rsidR="009E01F8" w:rsidRPr="00CD729C" w:rsidRDefault="009E01F8" w:rsidP="009B4BB6">
            <w:pPr>
              <w:keepNext/>
              <w:widowControl w:val="0"/>
              <w:spacing w:line="240" w:lineRule="auto"/>
              <w:rPr>
                <w:color w:val="000000"/>
                <w:szCs w:val="22"/>
              </w:rPr>
            </w:pPr>
            <w:r w:rsidRPr="00CD729C">
              <w:rPr>
                <w:b/>
                <w:bCs/>
                <w:szCs w:val="22"/>
              </w:rPr>
              <w:t>Psihiskie traucējumi</w:t>
            </w:r>
          </w:p>
        </w:tc>
      </w:tr>
      <w:tr w:rsidR="009E01F8" w:rsidRPr="00CD729C" w14:paraId="3D394AD5" w14:textId="77777777" w:rsidTr="009B4BB6">
        <w:trPr>
          <w:cantSplit/>
        </w:trPr>
        <w:tc>
          <w:tcPr>
            <w:tcW w:w="2235" w:type="dxa"/>
          </w:tcPr>
          <w:p w14:paraId="3D394AD3" w14:textId="77777777" w:rsidR="009E01F8" w:rsidRPr="00CD729C" w:rsidRDefault="009E01F8" w:rsidP="009B4BB6">
            <w:pPr>
              <w:keepNext/>
              <w:widowControl w:val="0"/>
              <w:spacing w:line="240" w:lineRule="auto"/>
              <w:rPr>
                <w:i/>
                <w:color w:val="000000"/>
                <w:szCs w:val="22"/>
              </w:rPr>
            </w:pPr>
            <w:r w:rsidRPr="00CD729C">
              <w:rPr>
                <w:i/>
                <w:color w:val="000000"/>
                <w:szCs w:val="22"/>
              </w:rPr>
              <w:t>Bieži</w:t>
            </w:r>
          </w:p>
        </w:tc>
        <w:tc>
          <w:tcPr>
            <w:tcW w:w="7087" w:type="dxa"/>
          </w:tcPr>
          <w:p w14:paraId="3D394AD4" w14:textId="77777777" w:rsidR="009E01F8" w:rsidRPr="00CD729C" w:rsidRDefault="009E01F8" w:rsidP="009B4BB6">
            <w:pPr>
              <w:keepNext/>
              <w:widowControl w:val="0"/>
              <w:spacing w:line="240" w:lineRule="auto"/>
              <w:rPr>
                <w:color w:val="000000"/>
                <w:szCs w:val="22"/>
              </w:rPr>
            </w:pPr>
            <w:r w:rsidRPr="00CD729C">
              <w:rPr>
                <w:color w:val="000000"/>
                <w:szCs w:val="22"/>
              </w:rPr>
              <w:t>Bezmiegs</w:t>
            </w:r>
          </w:p>
        </w:tc>
      </w:tr>
      <w:tr w:rsidR="009E01F8" w:rsidRPr="00CD729C" w14:paraId="3D394AD8" w14:textId="77777777" w:rsidTr="009B4BB6">
        <w:trPr>
          <w:cantSplit/>
        </w:trPr>
        <w:tc>
          <w:tcPr>
            <w:tcW w:w="2235" w:type="dxa"/>
          </w:tcPr>
          <w:p w14:paraId="3D394AD6" w14:textId="77777777" w:rsidR="009E01F8" w:rsidRPr="00CD729C" w:rsidRDefault="009E01F8" w:rsidP="009B4BB6">
            <w:pPr>
              <w:keepNext/>
              <w:widowControl w:val="0"/>
              <w:spacing w:line="240" w:lineRule="auto"/>
              <w:rPr>
                <w:i/>
                <w:color w:val="000000"/>
                <w:szCs w:val="22"/>
              </w:rPr>
            </w:pPr>
            <w:r w:rsidRPr="00CD729C">
              <w:rPr>
                <w:i/>
                <w:color w:val="000000"/>
                <w:szCs w:val="22"/>
              </w:rPr>
              <w:t>Retāk</w:t>
            </w:r>
          </w:p>
        </w:tc>
        <w:tc>
          <w:tcPr>
            <w:tcW w:w="7087" w:type="dxa"/>
          </w:tcPr>
          <w:p w14:paraId="3D394AD7" w14:textId="77777777" w:rsidR="009E01F8" w:rsidRPr="00CD729C" w:rsidRDefault="009E01F8" w:rsidP="009B4BB6">
            <w:pPr>
              <w:keepNext/>
              <w:widowControl w:val="0"/>
              <w:spacing w:line="240" w:lineRule="auto"/>
              <w:rPr>
                <w:color w:val="000000"/>
                <w:szCs w:val="22"/>
              </w:rPr>
            </w:pPr>
            <w:r w:rsidRPr="00CD729C">
              <w:rPr>
                <w:color w:val="000000"/>
                <w:szCs w:val="22"/>
              </w:rPr>
              <w:t>Depresija, pavājināta dzimumtieksme, trauksme</w:t>
            </w:r>
          </w:p>
        </w:tc>
      </w:tr>
      <w:tr w:rsidR="009E01F8" w:rsidRPr="00CD729C" w14:paraId="3D394ADB" w14:textId="77777777" w:rsidTr="009B4BB6">
        <w:trPr>
          <w:cantSplit/>
        </w:trPr>
        <w:tc>
          <w:tcPr>
            <w:tcW w:w="2235" w:type="dxa"/>
          </w:tcPr>
          <w:p w14:paraId="3D394AD9" w14:textId="77777777" w:rsidR="009E01F8" w:rsidRPr="00CD729C" w:rsidRDefault="009E01F8" w:rsidP="009B4BB6">
            <w:pPr>
              <w:widowControl w:val="0"/>
              <w:spacing w:line="240" w:lineRule="auto"/>
              <w:rPr>
                <w:i/>
                <w:color w:val="000000"/>
                <w:szCs w:val="22"/>
              </w:rPr>
            </w:pPr>
            <w:r w:rsidRPr="00CD729C">
              <w:rPr>
                <w:i/>
                <w:color w:val="000000"/>
                <w:szCs w:val="22"/>
              </w:rPr>
              <w:t>Reti</w:t>
            </w:r>
          </w:p>
        </w:tc>
        <w:tc>
          <w:tcPr>
            <w:tcW w:w="7087" w:type="dxa"/>
          </w:tcPr>
          <w:p w14:paraId="3D394ADA" w14:textId="77777777" w:rsidR="009E01F8" w:rsidRPr="00CD729C" w:rsidRDefault="009E01F8" w:rsidP="009B4BB6">
            <w:pPr>
              <w:widowControl w:val="0"/>
              <w:spacing w:line="240" w:lineRule="auto"/>
              <w:rPr>
                <w:color w:val="000000"/>
                <w:szCs w:val="22"/>
              </w:rPr>
            </w:pPr>
            <w:r w:rsidRPr="00CD729C">
              <w:rPr>
                <w:color w:val="000000"/>
                <w:szCs w:val="22"/>
              </w:rPr>
              <w:t>Apjukuma stāvoklis</w:t>
            </w:r>
          </w:p>
        </w:tc>
      </w:tr>
      <w:tr w:rsidR="009E01F8" w:rsidRPr="00CD729C" w14:paraId="3D394ADD" w14:textId="77777777" w:rsidTr="009B4BB6">
        <w:trPr>
          <w:cantSplit/>
        </w:trPr>
        <w:tc>
          <w:tcPr>
            <w:tcW w:w="9322" w:type="dxa"/>
            <w:gridSpan w:val="2"/>
          </w:tcPr>
          <w:p w14:paraId="3D394ADC" w14:textId="77777777" w:rsidR="009E01F8" w:rsidRPr="00CD729C" w:rsidRDefault="009E01F8" w:rsidP="009B4BB6">
            <w:pPr>
              <w:keepNext/>
              <w:widowControl w:val="0"/>
              <w:spacing w:line="240" w:lineRule="auto"/>
              <w:rPr>
                <w:color w:val="000000"/>
              </w:rPr>
            </w:pPr>
            <w:r w:rsidRPr="00CD729C">
              <w:rPr>
                <w:b/>
                <w:color w:val="000000"/>
                <w:szCs w:val="22"/>
              </w:rPr>
              <w:t>Nervu sistēmas traucējumi</w:t>
            </w:r>
          </w:p>
        </w:tc>
      </w:tr>
      <w:tr w:rsidR="009E01F8" w:rsidRPr="00CD729C" w14:paraId="3D394AE0" w14:textId="77777777" w:rsidTr="009B4BB6">
        <w:trPr>
          <w:cantSplit/>
        </w:trPr>
        <w:tc>
          <w:tcPr>
            <w:tcW w:w="2235" w:type="dxa"/>
          </w:tcPr>
          <w:p w14:paraId="3D394ADE" w14:textId="77777777" w:rsidR="009E01F8" w:rsidRPr="00CD729C" w:rsidRDefault="009E01F8" w:rsidP="009B4BB6">
            <w:pPr>
              <w:keepNext/>
              <w:widowControl w:val="0"/>
              <w:spacing w:line="240" w:lineRule="auto"/>
              <w:rPr>
                <w:color w:val="000000"/>
              </w:rPr>
            </w:pPr>
            <w:r w:rsidRPr="00CD729C">
              <w:rPr>
                <w:i/>
                <w:color w:val="000000"/>
                <w:szCs w:val="22"/>
              </w:rPr>
              <w:t>Ļoti bieži</w:t>
            </w:r>
          </w:p>
        </w:tc>
        <w:tc>
          <w:tcPr>
            <w:tcW w:w="7087" w:type="dxa"/>
          </w:tcPr>
          <w:p w14:paraId="3D394ADF" w14:textId="77777777" w:rsidR="009E01F8" w:rsidRPr="00CD729C" w:rsidRDefault="009E01F8" w:rsidP="009B4BB6">
            <w:pPr>
              <w:keepNext/>
              <w:widowControl w:val="0"/>
              <w:spacing w:line="240" w:lineRule="auto"/>
              <w:rPr>
                <w:color w:val="000000"/>
              </w:rPr>
            </w:pPr>
            <w:r w:rsidRPr="00CD729C">
              <w:rPr>
                <w:color w:val="000000"/>
                <w:szCs w:val="22"/>
              </w:rPr>
              <w:t>Galvassāpes</w:t>
            </w:r>
            <w:r w:rsidRPr="00CD729C">
              <w:rPr>
                <w:color w:val="000000"/>
                <w:szCs w:val="22"/>
                <w:vertAlign w:val="superscript"/>
              </w:rPr>
              <w:t>2</w:t>
            </w:r>
          </w:p>
        </w:tc>
      </w:tr>
      <w:tr w:rsidR="009E01F8" w:rsidRPr="00CD729C" w14:paraId="3D394AE3" w14:textId="77777777" w:rsidTr="009B4BB6">
        <w:trPr>
          <w:cantSplit/>
        </w:trPr>
        <w:tc>
          <w:tcPr>
            <w:tcW w:w="2235" w:type="dxa"/>
          </w:tcPr>
          <w:p w14:paraId="3D394AE1" w14:textId="77777777" w:rsidR="009E01F8" w:rsidRPr="00CD729C" w:rsidRDefault="009E01F8" w:rsidP="009B4BB6">
            <w:pPr>
              <w:keepNext/>
              <w:widowControl w:val="0"/>
              <w:spacing w:line="240" w:lineRule="auto"/>
              <w:rPr>
                <w:color w:val="000000"/>
              </w:rPr>
            </w:pPr>
            <w:r w:rsidRPr="00CD729C">
              <w:rPr>
                <w:i/>
                <w:color w:val="000000"/>
                <w:szCs w:val="22"/>
              </w:rPr>
              <w:t>Bieži</w:t>
            </w:r>
          </w:p>
        </w:tc>
        <w:tc>
          <w:tcPr>
            <w:tcW w:w="7087" w:type="dxa"/>
          </w:tcPr>
          <w:p w14:paraId="3D394AE2" w14:textId="77777777" w:rsidR="009E01F8" w:rsidRPr="00CD729C" w:rsidRDefault="009E01F8" w:rsidP="009B4BB6">
            <w:pPr>
              <w:keepNext/>
              <w:widowControl w:val="0"/>
              <w:spacing w:line="240" w:lineRule="auto"/>
              <w:rPr>
                <w:color w:val="000000"/>
                <w:szCs w:val="22"/>
              </w:rPr>
            </w:pPr>
            <w:r w:rsidRPr="00CD729C">
              <w:rPr>
                <w:color w:val="000000"/>
                <w:szCs w:val="22"/>
              </w:rPr>
              <w:t>Reibonis, parestēzija, garšas sajūtas izmaiņas, jušanas traucējumi</w:t>
            </w:r>
          </w:p>
        </w:tc>
      </w:tr>
      <w:tr w:rsidR="009E01F8" w:rsidRPr="00CD729C" w14:paraId="3D394AE6" w14:textId="77777777" w:rsidTr="009B4BB6">
        <w:trPr>
          <w:cantSplit/>
        </w:trPr>
        <w:tc>
          <w:tcPr>
            <w:tcW w:w="2235" w:type="dxa"/>
          </w:tcPr>
          <w:p w14:paraId="3D394AE4" w14:textId="77777777" w:rsidR="009E01F8" w:rsidRPr="00CD729C" w:rsidRDefault="009E01F8" w:rsidP="009B4BB6">
            <w:pPr>
              <w:keepNext/>
              <w:widowControl w:val="0"/>
              <w:spacing w:line="240" w:lineRule="auto"/>
              <w:rPr>
                <w:color w:val="000000"/>
              </w:rPr>
            </w:pPr>
            <w:r w:rsidRPr="00CD729C">
              <w:rPr>
                <w:i/>
                <w:color w:val="000000"/>
                <w:szCs w:val="22"/>
              </w:rPr>
              <w:t>Retāk</w:t>
            </w:r>
          </w:p>
        </w:tc>
        <w:tc>
          <w:tcPr>
            <w:tcW w:w="7087" w:type="dxa"/>
          </w:tcPr>
          <w:p w14:paraId="3D394AE5" w14:textId="77777777" w:rsidR="009E01F8" w:rsidRPr="00CD729C" w:rsidRDefault="009E01F8" w:rsidP="009B4BB6">
            <w:pPr>
              <w:keepNext/>
              <w:widowControl w:val="0"/>
              <w:spacing w:line="240" w:lineRule="auto"/>
              <w:rPr>
                <w:color w:val="000000"/>
              </w:rPr>
            </w:pPr>
            <w:r w:rsidRPr="00CD729C">
              <w:rPr>
                <w:color w:val="000000"/>
                <w:szCs w:val="22"/>
              </w:rPr>
              <w:t>Migrēna, miegainība, sinkope, perifēra neiropātija, atmiņas traucējumi, sēžas nerva iekaisums, nemierīgo kāju sindroms, trīce, asinsizplūdums smadzenēs</w:t>
            </w:r>
          </w:p>
        </w:tc>
      </w:tr>
      <w:tr w:rsidR="009E01F8" w:rsidRPr="00CD729C" w14:paraId="3D394AE9" w14:textId="77777777" w:rsidTr="009B4BB6">
        <w:trPr>
          <w:cantSplit/>
        </w:trPr>
        <w:tc>
          <w:tcPr>
            <w:tcW w:w="2235" w:type="dxa"/>
          </w:tcPr>
          <w:p w14:paraId="3D394AE7" w14:textId="77777777" w:rsidR="009E01F8" w:rsidRPr="00CD729C" w:rsidRDefault="009E01F8" w:rsidP="009B4BB6">
            <w:pPr>
              <w:keepNext/>
              <w:widowControl w:val="0"/>
              <w:spacing w:line="240" w:lineRule="auto"/>
              <w:rPr>
                <w:color w:val="000000"/>
              </w:rPr>
            </w:pPr>
            <w:r w:rsidRPr="00CD729C">
              <w:rPr>
                <w:i/>
                <w:color w:val="000000"/>
                <w:szCs w:val="22"/>
              </w:rPr>
              <w:t>Reti</w:t>
            </w:r>
          </w:p>
        </w:tc>
        <w:tc>
          <w:tcPr>
            <w:tcW w:w="7087" w:type="dxa"/>
          </w:tcPr>
          <w:p w14:paraId="3D394AE8" w14:textId="77777777" w:rsidR="009E01F8" w:rsidRPr="00CD729C" w:rsidRDefault="009E01F8" w:rsidP="009B4BB6">
            <w:pPr>
              <w:keepNext/>
              <w:widowControl w:val="0"/>
              <w:spacing w:line="240" w:lineRule="auto"/>
              <w:rPr>
                <w:color w:val="000000"/>
                <w:szCs w:val="22"/>
              </w:rPr>
            </w:pPr>
            <w:r w:rsidRPr="00CD729C">
              <w:rPr>
                <w:color w:val="000000"/>
                <w:szCs w:val="22"/>
              </w:rPr>
              <w:t>Paaugstināts intrakraniālais spiediens, krampji, redzes nerva iekaisums</w:t>
            </w:r>
          </w:p>
        </w:tc>
      </w:tr>
      <w:tr w:rsidR="000261F0" w:rsidRPr="00CD729C" w14:paraId="3D394AEC" w14:textId="77777777" w:rsidTr="009B4BB6">
        <w:trPr>
          <w:cantSplit/>
        </w:trPr>
        <w:tc>
          <w:tcPr>
            <w:tcW w:w="2235" w:type="dxa"/>
          </w:tcPr>
          <w:p w14:paraId="3D394AEA" w14:textId="77777777" w:rsidR="000261F0" w:rsidRPr="00CD729C" w:rsidRDefault="000261F0" w:rsidP="009B4BB6">
            <w:pPr>
              <w:widowControl w:val="0"/>
              <w:spacing w:line="240" w:lineRule="auto"/>
              <w:rPr>
                <w:i/>
                <w:color w:val="000000"/>
                <w:szCs w:val="22"/>
              </w:rPr>
            </w:pPr>
            <w:r w:rsidRPr="00CD729C">
              <w:rPr>
                <w:i/>
                <w:color w:val="000000"/>
                <w:szCs w:val="22"/>
              </w:rPr>
              <w:t>Nav zināmi</w:t>
            </w:r>
          </w:p>
        </w:tc>
        <w:tc>
          <w:tcPr>
            <w:tcW w:w="7087" w:type="dxa"/>
          </w:tcPr>
          <w:p w14:paraId="3D394AEB" w14:textId="77777777" w:rsidR="000261F0" w:rsidRPr="00CD729C" w:rsidRDefault="000261F0" w:rsidP="009B4BB6">
            <w:pPr>
              <w:widowControl w:val="0"/>
              <w:spacing w:line="240" w:lineRule="auto"/>
              <w:rPr>
                <w:color w:val="000000"/>
                <w:szCs w:val="22"/>
              </w:rPr>
            </w:pPr>
            <w:r w:rsidRPr="00CD729C">
              <w:rPr>
                <w:color w:val="000000"/>
                <w:szCs w:val="22"/>
              </w:rPr>
              <w:t>Smadzeņu tūska*</w:t>
            </w:r>
          </w:p>
        </w:tc>
      </w:tr>
      <w:tr w:rsidR="009E01F8" w:rsidRPr="00CD729C" w14:paraId="3D394AEE" w14:textId="77777777" w:rsidTr="009B4BB6">
        <w:trPr>
          <w:cantSplit/>
        </w:trPr>
        <w:tc>
          <w:tcPr>
            <w:tcW w:w="9322" w:type="dxa"/>
            <w:gridSpan w:val="2"/>
          </w:tcPr>
          <w:p w14:paraId="3D394AED" w14:textId="77777777" w:rsidR="009E01F8" w:rsidRPr="00CD729C" w:rsidRDefault="009E01F8" w:rsidP="009B4BB6">
            <w:pPr>
              <w:keepNext/>
              <w:widowControl w:val="0"/>
              <w:spacing w:line="240" w:lineRule="auto"/>
              <w:rPr>
                <w:color w:val="000000"/>
              </w:rPr>
            </w:pPr>
            <w:r w:rsidRPr="00CD729C">
              <w:rPr>
                <w:b/>
                <w:color w:val="000000"/>
                <w:szCs w:val="22"/>
              </w:rPr>
              <w:t>Acu bojājumi</w:t>
            </w:r>
          </w:p>
        </w:tc>
      </w:tr>
      <w:tr w:rsidR="009E01F8" w:rsidRPr="00CD729C" w14:paraId="3D394AF1" w14:textId="77777777" w:rsidTr="009B4BB6">
        <w:trPr>
          <w:cantSplit/>
        </w:trPr>
        <w:tc>
          <w:tcPr>
            <w:tcW w:w="2235" w:type="dxa"/>
          </w:tcPr>
          <w:p w14:paraId="3D394AEF" w14:textId="77777777" w:rsidR="009E01F8" w:rsidRPr="00CD729C" w:rsidRDefault="009E01F8" w:rsidP="009B4BB6">
            <w:pPr>
              <w:keepNext/>
              <w:widowControl w:val="0"/>
              <w:spacing w:line="240" w:lineRule="auto"/>
              <w:rPr>
                <w:color w:val="000000"/>
              </w:rPr>
            </w:pPr>
            <w:r w:rsidRPr="00CD729C">
              <w:rPr>
                <w:i/>
                <w:color w:val="000000"/>
                <w:szCs w:val="22"/>
              </w:rPr>
              <w:t>Bieži</w:t>
            </w:r>
          </w:p>
        </w:tc>
        <w:tc>
          <w:tcPr>
            <w:tcW w:w="7087" w:type="dxa"/>
          </w:tcPr>
          <w:p w14:paraId="3D394AF0" w14:textId="77777777" w:rsidR="009E01F8" w:rsidRPr="00CD729C" w:rsidRDefault="009E01F8" w:rsidP="009B4BB6">
            <w:pPr>
              <w:keepNext/>
              <w:widowControl w:val="0"/>
              <w:spacing w:line="240" w:lineRule="auto"/>
              <w:rPr>
                <w:color w:val="000000"/>
              </w:rPr>
            </w:pPr>
            <w:r w:rsidRPr="00CD729C">
              <w:rPr>
                <w:color w:val="000000"/>
                <w:szCs w:val="22"/>
              </w:rPr>
              <w:t>Plakstiņu pietūkums, pastiprināta asarošana, konjunktīvas asiņošana, konjunktivīts, sausas acis, neskaidra redze</w:t>
            </w:r>
          </w:p>
        </w:tc>
      </w:tr>
      <w:tr w:rsidR="009E01F8" w:rsidRPr="00CD729C" w14:paraId="3D394AF4" w14:textId="77777777" w:rsidTr="009B4BB6">
        <w:trPr>
          <w:cantSplit/>
        </w:trPr>
        <w:tc>
          <w:tcPr>
            <w:tcW w:w="2235" w:type="dxa"/>
          </w:tcPr>
          <w:p w14:paraId="3D394AF2" w14:textId="77777777" w:rsidR="009E01F8" w:rsidRPr="00CD729C" w:rsidRDefault="009E01F8" w:rsidP="009B4BB6">
            <w:pPr>
              <w:keepNext/>
              <w:widowControl w:val="0"/>
              <w:spacing w:line="240" w:lineRule="auto"/>
              <w:rPr>
                <w:color w:val="000000"/>
              </w:rPr>
            </w:pPr>
            <w:r w:rsidRPr="00CD729C">
              <w:rPr>
                <w:i/>
                <w:color w:val="000000"/>
                <w:szCs w:val="22"/>
              </w:rPr>
              <w:t>Retāk</w:t>
            </w:r>
          </w:p>
        </w:tc>
        <w:tc>
          <w:tcPr>
            <w:tcW w:w="7087" w:type="dxa"/>
          </w:tcPr>
          <w:p w14:paraId="3D394AF3" w14:textId="77777777" w:rsidR="009E01F8" w:rsidRPr="00CD729C" w:rsidRDefault="009E01F8" w:rsidP="009B4BB6">
            <w:pPr>
              <w:keepNext/>
              <w:widowControl w:val="0"/>
              <w:spacing w:line="240" w:lineRule="auto"/>
              <w:rPr>
                <w:color w:val="000000"/>
              </w:rPr>
            </w:pPr>
            <w:r w:rsidRPr="00CD729C">
              <w:rPr>
                <w:color w:val="000000"/>
                <w:szCs w:val="22"/>
              </w:rPr>
              <w:t>Acu kairinājums, sāpes acīs, orbītas tūska, sklēras asiņošana, tīklenes asiņošana, blefarīts, makulāra tūska</w:t>
            </w:r>
          </w:p>
        </w:tc>
      </w:tr>
      <w:tr w:rsidR="009E01F8" w:rsidRPr="00CD729C" w14:paraId="3D394AF7" w14:textId="77777777" w:rsidTr="009B4BB6">
        <w:trPr>
          <w:cantSplit/>
        </w:trPr>
        <w:tc>
          <w:tcPr>
            <w:tcW w:w="2235" w:type="dxa"/>
          </w:tcPr>
          <w:p w14:paraId="3D394AF5" w14:textId="77777777" w:rsidR="009E01F8" w:rsidRPr="00CD729C" w:rsidRDefault="009E01F8" w:rsidP="009B4BB6">
            <w:pPr>
              <w:keepNext/>
              <w:widowControl w:val="0"/>
              <w:spacing w:line="240" w:lineRule="auto"/>
              <w:rPr>
                <w:color w:val="000000"/>
              </w:rPr>
            </w:pPr>
            <w:r w:rsidRPr="00CD729C">
              <w:rPr>
                <w:i/>
                <w:color w:val="000000"/>
                <w:szCs w:val="22"/>
              </w:rPr>
              <w:t>Reti</w:t>
            </w:r>
          </w:p>
        </w:tc>
        <w:tc>
          <w:tcPr>
            <w:tcW w:w="7087" w:type="dxa"/>
          </w:tcPr>
          <w:p w14:paraId="3D394AF6" w14:textId="77777777" w:rsidR="009E01F8" w:rsidRPr="00CD729C" w:rsidRDefault="009E01F8" w:rsidP="009B4BB6">
            <w:pPr>
              <w:keepNext/>
              <w:widowControl w:val="0"/>
              <w:spacing w:line="240" w:lineRule="auto"/>
              <w:rPr>
                <w:color w:val="000000"/>
              </w:rPr>
            </w:pPr>
            <w:r w:rsidRPr="00CD729C">
              <w:rPr>
                <w:color w:val="000000"/>
                <w:szCs w:val="22"/>
              </w:rPr>
              <w:t>Katarakta, glaukoma, papillas tūska</w:t>
            </w:r>
          </w:p>
        </w:tc>
      </w:tr>
      <w:tr w:rsidR="000261F0" w:rsidRPr="00CD729C" w14:paraId="3D394AFA" w14:textId="77777777" w:rsidTr="009B4BB6">
        <w:trPr>
          <w:cantSplit/>
        </w:trPr>
        <w:tc>
          <w:tcPr>
            <w:tcW w:w="2235" w:type="dxa"/>
          </w:tcPr>
          <w:p w14:paraId="3D394AF8" w14:textId="77777777" w:rsidR="000261F0" w:rsidRPr="00CD729C" w:rsidRDefault="00C15F0B" w:rsidP="009B4BB6">
            <w:pPr>
              <w:widowControl w:val="0"/>
              <w:spacing w:line="240" w:lineRule="auto"/>
              <w:rPr>
                <w:i/>
                <w:color w:val="000000"/>
                <w:szCs w:val="22"/>
              </w:rPr>
            </w:pPr>
            <w:r w:rsidRPr="00CD729C">
              <w:rPr>
                <w:i/>
                <w:color w:val="000000"/>
                <w:szCs w:val="22"/>
              </w:rPr>
              <w:t>Nav zināmi</w:t>
            </w:r>
          </w:p>
        </w:tc>
        <w:tc>
          <w:tcPr>
            <w:tcW w:w="7087" w:type="dxa"/>
          </w:tcPr>
          <w:p w14:paraId="3D394AF9" w14:textId="77777777" w:rsidR="000261F0" w:rsidRPr="00CD729C" w:rsidRDefault="000261F0" w:rsidP="009B4BB6">
            <w:pPr>
              <w:widowControl w:val="0"/>
              <w:spacing w:line="240" w:lineRule="auto"/>
              <w:rPr>
                <w:color w:val="000000"/>
                <w:szCs w:val="22"/>
              </w:rPr>
            </w:pPr>
            <w:r w:rsidRPr="00CD729C">
              <w:rPr>
                <w:color w:val="000000"/>
                <w:szCs w:val="22"/>
              </w:rPr>
              <w:t>Stiklveida ķermeņa asiņošana*</w:t>
            </w:r>
          </w:p>
        </w:tc>
      </w:tr>
      <w:tr w:rsidR="009E01F8" w:rsidRPr="00CD729C" w14:paraId="3D394AFC" w14:textId="77777777" w:rsidTr="009B4BB6">
        <w:trPr>
          <w:cantSplit/>
        </w:trPr>
        <w:tc>
          <w:tcPr>
            <w:tcW w:w="9322" w:type="dxa"/>
            <w:gridSpan w:val="2"/>
          </w:tcPr>
          <w:p w14:paraId="3D394AFB" w14:textId="77777777" w:rsidR="009E01F8" w:rsidRPr="00CD729C" w:rsidRDefault="009E01F8" w:rsidP="009B4BB6">
            <w:pPr>
              <w:keepNext/>
              <w:widowControl w:val="0"/>
              <w:spacing w:line="240" w:lineRule="auto"/>
              <w:rPr>
                <w:color w:val="000000"/>
              </w:rPr>
            </w:pPr>
            <w:r w:rsidRPr="00CD729C">
              <w:rPr>
                <w:b/>
                <w:color w:val="000000"/>
                <w:szCs w:val="22"/>
              </w:rPr>
              <w:t>Ausu un labirinta bojājumi</w:t>
            </w:r>
          </w:p>
        </w:tc>
      </w:tr>
      <w:tr w:rsidR="009E01F8" w:rsidRPr="00CD729C" w14:paraId="3D394AFF" w14:textId="77777777" w:rsidTr="009B4BB6">
        <w:trPr>
          <w:cantSplit/>
        </w:trPr>
        <w:tc>
          <w:tcPr>
            <w:tcW w:w="2235" w:type="dxa"/>
          </w:tcPr>
          <w:p w14:paraId="3D394AFD" w14:textId="77777777" w:rsidR="009E01F8" w:rsidRPr="00CD729C" w:rsidRDefault="009E01F8" w:rsidP="009B4BB6">
            <w:pPr>
              <w:widowControl w:val="0"/>
              <w:spacing w:line="240" w:lineRule="auto"/>
              <w:rPr>
                <w:color w:val="000000"/>
              </w:rPr>
            </w:pPr>
            <w:r w:rsidRPr="00CD729C">
              <w:rPr>
                <w:i/>
                <w:color w:val="000000"/>
                <w:szCs w:val="22"/>
              </w:rPr>
              <w:t>Retāk</w:t>
            </w:r>
          </w:p>
        </w:tc>
        <w:tc>
          <w:tcPr>
            <w:tcW w:w="7087" w:type="dxa"/>
          </w:tcPr>
          <w:p w14:paraId="3D394AFE" w14:textId="77777777" w:rsidR="009E01F8" w:rsidRPr="00CD729C" w:rsidRDefault="009E01F8" w:rsidP="009B4BB6">
            <w:pPr>
              <w:widowControl w:val="0"/>
              <w:spacing w:line="240" w:lineRule="auto"/>
              <w:rPr>
                <w:color w:val="000000"/>
              </w:rPr>
            </w:pPr>
            <w:r w:rsidRPr="00CD729C">
              <w:rPr>
                <w:i/>
                <w:color w:val="000000"/>
                <w:szCs w:val="22"/>
              </w:rPr>
              <w:t>Vertigo</w:t>
            </w:r>
            <w:r w:rsidRPr="00CD729C">
              <w:rPr>
                <w:color w:val="000000"/>
                <w:szCs w:val="22"/>
              </w:rPr>
              <w:t>, troksnis ausīs, dzirdes zudums</w:t>
            </w:r>
          </w:p>
        </w:tc>
      </w:tr>
      <w:tr w:rsidR="009E01F8" w:rsidRPr="00CD729C" w14:paraId="3D394B01" w14:textId="77777777" w:rsidTr="009B4BB6">
        <w:trPr>
          <w:cantSplit/>
        </w:trPr>
        <w:tc>
          <w:tcPr>
            <w:tcW w:w="9322" w:type="dxa"/>
            <w:gridSpan w:val="2"/>
          </w:tcPr>
          <w:p w14:paraId="3D394B00" w14:textId="77777777" w:rsidR="009E01F8" w:rsidRPr="00CD729C" w:rsidRDefault="009E01F8" w:rsidP="009B4BB6">
            <w:pPr>
              <w:keepNext/>
              <w:widowControl w:val="0"/>
              <w:spacing w:line="240" w:lineRule="auto"/>
              <w:rPr>
                <w:b/>
                <w:bCs/>
                <w:i/>
                <w:color w:val="000000"/>
                <w:szCs w:val="22"/>
              </w:rPr>
            </w:pPr>
            <w:r w:rsidRPr="00CD729C">
              <w:rPr>
                <w:b/>
                <w:bCs/>
                <w:szCs w:val="22"/>
              </w:rPr>
              <w:t>Sirds funkcijas traucējumi</w:t>
            </w:r>
          </w:p>
        </w:tc>
      </w:tr>
      <w:tr w:rsidR="009E01F8" w:rsidRPr="00CD729C" w14:paraId="3D394B04" w14:textId="77777777" w:rsidTr="009B4BB6">
        <w:trPr>
          <w:cantSplit/>
        </w:trPr>
        <w:tc>
          <w:tcPr>
            <w:tcW w:w="2235" w:type="dxa"/>
          </w:tcPr>
          <w:p w14:paraId="3D394B02" w14:textId="77777777" w:rsidR="009E01F8" w:rsidRPr="00CD729C" w:rsidRDefault="009E01F8" w:rsidP="009B4BB6">
            <w:pPr>
              <w:keepNext/>
              <w:widowControl w:val="0"/>
              <w:spacing w:line="240" w:lineRule="auto"/>
              <w:rPr>
                <w:i/>
                <w:color w:val="000000"/>
                <w:szCs w:val="22"/>
              </w:rPr>
            </w:pPr>
            <w:r w:rsidRPr="00CD729C">
              <w:rPr>
                <w:i/>
                <w:color w:val="000000"/>
                <w:szCs w:val="22"/>
              </w:rPr>
              <w:t>Retāk</w:t>
            </w:r>
          </w:p>
        </w:tc>
        <w:tc>
          <w:tcPr>
            <w:tcW w:w="7087" w:type="dxa"/>
          </w:tcPr>
          <w:p w14:paraId="3D394B03" w14:textId="77777777" w:rsidR="009E01F8" w:rsidRPr="00CD729C" w:rsidRDefault="009E01F8" w:rsidP="009B4BB6">
            <w:pPr>
              <w:keepNext/>
              <w:widowControl w:val="0"/>
              <w:spacing w:line="240" w:lineRule="auto"/>
              <w:rPr>
                <w:i/>
                <w:color w:val="000000"/>
                <w:szCs w:val="22"/>
              </w:rPr>
            </w:pPr>
            <w:r w:rsidRPr="00CD729C">
              <w:rPr>
                <w:color w:val="000000"/>
                <w:szCs w:val="22"/>
              </w:rPr>
              <w:t>Sirdsklauves, tahikardija, sastrēguma sirds mazspēja</w:t>
            </w:r>
            <w:r w:rsidRPr="00CD729C">
              <w:rPr>
                <w:color w:val="000000"/>
                <w:szCs w:val="22"/>
                <w:vertAlign w:val="superscript"/>
              </w:rPr>
              <w:t>3</w:t>
            </w:r>
            <w:r w:rsidRPr="00CD729C">
              <w:rPr>
                <w:color w:val="000000"/>
                <w:szCs w:val="22"/>
              </w:rPr>
              <w:t>, plaušu tūska</w:t>
            </w:r>
          </w:p>
        </w:tc>
      </w:tr>
      <w:tr w:rsidR="009E01F8" w:rsidRPr="00CD729C" w14:paraId="3D394B07" w14:textId="77777777" w:rsidTr="009B4BB6">
        <w:trPr>
          <w:cantSplit/>
        </w:trPr>
        <w:tc>
          <w:tcPr>
            <w:tcW w:w="2235" w:type="dxa"/>
          </w:tcPr>
          <w:p w14:paraId="3D394B05" w14:textId="77777777" w:rsidR="009E01F8" w:rsidRPr="00CD729C" w:rsidRDefault="009E01F8" w:rsidP="009B4BB6">
            <w:pPr>
              <w:keepNext/>
              <w:widowControl w:val="0"/>
              <w:spacing w:line="240" w:lineRule="auto"/>
              <w:rPr>
                <w:i/>
                <w:color w:val="000000"/>
                <w:szCs w:val="22"/>
              </w:rPr>
            </w:pPr>
            <w:r w:rsidRPr="00CD729C">
              <w:rPr>
                <w:i/>
                <w:color w:val="000000"/>
                <w:szCs w:val="22"/>
              </w:rPr>
              <w:t>Reti</w:t>
            </w:r>
          </w:p>
        </w:tc>
        <w:tc>
          <w:tcPr>
            <w:tcW w:w="7087" w:type="dxa"/>
          </w:tcPr>
          <w:p w14:paraId="3D394B06" w14:textId="77777777" w:rsidR="009E01F8" w:rsidRPr="00CD729C" w:rsidRDefault="009E01F8" w:rsidP="009B4BB6">
            <w:pPr>
              <w:keepNext/>
              <w:widowControl w:val="0"/>
              <w:spacing w:line="240" w:lineRule="auto"/>
              <w:rPr>
                <w:i/>
                <w:color w:val="000000"/>
                <w:szCs w:val="22"/>
              </w:rPr>
            </w:pPr>
            <w:r w:rsidRPr="00CD729C">
              <w:rPr>
                <w:color w:val="000000"/>
                <w:szCs w:val="22"/>
              </w:rPr>
              <w:t>Aritmija, priekškambaru mirdzēšana, sirds apstāšanās, miokarda infarkts, stenokardija, izsvīdums perikardā</w:t>
            </w:r>
          </w:p>
        </w:tc>
      </w:tr>
      <w:tr w:rsidR="000261F0" w:rsidRPr="00CD729C" w14:paraId="3D394B0A" w14:textId="77777777" w:rsidTr="009B4BB6">
        <w:trPr>
          <w:cantSplit/>
        </w:trPr>
        <w:tc>
          <w:tcPr>
            <w:tcW w:w="2235" w:type="dxa"/>
          </w:tcPr>
          <w:p w14:paraId="3D394B08" w14:textId="77777777" w:rsidR="000261F0" w:rsidRPr="00CD729C" w:rsidRDefault="000261F0" w:rsidP="009B4BB6">
            <w:pPr>
              <w:widowControl w:val="0"/>
              <w:spacing w:line="240" w:lineRule="auto"/>
              <w:rPr>
                <w:i/>
                <w:color w:val="000000"/>
                <w:szCs w:val="22"/>
              </w:rPr>
            </w:pPr>
            <w:r w:rsidRPr="00CD729C">
              <w:rPr>
                <w:i/>
                <w:color w:val="000000"/>
                <w:szCs w:val="22"/>
              </w:rPr>
              <w:t>Nav zināmi</w:t>
            </w:r>
          </w:p>
        </w:tc>
        <w:tc>
          <w:tcPr>
            <w:tcW w:w="7087" w:type="dxa"/>
          </w:tcPr>
          <w:p w14:paraId="3D394B09" w14:textId="77777777" w:rsidR="000261F0" w:rsidRPr="00CD729C" w:rsidRDefault="000261F0" w:rsidP="009B4BB6">
            <w:pPr>
              <w:widowControl w:val="0"/>
              <w:spacing w:line="240" w:lineRule="auto"/>
              <w:rPr>
                <w:color w:val="000000"/>
                <w:szCs w:val="22"/>
              </w:rPr>
            </w:pPr>
            <w:r w:rsidRPr="00CD729C">
              <w:rPr>
                <w:color w:val="000000"/>
                <w:szCs w:val="22"/>
              </w:rPr>
              <w:t>Perikardīts*, sirds tamponāde*</w:t>
            </w:r>
          </w:p>
        </w:tc>
      </w:tr>
      <w:tr w:rsidR="009E01F8" w:rsidRPr="00CD729C" w14:paraId="3D394B0C" w14:textId="77777777" w:rsidTr="009B4BB6">
        <w:trPr>
          <w:cantSplit/>
        </w:trPr>
        <w:tc>
          <w:tcPr>
            <w:tcW w:w="9322" w:type="dxa"/>
            <w:gridSpan w:val="2"/>
          </w:tcPr>
          <w:p w14:paraId="3D394B0B" w14:textId="77777777" w:rsidR="009E01F8" w:rsidRPr="00CD729C" w:rsidRDefault="009E01F8" w:rsidP="009B4BB6">
            <w:pPr>
              <w:keepNext/>
              <w:widowControl w:val="0"/>
              <w:spacing w:line="240" w:lineRule="auto"/>
              <w:rPr>
                <w:b/>
                <w:bCs/>
                <w:i/>
                <w:color w:val="000000"/>
                <w:szCs w:val="22"/>
              </w:rPr>
            </w:pPr>
            <w:r w:rsidRPr="00CD729C">
              <w:rPr>
                <w:b/>
                <w:bCs/>
                <w:szCs w:val="22"/>
              </w:rPr>
              <w:t>Asinsvadu sistēmas traucējumi</w:t>
            </w:r>
            <w:r w:rsidRPr="00CD729C">
              <w:rPr>
                <w:b/>
                <w:color w:val="000000"/>
                <w:szCs w:val="22"/>
                <w:vertAlign w:val="superscript"/>
              </w:rPr>
              <w:t>4</w:t>
            </w:r>
          </w:p>
        </w:tc>
      </w:tr>
      <w:tr w:rsidR="009E01F8" w:rsidRPr="00CD729C" w14:paraId="3D394B0F" w14:textId="77777777" w:rsidTr="009B4BB6">
        <w:trPr>
          <w:cantSplit/>
        </w:trPr>
        <w:tc>
          <w:tcPr>
            <w:tcW w:w="2235" w:type="dxa"/>
          </w:tcPr>
          <w:p w14:paraId="3D394B0D" w14:textId="77777777" w:rsidR="009E01F8" w:rsidRPr="00CD729C" w:rsidRDefault="009E01F8" w:rsidP="009B4BB6">
            <w:pPr>
              <w:keepNext/>
              <w:widowControl w:val="0"/>
              <w:spacing w:line="240" w:lineRule="auto"/>
              <w:rPr>
                <w:i/>
                <w:color w:val="000000"/>
                <w:szCs w:val="22"/>
              </w:rPr>
            </w:pPr>
            <w:r w:rsidRPr="00CD729C">
              <w:rPr>
                <w:i/>
                <w:color w:val="000000"/>
                <w:szCs w:val="22"/>
              </w:rPr>
              <w:t>Bieži</w:t>
            </w:r>
          </w:p>
        </w:tc>
        <w:tc>
          <w:tcPr>
            <w:tcW w:w="7087" w:type="dxa"/>
          </w:tcPr>
          <w:p w14:paraId="3D394B0E" w14:textId="77777777" w:rsidR="009E01F8" w:rsidRPr="00CD729C" w:rsidRDefault="009E01F8" w:rsidP="009B4BB6">
            <w:pPr>
              <w:keepNext/>
              <w:widowControl w:val="0"/>
              <w:spacing w:line="240" w:lineRule="auto"/>
              <w:rPr>
                <w:i/>
                <w:color w:val="000000"/>
                <w:szCs w:val="22"/>
              </w:rPr>
            </w:pPr>
            <w:r w:rsidRPr="00CD729C">
              <w:rPr>
                <w:color w:val="000000"/>
                <w:szCs w:val="22"/>
              </w:rPr>
              <w:t>Pietvīkums, asiņošana</w:t>
            </w:r>
          </w:p>
        </w:tc>
      </w:tr>
      <w:tr w:rsidR="009E01F8" w:rsidRPr="00CD729C" w14:paraId="3D394B12" w14:textId="77777777" w:rsidTr="009B4BB6">
        <w:trPr>
          <w:cantSplit/>
        </w:trPr>
        <w:tc>
          <w:tcPr>
            <w:tcW w:w="2235" w:type="dxa"/>
          </w:tcPr>
          <w:p w14:paraId="3D394B10" w14:textId="77777777" w:rsidR="009E01F8" w:rsidRPr="00CD729C" w:rsidRDefault="009E01F8" w:rsidP="009B4BB6">
            <w:pPr>
              <w:keepNext/>
              <w:widowControl w:val="0"/>
              <w:spacing w:line="240" w:lineRule="auto"/>
              <w:rPr>
                <w:i/>
                <w:color w:val="000000"/>
                <w:szCs w:val="22"/>
              </w:rPr>
            </w:pPr>
            <w:r w:rsidRPr="00CD729C">
              <w:rPr>
                <w:i/>
                <w:color w:val="000000"/>
                <w:szCs w:val="22"/>
              </w:rPr>
              <w:t>Retāk</w:t>
            </w:r>
          </w:p>
        </w:tc>
        <w:tc>
          <w:tcPr>
            <w:tcW w:w="7087" w:type="dxa"/>
          </w:tcPr>
          <w:p w14:paraId="3D394B11" w14:textId="77777777" w:rsidR="009E01F8" w:rsidRPr="00CD729C" w:rsidRDefault="009E01F8" w:rsidP="009B4BB6">
            <w:pPr>
              <w:keepNext/>
              <w:widowControl w:val="0"/>
              <w:spacing w:line="240" w:lineRule="auto"/>
              <w:rPr>
                <w:i/>
                <w:color w:val="000000"/>
                <w:szCs w:val="22"/>
              </w:rPr>
            </w:pPr>
            <w:r w:rsidRPr="00CD729C">
              <w:rPr>
                <w:color w:val="000000"/>
                <w:szCs w:val="22"/>
              </w:rPr>
              <w:t>Hipertensija, hematoma, subdurāla hematoma, perifēro ķermeņa daļu salšanas sajūta, hipotensija, Reino sindroms</w:t>
            </w:r>
          </w:p>
        </w:tc>
      </w:tr>
      <w:tr w:rsidR="000261F0" w:rsidRPr="00CD729C" w14:paraId="3D394B15" w14:textId="77777777" w:rsidTr="009B4BB6">
        <w:trPr>
          <w:cantSplit/>
        </w:trPr>
        <w:tc>
          <w:tcPr>
            <w:tcW w:w="2235" w:type="dxa"/>
          </w:tcPr>
          <w:p w14:paraId="3D394B13" w14:textId="77777777" w:rsidR="000261F0" w:rsidRPr="00CD729C" w:rsidRDefault="000261F0" w:rsidP="009B4BB6">
            <w:pPr>
              <w:widowControl w:val="0"/>
              <w:spacing w:line="240" w:lineRule="auto"/>
              <w:rPr>
                <w:i/>
                <w:color w:val="000000"/>
                <w:szCs w:val="22"/>
              </w:rPr>
            </w:pPr>
            <w:r w:rsidRPr="00CD729C">
              <w:rPr>
                <w:i/>
                <w:color w:val="000000"/>
                <w:szCs w:val="22"/>
              </w:rPr>
              <w:t>Nav zināmi</w:t>
            </w:r>
          </w:p>
        </w:tc>
        <w:tc>
          <w:tcPr>
            <w:tcW w:w="7087" w:type="dxa"/>
          </w:tcPr>
          <w:p w14:paraId="3D394B14" w14:textId="77777777" w:rsidR="000261F0" w:rsidRPr="00CD729C" w:rsidRDefault="000261F0" w:rsidP="009B4BB6">
            <w:pPr>
              <w:widowControl w:val="0"/>
              <w:spacing w:line="240" w:lineRule="auto"/>
              <w:rPr>
                <w:color w:val="000000"/>
                <w:szCs w:val="22"/>
              </w:rPr>
            </w:pPr>
            <w:r w:rsidRPr="00CD729C">
              <w:rPr>
                <w:color w:val="000000"/>
                <w:szCs w:val="22"/>
              </w:rPr>
              <w:t>Tromboze/embolija*</w:t>
            </w:r>
          </w:p>
        </w:tc>
      </w:tr>
      <w:tr w:rsidR="009E01F8" w:rsidRPr="00CD729C" w14:paraId="3D394B17" w14:textId="77777777" w:rsidTr="009B4BB6">
        <w:trPr>
          <w:cantSplit/>
        </w:trPr>
        <w:tc>
          <w:tcPr>
            <w:tcW w:w="9322" w:type="dxa"/>
            <w:gridSpan w:val="2"/>
          </w:tcPr>
          <w:p w14:paraId="3D394B16" w14:textId="77777777" w:rsidR="009E01F8" w:rsidRPr="00CD729C" w:rsidRDefault="009E01F8" w:rsidP="009B4BB6">
            <w:pPr>
              <w:keepNext/>
              <w:widowControl w:val="0"/>
              <w:spacing w:line="240" w:lineRule="auto"/>
              <w:rPr>
                <w:color w:val="000000"/>
                <w:szCs w:val="22"/>
              </w:rPr>
            </w:pPr>
            <w:r w:rsidRPr="00CD729C">
              <w:rPr>
                <w:b/>
                <w:color w:val="000000"/>
                <w:szCs w:val="22"/>
              </w:rPr>
              <w:t>Elpošanas sistēmas traucējumi, krūšu kurvja un videnes slimības</w:t>
            </w:r>
          </w:p>
        </w:tc>
      </w:tr>
      <w:tr w:rsidR="009E01F8" w:rsidRPr="00CD729C" w14:paraId="3D394B1A" w14:textId="77777777" w:rsidTr="009B4BB6">
        <w:trPr>
          <w:cantSplit/>
        </w:trPr>
        <w:tc>
          <w:tcPr>
            <w:tcW w:w="2235" w:type="dxa"/>
          </w:tcPr>
          <w:p w14:paraId="3D394B18" w14:textId="77777777" w:rsidR="009E01F8" w:rsidRPr="00CD729C" w:rsidRDefault="009E01F8" w:rsidP="009B4BB6">
            <w:pPr>
              <w:keepNext/>
              <w:widowControl w:val="0"/>
              <w:spacing w:line="240" w:lineRule="auto"/>
              <w:rPr>
                <w:color w:val="000000"/>
              </w:rPr>
            </w:pPr>
            <w:r w:rsidRPr="00CD729C">
              <w:rPr>
                <w:i/>
                <w:color w:val="000000"/>
                <w:szCs w:val="22"/>
              </w:rPr>
              <w:t>Bieži</w:t>
            </w:r>
          </w:p>
        </w:tc>
        <w:tc>
          <w:tcPr>
            <w:tcW w:w="7087" w:type="dxa"/>
          </w:tcPr>
          <w:p w14:paraId="3D394B19" w14:textId="77777777" w:rsidR="009E01F8" w:rsidRPr="00CD729C" w:rsidRDefault="009E01F8" w:rsidP="009B4BB6">
            <w:pPr>
              <w:keepNext/>
              <w:widowControl w:val="0"/>
              <w:spacing w:line="240" w:lineRule="auto"/>
              <w:rPr>
                <w:color w:val="000000"/>
              </w:rPr>
            </w:pPr>
            <w:r w:rsidRPr="00CD729C">
              <w:rPr>
                <w:color w:val="000000"/>
                <w:szCs w:val="22"/>
              </w:rPr>
              <w:t>Aizdusa, deguna asiņošana, klepus</w:t>
            </w:r>
          </w:p>
        </w:tc>
      </w:tr>
      <w:tr w:rsidR="009E01F8" w:rsidRPr="00CD729C" w14:paraId="3D394B1D" w14:textId="77777777" w:rsidTr="009B4BB6">
        <w:trPr>
          <w:cantSplit/>
        </w:trPr>
        <w:tc>
          <w:tcPr>
            <w:tcW w:w="2235" w:type="dxa"/>
          </w:tcPr>
          <w:p w14:paraId="3D394B1B" w14:textId="77777777" w:rsidR="009E01F8" w:rsidRPr="00CD729C" w:rsidRDefault="009E01F8" w:rsidP="009B4BB6">
            <w:pPr>
              <w:keepNext/>
              <w:widowControl w:val="0"/>
              <w:spacing w:line="240" w:lineRule="auto"/>
              <w:rPr>
                <w:color w:val="000000"/>
              </w:rPr>
            </w:pPr>
            <w:r w:rsidRPr="00CD729C">
              <w:rPr>
                <w:i/>
                <w:color w:val="000000"/>
                <w:szCs w:val="22"/>
              </w:rPr>
              <w:t>Retāk</w:t>
            </w:r>
          </w:p>
        </w:tc>
        <w:tc>
          <w:tcPr>
            <w:tcW w:w="7087" w:type="dxa"/>
          </w:tcPr>
          <w:p w14:paraId="3D394B1C" w14:textId="77777777" w:rsidR="009E01F8" w:rsidRPr="00CD729C" w:rsidRDefault="009E01F8" w:rsidP="009B4BB6">
            <w:pPr>
              <w:keepNext/>
              <w:widowControl w:val="0"/>
              <w:spacing w:line="240" w:lineRule="auto"/>
              <w:rPr>
                <w:color w:val="000000"/>
              </w:rPr>
            </w:pPr>
            <w:r w:rsidRPr="00CD729C">
              <w:rPr>
                <w:color w:val="000000"/>
                <w:szCs w:val="22"/>
              </w:rPr>
              <w:t>Izsvīdums pleirā</w:t>
            </w:r>
            <w:r w:rsidRPr="00CD729C">
              <w:rPr>
                <w:color w:val="000000"/>
                <w:szCs w:val="22"/>
                <w:vertAlign w:val="superscript"/>
              </w:rPr>
              <w:t>5</w:t>
            </w:r>
            <w:r w:rsidRPr="00CD729C">
              <w:rPr>
                <w:color w:val="000000"/>
                <w:szCs w:val="22"/>
              </w:rPr>
              <w:t>, sāpes rīklē un balsenē, faringīts</w:t>
            </w:r>
          </w:p>
        </w:tc>
      </w:tr>
      <w:tr w:rsidR="009E01F8" w:rsidRPr="00CD729C" w14:paraId="3D394B20" w14:textId="77777777" w:rsidTr="009B4BB6">
        <w:trPr>
          <w:cantSplit/>
        </w:trPr>
        <w:tc>
          <w:tcPr>
            <w:tcW w:w="2235" w:type="dxa"/>
          </w:tcPr>
          <w:p w14:paraId="3D394B1E" w14:textId="77777777" w:rsidR="009E01F8" w:rsidRPr="00CD729C" w:rsidRDefault="009E01F8" w:rsidP="009B4BB6">
            <w:pPr>
              <w:keepNext/>
              <w:widowControl w:val="0"/>
              <w:spacing w:line="240" w:lineRule="auto"/>
              <w:rPr>
                <w:color w:val="000000"/>
              </w:rPr>
            </w:pPr>
            <w:r w:rsidRPr="00CD729C">
              <w:rPr>
                <w:i/>
                <w:color w:val="000000"/>
                <w:szCs w:val="22"/>
              </w:rPr>
              <w:t>Reti</w:t>
            </w:r>
          </w:p>
        </w:tc>
        <w:tc>
          <w:tcPr>
            <w:tcW w:w="7087" w:type="dxa"/>
          </w:tcPr>
          <w:p w14:paraId="3D394B1F" w14:textId="77777777" w:rsidR="009E01F8" w:rsidRPr="00CD729C" w:rsidRDefault="009E01F8" w:rsidP="009B4BB6">
            <w:pPr>
              <w:keepNext/>
              <w:widowControl w:val="0"/>
              <w:spacing w:line="240" w:lineRule="auto"/>
              <w:rPr>
                <w:color w:val="000000"/>
              </w:rPr>
            </w:pPr>
            <w:r w:rsidRPr="00CD729C">
              <w:rPr>
                <w:color w:val="000000"/>
                <w:szCs w:val="22"/>
              </w:rPr>
              <w:t>Pleiras sāpes, plaušu fibroze, pulmonāla hipertensija, plaušu asiņošana</w:t>
            </w:r>
          </w:p>
        </w:tc>
      </w:tr>
      <w:tr w:rsidR="000261F0" w:rsidRPr="00CD729C" w14:paraId="3D394B23" w14:textId="77777777" w:rsidTr="009B4BB6">
        <w:trPr>
          <w:cantSplit/>
        </w:trPr>
        <w:tc>
          <w:tcPr>
            <w:tcW w:w="2235" w:type="dxa"/>
          </w:tcPr>
          <w:p w14:paraId="3D394B21" w14:textId="77777777" w:rsidR="000261F0" w:rsidRPr="00CD729C" w:rsidRDefault="000261F0" w:rsidP="009B4BB6">
            <w:pPr>
              <w:widowControl w:val="0"/>
              <w:spacing w:line="240" w:lineRule="auto"/>
              <w:rPr>
                <w:i/>
                <w:color w:val="000000"/>
                <w:szCs w:val="22"/>
              </w:rPr>
            </w:pPr>
            <w:r w:rsidRPr="00CD729C">
              <w:rPr>
                <w:i/>
                <w:color w:val="000000"/>
                <w:szCs w:val="22"/>
              </w:rPr>
              <w:t>Nav zināmi</w:t>
            </w:r>
          </w:p>
        </w:tc>
        <w:tc>
          <w:tcPr>
            <w:tcW w:w="7087" w:type="dxa"/>
          </w:tcPr>
          <w:p w14:paraId="3D394B22" w14:textId="77777777" w:rsidR="000261F0" w:rsidRPr="00CD729C" w:rsidRDefault="000261F0" w:rsidP="009B4BB6">
            <w:pPr>
              <w:widowControl w:val="0"/>
              <w:spacing w:line="240" w:lineRule="auto"/>
              <w:rPr>
                <w:color w:val="000000"/>
                <w:szCs w:val="22"/>
              </w:rPr>
            </w:pPr>
            <w:r w:rsidRPr="00CD729C">
              <w:rPr>
                <w:color w:val="000000"/>
                <w:szCs w:val="22"/>
              </w:rPr>
              <w:t>Akūta elpošanas mazspēja</w:t>
            </w:r>
            <w:r w:rsidR="00D007DC">
              <w:rPr>
                <w:color w:val="000000"/>
                <w:szCs w:val="22"/>
                <w:vertAlign w:val="superscript"/>
              </w:rPr>
              <w:t>11</w:t>
            </w:r>
            <w:r w:rsidR="004E61FE" w:rsidRPr="00CD729C">
              <w:rPr>
                <w:color w:val="000000"/>
                <w:szCs w:val="22"/>
              </w:rPr>
              <w:t>*</w:t>
            </w:r>
            <w:r w:rsidRPr="00CD729C">
              <w:rPr>
                <w:color w:val="000000"/>
                <w:szCs w:val="22"/>
              </w:rPr>
              <w:t>, intersticiāla plaušu slimība*</w:t>
            </w:r>
          </w:p>
        </w:tc>
      </w:tr>
      <w:tr w:rsidR="009E01F8" w:rsidRPr="00CD729C" w14:paraId="3D394B25" w14:textId="77777777" w:rsidTr="009B4BB6">
        <w:trPr>
          <w:cantSplit/>
        </w:trPr>
        <w:tc>
          <w:tcPr>
            <w:tcW w:w="9322" w:type="dxa"/>
            <w:gridSpan w:val="2"/>
          </w:tcPr>
          <w:p w14:paraId="3D394B24" w14:textId="77777777" w:rsidR="009E01F8" w:rsidRPr="00CD729C" w:rsidRDefault="009E01F8" w:rsidP="009B4BB6">
            <w:pPr>
              <w:keepNext/>
              <w:widowControl w:val="0"/>
              <w:spacing w:line="240" w:lineRule="auto"/>
              <w:rPr>
                <w:color w:val="000000"/>
              </w:rPr>
            </w:pPr>
            <w:r w:rsidRPr="00CD729C">
              <w:rPr>
                <w:b/>
                <w:color w:val="000000"/>
                <w:szCs w:val="22"/>
              </w:rPr>
              <w:t>Kuņģa-zarnu trakta traucējumi</w:t>
            </w:r>
          </w:p>
        </w:tc>
      </w:tr>
      <w:tr w:rsidR="009E01F8" w:rsidRPr="00CD729C" w14:paraId="3D394B28" w14:textId="77777777" w:rsidTr="009B4BB6">
        <w:trPr>
          <w:cantSplit/>
        </w:trPr>
        <w:tc>
          <w:tcPr>
            <w:tcW w:w="2235" w:type="dxa"/>
          </w:tcPr>
          <w:p w14:paraId="3D394B26" w14:textId="77777777" w:rsidR="009E01F8" w:rsidRPr="00CD729C" w:rsidRDefault="009E01F8" w:rsidP="009B4BB6">
            <w:pPr>
              <w:keepNext/>
              <w:widowControl w:val="0"/>
              <w:spacing w:line="240" w:lineRule="auto"/>
              <w:rPr>
                <w:color w:val="000000"/>
              </w:rPr>
            </w:pPr>
            <w:r w:rsidRPr="00CD729C">
              <w:rPr>
                <w:i/>
                <w:color w:val="000000"/>
                <w:szCs w:val="22"/>
              </w:rPr>
              <w:t>Ļoti bieži</w:t>
            </w:r>
          </w:p>
        </w:tc>
        <w:tc>
          <w:tcPr>
            <w:tcW w:w="7087" w:type="dxa"/>
          </w:tcPr>
          <w:p w14:paraId="3D394B27" w14:textId="77777777" w:rsidR="009E01F8" w:rsidRPr="00CD729C" w:rsidRDefault="009E01F8" w:rsidP="009B4BB6">
            <w:pPr>
              <w:keepNext/>
              <w:widowControl w:val="0"/>
              <w:spacing w:line="240" w:lineRule="auto"/>
              <w:rPr>
                <w:color w:val="000000"/>
              </w:rPr>
            </w:pPr>
            <w:r w:rsidRPr="00CD729C">
              <w:rPr>
                <w:color w:val="000000"/>
                <w:szCs w:val="22"/>
              </w:rPr>
              <w:t>Slikta dūša, caureja, vemšana, dispepsija, sāpes vēderā</w:t>
            </w:r>
            <w:r w:rsidRPr="00CD729C">
              <w:rPr>
                <w:color w:val="000000"/>
                <w:szCs w:val="22"/>
                <w:vertAlign w:val="superscript"/>
              </w:rPr>
              <w:t>6</w:t>
            </w:r>
          </w:p>
        </w:tc>
      </w:tr>
      <w:tr w:rsidR="009E01F8" w:rsidRPr="00CD729C" w14:paraId="3D394B2B" w14:textId="77777777" w:rsidTr="009B4BB6">
        <w:trPr>
          <w:cantSplit/>
        </w:trPr>
        <w:tc>
          <w:tcPr>
            <w:tcW w:w="2235" w:type="dxa"/>
          </w:tcPr>
          <w:p w14:paraId="3D394B29" w14:textId="77777777" w:rsidR="009E01F8" w:rsidRPr="00CD729C" w:rsidRDefault="009E01F8" w:rsidP="009B4BB6">
            <w:pPr>
              <w:keepNext/>
              <w:widowControl w:val="0"/>
              <w:spacing w:line="240" w:lineRule="auto"/>
              <w:rPr>
                <w:color w:val="000000"/>
              </w:rPr>
            </w:pPr>
            <w:r w:rsidRPr="00CD729C">
              <w:rPr>
                <w:i/>
                <w:color w:val="000000"/>
                <w:szCs w:val="22"/>
              </w:rPr>
              <w:t>Bieži</w:t>
            </w:r>
          </w:p>
        </w:tc>
        <w:tc>
          <w:tcPr>
            <w:tcW w:w="7087" w:type="dxa"/>
          </w:tcPr>
          <w:p w14:paraId="3D394B2A" w14:textId="77777777" w:rsidR="009E01F8" w:rsidRPr="00CD729C" w:rsidRDefault="009E01F8" w:rsidP="009B4BB6">
            <w:pPr>
              <w:keepNext/>
              <w:widowControl w:val="0"/>
              <w:spacing w:line="240" w:lineRule="auto"/>
              <w:rPr>
                <w:color w:val="000000"/>
              </w:rPr>
            </w:pPr>
            <w:r w:rsidRPr="00CD729C">
              <w:rPr>
                <w:color w:val="000000"/>
                <w:szCs w:val="22"/>
              </w:rPr>
              <w:t>Meteorisms, nepatīkama sajūta vēderā, gastroezofageāls atvilnis, aizcietējums, sausa mute, gastrīts</w:t>
            </w:r>
          </w:p>
        </w:tc>
      </w:tr>
      <w:tr w:rsidR="009E01F8" w:rsidRPr="00CD729C" w14:paraId="3D394B2E" w14:textId="77777777" w:rsidTr="009B4BB6">
        <w:trPr>
          <w:cantSplit/>
        </w:trPr>
        <w:tc>
          <w:tcPr>
            <w:tcW w:w="2235" w:type="dxa"/>
          </w:tcPr>
          <w:p w14:paraId="3D394B2C" w14:textId="77777777" w:rsidR="009E01F8" w:rsidRPr="00CD729C" w:rsidRDefault="009E01F8" w:rsidP="009B4BB6">
            <w:pPr>
              <w:keepNext/>
              <w:widowControl w:val="0"/>
              <w:spacing w:line="240" w:lineRule="auto"/>
              <w:rPr>
                <w:color w:val="000000"/>
              </w:rPr>
            </w:pPr>
            <w:r w:rsidRPr="00CD729C">
              <w:rPr>
                <w:i/>
                <w:color w:val="000000"/>
                <w:szCs w:val="22"/>
              </w:rPr>
              <w:t>Retāk</w:t>
            </w:r>
          </w:p>
        </w:tc>
        <w:tc>
          <w:tcPr>
            <w:tcW w:w="7087" w:type="dxa"/>
          </w:tcPr>
          <w:p w14:paraId="3D394B2D" w14:textId="77777777" w:rsidR="009E01F8" w:rsidRPr="00CD729C" w:rsidRDefault="009E01F8" w:rsidP="009B4BB6">
            <w:pPr>
              <w:keepNext/>
              <w:widowControl w:val="0"/>
              <w:spacing w:line="240" w:lineRule="auto"/>
              <w:rPr>
                <w:color w:val="000000"/>
              </w:rPr>
            </w:pPr>
            <w:r w:rsidRPr="00CD729C">
              <w:rPr>
                <w:color w:val="000000"/>
                <w:szCs w:val="22"/>
              </w:rPr>
              <w:t>Stomatīts, čūlas mutes dobumā, kuņģa-zarnu trakta asiņošana</w:t>
            </w:r>
            <w:r w:rsidRPr="00CD729C">
              <w:rPr>
                <w:color w:val="000000"/>
                <w:szCs w:val="22"/>
                <w:vertAlign w:val="superscript"/>
              </w:rPr>
              <w:t>7</w:t>
            </w:r>
            <w:r w:rsidRPr="00CD729C">
              <w:rPr>
                <w:color w:val="000000"/>
                <w:szCs w:val="22"/>
              </w:rPr>
              <w:t>, atraugas, melēna, ezofagīts, ascīts, kuņģa čūla, vemšana ar asinīm, heilīts, disfāgija, pankreatīts</w:t>
            </w:r>
          </w:p>
        </w:tc>
      </w:tr>
      <w:tr w:rsidR="009E01F8" w:rsidRPr="00CD729C" w14:paraId="3D394B31" w14:textId="77777777" w:rsidTr="009B4BB6">
        <w:trPr>
          <w:cantSplit/>
        </w:trPr>
        <w:tc>
          <w:tcPr>
            <w:tcW w:w="2235" w:type="dxa"/>
          </w:tcPr>
          <w:p w14:paraId="3D394B2F" w14:textId="77777777" w:rsidR="009E01F8" w:rsidRPr="00CD729C" w:rsidRDefault="009E01F8" w:rsidP="009B4BB6">
            <w:pPr>
              <w:keepNext/>
              <w:widowControl w:val="0"/>
              <w:spacing w:line="240" w:lineRule="auto"/>
              <w:rPr>
                <w:color w:val="000000"/>
              </w:rPr>
            </w:pPr>
            <w:r w:rsidRPr="00CD729C">
              <w:rPr>
                <w:i/>
                <w:color w:val="000000"/>
                <w:szCs w:val="22"/>
              </w:rPr>
              <w:t>Reti</w:t>
            </w:r>
          </w:p>
        </w:tc>
        <w:tc>
          <w:tcPr>
            <w:tcW w:w="7087" w:type="dxa"/>
          </w:tcPr>
          <w:p w14:paraId="3D394B30" w14:textId="77777777" w:rsidR="009E01F8" w:rsidRPr="00CD729C" w:rsidRDefault="009E01F8" w:rsidP="009B4BB6">
            <w:pPr>
              <w:keepNext/>
              <w:widowControl w:val="0"/>
              <w:spacing w:line="240" w:lineRule="auto"/>
              <w:rPr>
                <w:snapToGrid w:val="0"/>
                <w:color w:val="000000"/>
                <w:szCs w:val="22"/>
              </w:rPr>
            </w:pPr>
            <w:r w:rsidRPr="00CD729C">
              <w:rPr>
                <w:color w:val="000000"/>
                <w:szCs w:val="22"/>
              </w:rPr>
              <w:t xml:space="preserve">Kolīts, </w:t>
            </w:r>
            <w:r w:rsidRPr="00CD729C">
              <w:rPr>
                <w:snapToGrid w:val="0"/>
                <w:color w:val="000000"/>
                <w:szCs w:val="22"/>
              </w:rPr>
              <w:t>ileuss, zarnu iekaisīga slimība</w:t>
            </w:r>
          </w:p>
        </w:tc>
      </w:tr>
      <w:tr w:rsidR="000261F0" w:rsidRPr="00CD729C" w14:paraId="3D394B34" w14:textId="77777777" w:rsidTr="009B4BB6">
        <w:trPr>
          <w:cantSplit/>
        </w:trPr>
        <w:tc>
          <w:tcPr>
            <w:tcW w:w="2235" w:type="dxa"/>
          </w:tcPr>
          <w:p w14:paraId="3D394B32" w14:textId="77777777" w:rsidR="000261F0" w:rsidRPr="00CD729C" w:rsidRDefault="000261F0" w:rsidP="009B4BB6">
            <w:pPr>
              <w:widowControl w:val="0"/>
              <w:spacing w:line="240" w:lineRule="auto"/>
              <w:rPr>
                <w:i/>
                <w:color w:val="000000"/>
                <w:szCs w:val="22"/>
              </w:rPr>
            </w:pPr>
            <w:r w:rsidRPr="00CD729C">
              <w:rPr>
                <w:i/>
                <w:color w:val="000000"/>
                <w:szCs w:val="22"/>
              </w:rPr>
              <w:t>Nav zināmi</w:t>
            </w:r>
          </w:p>
        </w:tc>
        <w:tc>
          <w:tcPr>
            <w:tcW w:w="7087" w:type="dxa"/>
          </w:tcPr>
          <w:p w14:paraId="3D394B33" w14:textId="77777777" w:rsidR="000261F0" w:rsidRPr="00CD729C" w:rsidRDefault="000261F0" w:rsidP="009B4BB6">
            <w:pPr>
              <w:widowControl w:val="0"/>
              <w:spacing w:line="240" w:lineRule="auto"/>
              <w:rPr>
                <w:color w:val="000000"/>
                <w:szCs w:val="22"/>
              </w:rPr>
            </w:pPr>
            <w:r w:rsidRPr="00CD729C">
              <w:rPr>
                <w:color w:val="000000"/>
                <w:szCs w:val="22"/>
              </w:rPr>
              <w:t>Ileuss/zarnu nosprostojums*, kuņģa-zarnu trakta perforācija*, divertikulīts*, kuņģa antrālā vaskulārā ektāzija (GAVE)*</w:t>
            </w:r>
          </w:p>
        </w:tc>
      </w:tr>
      <w:tr w:rsidR="009E01F8" w:rsidRPr="00CD729C" w14:paraId="3D394B36" w14:textId="77777777" w:rsidTr="009B4BB6">
        <w:trPr>
          <w:cantSplit/>
        </w:trPr>
        <w:tc>
          <w:tcPr>
            <w:tcW w:w="9322" w:type="dxa"/>
            <w:gridSpan w:val="2"/>
          </w:tcPr>
          <w:p w14:paraId="3D394B35" w14:textId="77777777" w:rsidR="009E01F8" w:rsidRPr="00CD729C" w:rsidRDefault="009E01F8" w:rsidP="009B4BB6">
            <w:pPr>
              <w:keepNext/>
              <w:widowControl w:val="0"/>
              <w:spacing w:line="240" w:lineRule="auto"/>
              <w:rPr>
                <w:b/>
                <w:bCs/>
                <w:color w:val="000000"/>
                <w:szCs w:val="22"/>
              </w:rPr>
            </w:pPr>
            <w:r w:rsidRPr="00CD729C">
              <w:rPr>
                <w:b/>
                <w:bCs/>
                <w:szCs w:val="22"/>
              </w:rPr>
              <w:t>Aknu un/vai žults izvades sistēmas traucējumi</w:t>
            </w:r>
          </w:p>
        </w:tc>
      </w:tr>
      <w:tr w:rsidR="009E01F8" w:rsidRPr="00CD729C" w14:paraId="3D394B39" w14:textId="77777777" w:rsidTr="009B4BB6">
        <w:trPr>
          <w:cantSplit/>
        </w:trPr>
        <w:tc>
          <w:tcPr>
            <w:tcW w:w="2235" w:type="dxa"/>
          </w:tcPr>
          <w:p w14:paraId="3D394B37" w14:textId="77777777" w:rsidR="009E01F8" w:rsidRPr="00CD729C" w:rsidRDefault="009E01F8" w:rsidP="009B4BB6">
            <w:pPr>
              <w:keepNext/>
              <w:widowControl w:val="0"/>
              <w:spacing w:line="240" w:lineRule="auto"/>
              <w:rPr>
                <w:i/>
                <w:color w:val="000000"/>
                <w:szCs w:val="22"/>
              </w:rPr>
            </w:pPr>
            <w:r w:rsidRPr="00CD729C">
              <w:rPr>
                <w:i/>
                <w:color w:val="000000"/>
                <w:szCs w:val="22"/>
              </w:rPr>
              <w:t>Bieži</w:t>
            </w:r>
          </w:p>
        </w:tc>
        <w:tc>
          <w:tcPr>
            <w:tcW w:w="7087" w:type="dxa"/>
          </w:tcPr>
          <w:p w14:paraId="3D394B38" w14:textId="77777777" w:rsidR="009E01F8" w:rsidRPr="00CD729C" w:rsidRDefault="009E01F8" w:rsidP="009B4BB6">
            <w:pPr>
              <w:keepNext/>
              <w:widowControl w:val="0"/>
              <w:spacing w:line="240" w:lineRule="auto"/>
              <w:rPr>
                <w:color w:val="000000"/>
                <w:szCs w:val="22"/>
              </w:rPr>
            </w:pPr>
            <w:r w:rsidRPr="00CD729C">
              <w:rPr>
                <w:color w:val="000000"/>
                <w:szCs w:val="22"/>
              </w:rPr>
              <w:t>Paaugstināts aknu enzīmu līmenis</w:t>
            </w:r>
          </w:p>
        </w:tc>
      </w:tr>
      <w:tr w:rsidR="009E01F8" w:rsidRPr="00CD729C" w14:paraId="3D394B3C" w14:textId="77777777" w:rsidTr="009B4BB6">
        <w:trPr>
          <w:cantSplit/>
        </w:trPr>
        <w:tc>
          <w:tcPr>
            <w:tcW w:w="2235" w:type="dxa"/>
          </w:tcPr>
          <w:p w14:paraId="3D394B3A" w14:textId="77777777" w:rsidR="009E01F8" w:rsidRPr="00CD729C" w:rsidRDefault="009E01F8" w:rsidP="009B4BB6">
            <w:pPr>
              <w:keepNext/>
              <w:widowControl w:val="0"/>
              <w:spacing w:line="240" w:lineRule="auto"/>
              <w:rPr>
                <w:i/>
                <w:color w:val="000000"/>
                <w:szCs w:val="22"/>
              </w:rPr>
            </w:pPr>
            <w:r w:rsidRPr="00CD729C">
              <w:rPr>
                <w:i/>
                <w:color w:val="000000"/>
                <w:szCs w:val="22"/>
              </w:rPr>
              <w:t>Retāk</w:t>
            </w:r>
          </w:p>
        </w:tc>
        <w:tc>
          <w:tcPr>
            <w:tcW w:w="7087" w:type="dxa"/>
          </w:tcPr>
          <w:p w14:paraId="3D394B3B" w14:textId="77777777" w:rsidR="009E01F8" w:rsidRPr="00CD729C" w:rsidRDefault="009E01F8" w:rsidP="009B4BB6">
            <w:pPr>
              <w:keepNext/>
              <w:widowControl w:val="0"/>
              <w:spacing w:line="240" w:lineRule="auto"/>
              <w:rPr>
                <w:color w:val="000000"/>
                <w:szCs w:val="22"/>
              </w:rPr>
            </w:pPr>
            <w:r w:rsidRPr="00CD729C">
              <w:rPr>
                <w:color w:val="000000"/>
                <w:szCs w:val="22"/>
              </w:rPr>
              <w:t>Hiperbilirubinēmija, hepatīts, dzelte</w:t>
            </w:r>
          </w:p>
        </w:tc>
      </w:tr>
      <w:tr w:rsidR="009E01F8" w:rsidRPr="00CD729C" w14:paraId="3D394B3F" w14:textId="77777777" w:rsidTr="009B4BB6">
        <w:trPr>
          <w:cantSplit/>
        </w:trPr>
        <w:tc>
          <w:tcPr>
            <w:tcW w:w="2235" w:type="dxa"/>
          </w:tcPr>
          <w:p w14:paraId="3D394B3D" w14:textId="77777777" w:rsidR="009E01F8" w:rsidRPr="00CD729C" w:rsidRDefault="009E01F8" w:rsidP="009B4BB6">
            <w:pPr>
              <w:widowControl w:val="0"/>
              <w:spacing w:line="240" w:lineRule="auto"/>
              <w:rPr>
                <w:i/>
                <w:color w:val="000000"/>
                <w:szCs w:val="22"/>
              </w:rPr>
            </w:pPr>
            <w:r w:rsidRPr="00CD729C">
              <w:rPr>
                <w:i/>
                <w:color w:val="000000"/>
                <w:szCs w:val="22"/>
              </w:rPr>
              <w:t>Reti</w:t>
            </w:r>
          </w:p>
        </w:tc>
        <w:tc>
          <w:tcPr>
            <w:tcW w:w="7087" w:type="dxa"/>
          </w:tcPr>
          <w:p w14:paraId="3D394B3E" w14:textId="77777777" w:rsidR="009E01F8" w:rsidRPr="00CD729C" w:rsidRDefault="009E01F8" w:rsidP="009B4BB6">
            <w:pPr>
              <w:widowControl w:val="0"/>
              <w:spacing w:line="240" w:lineRule="auto"/>
              <w:rPr>
                <w:color w:val="000000"/>
                <w:szCs w:val="22"/>
              </w:rPr>
            </w:pPr>
            <w:r w:rsidRPr="00CD729C">
              <w:rPr>
                <w:color w:val="000000"/>
                <w:szCs w:val="22"/>
              </w:rPr>
              <w:t>Aknu mazspēja</w:t>
            </w:r>
            <w:r w:rsidRPr="00CD729C">
              <w:rPr>
                <w:color w:val="000000"/>
                <w:szCs w:val="22"/>
                <w:vertAlign w:val="superscript"/>
              </w:rPr>
              <w:t>8</w:t>
            </w:r>
            <w:r w:rsidRPr="00CD729C">
              <w:rPr>
                <w:color w:val="000000"/>
                <w:szCs w:val="22"/>
              </w:rPr>
              <w:t>, aknu nekroze</w:t>
            </w:r>
          </w:p>
        </w:tc>
      </w:tr>
      <w:tr w:rsidR="009E01F8" w:rsidRPr="00CD729C" w14:paraId="3D394B41" w14:textId="77777777" w:rsidTr="009B4BB6">
        <w:trPr>
          <w:cantSplit/>
        </w:trPr>
        <w:tc>
          <w:tcPr>
            <w:tcW w:w="9322" w:type="dxa"/>
            <w:gridSpan w:val="2"/>
          </w:tcPr>
          <w:p w14:paraId="3D394B40" w14:textId="77777777" w:rsidR="009E01F8" w:rsidRPr="00CD729C" w:rsidRDefault="009E01F8" w:rsidP="009B4BB6">
            <w:pPr>
              <w:keepNext/>
              <w:widowControl w:val="0"/>
              <w:spacing w:line="240" w:lineRule="auto"/>
              <w:rPr>
                <w:color w:val="000000"/>
              </w:rPr>
            </w:pPr>
            <w:r w:rsidRPr="00CD729C">
              <w:rPr>
                <w:b/>
                <w:color w:val="000000"/>
                <w:szCs w:val="22"/>
              </w:rPr>
              <w:t>Ādas un zemādas audu bojājumi</w:t>
            </w:r>
          </w:p>
        </w:tc>
      </w:tr>
      <w:tr w:rsidR="009E01F8" w:rsidRPr="00CD729C" w14:paraId="3D394B44" w14:textId="77777777" w:rsidTr="009B4BB6">
        <w:trPr>
          <w:cantSplit/>
        </w:trPr>
        <w:tc>
          <w:tcPr>
            <w:tcW w:w="2235" w:type="dxa"/>
          </w:tcPr>
          <w:p w14:paraId="3D394B42" w14:textId="77777777" w:rsidR="009E01F8" w:rsidRPr="00CD729C" w:rsidRDefault="009E01F8" w:rsidP="009B4BB6">
            <w:pPr>
              <w:keepNext/>
              <w:widowControl w:val="0"/>
              <w:spacing w:line="240" w:lineRule="auto"/>
              <w:rPr>
                <w:color w:val="000000"/>
              </w:rPr>
            </w:pPr>
            <w:r w:rsidRPr="00CD729C">
              <w:rPr>
                <w:i/>
                <w:color w:val="000000"/>
                <w:szCs w:val="22"/>
              </w:rPr>
              <w:t>Ļoti bieži</w:t>
            </w:r>
          </w:p>
        </w:tc>
        <w:tc>
          <w:tcPr>
            <w:tcW w:w="7087" w:type="dxa"/>
          </w:tcPr>
          <w:p w14:paraId="3D394B43" w14:textId="77777777" w:rsidR="009E01F8" w:rsidRPr="00CD729C" w:rsidRDefault="009E01F8" w:rsidP="009B4BB6">
            <w:pPr>
              <w:keepNext/>
              <w:widowControl w:val="0"/>
              <w:spacing w:line="240" w:lineRule="auto"/>
              <w:rPr>
                <w:color w:val="000000"/>
              </w:rPr>
            </w:pPr>
            <w:r w:rsidRPr="00CD729C">
              <w:rPr>
                <w:color w:val="000000"/>
                <w:szCs w:val="22"/>
              </w:rPr>
              <w:t>Periorbitāla tūska, dermatīts/ekzēma/izsitumi</w:t>
            </w:r>
          </w:p>
        </w:tc>
      </w:tr>
      <w:tr w:rsidR="009E01F8" w:rsidRPr="00CD729C" w14:paraId="3D394B47" w14:textId="77777777" w:rsidTr="009B4BB6">
        <w:trPr>
          <w:cantSplit/>
        </w:trPr>
        <w:tc>
          <w:tcPr>
            <w:tcW w:w="2235" w:type="dxa"/>
          </w:tcPr>
          <w:p w14:paraId="3D394B45" w14:textId="77777777" w:rsidR="009E01F8" w:rsidRPr="00CD729C" w:rsidRDefault="009E01F8" w:rsidP="009B4BB6">
            <w:pPr>
              <w:keepNext/>
              <w:widowControl w:val="0"/>
              <w:spacing w:line="240" w:lineRule="auto"/>
              <w:rPr>
                <w:color w:val="000000"/>
              </w:rPr>
            </w:pPr>
            <w:r w:rsidRPr="00CD729C">
              <w:rPr>
                <w:i/>
                <w:color w:val="000000"/>
                <w:szCs w:val="22"/>
              </w:rPr>
              <w:t>Bieži</w:t>
            </w:r>
          </w:p>
        </w:tc>
        <w:tc>
          <w:tcPr>
            <w:tcW w:w="7087" w:type="dxa"/>
          </w:tcPr>
          <w:p w14:paraId="3D394B46" w14:textId="77777777" w:rsidR="009E01F8" w:rsidRPr="00CD729C" w:rsidRDefault="009E01F8" w:rsidP="009B4BB6">
            <w:pPr>
              <w:keepNext/>
              <w:widowControl w:val="0"/>
              <w:spacing w:line="240" w:lineRule="auto"/>
              <w:rPr>
                <w:color w:val="000000"/>
              </w:rPr>
            </w:pPr>
            <w:r w:rsidRPr="00CD729C">
              <w:rPr>
                <w:color w:val="000000"/>
                <w:szCs w:val="22"/>
              </w:rPr>
              <w:t>Nieze, sejas tūska, sausa āda, eritēma, alopēcija, svīšana naktī, fotosensibilizācijas reakcija</w:t>
            </w:r>
          </w:p>
        </w:tc>
      </w:tr>
      <w:tr w:rsidR="009E01F8" w:rsidRPr="00CD729C" w14:paraId="3D394B4A" w14:textId="77777777" w:rsidTr="009B4BB6">
        <w:trPr>
          <w:cantSplit/>
        </w:trPr>
        <w:tc>
          <w:tcPr>
            <w:tcW w:w="2235" w:type="dxa"/>
          </w:tcPr>
          <w:p w14:paraId="3D394B48" w14:textId="77777777" w:rsidR="009E01F8" w:rsidRPr="00CD729C" w:rsidRDefault="009E01F8" w:rsidP="009B4BB6">
            <w:pPr>
              <w:keepNext/>
              <w:widowControl w:val="0"/>
              <w:spacing w:line="240" w:lineRule="auto"/>
              <w:rPr>
                <w:color w:val="000000"/>
              </w:rPr>
            </w:pPr>
            <w:r w:rsidRPr="00CD729C">
              <w:rPr>
                <w:i/>
                <w:color w:val="000000"/>
                <w:szCs w:val="22"/>
              </w:rPr>
              <w:t>Retāk</w:t>
            </w:r>
          </w:p>
        </w:tc>
        <w:tc>
          <w:tcPr>
            <w:tcW w:w="7087" w:type="dxa"/>
          </w:tcPr>
          <w:p w14:paraId="3D394B49" w14:textId="77777777" w:rsidR="009E01F8" w:rsidRPr="00CD729C" w:rsidRDefault="009E01F8" w:rsidP="009B4BB6">
            <w:pPr>
              <w:keepNext/>
              <w:widowControl w:val="0"/>
              <w:spacing w:line="240" w:lineRule="auto"/>
              <w:rPr>
                <w:color w:val="000000"/>
                <w:szCs w:val="22"/>
              </w:rPr>
            </w:pPr>
            <w:r w:rsidRPr="00CD729C">
              <w:rPr>
                <w:color w:val="000000"/>
                <w:szCs w:val="22"/>
              </w:rPr>
              <w:t>Pustulāri izsitumi, kontūzija, pastiprināta svīšana, nātrene, ekhimozes, palielināta zilumu veidošanās tendence, hipotrihoze, ādas hipopigmentācija, eksfoliatīvs dermatīts, onihoklāze, folikulīts, petehijas, psoriāze, purpura, ādas hiperpigmentācija, bullozi izsitumi</w:t>
            </w:r>
          </w:p>
        </w:tc>
      </w:tr>
      <w:tr w:rsidR="009E01F8" w:rsidRPr="00CD729C" w14:paraId="3D394B4D" w14:textId="77777777" w:rsidTr="009B4BB6">
        <w:trPr>
          <w:cantSplit/>
        </w:trPr>
        <w:tc>
          <w:tcPr>
            <w:tcW w:w="2235" w:type="dxa"/>
          </w:tcPr>
          <w:p w14:paraId="3D394B4B" w14:textId="77777777" w:rsidR="009E01F8" w:rsidRPr="00CD729C" w:rsidRDefault="009E01F8" w:rsidP="009B4BB6">
            <w:pPr>
              <w:keepNext/>
              <w:widowControl w:val="0"/>
              <w:spacing w:line="240" w:lineRule="auto"/>
              <w:rPr>
                <w:color w:val="000000"/>
              </w:rPr>
            </w:pPr>
            <w:r w:rsidRPr="00CD729C">
              <w:rPr>
                <w:i/>
                <w:color w:val="000000"/>
                <w:szCs w:val="22"/>
              </w:rPr>
              <w:t>Reti</w:t>
            </w:r>
          </w:p>
        </w:tc>
        <w:tc>
          <w:tcPr>
            <w:tcW w:w="7087" w:type="dxa"/>
          </w:tcPr>
          <w:p w14:paraId="3D394B4C" w14:textId="77777777" w:rsidR="009E01F8" w:rsidRPr="00CD729C" w:rsidRDefault="009E01F8" w:rsidP="009B4BB6">
            <w:pPr>
              <w:keepNext/>
              <w:widowControl w:val="0"/>
              <w:spacing w:line="240" w:lineRule="auto"/>
              <w:rPr>
                <w:color w:val="000000"/>
                <w:szCs w:val="22"/>
              </w:rPr>
            </w:pPr>
            <w:r w:rsidRPr="00CD729C">
              <w:rPr>
                <w:color w:val="000000"/>
                <w:szCs w:val="22"/>
              </w:rPr>
              <w:t xml:space="preserve">Akūta febrila neitrofila dermatoze (Svīta sindroms), nagu krāsas izmaiņas, angioneirotiska tūska, vezikulāri izsitumi, </w:t>
            </w:r>
            <w:r w:rsidRPr="00CD729C">
              <w:rPr>
                <w:i/>
                <w:iCs/>
                <w:color w:val="000000"/>
                <w:szCs w:val="22"/>
              </w:rPr>
              <w:t>erythema</w:t>
            </w:r>
            <w:r w:rsidRPr="00CD729C">
              <w:rPr>
                <w:color w:val="000000"/>
                <w:szCs w:val="22"/>
              </w:rPr>
              <w:t xml:space="preserve"> </w:t>
            </w:r>
            <w:r w:rsidRPr="00CD729C">
              <w:rPr>
                <w:i/>
                <w:iCs/>
                <w:color w:val="000000"/>
                <w:szCs w:val="22"/>
              </w:rPr>
              <w:t>multiforme</w:t>
            </w:r>
            <w:r w:rsidRPr="00CD729C">
              <w:rPr>
                <w:color w:val="000000"/>
                <w:szCs w:val="22"/>
              </w:rPr>
              <w:t>, leikocitoklastisks vaskulīts, Stīvensa-Džonsona sindroms, akūta ģeneralizēta eksantematoza pustuloze (AĢEP)</w:t>
            </w:r>
          </w:p>
        </w:tc>
      </w:tr>
      <w:tr w:rsidR="000261F0" w:rsidRPr="00CD729C" w14:paraId="3D394B50" w14:textId="77777777" w:rsidTr="009B4BB6">
        <w:trPr>
          <w:cantSplit/>
        </w:trPr>
        <w:tc>
          <w:tcPr>
            <w:tcW w:w="2235" w:type="dxa"/>
          </w:tcPr>
          <w:p w14:paraId="3D394B4E" w14:textId="77777777" w:rsidR="000261F0" w:rsidRPr="00CD729C" w:rsidRDefault="000261F0" w:rsidP="009B4BB6">
            <w:pPr>
              <w:widowControl w:val="0"/>
              <w:spacing w:line="240" w:lineRule="auto"/>
              <w:rPr>
                <w:i/>
                <w:color w:val="000000"/>
                <w:szCs w:val="22"/>
              </w:rPr>
            </w:pPr>
            <w:r w:rsidRPr="00CD729C">
              <w:rPr>
                <w:i/>
                <w:color w:val="000000"/>
                <w:szCs w:val="22"/>
              </w:rPr>
              <w:t>Nav zināmi</w:t>
            </w:r>
          </w:p>
        </w:tc>
        <w:tc>
          <w:tcPr>
            <w:tcW w:w="7087" w:type="dxa"/>
          </w:tcPr>
          <w:p w14:paraId="3D394B4F" w14:textId="77777777" w:rsidR="000261F0" w:rsidRPr="00CD729C" w:rsidRDefault="000261F0" w:rsidP="009B4BB6">
            <w:pPr>
              <w:widowControl w:val="0"/>
              <w:spacing w:line="240" w:lineRule="auto"/>
              <w:rPr>
                <w:color w:val="000000"/>
                <w:szCs w:val="22"/>
              </w:rPr>
            </w:pPr>
            <w:r w:rsidRPr="00CD729C">
              <w:rPr>
                <w:szCs w:val="22"/>
              </w:rPr>
              <w:t>Ķīmijterapijas inducēts palmāri-plantārais eritrodizestēzijas sindroms</w:t>
            </w:r>
            <w:r w:rsidRPr="00CD729C">
              <w:rPr>
                <w:color w:val="000000"/>
                <w:szCs w:val="22"/>
              </w:rPr>
              <w:t>*</w:t>
            </w:r>
            <w:r w:rsidRPr="00CD729C">
              <w:rPr>
                <w:szCs w:val="22"/>
              </w:rPr>
              <w:t>, lihenoīdā keratoze</w:t>
            </w:r>
            <w:r w:rsidRPr="00CD729C">
              <w:rPr>
                <w:color w:val="000000"/>
                <w:szCs w:val="22"/>
              </w:rPr>
              <w:t>*</w:t>
            </w:r>
            <w:r w:rsidRPr="00CD729C">
              <w:rPr>
                <w:szCs w:val="22"/>
              </w:rPr>
              <w:t xml:space="preserve">, </w:t>
            </w:r>
            <w:r w:rsidRPr="00CD729C">
              <w:rPr>
                <w:i/>
                <w:szCs w:val="22"/>
              </w:rPr>
              <w:t>lichen planus</w:t>
            </w:r>
            <w:r w:rsidRPr="00CD729C">
              <w:rPr>
                <w:color w:val="000000"/>
                <w:szCs w:val="22"/>
              </w:rPr>
              <w:t>*</w:t>
            </w:r>
            <w:r w:rsidRPr="00CD729C">
              <w:rPr>
                <w:szCs w:val="22"/>
              </w:rPr>
              <w:t>, toksiska epidermas nekrolīze</w:t>
            </w:r>
            <w:r w:rsidRPr="00CD729C">
              <w:rPr>
                <w:color w:val="000000"/>
                <w:szCs w:val="22"/>
              </w:rPr>
              <w:t>*</w:t>
            </w:r>
            <w:r w:rsidRPr="00CD729C">
              <w:rPr>
                <w:szCs w:val="22"/>
              </w:rPr>
              <w:t>, zāļu izraisīti izsitumi ar eozinofīliju un sistēmiskiem simptomiem (</w:t>
            </w:r>
            <w:r w:rsidRPr="00CD729C">
              <w:rPr>
                <w:i/>
                <w:szCs w:val="22"/>
              </w:rPr>
              <w:t>Drug Rash with Eosinophilia and Systemic Symptoms</w:t>
            </w:r>
            <w:r w:rsidRPr="00CD729C">
              <w:rPr>
                <w:szCs w:val="22"/>
              </w:rPr>
              <w:t xml:space="preserve"> – DRESS)</w:t>
            </w:r>
            <w:r w:rsidRPr="00CD729C">
              <w:rPr>
                <w:color w:val="000000"/>
                <w:szCs w:val="22"/>
              </w:rPr>
              <w:t>*</w:t>
            </w:r>
            <w:r w:rsidR="007A0E98">
              <w:rPr>
                <w:color w:val="000000"/>
                <w:szCs w:val="22"/>
              </w:rPr>
              <w:t xml:space="preserve"> , pseidoporfīrija</w:t>
            </w:r>
            <w:r w:rsidR="007A0E98" w:rsidRPr="00CD729C">
              <w:rPr>
                <w:color w:val="000000"/>
                <w:szCs w:val="22"/>
              </w:rPr>
              <w:t>*</w:t>
            </w:r>
          </w:p>
        </w:tc>
      </w:tr>
      <w:tr w:rsidR="009E01F8" w:rsidRPr="00CD729C" w14:paraId="3D394B52" w14:textId="77777777" w:rsidTr="009B4BB6">
        <w:trPr>
          <w:cantSplit/>
        </w:trPr>
        <w:tc>
          <w:tcPr>
            <w:tcW w:w="9322" w:type="dxa"/>
            <w:gridSpan w:val="2"/>
          </w:tcPr>
          <w:p w14:paraId="3D394B51" w14:textId="77777777" w:rsidR="009E01F8" w:rsidRPr="00CD729C" w:rsidRDefault="009E01F8" w:rsidP="009B4BB6">
            <w:pPr>
              <w:keepNext/>
              <w:widowControl w:val="0"/>
              <w:spacing w:line="240" w:lineRule="auto"/>
              <w:rPr>
                <w:color w:val="000000"/>
                <w:szCs w:val="22"/>
              </w:rPr>
            </w:pPr>
            <w:r w:rsidRPr="00CD729C">
              <w:rPr>
                <w:b/>
                <w:color w:val="000000"/>
                <w:szCs w:val="22"/>
              </w:rPr>
              <w:t>Skeleta-muskuļu un saistaudu sistēmas bojājumi</w:t>
            </w:r>
          </w:p>
        </w:tc>
      </w:tr>
      <w:tr w:rsidR="009E01F8" w:rsidRPr="00CD729C" w14:paraId="3D394B55" w14:textId="77777777" w:rsidTr="009B4BB6">
        <w:trPr>
          <w:cantSplit/>
        </w:trPr>
        <w:tc>
          <w:tcPr>
            <w:tcW w:w="2235" w:type="dxa"/>
          </w:tcPr>
          <w:p w14:paraId="3D394B53" w14:textId="77777777" w:rsidR="009E01F8" w:rsidRPr="00CD729C" w:rsidRDefault="009E01F8" w:rsidP="009B4BB6">
            <w:pPr>
              <w:keepNext/>
              <w:widowControl w:val="0"/>
              <w:spacing w:line="240" w:lineRule="auto"/>
              <w:rPr>
                <w:i/>
                <w:color w:val="000000"/>
                <w:szCs w:val="22"/>
              </w:rPr>
            </w:pPr>
            <w:r w:rsidRPr="00CD729C">
              <w:rPr>
                <w:i/>
                <w:color w:val="000000"/>
                <w:szCs w:val="22"/>
              </w:rPr>
              <w:t>Ļoti bieži</w:t>
            </w:r>
          </w:p>
        </w:tc>
        <w:tc>
          <w:tcPr>
            <w:tcW w:w="7087" w:type="dxa"/>
          </w:tcPr>
          <w:p w14:paraId="3D394B54" w14:textId="77777777" w:rsidR="009E01F8" w:rsidRPr="00CD729C" w:rsidRDefault="009E01F8" w:rsidP="009B4BB6">
            <w:pPr>
              <w:keepNext/>
              <w:widowControl w:val="0"/>
              <w:spacing w:line="240" w:lineRule="auto"/>
              <w:rPr>
                <w:color w:val="000000"/>
                <w:szCs w:val="22"/>
              </w:rPr>
            </w:pPr>
            <w:r w:rsidRPr="00CD729C">
              <w:rPr>
                <w:color w:val="000000"/>
                <w:szCs w:val="22"/>
              </w:rPr>
              <w:t>Muskuļu spazmas un krampji, muskuļu un kaulu sāpes, arī mialģija</w:t>
            </w:r>
            <w:r w:rsidR="00D007DC" w:rsidRPr="00CD729C">
              <w:rPr>
                <w:color w:val="000000"/>
                <w:szCs w:val="22"/>
                <w:vertAlign w:val="superscript"/>
              </w:rPr>
              <w:t>9</w:t>
            </w:r>
            <w:r w:rsidRPr="00CD729C">
              <w:rPr>
                <w:color w:val="000000"/>
                <w:szCs w:val="22"/>
              </w:rPr>
              <w:t>, artralģija, kaulu sāpes</w:t>
            </w:r>
            <w:r w:rsidR="00D007DC">
              <w:rPr>
                <w:color w:val="000000"/>
                <w:szCs w:val="22"/>
                <w:vertAlign w:val="superscript"/>
              </w:rPr>
              <w:t>10</w:t>
            </w:r>
          </w:p>
        </w:tc>
      </w:tr>
      <w:tr w:rsidR="009E01F8" w:rsidRPr="00CD729C" w14:paraId="3D394B58" w14:textId="77777777" w:rsidTr="009B4BB6">
        <w:trPr>
          <w:cantSplit/>
        </w:trPr>
        <w:tc>
          <w:tcPr>
            <w:tcW w:w="2235" w:type="dxa"/>
          </w:tcPr>
          <w:p w14:paraId="3D394B56" w14:textId="77777777" w:rsidR="009E01F8" w:rsidRPr="00CD729C" w:rsidRDefault="009E01F8" w:rsidP="009B4BB6">
            <w:pPr>
              <w:keepNext/>
              <w:widowControl w:val="0"/>
              <w:spacing w:line="240" w:lineRule="auto"/>
              <w:rPr>
                <w:i/>
                <w:color w:val="000000"/>
                <w:szCs w:val="22"/>
              </w:rPr>
            </w:pPr>
            <w:r w:rsidRPr="00CD729C">
              <w:rPr>
                <w:i/>
                <w:color w:val="000000"/>
                <w:szCs w:val="22"/>
              </w:rPr>
              <w:t>Bieži</w:t>
            </w:r>
          </w:p>
        </w:tc>
        <w:tc>
          <w:tcPr>
            <w:tcW w:w="7087" w:type="dxa"/>
          </w:tcPr>
          <w:p w14:paraId="3D394B57" w14:textId="77777777" w:rsidR="009E01F8" w:rsidRPr="00CD729C" w:rsidRDefault="009E01F8" w:rsidP="009B4BB6">
            <w:pPr>
              <w:keepNext/>
              <w:widowControl w:val="0"/>
              <w:spacing w:line="240" w:lineRule="auto"/>
              <w:rPr>
                <w:color w:val="000000"/>
                <w:szCs w:val="22"/>
              </w:rPr>
            </w:pPr>
            <w:r w:rsidRPr="00CD729C">
              <w:rPr>
                <w:color w:val="000000"/>
                <w:szCs w:val="22"/>
              </w:rPr>
              <w:t>Locītavu pietūkums</w:t>
            </w:r>
          </w:p>
        </w:tc>
      </w:tr>
      <w:tr w:rsidR="009E01F8" w:rsidRPr="00CD729C" w14:paraId="3D394B5B" w14:textId="77777777" w:rsidTr="009B4BB6">
        <w:trPr>
          <w:cantSplit/>
        </w:trPr>
        <w:tc>
          <w:tcPr>
            <w:tcW w:w="2235" w:type="dxa"/>
          </w:tcPr>
          <w:p w14:paraId="3D394B59" w14:textId="77777777" w:rsidR="009E01F8" w:rsidRPr="00CD729C" w:rsidRDefault="009E01F8" w:rsidP="009B4BB6">
            <w:pPr>
              <w:keepNext/>
              <w:widowControl w:val="0"/>
              <w:spacing w:line="240" w:lineRule="auto"/>
              <w:rPr>
                <w:i/>
                <w:color w:val="000000"/>
                <w:szCs w:val="22"/>
              </w:rPr>
            </w:pPr>
            <w:r w:rsidRPr="00CD729C">
              <w:rPr>
                <w:i/>
                <w:color w:val="000000"/>
                <w:szCs w:val="22"/>
              </w:rPr>
              <w:t>Retāk</w:t>
            </w:r>
          </w:p>
        </w:tc>
        <w:tc>
          <w:tcPr>
            <w:tcW w:w="7087" w:type="dxa"/>
          </w:tcPr>
          <w:p w14:paraId="3D394B5A" w14:textId="77777777" w:rsidR="009E01F8" w:rsidRPr="00CD729C" w:rsidRDefault="009E01F8" w:rsidP="009B4BB6">
            <w:pPr>
              <w:keepNext/>
              <w:widowControl w:val="0"/>
              <w:spacing w:line="240" w:lineRule="auto"/>
              <w:rPr>
                <w:color w:val="000000"/>
                <w:szCs w:val="22"/>
              </w:rPr>
            </w:pPr>
            <w:r w:rsidRPr="00CD729C">
              <w:rPr>
                <w:color w:val="000000"/>
                <w:szCs w:val="22"/>
              </w:rPr>
              <w:t>Locītavu un muskuļu stīvums</w:t>
            </w:r>
          </w:p>
        </w:tc>
      </w:tr>
      <w:tr w:rsidR="009E01F8" w:rsidRPr="00CD729C" w14:paraId="3D394B5E" w14:textId="77777777" w:rsidTr="009B4BB6">
        <w:trPr>
          <w:cantSplit/>
        </w:trPr>
        <w:tc>
          <w:tcPr>
            <w:tcW w:w="2235" w:type="dxa"/>
          </w:tcPr>
          <w:p w14:paraId="3D394B5C" w14:textId="77777777" w:rsidR="009E01F8" w:rsidRPr="00CD729C" w:rsidRDefault="009E01F8" w:rsidP="009B4BB6">
            <w:pPr>
              <w:keepNext/>
              <w:widowControl w:val="0"/>
              <w:spacing w:line="240" w:lineRule="auto"/>
              <w:rPr>
                <w:i/>
                <w:color w:val="000000"/>
                <w:szCs w:val="22"/>
              </w:rPr>
            </w:pPr>
            <w:r w:rsidRPr="00CD729C">
              <w:rPr>
                <w:i/>
                <w:color w:val="000000"/>
                <w:szCs w:val="22"/>
              </w:rPr>
              <w:t>Reti</w:t>
            </w:r>
          </w:p>
        </w:tc>
        <w:tc>
          <w:tcPr>
            <w:tcW w:w="7087" w:type="dxa"/>
          </w:tcPr>
          <w:p w14:paraId="3D394B5D" w14:textId="77777777" w:rsidR="009E01F8" w:rsidRPr="00CD729C" w:rsidRDefault="009E01F8" w:rsidP="009B4BB6">
            <w:pPr>
              <w:keepNext/>
              <w:widowControl w:val="0"/>
              <w:spacing w:line="240" w:lineRule="auto"/>
              <w:rPr>
                <w:color w:val="000000"/>
                <w:szCs w:val="22"/>
              </w:rPr>
            </w:pPr>
            <w:r w:rsidRPr="00CD729C">
              <w:rPr>
                <w:bCs/>
                <w:color w:val="000000"/>
                <w:szCs w:val="22"/>
              </w:rPr>
              <w:t>Muskuļu vājums, artrīts, rabdomiolīze/miopātija</w:t>
            </w:r>
          </w:p>
        </w:tc>
      </w:tr>
      <w:tr w:rsidR="000261F0" w:rsidRPr="00CD729C" w14:paraId="3D394B61" w14:textId="77777777" w:rsidTr="009B4BB6">
        <w:trPr>
          <w:cantSplit/>
        </w:trPr>
        <w:tc>
          <w:tcPr>
            <w:tcW w:w="2235" w:type="dxa"/>
          </w:tcPr>
          <w:p w14:paraId="3D394B5F" w14:textId="77777777" w:rsidR="000261F0" w:rsidRPr="00CD729C" w:rsidRDefault="000261F0" w:rsidP="009B4BB6">
            <w:pPr>
              <w:widowControl w:val="0"/>
              <w:spacing w:line="240" w:lineRule="auto"/>
              <w:rPr>
                <w:i/>
                <w:color w:val="000000"/>
                <w:szCs w:val="22"/>
              </w:rPr>
            </w:pPr>
            <w:r w:rsidRPr="00CD729C">
              <w:rPr>
                <w:i/>
                <w:color w:val="000000"/>
                <w:szCs w:val="22"/>
              </w:rPr>
              <w:t>Nav zināmi</w:t>
            </w:r>
          </w:p>
        </w:tc>
        <w:tc>
          <w:tcPr>
            <w:tcW w:w="7087" w:type="dxa"/>
          </w:tcPr>
          <w:p w14:paraId="3D394B60" w14:textId="77777777" w:rsidR="000261F0" w:rsidRPr="00CD729C" w:rsidRDefault="000261F0" w:rsidP="009B4BB6">
            <w:pPr>
              <w:widowControl w:val="0"/>
              <w:spacing w:line="240" w:lineRule="auto"/>
              <w:rPr>
                <w:bCs/>
                <w:color w:val="000000"/>
                <w:szCs w:val="22"/>
              </w:rPr>
            </w:pPr>
            <w:r w:rsidRPr="00CD729C">
              <w:rPr>
                <w:color w:val="000000"/>
                <w:szCs w:val="22"/>
              </w:rPr>
              <w:t>Avaskulāra nekroze/gūžas nekroze*, augšanas aizture bērniem*</w:t>
            </w:r>
          </w:p>
        </w:tc>
      </w:tr>
      <w:tr w:rsidR="009E01F8" w:rsidRPr="00CD729C" w14:paraId="3D394B63" w14:textId="77777777" w:rsidTr="009B4BB6">
        <w:trPr>
          <w:cantSplit/>
        </w:trPr>
        <w:tc>
          <w:tcPr>
            <w:tcW w:w="9322" w:type="dxa"/>
            <w:gridSpan w:val="2"/>
          </w:tcPr>
          <w:p w14:paraId="3D394B62" w14:textId="77777777" w:rsidR="009E01F8" w:rsidRPr="00CD729C" w:rsidRDefault="009E01F8" w:rsidP="009B4BB6">
            <w:pPr>
              <w:keepNext/>
              <w:widowControl w:val="0"/>
              <w:spacing w:line="240" w:lineRule="auto"/>
              <w:rPr>
                <w:b/>
                <w:bCs/>
                <w:color w:val="000000"/>
                <w:szCs w:val="22"/>
              </w:rPr>
            </w:pPr>
            <w:r w:rsidRPr="00CD729C">
              <w:rPr>
                <w:b/>
                <w:bCs/>
                <w:szCs w:val="22"/>
              </w:rPr>
              <w:t>Nieru un urīnizvades sistēmas traucējumi</w:t>
            </w:r>
          </w:p>
        </w:tc>
      </w:tr>
      <w:tr w:rsidR="009E01F8" w:rsidRPr="00CD729C" w14:paraId="3D394B66" w14:textId="77777777" w:rsidTr="009B4BB6">
        <w:trPr>
          <w:cantSplit/>
        </w:trPr>
        <w:tc>
          <w:tcPr>
            <w:tcW w:w="2235" w:type="dxa"/>
          </w:tcPr>
          <w:p w14:paraId="3D394B64" w14:textId="77777777" w:rsidR="009E01F8" w:rsidRPr="00CD729C" w:rsidRDefault="009E01F8" w:rsidP="009B4BB6">
            <w:pPr>
              <w:keepNext/>
              <w:widowControl w:val="0"/>
              <w:spacing w:line="240" w:lineRule="auto"/>
              <w:rPr>
                <w:i/>
                <w:color w:val="000000"/>
                <w:szCs w:val="22"/>
              </w:rPr>
            </w:pPr>
            <w:r w:rsidRPr="00CD729C">
              <w:rPr>
                <w:i/>
                <w:color w:val="000000"/>
                <w:szCs w:val="22"/>
              </w:rPr>
              <w:t>Retāk</w:t>
            </w:r>
          </w:p>
        </w:tc>
        <w:tc>
          <w:tcPr>
            <w:tcW w:w="7087" w:type="dxa"/>
          </w:tcPr>
          <w:p w14:paraId="3D394B65" w14:textId="77777777" w:rsidR="009E01F8" w:rsidRPr="00CD729C" w:rsidRDefault="009E01F8" w:rsidP="009B4BB6">
            <w:pPr>
              <w:keepNext/>
              <w:widowControl w:val="0"/>
              <w:spacing w:line="240" w:lineRule="auto"/>
              <w:rPr>
                <w:bCs/>
                <w:color w:val="000000"/>
                <w:szCs w:val="22"/>
              </w:rPr>
            </w:pPr>
            <w:r w:rsidRPr="00CD729C">
              <w:rPr>
                <w:color w:val="000000"/>
                <w:szCs w:val="22"/>
              </w:rPr>
              <w:t>Nieru sāpes, hematūrija, akūta nieru mazspēja, palielināts urinēšanas biežums</w:t>
            </w:r>
          </w:p>
        </w:tc>
      </w:tr>
      <w:tr w:rsidR="00803783" w:rsidRPr="00CD729C" w14:paraId="3D394B69" w14:textId="77777777" w:rsidTr="009B4BB6">
        <w:trPr>
          <w:cantSplit/>
        </w:trPr>
        <w:tc>
          <w:tcPr>
            <w:tcW w:w="2235" w:type="dxa"/>
          </w:tcPr>
          <w:p w14:paraId="3D394B67" w14:textId="77777777" w:rsidR="00803783" w:rsidRPr="00CD729C" w:rsidRDefault="00803783" w:rsidP="009B4BB6">
            <w:pPr>
              <w:widowControl w:val="0"/>
              <w:spacing w:line="240" w:lineRule="auto"/>
              <w:rPr>
                <w:i/>
                <w:color w:val="000000"/>
                <w:szCs w:val="22"/>
              </w:rPr>
            </w:pPr>
            <w:r>
              <w:rPr>
                <w:i/>
                <w:color w:val="000000"/>
                <w:szCs w:val="22"/>
              </w:rPr>
              <w:t>Nav zināmi</w:t>
            </w:r>
          </w:p>
        </w:tc>
        <w:tc>
          <w:tcPr>
            <w:tcW w:w="7087" w:type="dxa"/>
          </w:tcPr>
          <w:p w14:paraId="3D394B68" w14:textId="77777777" w:rsidR="00803783" w:rsidRPr="00CD729C" w:rsidRDefault="00803783" w:rsidP="009B4BB6">
            <w:pPr>
              <w:widowControl w:val="0"/>
              <w:spacing w:line="240" w:lineRule="auto"/>
              <w:rPr>
                <w:color w:val="000000"/>
                <w:szCs w:val="22"/>
              </w:rPr>
            </w:pPr>
            <w:r>
              <w:rPr>
                <w:color w:val="000000"/>
                <w:szCs w:val="22"/>
              </w:rPr>
              <w:t>Hroniska nieru mazspēja</w:t>
            </w:r>
          </w:p>
        </w:tc>
      </w:tr>
      <w:tr w:rsidR="009E01F8" w:rsidRPr="00CD729C" w14:paraId="3D394B6B" w14:textId="77777777" w:rsidTr="009B4BB6">
        <w:trPr>
          <w:cantSplit/>
        </w:trPr>
        <w:tc>
          <w:tcPr>
            <w:tcW w:w="9322" w:type="dxa"/>
            <w:gridSpan w:val="2"/>
          </w:tcPr>
          <w:p w14:paraId="3D394B6A" w14:textId="77777777" w:rsidR="009E01F8" w:rsidRPr="00CD729C" w:rsidRDefault="009E01F8" w:rsidP="009B4BB6">
            <w:pPr>
              <w:keepNext/>
              <w:widowControl w:val="0"/>
              <w:spacing w:line="240" w:lineRule="auto"/>
              <w:rPr>
                <w:b/>
                <w:bCs/>
                <w:color w:val="000000"/>
                <w:szCs w:val="22"/>
              </w:rPr>
            </w:pPr>
            <w:r w:rsidRPr="00CD729C">
              <w:rPr>
                <w:b/>
                <w:bCs/>
                <w:szCs w:val="22"/>
              </w:rPr>
              <w:t>Reproduktīvās sistēmas traucējumi un krūts slimības</w:t>
            </w:r>
          </w:p>
        </w:tc>
      </w:tr>
      <w:tr w:rsidR="009E01F8" w:rsidRPr="00CD729C" w14:paraId="3D394B6E" w14:textId="77777777" w:rsidTr="009B4BB6">
        <w:trPr>
          <w:cantSplit/>
        </w:trPr>
        <w:tc>
          <w:tcPr>
            <w:tcW w:w="2235" w:type="dxa"/>
          </w:tcPr>
          <w:p w14:paraId="3D394B6C" w14:textId="77777777" w:rsidR="009E01F8" w:rsidRPr="00CD729C" w:rsidRDefault="009E01F8" w:rsidP="009B4BB6">
            <w:pPr>
              <w:keepNext/>
              <w:widowControl w:val="0"/>
              <w:spacing w:line="240" w:lineRule="auto"/>
              <w:rPr>
                <w:i/>
                <w:color w:val="000000"/>
                <w:szCs w:val="22"/>
              </w:rPr>
            </w:pPr>
            <w:r w:rsidRPr="00CD729C">
              <w:rPr>
                <w:i/>
                <w:color w:val="000000"/>
                <w:szCs w:val="22"/>
              </w:rPr>
              <w:t>Retāk</w:t>
            </w:r>
          </w:p>
        </w:tc>
        <w:tc>
          <w:tcPr>
            <w:tcW w:w="7087" w:type="dxa"/>
          </w:tcPr>
          <w:p w14:paraId="3D394B6D" w14:textId="77777777" w:rsidR="009E01F8" w:rsidRPr="00CD729C" w:rsidRDefault="009E01F8" w:rsidP="009B4BB6">
            <w:pPr>
              <w:keepNext/>
              <w:widowControl w:val="0"/>
              <w:spacing w:line="240" w:lineRule="auto"/>
              <w:rPr>
                <w:bCs/>
                <w:color w:val="000000"/>
                <w:szCs w:val="22"/>
              </w:rPr>
            </w:pPr>
            <w:r w:rsidRPr="00CD729C">
              <w:rPr>
                <w:color w:val="000000"/>
                <w:szCs w:val="22"/>
              </w:rPr>
              <w:t>Ginekomastija, erektilā disfunkcija, menorāģija, neregulāras menstruācijas, seksuāla disfunkcija, sāpes krūšu galos, krūšu dziedzeru palielināšanās, sēklinieku maisiņu tūska</w:t>
            </w:r>
          </w:p>
        </w:tc>
      </w:tr>
      <w:tr w:rsidR="009E01F8" w:rsidRPr="00CD729C" w14:paraId="3D394B71" w14:textId="77777777" w:rsidTr="009B4BB6">
        <w:trPr>
          <w:cantSplit/>
        </w:trPr>
        <w:tc>
          <w:tcPr>
            <w:tcW w:w="2235" w:type="dxa"/>
          </w:tcPr>
          <w:p w14:paraId="3D394B6F" w14:textId="77777777" w:rsidR="009E01F8" w:rsidRPr="00CD729C" w:rsidRDefault="009E01F8" w:rsidP="009B4BB6">
            <w:pPr>
              <w:widowControl w:val="0"/>
              <w:spacing w:line="240" w:lineRule="auto"/>
              <w:rPr>
                <w:i/>
                <w:color w:val="000000"/>
                <w:szCs w:val="22"/>
              </w:rPr>
            </w:pPr>
            <w:r w:rsidRPr="00CD729C">
              <w:rPr>
                <w:i/>
                <w:color w:val="000000"/>
                <w:szCs w:val="22"/>
              </w:rPr>
              <w:t>Reti</w:t>
            </w:r>
          </w:p>
        </w:tc>
        <w:tc>
          <w:tcPr>
            <w:tcW w:w="7087" w:type="dxa"/>
          </w:tcPr>
          <w:p w14:paraId="3D394B70" w14:textId="77777777" w:rsidR="009E01F8" w:rsidRPr="00CD729C" w:rsidRDefault="009E01F8" w:rsidP="009B4BB6">
            <w:pPr>
              <w:widowControl w:val="0"/>
              <w:spacing w:line="240" w:lineRule="auto"/>
              <w:rPr>
                <w:bCs/>
                <w:color w:val="000000"/>
                <w:szCs w:val="22"/>
              </w:rPr>
            </w:pPr>
            <w:r w:rsidRPr="00CD729C">
              <w:rPr>
                <w:color w:val="000000"/>
                <w:szCs w:val="22"/>
              </w:rPr>
              <w:t>Hemorāģisks dzeltenais ķermenis/hemorāģiska olnīcu cista</w:t>
            </w:r>
          </w:p>
        </w:tc>
      </w:tr>
      <w:tr w:rsidR="009E01F8" w:rsidRPr="00CD729C" w14:paraId="3D394B73" w14:textId="77777777" w:rsidTr="009B4BB6">
        <w:trPr>
          <w:cantSplit/>
        </w:trPr>
        <w:tc>
          <w:tcPr>
            <w:tcW w:w="9322" w:type="dxa"/>
            <w:gridSpan w:val="2"/>
          </w:tcPr>
          <w:p w14:paraId="3D394B72" w14:textId="77777777" w:rsidR="009E01F8" w:rsidRPr="00CD729C" w:rsidRDefault="009E01F8" w:rsidP="009B4BB6">
            <w:pPr>
              <w:keepNext/>
              <w:widowControl w:val="0"/>
              <w:spacing w:line="240" w:lineRule="auto"/>
              <w:rPr>
                <w:color w:val="000000"/>
                <w:szCs w:val="22"/>
              </w:rPr>
            </w:pPr>
            <w:r w:rsidRPr="00CD729C">
              <w:rPr>
                <w:b/>
                <w:color w:val="000000"/>
                <w:szCs w:val="22"/>
              </w:rPr>
              <w:t>Vispārēji traucējumi un reakcijas ievadīšanas vietā</w:t>
            </w:r>
          </w:p>
        </w:tc>
      </w:tr>
      <w:tr w:rsidR="009E01F8" w:rsidRPr="00CD729C" w14:paraId="3D394B76" w14:textId="77777777" w:rsidTr="009B4BB6">
        <w:trPr>
          <w:cantSplit/>
        </w:trPr>
        <w:tc>
          <w:tcPr>
            <w:tcW w:w="2235" w:type="dxa"/>
          </w:tcPr>
          <w:p w14:paraId="3D394B74" w14:textId="77777777" w:rsidR="009E01F8" w:rsidRPr="00CD729C" w:rsidRDefault="009E01F8" w:rsidP="009B4BB6">
            <w:pPr>
              <w:keepNext/>
              <w:widowControl w:val="0"/>
              <w:spacing w:line="240" w:lineRule="auto"/>
              <w:rPr>
                <w:i/>
                <w:color w:val="000000"/>
                <w:szCs w:val="22"/>
              </w:rPr>
            </w:pPr>
            <w:r w:rsidRPr="00CD729C">
              <w:rPr>
                <w:i/>
                <w:color w:val="000000"/>
                <w:szCs w:val="22"/>
              </w:rPr>
              <w:t>Ļoti bieži</w:t>
            </w:r>
          </w:p>
        </w:tc>
        <w:tc>
          <w:tcPr>
            <w:tcW w:w="7087" w:type="dxa"/>
          </w:tcPr>
          <w:p w14:paraId="3D394B75" w14:textId="77777777" w:rsidR="009E01F8" w:rsidRPr="00CD729C" w:rsidRDefault="009E01F8" w:rsidP="009B4BB6">
            <w:pPr>
              <w:keepNext/>
              <w:widowControl w:val="0"/>
              <w:spacing w:line="240" w:lineRule="auto"/>
              <w:rPr>
                <w:color w:val="000000"/>
                <w:szCs w:val="22"/>
              </w:rPr>
            </w:pPr>
            <w:r w:rsidRPr="00CD729C">
              <w:rPr>
                <w:color w:val="000000"/>
                <w:szCs w:val="22"/>
              </w:rPr>
              <w:t>Šķidruma aizture un tūska, nogurums</w:t>
            </w:r>
          </w:p>
        </w:tc>
      </w:tr>
      <w:tr w:rsidR="009E01F8" w:rsidRPr="00CD729C" w14:paraId="3D394B79" w14:textId="77777777" w:rsidTr="009B4BB6">
        <w:trPr>
          <w:cantSplit/>
        </w:trPr>
        <w:tc>
          <w:tcPr>
            <w:tcW w:w="2235" w:type="dxa"/>
          </w:tcPr>
          <w:p w14:paraId="3D394B77" w14:textId="77777777" w:rsidR="009E01F8" w:rsidRPr="00CD729C" w:rsidRDefault="009E01F8" w:rsidP="009B4BB6">
            <w:pPr>
              <w:keepNext/>
              <w:widowControl w:val="0"/>
              <w:spacing w:line="240" w:lineRule="auto"/>
              <w:rPr>
                <w:i/>
                <w:color w:val="000000"/>
                <w:szCs w:val="22"/>
              </w:rPr>
            </w:pPr>
            <w:r w:rsidRPr="00CD729C">
              <w:rPr>
                <w:i/>
                <w:color w:val="000000"/>
                <w:szCs w:val="22"/>
              </w:rPr>
              <w:t>Bieži</w:t>
            </w:r>
          </w:p>
        </w:tc>
        <w:tc>
          <w:tcPr>
            <w:tcW w:w="7087" w:type="dxa"/>
          </w:tcPr>
          <w:p w14:paraId="3D394B78" w14:textId="77777777" w:rsidR="009E01F8" w:rsidRPr="00CD729C" w:rsidRDefault="009E01F8" w:rsidP="009B4BB6">
            <w:pPr>
              <w:keepNext/>
              <w:widowControl w:val="0"/>
              <w:spacing w:line="240" w:lineRule="auto"/>
              <w:rPr>
                <w:color w:val="000000"/>
                <w:szCs w:val="22"/>
              </w:rPr>
            </w:pPr>
            <w:r w:rsidRPr="00CD729C">
              <w:rPr>
                <w:color w:val="000000"/>
                <w:szCs w:val="22"/>
              </w:rPr>
              <w:t>Vājums, paaugstināta ķermeņa temperatūra, anasarka, vēsuma sajūta, drebuļi</w:t>
            </w:r>
          </w:p>
        </w:tc>
      </w:tr>
      <w:tr w:rsidR="009E01F8" w:rsidRPr="00CD729C" w14:paraId="3D394B7C" w14:textId="77777777" w:rsidTr="009B4BB6">
        <w:trPr>
          <w:cantSplit/>
        </w:trPr>
        <w:tc>
          <w:tcPr>
            <w:tcW w:w="2235" w:type="dxa"/>
          </w:tcPr>
          <w:p w14:paraId="3D394B7A" w14:textId="77777777" w:rsidR="009E01F8" w:rsidRPr="00CD729C" w:rsidRDefault="009E01F8" w:rsidP="009B4BB6">
            <w:pPr>
              <w:widowControl w:val="0"/>
              <w:spacing w:line="240" w:lineRule="auto"/>
              <w:rPr>
                <w:i/>
                <w:color w:val="000000"/>
                <w:szCs w:val="22"/>
              </w:rPr>
            </w:pPr>
            <w:r w:rsidRPr="00CD729C">
              <w:rPr>
                <w:i/>
                <w:color w:val="000000"/>
                <w:szCs w:val="22"/>
              </w:rPr>
              <w:t>Retāk</w:t>
            </w:r>
          </w:p>
        </w:tc>
        <w:tc>
          <w:tcPr>
            <w:tcW w:w="7087" w:type="dxa"/>
          </w:tcPr>
          <w:p w14:paraId="3D394B7B" w14:textId="77777777" w:rsidR="009E01F8" w:rsidRPr="00CD729C" w:rsidRDefault="009E01F8" w:rsidP="009B4BB6">
            <w:pPr>
              <w:widowControl w:val="0"/>
              <w:spacing w:line="240" w:lineRule="auto"/>
              <w:rPr>
                <w:color w:val="000000"/>
                <w:szCs w:val="22"/>
              </w:rPr>
            </w:pPr>
            <w:r w:rsidRPr="00CD729C">
              <w:rPr>
                <w:color w:val="000000"/>
                <w:szCs w:val="22"/>
              </w:rPr>
              <w:t>Sāpes krūtīs, savārgums</w:t>
            </w:r>
          </w:p>
        </w:tc>
      </w:tr>
      <w:tr w:rsidR="009E01F8" w:rsidRPr="00CD729C" w14:paraId="3D394B7E" w14:textId="77777777" w:rsidTr="009B4BB6">
        <w:trPr>
          <w:cantSplit/>
        </w:trPr>
        <w:tc>
          <w:tcPr>
            <w:tcW w:w="9322" w:type="dxa"/>
            <w:gridSpan w:val="2"/>
          </w:tcPr>
          <w:p w14:paraId="3D394B7D" w14:textId="77777777" w:rsidR="009E01F8" w:rsidRPr="00CD729C" w:rsidRDefault="009E01F8" w:rsidP="009B4BB6">
            <w:pPr>
              <w:keepNext/>
              <w:widowControl w:val="0"/>
              <w:spacing w:line="240" w:lineRule="auto"/>
              <w:rPr>
                <w:b/>
                <w:bCs/>
                <w:color w:val="000000"/>
                <w:szCs w:val="22"/>
              </w:rPr>
            </w:pPr>
            <w:r w:rsidRPr="00CD729C">
              <w:rPr>
                <w:b/>
                <w:bCs/>
                <w:szCs w:val="22"/>
              </w:rPr>
              <w:t>Izmeklējumi</w:t>
            </w:r>
          </w:p>
        </w:tc>
      </w:tr>
      <w:tr w:rsidR="009E01F8" w:rsidRPr="00CD729C" w14:paraId="3D394B81" w14:textId="77777777" w:rsidTr="009B4BB6">
        <w:trPr>
          <w:cantSplit/>
        </w:trPr>
        <w:tc>
          <w:tcPr>
            <w:tcW w:w="2235" w:type="dxa"/>
          </w:tcPr>
          <w:p w14:paraId="3D394B7F" w14:textId="77777777" w:rsidR="009E01F8" w:rsidRPr="00CD729C" w:rsidRDefault="009E01F8" w:rsidP="009B4BB6">
            <w:pPr>
              <w:keepNext/>
              <w:widowControl w:val="0"/>
              <w:spacing w:line="240" w:lineRule="auto"/>
              <w:rPr>
                <w:i/>
                <w:color w:val="000000"/>
                <w:szCs w:val="22"/>
              </w:rPr>
            </w:pPr>
            <w:r w:rsidRPr="00CD729C">
              <w:rPr>
                <w:i/>
                <w:color w:val="000000"/>
                <w:szCs w:val="22"/>
              </w:rPr>
              <w:t>Ļoti bieži</w:t>
            </w:r>
          </w:p>
        </w:tc>
        <w:tc>
          <w:tcPr>
            <w:tcW w:w="7087" w:type="dxa"/>
          </w:tcPr>
          <w:p w14:paraId="3D394B80" w14:textId="77777777" w:rsidR="009E01F8" w:rsidRPr="00CD729C" w:rsidRDefault="009E01F8" w:rsidP="009B4BB6">
            <w:pPr>
              <w:keepNext/>
              <w:widowControl w:val="0"/>
              <w:spacing w:line="240" w:lineRule="auto"/>
              <w:rPr>
                <w:color w:val="000000"/>
                <w:szCs w:val="22"/>
              </w:rPr>
            </w:pPr>
            <w:r w:rsidRPr="00CD729C">
              <w:rPr>
                <w:color w:val="000000"/>
                <w:szCs w:val="22"/>
              </w:rPr>
              <w:t>Ķermeņa masas palielināšanās</w:t>
            </w:r>
          </w:p>
        </w:tc>
      </w:tr>
      <w:tr w:rsidR="009E01F8" w:rsidRPr="00CD729C" w14:paraId="3D394B84" w14:textId="77777777" w:rsidTr="009B4BB6">
        <w:trPr>
          <w:cantSplit/>
        </w:trPr>
        <w:tc>
          <w:tcPr>
            <w:tcW w:w="2235" w:type="dxa"/>
          </w:tcPr>
          <w:p w14:paraId="3D394B82" w14:textId="77777777" w:rsidR="009E01F8" w:rsidRPr="00CD729C" w:rsidRDefault="009E01F8" w:rsidP="009B4BB6">
            <w:pPr>
              <w:keepNext/>
              <w:widowControl w:val="0"/>
              <w:spacing w:line="240" w:lineRule="auto"/>
              <w:rPr>
                <w:i/>
                <w:color w:val="000000"/>
                <w:szCs w:val="22"/>
              </w:rPr>
            </w:pPr>
            <w:r w:rsidRPr="00CD729C">
              <w:rPr>
                <w:i/>
                <w:color w:val="000000"/>
                <w:szCs w:val="22"/>
              </w:rPr>
              <w:t>Bieži</w:t>
            </w:r>
          </w:p>
        </w:tc>
        <w:tc>
          <w:tcPr>
            <w:tcW w:w="7087" w:type="dxa"/>
          </w:tcPr>
          <w:p w14:paraId="3D394B83" w14:textId="77777777" w:rsidR="009E01F8" w:rsidRPr="00CD729C" w:rsidRDefault="009E01F8" w:rsidP="009B4BB6">
            <w:pPr>
              <w:keepNext/>
              <w:widowControl w:val="0"/>
              <w:spacing w:line="240" w:lineRule="auto"/>
              <w:rPr>
                <w:color w:val="000000"/>
                <w:szCs w:val="22"/>
              </w:rPr>
            </w:pPr>
            <w:r w:rsidRPr="00CD729C">
              <w:rPr>
                <w:color w:val="000000"/>
                <w:szCs w:val="22"/>
              </w:rPr>
              <w:t>Ķermeņa masas samazināšanās</w:t>
            </w:r>
          </w:p>
        </w:tc>
      </w:tr>
      <w:tr w:rsidR="009E01F8" w:rsidRPr="00CD729C" w14:paraId="3D394B87" w14:textId="77777777" w:rsidTr="009B4BB6">
        <w:trPr>
          <w:cantSplit/>
        </w:trPr>
        <w:tc>
          <w:tcPr>
            <w:tcW w:w="2235" w:type="dxa"/>
          </w:tcPr>
          <w:p w14:paraId="3D394B85" w14:textId="77777777" w:rsidR="009E01F8" w:rsidRPr="00CD729C" w:rsidRDefault="009E01F8" w:rsidP="009B4BB6">
            <w:pPr>
              <w:keepNext/>
              <w:widowControl w:val="0"/>
              <w:spacing w:line="240" w:lineRule="auto"/>
              <w:rPr>
                <w:i/>
                <w:color w:val="000000"/>
                <w:szCs w:val="22"/>
              </w:rPr>
            </w:pPr>
            <w:r w:rsidRPr="00CD729C">
              <w:rPr>
                <w:i/>
                <w:color w:val="000000"/>
                <w:szCs w:val="22"/>
              </w:rPr>
              <w:t>Retāk</w:t>
            </w:r>
          </w:p>
        </w:tc>
        <w:tc>
          <w:tcPr>
            <w:tcW w:w="7087" w:type="dxa"/>
          </w:tcPr>
          <w:p w14:paraId="3D394B86" w14:textId="77777777" w:rsidR="009E01F8" w:rsidRPr="00CD729C" w:rsidRDefault="009E01F8" w:rsidP="009B4BB6">
            <w:pPr>
              <w:keepNext/>
              <w:widowControl w:val="0"/>
              <w:spacing w:line="240" w:lineRule="auto"/>
              <w:rPr>
                <w:color w:val="000000"/>
                <w:szCs w:val="22"/>
              </w:rPr>
            </w:pPr>
            <w:r w:rsidRPr="00CD729C">
              <w:rPr>
                <w:color w:val="000000"/>
                <w:szCs w:val="22"/>
              </w:rPr>
              <w:t>Kreatinīna līmeņa paaugstināšanās asinīs, kreatīnfosfokināzes līmeņa paaugstināšanās asinīs, laktātdehidrogenāzes līmeņa paaugstināšanās asinīs, sārmainās fosfotāzes līmeņa paaugstināšanās asinīs</w:t>
            </w:r>
          </w:p>
        </w:tc>
      </w:tr>
      <w:tr w:rsidR="009E01F8" w:rsidRPr="00CD729C" w14:paraId="3D394B8A" w14:textId="77777777" w:rsidTr="009B4BB6">
        <w:trPr>
          <w:cantSplit/>
        </w:trPr>
        <w:tc>
          <w:tcPr>
            <w:tcW w:w="2235" w:type="dxa"/>
          </w:tcPr>
          <w:p w14:paraId="3D394B88" w14:textId="77777777" w:rsidR="009E01F8" w:rsidRPr="00CD729C" w:rsidRDefault="009E01F8" w:rsidP="009B4BB6">
            <w:pPr>
              <w:keepNext/>
              <w:keepLines/>
              <w:widowControl w:val="0"/>
              <w:spacing w:line="240" w:lineRule="auto"/>
              <w:rPr>
                <w:i/>
                <w:color w:val="000000"/>
                <w:szCs w:val="22"/>
              </w:rPr>
            </w:pPr>
            <w:r w:rsidRPr="00CD729C">
              <w:rPr>
                <w:i/>
                <w:color w:val="000000"/>
                <w:szCs w:val="22"/>
              </w:rPr>
              <w:t>Reti</w:t>
            </w:r>
          </w:p>
        </w:tc>
        <w:tc>
          <w:tcPr>
            <w:tcW w:w="7087" w:type="dxa"/>
          </w:tcPr>
          <w:p w14:paraId="3D394B89" w14:textId="77777777" w:rsidR="009E01F8" w:rsidRPr="00CD729C" w:rsidRDefault="009E01F8" w:rsidP="009B4BB6">
            <w:pPr>
              <w:keepNext/>
              <w:keepLines/>
              <w:widowControl w:val="0"/>
              <w:spacing w:line="240" w:lineRule="auto"/>
              <w:rPr>
                <w:color w:val="000000"/>
                <w:szCs w:val="22"/>
              </w:rPr>
            </w:pPr>
            <w:r w:rsidRPr="00CD729C">
              <w:rPr>
                <w:color w:val="000000"/>
                <w:szCs w:val="22"/>
              </w:rPr>
              <w:t>Amilāzes līmeņa paaugstināšanās asinīs</w:t>
            </w:r>
          </w:p>
        </w:tc>
      </w:tr>
    </w:tbl>
    <w:p w14:paraId="3D394B8B" w14:textId="77777777" w:rsidR="000261F0" w:rsidRPr="00CD729C" w:rsidRDefault="000261F0" w:rsidP="009B4BB6">
      <w:pPr>
        <w:keepNext/>
        <w:keepLines/>
        <w:widowControl w:val="0"/>
        <w:spacing w:line="240" w:lineRule="auto"/>
        <w:rPr>
          <w:color w:val="000000"/>
          <w:szCs w:val="22"/>
        </w:rPr>
      </w:pPr>
    </w:p>
    <w:p w14:paraId="3D394B8C" w14:textId="77777777" w:rsidR="009E01F8" w:rsidRPr="00CD729C" w:rsidRDefault="000261F0" w:rsidP="009B4BB6">
      <w:pPr>
        <w:keepNext/>
        <w:keepLines/>
        <w:widowControl w:val="0"/>
        <w:spacing w:line="240" w:lineRule="auto"/>
        <w:ind w:left="567" w:hanging="567"/>
        <w:rPr>
          <w:color w:val="000000"/>
          <w:szCs w:val="22"/>
        </w:rPr>
      </w:pPr>
      <w:r w:rsidRPr="00CD729C">
        <w:rPr>
          <w:color w:val="000000"/>
          <w:szCs w:val="22"/>
        </w:rPr>
        <w:t>*</w:t>
      </w:r>
      <w:r w:rsidRPr="00CD729C">
        <w:rPr>
          <w:color w:val="000000"/>
          <w:szCs w:val="22"/>
        </w:rPr>
        <w:tab/>
        <w:t>Par šī tipa reakcijām ziņots galvenokārt Glivec pēcreģistrācijas pieredzes laikā. Tie ietver spontānos gadījumu ziņojumus, kā arī notiekošajos pētījumos, paplašinātas pieejamības programmās, klīniskās farmakoloģijas pētījumos un neapstiprinātu indikāciju zinātniskajos pētījumos novērotās nopietnās blakusparādības. Tā kā par šīm blakusparādībām ziņots nenoteikta lieluma populācijā, nav iespējams vienmēr noteikt to biežumu vai cēloņsakarību ar imatiniba iedarbību.</w:t>
      </w:r>
    </w:p>
    <w:p w14:paraId="3D394B8D" w14:textId="77777777" w:rsidR="009E01F8" w:rsidRPr="00CD729C" w:rsidRDefault="009E01F8" w:rsidP="009B4BB6">
      <w:pPr>
        <w:keepNext/>
        <w:keepLines/>
        <w:widowControl w:val="0"/>
        <w:tabs>
          <w:tab w:val="clear" w:pos="567"/>
        </w:tabs>
        <w:spacing w:line="240" w:lineRule="auto"/>
        <w:ind w:left="567" w:hanging="567"/>
        <w:rPr>
          <w:color w:val="000000"/>
          <w:szCs w:val="22"/>
        </w:rPr>
      </w:pPr>
      <w:r w:rsidRPr="00CD729C">
        <w:rPr>
          <w:color w:val="000000"/>
          <w:szCs w:val="22"/>
        </w:rPr>
        <w:t>1</w:t>
      </w:r>
      <w:r w:rsidRPr="00CD729C">
        <w:rPr>
          <w:color w:val="000000"/>
          <w:szCs w:val="22"/>
        </w:rPr>
        <w:tab/>
        <w:t>Par pneimoniju visbiežāk ziņots pacientiem ar transformētu CML un pacientiem ar GIST.</w:t>
      </w:r>
    </w:p>
    <w:p w14:paraId="3D394B8E" w14:textId="77777777" w:rsidR="009E01F8" w:rsidRPr="00CD729C" w:rsidRDefault="009E01F8" w:rsidP="009B4BB6">
      <w:pPr>
        <w:keepNext/>
        <w:keepLines/>
        <w:widowControl w:val="0"/>
        <w:tabs>
          <w:tab w:val="clear" w:pos="567"/>
        </w:tabs>
        <w:spacing w:line="240" w:lineRule="auto"/>
        <w:ind w:left="567" w:hanging="567"/>
        <w:rPr>
          <w:color w:val="000000"/>
          <w:szCs w:val="22"/>
        </w:rPr>
      </w:pPr>
      <w:r w:rsidRPr="00CD729C">
        <w:rPr>
          <w:color w:val="000000"/>
          <w:szCs w:val="22"/>
        </w:rPr>
        <w:t>2</w:t>
      </w:r>
      <w:r w:rsidRPr="00CD729C">
        <w:rPr>
          <w:color w:val="000000"/>
          <w:szCs w:val="22"/>
        </w:rPr>
        <w:tab/>
        <w:t>Galvassāpes visbiežāk novērotas pacientiem ar GIST.</w:t>
      </w:r>
    </w:p>
    <w:p w14:paraId="3D394B8F" w14:textId="77777777" w:rsidR="009E01F8" w:rsidRPr="00CD729C" w:rsidRDefault="009E01F8" w:rsidP="009B4BB6">
      <w:pPr>
        <w:keepNext/>
        <w:keepLines/>
        <w:widowControl w:val="0"/>
        <w:tabs>
          <w:tab w:val="clear" w:pos="567"/>
        </w:tabs>
        <w:spacing w:line="240" w:lineRule="auto"/>
        <w:ind w:left="567" w:hanging="567"/>
        <w:rPr>
          <w:color w:val="000000"/>
          <w:szCs w:val="22"/>
        </w:rPr>
      </w:pPr>
      <w:r w:rsidRPr="00CD729C">
        <w:rPr>
          <w:color w:val="000000"/>
          <w:szCs w:val="22"/>
        </w:rPr>
        <w:t>3</w:t>
      </w:r>
      <w:r w:rsidRPr="00CD729C">
        <w:rPr>
          <w:color w:val="000000"/>
          <w:szCs w:val="22"/>
        </w:rPr>
        <w:tab/>
        <w:t>Pamatojoties uz datiem par pacientgadiem, sirdsdarbības traucējumus, tostarp sastrēguma sirds mazspēju pacientiem ar transformētu CML novēroja biežāk nekā pacientiem ar hronisku CML.</w:t>
      </w:r>
    </w:p>
    <w:p w14:paraId="3D394B90" w14:textId="77777777" w:rsidR="009E01F8" w:rsidRPr="00CD729C" w:rsidRDefault="009E01F8" w:rsidP="009B4BB6">
      <w:pPr>
        <w:keepNext/>
        <w:keepLines/>
        <w:widowControl w:val="0"/>
        <w:tabs>
          <w:tab w:val="clear" w:pos="567"/>
        </w:tabs>
        <w:spacing w:line="240" w:lineRule="auto"/>
        <w:ind w:left="567" w:hanging="567"/>
        <w:rPr>
          <w:color w:val="000000"/>
          <w:szCs w:val="22"/>
        </w:rPr>
      </w:pPr>
      <w:r w:rsidRPr="00CD729C">
        <w:rPr>
          <w:color w:val="000000"/>
          <w:szCs w:val="22"/>
        </w:rPr>
        <w:t>4</w:t>
      </w:r>
      <w:r w:rsidRPr="00CD729C">
        <w:rPr>
          <w:color w:val="000000"/>
          <w:szCs w:val="22"/>
        </w:rPr>
        <w:tab/>
        <w:t>Pietvīkumu visbiežāk novēroja pacientiem ar GIST, un asiņošanu (hematomu, hemorāģiju) visbiežāk novēroja pacientiem ar GIST un transformētu CML (CML-AP un CML-BC).</w:t>
      </w:r>
    </w:p>
    <w:p w14:paraId="3D394B91" w14:textId="77777777" w:rsidR="009E01F8" w:rsidRPr="00CD729C" w:rsidRDefault="009E01F8" w:rsidP="009B4BB6">
      <w:pPr>
        <w:keepNext/>
        <w:keepLines/>
        <w:widowControl w:val="0"/>
        <w:tabs>
          <w:tab w:val="clear" w:pos="567"/>
        </w:tabs>
        <w:spacing w:line="240" w:lineRule="auto"/>
        <w:ind w:left="567" w:hanging="567"/>
        <w:rPr>
          <w:color w:val="000000"/>
          <w:szCs w:val="22"/>
        </w:rPr>
      </w:pPr>
      <w:r w:rsidRPr="00CD729C">
        <w:rPr>
          <w:color w:val="000000"/>
          <w:szCs w:val="22"/>
        </w:rPr>
        <w:t>5</w:t>
      </w:r>
      <w:r w:rsidRPr="00CD729C">
        <w:rPr>
          <w:color w:val="000000"/>
          <w:szCs w:val="22"/>
        </w:rPr>
        <w:tab/>
        <w:t>Par izsvīdumu pleirā biežāk ziņots pacientiem ar GIST un pacientiem ar transformētu CML (CML-AP un CML-BC) nekā pacientiem ar hronisku CML.</w:t>
      </w:r>
    </w:p>
    <w:p w14:paraId="3D394B92" w14:textId="77777777" w:rsidR="009E01F8" w:rsidRPr="00CD729C" w:rsidRDefault="009E01F8" w:rsidP="009B4BB6">
      <w:pPr>
        <w:keepNext/>
        <w:keepLines/>
        <w:widowControl w:val="0"/>
        <w:tabs>
          <w:tab w:val="clear" w:pos="567"/>
        </w:tabs>
        <w:spacing w:line="240" w:lineRule="auto"/>
        <w:ind w:left="567" w:hanging="567"/>
        <w:rPr>
          <w:color w:val="000000"/>
          <w:szCs w:val="22"/>
        </w:rPr>
      </w:pPr>
      <w:r w:rsidRPr="00CD729C">
        <w:rPr>
          <w:color w:val="000000"/>
          <w:szCs w:val="22"/>
        </w:rPr>
        <w:t>6+7</w:t>
      </w:r>
      <w:r w:rsidRPr="00CD729C">
        <w:rPr>
          <w:color w:val="000000"/>
          <w:szCs w:val="22"/>
        </w:rPr>
        <w:tab/>
        <w:t>Sāpes vēderā un kuņģa-zarnu trakta asiņošana visbiežāk novērota pacientiem ar GIST.</w:t>
      </w:r>
    </w:p>
    <w:p w14:paraId="3D394B93" w14:textId="77777777" w:rsidR="009E01F8" w:rsidRDefault="009E01F8" w:rsidP="009B4BB6">
      <w:pPr>
        <w:keepNext/>
        <w:keepLines/>
        <w:widowControl w:val="0"/>
        <w:tabs>
          <w:tab w:val="clear" w:pos="567"/>
        </w:tabs>
        <w:spacing w:line="240" w:lineRule="auto"/>
        <w:ind w:left="567" w:hanging="567"/>
        <w:rPr>
          <w:color w:val="000000"/>
          <w:szCs w:val="22"/>
        </w:rPr>
      </w:pPr>
      <w:r w:rsidRPr="00CD729C">
        <w:rPr>
          <w:color w:val="000000"/>
          <w:szCs w:val="22"/>
        </w:rPr>
        <w:t>8</w:t>
      </w:r>
      <w:r w:rsidRPr="00CD729C">
        <w:rPr>
          <w:color w:val="000000"/>
          <w:szCs w:val="22"/>
        </w:rPr>
        <w:tab/>
        <w:t>Ziņots par dažiem letāliem aknu mazspējas un aknu nekrozes gadījumiem.</w:t>
      </w:r>
    </w:p>
    <w:p w14:paraId="3D394B94" w14:textId="77777777" w:rsidR="00D007DC" w:rsidRPr="00CD729C" w:rsidRDefault="00D007DC" w:rsidP="009B4BB6">
      <w:pPr>
        <w:keepNext/>
        <w:keepLines/>
        <w:widowControl w:val="0"/>
        <w:tabs>
          <w:tab w:val="clear" w:pos="567"/>
        </w:tabs>
        <w:spacing w:line="240" w:lineRule="auto"/>
        <w:ind w:left="567" w:hanging="567"/>
        <w:rPr>
          <w:color w:val="000000"/>
          <w:szCs w:val="22"/>
        </w:rPr>
      </w:pPr>
      <w:r>
        <w:rPr>
          <w:color w:val="000000"/>
          <w:szCs w:val="22"/>
        </w:rPr>
        <w:t>9</w:t>
      </w:r>
      <w:r>
        <w:rPr>
          <w:color w:val="000000"/>
          <w:szCs w:val="22"/>
        </w:rPr>
        <w:tab/>
      </w:r>
      <w:r w:rsidRPr="00CD729C">
        <w:rPr>
          <w:color w:val="000000"/>
          <w:szCs w:val="22"/>
        </w:rPr>
        <w:t>Muskuļu un kaulu sāpes</w:t>
      </w:r>
      <w:r>
        <w:rPr>
          <w:color w:val="000000"/>
          <w:szCs w:val="22"/>
        </w:rPr>
        <w:t xml:space="preserve"> ārstēšanas laikā ar imatinibu vai pēc ārstēšanas pārtraukšanas novēroja pēcreģistrācijas periodā.</w:t>
      </w:r>
    </w:p>
    <w:p w14:paraId="3D394B95" w14:textId="77777777" w:rsidR="000261F0" w:rsidRPr="00CD729C" w:rsidRDefault="00D007DC" w:rsidP="009B4BB6">
      <w:pPr>
        <w:keepNext/>
        <w:keepLines/>
        <w:widowControl w:val="0"/>
        <w:tabs>
          <w:tab w:val="clear" w:pos="567"/>
        </w:tabs>
        <w:spacing w:line="240" w:lineRule="auto"/>
        <w:ind w:left="567" w:hanging="567"/>
        <w:rPr>
          <w:color w:val="000000"/>
          <w:szCs w:val="22"/>
        </w:rPr>
      </w:pPr>
      <w:r>
        <w:rPr>
          <w:color w:val="000000"/>
          <w:szCs w:val="22"/>
        </w:rPr>
        <w:t>10</w:t>
      </w:r>
      <w:r w:rsidR="009E01F8" w:rsidRPr="00CD729C">
        <w:rPr>
          <w:color w:val="000000"/>
          <w:szCs w:val="22"/>
        </w:rPr>
        <w:tab/>
        <w:t>Muskuļu un kaulu sāpes un traucējumi pacientiem ar CML novēroti biežāk nekā pacientiem ar GIST.</w:t>
      </w:r>
    </w:p>
    <w:p w14:paraId="3D394B96" w14:textId="77777777" w:rsidR="009E01F8" w:rsidRPr="00CD729C" w:rsidRDefault="000261F0" w:rsidP="009B4BB6">
      <w:pPr>
        <w:keepLines/>
        <w:widowControl w:val="0"/>
        <w:tabs>
          <w:tab w:val="clear" w:pos="567"/>
        </w:tabs>
        <w:spacing w:line="240" w:lineRule="auto"/>
        <w:ind w:left="567" w:hanging="567"/>
        <w:rPr>
          <w:color w:val="000000"/>
          <w:szCs w:val="22"/>
        </w:rPr>
      </w:pPr>
      <w:r w:rsidRPr="00CD729C">
        <w:rPr>
          <w:color w:val="000000"/>
          <w:szCs w:val="22"/>
        </w:rPr>
        <w:t>1</w:t>
      </w:r>
      <w:r w:rsidR="00D007DC">
        <w:rPr>
          <w:color w:val="000000"/>
          <w:szCs w:val="22"/>
        </w:rPr>
        <w:t>1</w:t>
      </w:r>
      <w:r w:rsidRPr="00CD729C">
        <w:rPr>
          <w:color w:val="000000"/>
          <w:szCs w:val="22"/>
        </w:rPr>
        <w:tab/>
        <w:t>Ziņots par letāliem gadījumiem pacientiem ar progresējošu slimību, smagām infekcijām, smagu neitropēniju un citiem nopietniem vienlaikus pastāvošiem stāvokļiem.</w:t>
      </w:r>
    </w:p>
    <w:p w14:paraId="3D394B97" w14:textId="77777777" w:rsidR="009E01F8" w:rsidRPr="00CD729C" w:rsidRDefault="009E01F8" w:rsidP="009B4BB6">
      <w:pPr>
        <w:widowControl w:val="0"/>
        <w:spacing w:line="240" w:lineRule="auto"/>
        <w:rPr>
          <w:color w:val="000000"/>
          <w:szCs w:val="22"/>
        </w:rPr>
      </w:pPr>
    </w:p>
    <w:p w14:paraId="3D394B98" w14:textId="77777777" w:rsidR="009E01F8" w:rsidRPr="00CD729C" w:rsidRDefault="009E01F8" w:rsidP="009B4BB6">
      <w:pPr>
        <w:keepNext/>
        <w:widowControl w:val="0"/>
        <w:tabs>
          <w:tab w:val="clear" w:pos="567"/>
        </w:tabs>
        <w:spacing w:line="240" w:lineRule="auto"/>
        <w:rPr>
          <w:color w:val="000000"/>
          <w:szCs w:val="22"/>
          <w:u w:val="single"/>
        </w:rPr>
      </w:pPr>
      <w:r w:rsidRPr="00CD729C">
        <w:rPr>
          <w:color w:val="000000"/>
          <w:szCs w:val="22"/>
          <w:u w:val="single"/>
        </w:rPr>
        <w:t>Laboratorisko izmeklējumu rezultātu patoloģijas</w:t>
      </w:r>
    </w:p>
    <w:p w14:paraId="3D394B99" w14:textId="77777777" w:rsidR="009E01F8" w:rsidRPr="00CD729C" w:rsidRDefault="009E01F8" w:rsidP="009B4BB6">
      <w:pPr>
        <w:pStyle w:val="Heading6"/>
        <w:widowControl w:val="0"/>
        <w:tabs>
          <w:tab w:val="clear" w:pos="-720"/>
          <w:tab w:val="clear" w:pos="567"/>
          <w:tab w:val="clear" w:pos="4536"/>
        </w:tabs>
        <w:suppressAutoHyphens w:val="0"/>
        <w:spacing w:line="240" w:lineRule="auto"/>
        <w:rPr>
          <w:color w:val="000000"/>
          <w:szCs w:val="22"/>
        </w:rPr>
      </w:pPr>
      <w:r w:rsidRPr="00CD729C">
        <w:rPr>
          <w:color w:val="000000"/>
          <w:szCs w:val="22"/>
        </w:rPr>
        <w:t>Hematoloģija</w:t>
      </w:r>
    </w:p>
    <w:p w14:paraId="3D394B9A"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 xml:space="preserve">CML gadījumā visos pētījumos ir konstatētas citopēnijas, jo īpaši – neitropēnija un trombocitopēnija. Lietojot lielas preparāta devas </w:t>
      </w:r>
      <w:r w:rsidRPr="00CD729C">
        <w:rPr>
          <w:color w:val="000000"/>
          <w:szCs w:val="22"/>
        </w:rPr>
        <w:sym w:font="Symbol" w:char="F0B3"/>
      </w:r>
      <w:r w:rsidRPr="00CD729C">
        <w:rPr>
          <w:color w:val="000000"/>
          <w:szCs w:val="22"/>
        </w:rPr>
        <w:t>750 mg (I fāzes pētījuma laikā), parādību novēro biežāk, tomēr citopēniju biežums ir arī viennozīmīgi atkarīgs no slimības stadijas. 3. vai 4. smaguma pakāpes neitropēniju (ANC &lt;1,0 x 10</w:t>
      </w:r>
      <w:r w:rsidRPr="00CD729C">
        <w:rPr>
          <w:color w:val="000000"/>
          <w:szCs w:val="22"/>
          <w:vertAlign w:val="superscript"/>
        </w:rPr>
        <w:t>9</w:t>
      </w:r>
      <w:r w:rsidRPr="00CD729C">
        <w:rPr>
          <w:color w:val="000000"/>
          <w:szCs w:val="22"/>
        </w:rPr>
        <w:t>/l) un trombocitopēniju (trombocītu daudzums &lt;50 x 10</w:t>
      </w:r>
      <w:r w:rsidRPr="00CD729C">
        <w:rPr>
          <w:color w:val="000000"/>
          <w:szCs w:val="22"/>
          <w:vertAlign w:val="superscript"/>
        </w:rPr>
        <w:t>9</w:t>
      </w:r>
      <w:r w:rsidRPr="00CD729C">
        <w:rPr>
          <w:color w:val="000000"/>
          <w:szCs w:val="22"/>
        </w:rPr>
        <w:t>/l) pacientiem ar blastu krīzi vai slimības akcelerācijas fāzē, salīdzinot ar pacientiem, kam nesen diagnosticēta CML hroniskā fāzē (16,7% novēro neitropēniju un 8,9% - trombocitopēniju), novēro 4 un 6 reizes biežāk (59% līdz 64% un 44% līdz 63% novēro attiecīgi neitropēniju un trombocitopēniju). Pacientiem, kam nesen diagnosticēta CML hroniskā fāzē, 4 smaguma pakāpes neitropēniju (ANC &lt;0,5 x 10</w:t>
      </w:r>
      <w:r w:rsidRPr="00CD729C">
        <w:rPr>
          <w:color w:val="000000"/>
          <w:szCs w:val="22"/>
          <w:vertAlign w:val="superscript"/>
        </w:rPr>
        <w:t>9</w:t>
      </w:r>
      <w:r w:rsidRPr="00CD729C">
        <w:rPr>
          <w:color w:val="000000"/>
          <w:szCs w:val="22"/>
        </w:rPr>
        <w:t>/l) un trombocitopēniju (trombocītu daudzums &lt;10 x 10</w:t>
      </w:r>
      <w:r w:rsidRPr="00CD729C">
        <w:rPr>
          <w:color w:val="000000"/>
          <w:szCs w:val="22"/>
          <w:vertAlign w:val="superscript"/>
        </w:rPr>
        <w:t>9</w:t>
      </w:r>
      <w:r w:rsidRPr="00CD729C">
        <w:rPr>
          <w:color w:val="000000"/>
          <w:szCs w:val="22"/>
        </w:rPr>
        <w:t>/l) novēro attiecīgi 3,6% un &lt;1% pacientu. Laika vidējais intervāls starp neitropēnijas un trombocitopēnijas epizodēm ir attiecīgi robežās no 2 līdz 3 un 3 līdz 4 nedēļām. Šīs parādības parasti ir iespējams ārstēt, vai nu samazinot preparāta devu, vai Glivec lietošanu pārtraucot. Retos gadījumos ir nepieciešams terapiju izbeigt pilnīgi. Pediatrijas pacientiem ar CML visbiežāk novērotās toksicitātes parādības bija 3. vai 4. pakāpes citopēnijas, t.s. neitropēnija, trombocitopēnija un anēmija. Šīs parādības parasti izpaudās dažu mēnešu laikā tūlīt pēc terapijas uzsākšanas.</w:t>
      </w:r>
    </w:p>
    <w:p w14:paraId="3D394B9B" w14:textId="77777777" w:rsidR="009E01F8" w:rsidRPr="00CD729C" w:rsidRDefault="009E01F8" w:rsidP="009B4BB6">
      <w:pPr>
        <w:widowControl w:val="0"/>
        <w:tabs>
          <w:tab w:val="clear" w:pos="567"/>
        </w:tabs>
        <w:spacing w:line="240" w:lineRule="auto"/>
        <w:rPr>
          <w:color w:val="000000"/>
          <w:szCs w:val="22"/>
        </w:rPr>
      </w:pPr>
    </w:p>
    <w:p w14:paraId="3D394B9C"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Klīniskā pētījumā slimniekiem ar nerezecējamu un/vai metastazējušu GIST 3. un 4. smaguma pakāpes anēmija ir aprakstīta attiecīgi 5,4% un 0,7% pacientu. Vismaz dažiem pacientiem šī anēmija var būt saistīta ar asiņošanu kuņģa – zarnu traktā vai intratumorālu asiņošanu. 3. un 4. smaguma pakāpes neitropēnija ir novērota attiecīgi 7,5% un 2,7% pacientu, bet 3. smaguma pakāpes trombocitopēnija – 0,7% pacientu. 4. smaguma pakāpes trombocitopēnija nevienam pacientam neattīstījās. Leikocītu (</w:t>
      </w:r>
      <w:r w:rsidRPr="00CD729C">
        <w:rPr>
          <w:i/>
          <w:color w:val="000000"/>
          <w:szCs w:val="22"/>
        </w:rPr>
        <w:t>White Blood Cells</w:t>
      </w:r>
      <w:r w:rsidRPr="00CD729C">
        <w:rPr>
          <w:color w:val="000000"/>
          <w:szCs w:val="22"/>
        </w:rPr>
        <w:t xml:space="preserve"> - WBC) un neitrofilu daudzuma samazinājumu galvenokārt novēroja pirmo sešu terapijas nedēļu laikā, vēlāk attiecīgo parametru vērtības bija relatīvi stabilas.</w:t>
      </w:r>
    </w:p>
    <w:p w14:paraId="3D394B9D" w14:textId="77777777" w:rsidR="009E01F8" w:rsidRPr="00CD729C" w:rsidRDefault="009E01F8" w:rsidP="009B4BB6">
      <w:pPr>
        <w:widowControl w:val="0"/>
        <w:tabs>
          <w:tab w:val="clear" w:pos="567"/>
        </w:tabs>
        <w:spacing w:line="240" w:lineRule="auto"/>
        <w:rPr>
          <w:color w:val="000000"/>
          <w:szCs w:val="22"/>
        </w:rPr>
      </w:pPr>
    </w:p>
    <w:p w14:paraId="3D394B9E" w14:textId="77777777" w:rsidR="009E01F8" w:rsidRPr="00CD729C" w:rsidRDefault="009E01F8" w:rsidP="009B4BB6">
      <w:pPr>
        <w:pStyle w:val="Heading6"/>
        <w:widowControl w:val="0"/>
        <w:tabs>
          <w:tab w:val="clear" w:pos="-720"/>
          <w:tab w:val="clear" w:pos="567"/>
          <w:tab w:val="clear" w:pos="4536"/>
        </w:tabs>
        <w:suppressAutoHyphens w:val="0"/>
        <w:spacing w:line="240" w:lineRule="auto"/>
        <w:rPr>
          <w:color w:val="000000"/>
          <w:szCs w:val="22"/>
        </w:rPr>
      </w:pPr>
      <w:r w:rsidRPr="00CD729C">
        <w:rPr>
          <w:color w:val="000000"/>
          <w:szCs w:val="22"/>
        </w:rPr>
        <w:t>Bioķīmija</w:t>
      </w:r>
    </w:p>
    <w:p w14:paraId="3D394B9F"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CML slimniekiem novēroja izteiktu transamināžu (&lt;5%) vai bilirubīna (&lt;1%) līmeņa palielināšanos un to parasti ārstēja, samazinot devu vai pārtraucot preparāta lietošanu (šo epizožu vidējais ilgums bija aptuveni viena nedēļa). Aknu darbības laboratorisko raksturlielumu patoloģisku pārmaiņu dēļ ārstēšanu pilnībā pārtrauca mazāk nekā 1% CML slimnieku. GIST slimniekiem (B2222 pētījums) 6,8% gadījumu novēroja 3. vai 4. pakāpes ALAT (alanīna aminotransferāzes) līmeņa palielināšanos un 4,8% gadījumu – 3. vai 4. pakāpes ASAT (aspartāta aminotransferāzes) līmeņa palielināšanos. Bilirubīna līmeņa pieaugums bija zem 3%.</w:t>
      </w:r>
    </w:p>
    <w:p w14:paraId="3D394BA0" w14:textId="77777777" w:rsidR="009E01F8" w:rsidRPr="00CD729C" w:rsidRDefault="009E01F8" w:rsidP="009B4BB6">
      <w:pPr>
        <w:widowControl w:val="0"/>
        <w:tabs>
          <w:tab w:val="clear" w:pos="567"/>
        </w:tabs>
        <w:spacing w:line="240" w:lineRule="auto"/>
        <w:rPr>
          <w:color w:val="000000"/>
          <w:szCs w:val="22"/>
        </w:rPr>
      </w:pPr>
    </w:p>
    <w:p w14:paraId="3D394BA1"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Ir bijuši citolītiska un holestātiska hepatīta un aknu mazspējas gadījumi, no kuriem daži ir bijuši fatāli (ieskaitot vienu pacientu, kas bija saņēmis lielu paracetamola devu).</w:t>
      </w:r>
    </w:p>
    <w:p w14:paraId="3D394BA2" w14:textId="77777777" w:rsidR="00DB74ED" w:rsidRPr="00CD729C" w:rsidRDefault="00DB74ED" w:rsidP="009B4BB6">
      <w:pPr>
        <w:widowControl w:val="0"/>
        <w:tabs>
          <w:tab w:val="clear" w:pos="567"/>
        </w:tabs>
        <w:spacing w:line="240" w:lineRule="auto"/>
        <w:rPr>
          <w:color w:val="000000"/>
          <w:szCs w:val="22"/>
        </w:rPr>
      </w:pPr>
    </w:p>
    <w:p w14:paraId="3D394BA3" w14:textId="77777777" w:rsidR="00DB74ED" w:rsidRPr="0059270C" w:rsidRDefault="00DB74ED" w:rsidP="009B4BB6">
      <w:pPr>
        <w:pStyle w:val="Default"/>
        <w:keepNext/>
        <w:widowControl w:val="0"/>
        <w:rPr>
          <w:rFonts w:ascii="Times New Roman" w:hAnsi="Times New Roman" w:cs="Times New Roman"/>
          <w:sz w:val="22"/>
          <w:szCs w:val="22"/>
          <w:lang w:val="lv-LV"/>
        </w:rPr>
      </w:pPr>
      <w:r w:rsidRPr="0059270C">
        <w:rPr>
          <w:rFonts w:ascii="Times New Roman" w:hAnsi="Times New Roman" w:cs="Times New Roman"/>
          <w:sz w:val="22"/>
          <w:szCs w:val="22"/>
          <w:u w:val="single"/>
          <w:lang w:val="lv-LV"/>
        </w:rPr>
        <w:t>Atsevišķu nevēlamo blakusparādību apraksts</w:t>
      </w:r>
    </w:p>
    <w:p w14:paraId="3D394BA4" w14:textId="77777777" w:rsidR="00514C6B" w:rsidRPr="000804D8" w:rsidRDefault="00514C6B" w:rsidP="009B4BB6">
      <w:pPr>
        <w:pStyle w:val="Default"/>
        <w:keepNext/>
        <w:widowControl w:val="0"/>
        <w:rPr>
          <w:rFonts w:ascii="Times New Roman" w:hAnsi="Times New Roman" w:cs="Times New Roman"/>
          <w:i/>
          <w:sz w:val="22"/>
          <w:szCs w:val="22"/>
          <w:u w:val="single"/>
          <w:lang w:val="lv-LV"/>
        </w:rPr>
      </w:pPr>
      <w:r w:rsidRPr="000804D8">
        <w:rPr>
          <w:rFonts w:ascii="Times New Roman" w:hAnsi="Times New Roman" w:cs="Times New Roman"/>
          <w:i/>
          <w:sz w:val="22"/>
          <w:szCs w:val="22"/>
          <w:u w:val="single"/>
          <w:lang w:val="lv-LV"/>
        </w:rPr>
        <w:t>B hepatīta reaktivācija</w:t>
      </w:r>
    </w:p>
    <w:p w14:paraId="3D394BA5" w14:textId="77777777" w:rsidR="00DB74ED" w:rsidRPr="004E61FE" w:rsidRDefault="00DB74ED" w:rsidP="009B4BB6">
      <w:pPr>
        <w:widowControl w:val="0"/>
        <w:tabs>
          <w:tab w:val="clear" w:pos="567"/>
        </w:tabs>
        <w:spacing w:line="240" w:lineRule="auto"/>
        <w:rPr>
          <w:szCs w:val="22"/>
        </w:rPr>
      </w:pPr>
      <w:r w:rsidRPr="004E61FE">
        <w:rPr>
          <w:szCs w:val="22"/>
        </w:rPr>
        <w:t xml:space="preserve">Saistībā ar </w:t>
      </w:r>
      <w:r w:rsidRPr="004E61FE">
        <w:rPr>
          <w:i/>
          <w:iCs/>
          <w:szCs w:val="22"/>
        </w:rPr>
        <w:t xml:space="preserve">Bcr-Abl </w:t>
      </w:r>
      <w:r w:rsidRPr="004E61FE">
        <w:rPr>
          <w:szCs w:val="22"/>
        </w:rPr>
        <w:t>TKI ziņots par B hepatīta vīrusa reaktivāciju. Dažos gadījumos iestājās akūta aknu mazspēja vai fulminants hepatīts, kura dēļ bija jāveic aknu transplantācija, vai iznākums bija letāls (skatīt 4.4. apakšpunktu).</w:t>
      </w:r>
    </w:p>
    <w:p w14:paraId="3D394BA6" w14:textId="77777777" w:rsidR="009E01F8" w:rsidRPr="0034378B" w:rsidRDefault="009E01F8" w:rsidP="009B4BB6">
      <w:pPr>
        <w:widowControl w:val="0"/>
        <w:tabs>
          <w:tab w:val="clear" w:pos="567"/>
        </w:tabs>
        <w:spacing w:line="240" w:lineRule="auto"/>
        <w:ind w:left="567" w:hanging="567"/>
        <w:rPr>
          <w:szCs w:val="22"/>
        </w:rPr>
      </w:pPr>
    </w:p>
    <w:p w14:paraId="3D394BA7" w14:textId="77777777" w:rsidR="009E01F8" w:rsidRPr="00CD729C" w:rsidRDefault="009E01F8" w:rsidP="009B4BB6">
      <w:pPr>
        <w:keepNext/>
        <w:widowControl w:val="0"/>
        <w:autoSpaceDE w:val="0"/>
        <w:autoSpaceDN w:val="0"/>
        <w:adjustRightInd w:val="0"/>
        <w:spacing w:line="240" w:lineRule="auto"/>
        <w:jc w:val="both"/>
        <w:rPr>
          <w:szCs w:val="22"/>
          <w:u w:val="single"/>
        </w:rPr>
      </w:pPr>
      <w:r w:rsidRPr="00CD729C">
        <w:rPr>
          <w:szCs w:val="22"/>
          <w:u w:val="single"/>
        </w:rPr>
        <w:t>Ziņošana par iespējamām nevēlamām blakusparādībām</w:t>
      </w:r>
    </w:p>
    <w:p w14:paraId="3D394BA8" w14:textId="77777777" w:rsidR="009E01F8" w:rsidRPr="00CD729C" w:rsidRDefault="009E01F8" w:rsidP="009B4BB6">
      <w:pPr>
        <w:widowControl w:val="0"/>
        <w:tabs>
          <w:tab w:val="clear" w:pos="567"/>
        </w:tabs>
        <w:spacing w:line="240" w:lineRule="auto"/>
        <w:rPr>
          <w:szCs w:val="22"/>
        </w:rPr>
      </w:pPr>
      <w:r w:rsidRPr="00CD729C">
        <w:rPr>
          <w:szCs w:val="22"/>
        </w:rPr>
        <w:t>Ir svarīgi ziņot par iespējamām nevēlamām blakusparādībām pēc zāļu reģistrācijas. Tādējādi zāļu ieguvum</w:t>
      </w:r>
      <w:r w:rsidR="00D007DC">
        <w:rPr>
          <w:szCs w:val="22"/>
        </w:rPr>
        <w:t>a</w:t>
      </w:r>
      <w:r w:rsidRPr="00CD729C">
        <w:rPr>
          <w:szCs w:val="22"/>
        </w:rPr>
        <w:t xml:space="preserve">/riska attiecība tiek nepārtraukti uzraudzīta. Veselības aprūpes speciālisti tiek lūgti ziņot par jebkādām iespējamām nevēlamām blakusparādībām, izmantojot </w:t>
      </w:r>
      <w:hyperlink r:id="rId15" w:history="1">
        <w:r w:rsidRPr="004E61FE">
          <w:rPr>
            <w:rStyle w:val="Hyperlink"/>
            <w:shd w:val="pct15" w:color="auto" w:fill="auto"/>
          </w:rPr>
          <w:t>V pielikumā</w:t>
        </w:r>
      </w:hyperlink>
      <w:r w:rsidRPr="004E61FE">
        <w:rPr>
          <w:szCs w:val="22"/>
          <w:shd w:val="pct15" w:color="auto" w:fill="auto"/>
        </w:rPr>
        <w:t xml:space="preserve"> minēto nacionālās ziņošanas sistēmas kontaktinformāciju.</w:t>
      </w:r>
    </w:p>
    <w:p w14:paraId="3D394BA9" w14:textId="77777777" w:rsidR="009E01F8" w:rsidRPr="00CD729C" w:rsidRDefault="009E01F8" w:rsidP="009B4BB6">
      <w:pPr>
        <w:widowControl w:val="0"/>
        <w:tabs>
          <w:tab w:val="clear" w:pos="567"/>
        </w:tabs>
        <w:spacing w:line="240" w:lineRule="auto"/>
        <w:rPr>
          <w:color w:val="000000"/>
          <w:szCs w:val="22"/>
        </w:rPr>
      </w:pPr>
    </w:p>
    <w:p w14:paraId="3D394BAA" w14:textId="77777777" w:rsidR="009E01F8" w:rsidRPr="00CD729C" w:rsidRDefault="009E01F8" w:rsidP="009B4BB6">
      <w:pPr>
        <w:keepNext/>
        <w:widowControl w:val="0"/>
        <w:tabs>
          <w:tab w:val="clear" w:pos="567"/>
        </w:tabs>
        <w:spacing w:line="240" w:lineRule="auto"/>
        <w:ind w:left="567" w:hanging="567"/>
        <w:rPr>
          <w:color w:val="000000"/>
          <w:szCs w:val="22"/>
        </w:rPr>
      </w:pPr>
      <w:r w:rsidRPr="00CD729C">
        <w:rPr>
          <w:b/>
          <w:color w:val="000000"/>
          <w:szCs w:val="22"/>
        </w:rPr>
        <w:t>4.9.</w:t>
      </w:r>
      <w:r w:rsidRPr="00CD729C">
        <w:rPr>
          <w:b/>
          <w:color w:val="000000"/>
          <w:szCs w:val="22"/>
        </w:rPr>
        <w:tab/>
        <w:t>Pārdozēšana</w:t>
      </w:r>
    </w:p>
    <w:p w14:paraId="3D394BAB" w14:textId="77777777" w:rsidR="009E01F8" w:rsidRPr="00CD729C" w:rsidRDefault="009E01F8" w:rsidP="009B4BB6">
      <w:pPr>
        <w:keepNext/>
        <w:widowControl w:val="0"/>
        <w:tabs>
          <w:tab w:val="clear" w:pos="567"/>
        </w:tabs>
        <w:spacing w:line="240" w:lineRule="auto"/>
        <w:ind w:left="567" w:hanging="567"/>
        <w:rPr>
          <w:color w:val="000000"/>
          <w:szCs w:val="22"/>
        </w:rPr>
      </w:pPr>
    </w:p>
    <w:p w14:paraId="3D394BAC" w14:textId="77777777" w:rsidR="009E01F8" w:rsidRPr="00CD729C" w:rsidRDefault="009E01F8" w:rsidP="009B4BB6">
      <w:pPr>
        <w:widowControl w:val="0"/>
        <w:tabs>
          <w:tab w:val="clear" w:pos="567"/>
        </w:tabs>
        <w:spacing w:line="240" w:lineRule="auto"/>
        <w:rPr>
          <w:szCs w:val="22"/>
        </w:rPr>
      </w:pPr>
      <w:r w:rsidRPr="00CD729C">
        <w:rPr>
          <w:color w:val="000000"/>
          <w:szCs w:val="22"/>
        </w:rPr>
        <w:t>Pieredze par preparāta devām, kas pārsniedz ieteicamo terapeitisko devu, ir ierobežota. Literatūrā aprakstīti un saņemti spontāni ziņojumi par atsevišķiem Glivec pārdozēšanas gadījumiem. Pārdozēšanas gadījumā pacients jānovēro un jāveic atbilstoša simptomātiska ārstēšana</w:t>
      </w:r>
      <w:r w:rsidRPr="00CD729C">
        <w:rPr>
          <w:szCs w:val="22"/>
        </w:rPr>
        <w:t>. Kopumā saņemto ziņojumu iznākums bija “stāvokļa uzlabošanās” vai “atveseļošanās”. Saņemtie ziņojumi attiecas uz dažādiem devu intervāliem, kas aprakstīti zemāk:</w:t>
      </w:r>
    </w:p>
    <w:p w14:paraId="3D394BAD" w14:textId="77777777" w:rsidR="009E01F8" w:rsidRPr="00CD729C" w:rsidRDefault="009E01F8" w:rsidP="009B4BB6">
      <w:pPr>
        <w:widowControl w:val="0"/>
        <w:tabs>
          <w:tab w:val="clear" w:pos="567"/>
        </w:tabs>
        <w:spacing w:line="240" w:lineRule="auto"/>
        <w:rPr>
          <w:szCs w:val="22"/>
        </w:rPr>
      </w:pPr>
    </w:p>
    <w:p w14:paraId="3D394BAE" w14:textId="77777777" w:rsidR="009E01F8" w:rsidRPr="00CD729C" w:rsidRDefault="009E01F8" w:rsidP="009B4BB6">
      <w:pPr>
        <w:keepNext/>
        <w:widowControl w:val="0"/>
        <w:tabs>
          <w:tab w:val="clear" w:pos="567"/>
        </w:tabs>
        <w:spacing w:line="240" w:lineRule="auto"/>
        <w:rPr>
          <w:i/>
          <w:iCs/>
          <w:color w:val="000000"/>
          <w:szCs w:val="22"/>
        </w:rPr>
      </w:pPr>
      <w:r w:rsidRPr="00CD729C">
        <w:rPr>
          <w:i/>
          <w:iCs/>
          <w:color w:val="000000"/>
          <w:szCs w:val="22"/>
        </w:rPr>
        <w:t>Pieaugušo populācija</w:t>
      </w:r>
    </w:p>
    <w:p w14:paraId="3D394BAF" w14:textId="77777777" w:rsidR="009E01F8" w:rsidRPr="00CD729C" w:rsidRDefault="009E01F8" w:rsidP="009B4BB6">
      <w:pPr>
        <w:pStyle w:val="Text"/>
        <w:widowControl w:val="0"/>
        <w:spacing w:before="0"/>
        <w:jc w:val="left"/>
        <w:rPr>
          <w:sz w:val="22"/>
          <w:szCs w:val="22"/>
          <w:lang w:val="lv-LV"/>
        </w:rPr>
      </w:pPr>
      <w:r w:rsidRPr="00CD729C">
        <w:rPr>
          <w:sz w:val="22"/>
          <w:szCs w:val="22"/>
          <w:lang w:val="lv-LV"/>
        </w:rPr>
        <w:t>1200 līdz 1600 mg (ārstēšanas ilgums variē no 1 līdz 10 dienām): slikta dūša, vemšana, caureja, izsitumi, eritēma, tūska, pietūkums, nogurums, muskuļu spazmas, trombocitopēnija, pancitopēnija, sāpes vēderā, galvassāpes, samazināta ēstgriba.</w:t>
      </w:r>
    </w:p>
    <w:p w14:paraId="3D394BB0" w14:textId="77777777" w:rsidR="009E01F8" w:rsidRPr="00CD729C" w:rsidRDefault="009E01F8" w:rsidP="009B4BB6">
      <w:pPr>
        <w:pStyle w:val="Text"/>
        <w:widowControl w:val="0"/>
        <w:spacing w:before="0"/>
        <w:jc w:val="left"/>
        <w:rPr>
          <w:sz w:val="22"/>
          <w:szCs w:val="22"/>
          <w:lang w:val="lv-LV"/>
        </w:rPr>
      </w:pPr>
      <w:r w:rsidRPr="00CD729C">
        <w:rPr>
          <w:sz w:val="22"/>
          <w:szCs w:val="22"/>
          <w:lang w:val="lv-LV"/>
        </w:rPr>
        <w:t>1800 līdz 3200 mg (maksimāli 3200 mg dienā 6 dienu periodā): nespēks, mialģija, kreatīnfosfokināzes līmeņa paaugstināšanās, bilirubīna līmeņa paaugstināšanās, sāpes kuņģa-zarnu traktā.</w:t>
      </w:r>
    </w:p>
    <w:p w14:paraId="3D394BB1" w14:textId="77777777" w:rsidR="009E01F8" w:rsidRPr="00CD729C" w:rsidRDefault="009E01F8" w:rsidP="009B4BB6">
      <w:pPr>
        <w:pStyle w:val="Text"/>
        <w:widowControl w:val="0"/>
        <w:spacing w:before="0"/>
        <w:jc w:val="left"/>
        <w:rPr>
          <w:sz w:val="22"/>
          <w:szCs w:val="22"/>
          <w:lang w:val="lv-LV"/>
        </w:rPr>
      </w:pPr>
      <w:r w:rsidRPr="00CD729C">
        <w:rPr>
          <w:sz w:val="22"/>
          <w:szCs w:val="22"/>
          <w:lang w:val="lv-LV"/>
        </w:rPr>
        <w:t>6400 mg (viena deva): literatūrā aprakstīts viens gadījums par pacientu, kuram attīstījās slikta dūša, vemšana, sāpes vēderā, drudzis, sejas pietūkums, samazināts neitrofīlo leikocītu skaits, transamināžu līmeņa paaugstināšanās.</w:t>
      </w:r>
    </w:p>
    <w:p w14:paraId="3D394BB2" w14:textId="77777777" w:rsidR="009E01F8" w:rsidRPr="00CD729C" w:rsidRDefault="009E01F8" w:rsidP="009B4BB6">
      <w:pPr>
        <w:pStyle w:val="Text"/>
        <w:widowControl w:val="0"/>
        <w:spacing w:before="0"/>
        <w:jc w:val="left"/>
        <w:rPr>
          <w:sz w:val="22"/>
          <w:szCs w:val="22"/>
          <w:lang w:val="lv-LV"/>
        </w:rPr>
      </w:pPr>
      <w:r w:rsidRPr="00CD729C">
        <w:rPr>
          <w:sz w:val="22"/>
          <w:szCs w:val="22"/>
          <w:lang w:val="lv-LV"/>
        </w:rPr>
        <w:t>8 līdz 10 g (viena deva): saņemti ziņojumi par vemšanu un sāpēm kuņģa-zarnu traktā.</w:t>
      </w:r>
    </w:p>
    <w:p w14:paraId="3D394BB3" w14:textId="77777777" w:rsidR="009E01F8" w:rsidRPr="00CD729C" w:rsidRDefault="009E01F8" w:rsidP="009B4BB6">
      <w:pPr>
        <w:widowControl w:val="0"/>
        <w:tabs>
          <w:tab w:val="clear" w:pos="567"/>
        </w:tabs>
        <w:spacing w:line="240" w:lineRule="auto"/>
        <w:rPr>
          <w:color w:val="000000"/>
          <w:szCs w:val="22"/>
        </w:rPr>
      </w:pPr>
    </w:p>
    <w:p w14:paraId="3D394BB4" w14:textId="77777777" w:rsidR="009E01F8" w:rsidRPr="00CD729C" w:rsidRDefault="009E01F8" w:rsidP="009B4BB6">
      <w:pPr>
        <w:keepNext/>
        <w:widowControl w:val="0"/>
        <w:tabs>
          <w:tab w:val="clear" w:pos="567"/>
        </w:tabs>
        <w:spacing w:line="240" w:lineRule="auto"/>
        <w:rPr>
          <w:i/>
          <w:iCs/>
          <w:color w:val="000000"/>
          <w:szCs w:val="22"/>
        </w:rPr>
      </w:pPr>
      <w:r w:rsidRPr="00CD729C">
        <w:rPr>
          <w:bCs/>
          <w:i/>
          <w:iCs/>
        </w:rPr>
        <w:t>Pediatriskā populācija</w:t>
      </w:r>
    </w:p>
    <w:p w14:paraId="3D394BB5" w14:textId="77777777" w:rsidR="009E01F8" w:rsidRPr="00CD729C" w:rsidRDefault="009E01F8" w:rsidP="009B4BB6">
      <w:pPr>
        <w:pStyle w:val="Text"/>
        <w:widowControl w:val="0"/>
        <w:spacing w:before="0"/>
        <w:jc w:val="left"/>
        <w:rPr>
          <w:color w:val="000000"/>
          <w:sz w:val="22"/>
          <w:szCs w:val="22"/>
          <w:lang w:val="lv-LV"/>
        </w:rPr>
      </w:pPr>
      <w:r w:rsidRPr="00CD729C">
        <w:rPr>
          <w:sz w:val="22"/>
          <w:szCs w:val="22"/>
          <w:lang w:val="lv-LV"/>
        </w:rPr>
        <w:t>Vienam 3 gadus vecam zēnam pēc vienas 400 mg devas lietošanas attīstījās vemšana, caureja un anoreksija, savukārt citam 3 gadus vecam zēnam pēc vienas 980 mg devas lietošanas samazinājās leikocītu skaits asinīs un attīstījās caureja.</w:t>
      </w:r>
    </w:p>
    <w:p w14:paraId="3D394BB6" w14:textId="77777777" w:rsidR="009E01F8" w:rsidRPr="00CD729C" w:rsidRDefault="009E01F8" w:rsidP="009B4BB6">
      <w:pPr>
        <w:widowControl w:val="0"/>
        <w:tabs>
          <w:tab w:val="clear" w:pos="567"/>
        </w:tabs>
        <w:spacing w:line="240" w:lineRule="auto"/>
        <w:rPr>
          <w:color w:val="000000"/>
          <w:szCs w:val="22"/>
        </w:rPr>
      </w:pPr>
    </w:p>
    <w:p w14:paraId="3D394BB7"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Pārdozēšanas gadījumā pacients jānovēro un jāveic atbilstoša uzturoša ārstēšana.</w:t>
      </w:r>
    </w:p>
    <w:p w14:paraId="3D394BB8" w14:textId="77777777" w:rsidR="009E01F8" w:rsidRPr="00CD729C" w:rsidRDefault="009E01F8" w:rsidP="009B4BB6">
      <w:pPr>
        <w:widowControl w:val="0"/>
        <w:tabs>
          <w:tab w:val="clear" w:pos="567"/>
        </w:tabs>
        <w:spacing w:line="240" w:lineRule="auto"/>
        <w:rPr>
          <w:color w:val="000000"/>
          <w:szCs w:val="22"/>
        </w:rPr>
      </w:pPr>
    </w:p>
    <w:p w14:paraId="3D394BB9" w14:textId="77777777" w:rsidR="009E01F8" w:rsidRPr="00CD729C" w:rsidRDefault="009E01F8" w:rsidP="009B4BB6">
      <w:pPr>
        <w:widowControl w:val="0"/>
        <w:tabs>
          <w:tab w:val="clear" w:pos="567"/>
        </w:tabs>
        <w:spacing w:line="240" w:lineRule="auto"/>
        <w:rPr>
          <w:color w:val="000000"/>
          <w:szCs w:val="22"/>
        </w:rPr>
      </w:pPr>
    </w:p>
    <w:p w14:paraId="3D394BBA" w14:textId="77777777" w:rsidR="009E01F8" w:rsidRPr="00CD729C" w:rsidRDefault="009E01F8" w:rsidP="009B4BB6">
      <w:pPr>
        <w:keepNext/>
        <w:widowControl w:val="0"/>
        <w:tabs>
          <w:tab w:val="clear" w:pos="567"/>
        </w:tabs>
        <w:spacing w:line="240" w:lineRule="auto"/>
        <w:ind w:left="567" w:hanging="567"/>
        <w:rPr>
          <w:b/>
          <w:color w:val="000000"/>
          <w:szCs w:val="22"/>
        </w:rPr>
      </w:pPr>
      <w:r w:rsidRPr="00CD729C">
        <w:rPr>
          <w:b/>
          <w:color w:val="000000"/>
          <w:szCs w:val="22"/>
        </w:rPr>
        <w:t>5.</w:t>
      </w:r>
      <w:r w:rsidRPr="00CD729C">
        <w:rPr>
          <w:b/>
          <w:color w:val="000000"/>
          <w:szCs w:val="22"/>
        </w:rPr>
        <w:tab/>
        <w:t>FARMAKOLOĢISKĀS ĪPAŠĪBAS</w:t>
      </w:r>
    </w:p>
    <w:p w14:paraId="3D394BBB" w14:textId="77777777" w:rsidR="009E01F8" w:rsidRPr="00CD729C" w:rsidRDefault="009E01F8" w:rsidP="009B4BB6">
      <w:pPr>
        <w:keepNext/>
        <w:widowControl w:val="0"/>
        <w:tabs>
          <w:tab w:val="clear" w:pos="567"/>
        </w:tabs>
        <w:spacing w:line="240" w:lineRule="auto"/>
        <w:ind w:left="567" w:hanging="567"/>
        <w:rPr>
          <w:color w:val="000000"/>
          <w:szCs w:val="22"/>
        </w:rPr>
      </w:pPr>
    </w:p>
    <w:p w14:paraId="3D394BBC" w14:textId="77777777" w:rsidR="009E01F8" w:rsidRPr="00CD729C" w:rsidRDefault="009E01F8" w:rsidP="009B4BB6">
      <w:pPr>
        <w:keepNext/>
        <w:widowControl w:val="0"/>
        <w:tabs>
          <w:tab w:val="clear" w:pos="567"/>
        </w:tabs>
        <w:spacing w:line="240" w:lineRule="auto"/>
        <w:ind w:left="567" w:hanging="567"/>
        <w:rPr>
          <w:color w:val="000000"/>
          <w:szCs w:val="22"/>
        </w:rPr>
      </w:pPr>
      <w:r w:rsidRPr="00CD729C">
        <w:rPr>
          <w:b/>
          <w:color w:val="000000"/>
          <w:szCs w:val="22"/>
        </w:rPr>
        <w:t>5.1.</w:t>
      </w:r>
      <w:r w:rsidRPr="00CD729C">
        <w:rPr>
          <w:b/>
          <w:color w:val="000000"/>
          <w:szCs w:val="22"/>
        </w:rPr>
        <w:tab/>
        <w:t>Farmakodinamiskās īpašības</w:t>
      </w:r>
    </w:p>
    <w:p w14:paraId="3D394BBD" w14:textId="77777777" w:rsidR="009E01F8" w:rsidRPr="00CD729C" w:rsidRDefault="009E01F8" w:rsidP="009B4BB6">
      <w:pPr>
        <w:keepNext/>
        <w:widowControl w:val="0"/>
        <w:spacing w:line="240" w:lineRule="auto"/>
        <w:ind w:left="567" w:hanging="567"/>
        <w:rPr>
          <w:color w:val="000000"/>
          <w:szCs w:val="22"/>
        </w:rPr>
      </w:pPr>
    </w:p>
    <w:p w14:paraId="3D394BBE" w14:textId="77777777" w:rsidR="009E01F8" w:rsidRPr="00CD729C" w:rsidRDefault="009E01F8" w:rsidP="009B4BB6">
      <w:pPr>
        <w:keepNext/>
        <w:widowControl w:val="0"/>
        <w:tabs>
          <w:tab w:val="clear" w:pos="567"/>
        </w:tabs>
        <w:spacing w:line="240" w:lineRule="auto"/>
        <w:rPr>
          <w:color w:val="000000"/>
          <w:szCs w:val="22"/>
        </w:rPr>
      </w:pPr>
      <w:r w:rsidRPr="00CD729C">
        <w:rPr>
          <w:color w:val="000000"/>
          <w:szCs w:val="22"/>
        </w:rPr>
        <w:t>Farmakoterapeitiskā grupa: proteīnu-tirozīnkināzes inhibitors, ATĶ kods: L01XE01</w:t>
      </w:r>
    </w:p>
    <w:p w14:paraId="3D394BBF" w14:textId="77777777" w:rsidR="009E01F8" w:rsidRPr="00CD729C" w:rsidRDefault="009E01F8" w:rsidP="009B4BB6">
      <w:pPr>
        <w:keepNext/>
        <w:widowControl w:val="0"/>
        <w:tabs>
          <w:tab w:val="clear" w:pos="567"/>
        </w:tabs>
        <w:spacing w:line="240" w:lineRule="auto"/>
        <w:rPr>
          <w:color w:val="000000"/>
          <w:szCs w:val="22"/>
        </w:rPr>
      </w:pPr>
    </w:p>
    <w:p w14:paraId="3D394BC0" w14:textId="77777777" w:rsidR="009E01F8" w:rsidRPr="00CD729C" w:rsidRDefault="009E01F8" w:rsidP="009B4BB6">
      <w:pPr>
        <w:keepNext/>
        <w:widowControl w:val="0"/>
        <w:tabs>
          <w:tab w:val="clear" w:pos="567"/>
        </w:tabs>
        <w:spacing w:line="240" w:lineRule="auto"/>
        <w:rPr>
          <w:color w:val="000000"/>
          <w:szCs w:val="22"/>
          <w:u w:val="single"/>
        </w:rPr>
      </w:pPr>
      <w:r w:rsidRPr="00CD729C">
        <w:rPr>
          <w:color w:val="000000"/>
          <w:szCs w:val="22"/>
          <w:u w:val="single"/>
        </w:rPr>
        <w:t>Darbības mehānisms</w:t>
      </w:r>
    </w:p>
    <w:p w14:paraId="3D394BC1"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Imatinibs ir mazmolekulārs proteīnu-tirozīnkināzes inhibitors, kas spēcīgi inhibē Bcr-Abl tirozīnkināzi (TK), kā arī vairākus TK receptorus: Kit, cilmes šūnu faktora (CŠF) receptoru, ko kodē c-Kit proto-onkogēns, diskoidīna domēna receptorus (DDR1 un DDR2), koloniju stimulējošā faktora receptoru (CSF-1R) un trombocītu augšanas faktora alfa un beta receptorus (PDGFR-alfa un PDGFR-beta). Imatinibs var arī inhibēt procesus šūnā, ko mediē šo receptoru kināžu aktivācija.</w:t>
      </w:r>
    </w:p>
    <w:p w14:paraId="3D394BC2" w14:textId="77777777" w:rsidR="009E01F8" w:rsidRPr="00CD729C" w:rsidRDefault="009E01F8" w:rsidP="009B4BB6">
      <w:pPr>
        <w:widowControl w:val="0"/>
        <w:tabs>
          <w:tab w:val="clear" w:pos="567"/>
        </w:tabs>
        <w:spacing w:line="240" w:lineRule="auto"/>
        <w:rPr>
          <w:color w:val="000000"/>
          <w:szCs w:val="22"/>
        </w:rPr>
      </w:pPr>
    </w:p>
    <w:p w14:paraId="3D394BC3" w14:textId="77777777" w:rsidR="009E01F8" w:rsidRPr="00CD729C" w:rsidRDefault="009E01F8" w:rsidP="009B4BB6">
      <w:pPr>
        <w:keepNext/>
        <w:widowControl w:val="0"/>
        <w:tabs>
          <w:tab w:val="clear" w:pos="567"/>
        </w:tabs>
        <w:spacing w:line="240" w:lineRule="auto"/>
        <w:rPr>
          <w:color w:val="000000"/>
          <w:szCs w:val="22"/>
          <w:u w:val="single"/>
        </w:rPr>
      </w:pPr>
      <w:r w:rsidRPr="00CD729C">
        <w:rPr>
          <w:color w:val="000000"/>
          <w:szCs w:val="22"/>
          <w:u w:val="single"/>
        </w:rPr>
        <w:t>Farmakodinamiskā iedarbība</w:t>
      </w:r>
    </w:p>
    <w:p w14:paraId="3D394BC4"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 xml:space="preserve">Imatinibs ir olbaltumvielu – tirozīna kināzes inhibitors, kas </w:t>
      </w:r>
      <w:r w:rsidRPr="00CD729C">
        <w:rPr>
          <w:i/>
          <w:color w:val="000000"/>
          <w:szCs w:val="22"/>
        </w:rPr>
        <w:t>in vitro</w:t>
      </w:r>
      <w:r w:rsidRPr="00CD729C">
        <w:rPr>
          <w:color w:val="000000"/>
          <w:szCs w:val="22"/>
        </w:rPr>
        <w:t>, šūnās</w:t>
      </w:r>
      <w:r w:rsidRPr="00CD729C">
        <w:rPr>
          <w:i/>
          <w:color w:val="000000"/>
          <w:szCs w:val="22"/>
        </w:rPr>
        <w:t xml:space="preserve"> </w:t>
      </w:r>
      <w:r w:rsidRPr="00CD729C">
        <w:rPr>
          <w:color w:val="000000"/>
          <w:szCs w:val="22"/>
        </w:rPr>
        <w:t>un</w:t>
      </w:r>
      <w:r w:rsidRPr="00CD729C">
        <w:rPr>
          <w:i/>
          <w:color w:val="000000"/>
          <w:szCs w:val="22"/>
        </w:rPr>
        <w:t xml:space="preserve"> in vivo</w:t>
      </w:r>
      <w:r w:rsidRPr="00CD729C">
        <w:rPr>
          <w:color w:val="000000"/>
          <w:szCs w:val="22"/>
        </w:rPr>
        <w:t xml:space="preserve"> spēcīgi inhibē Bcr-Abl tirozīna kināzi. Viela selektīvi inhibē proliferāciju un ierosina apoptozi Bcr-Abl pozitīvās šūnās, kā arī svaigās leikēmiskās šūnās, kas ņemtas no Filadelfijas hromosomas pozitīviem CML, kā arī akūtas limfoblastiskas leikozes (ALL) slimniekiem.</w:t>
      </w:r>
    </w:p>
    <w:p w14:paraId="3D394BC5" w14:textId="77777777" w:rsidR="009E01F8" w:rsidRPr="00CD729C" w:rsidRDefault="009E01F8" w:rsidP="009B4BB6">
      <w:pPr>
        <w:widowControl w:val="0"/>
        <w:tabs>
          <w:tab w:val="clear" w:pos="567"/>
        </w:tabs>
        <w:spacing w:line="240" w:lineRule="auto"/>
        <w:rPr>
          <w:color w:val="000000"/>
          <w:szCs w:val="22"/>
        </w:rPr>
      </w:pPr>
    </w:p>
    <w:p w14:paraId="3D394BC6" w14:textId="77777777" w:rsidR="009E01F8" w:rsidRPr="00CD729C" w:rsidRDefault="009E01F8" w:rsidP="009B4BB6">
      <w:pPr>
        <w:widowControl w:val="0"/>
        <w:tabs>
          <w:tab w:val="clear" w:pos="567"/>
        </w:tabs>
        <w:spacing w:line="240" w:lineRule="auto"/>
        <w:rPr>
          <w:color w:val="000000"/>
          <w:szCs w:val="22"/>
        </w:rPr>
      </w:pPr>
      <w:r w:rsidRPr="00CD729C">
        <w:rPr>
          <w:i/>
          <w:color w:val="000000"/>
          <w:szCs w:val="22"/>
        </w:rPr>
        <w:t>In vivo</w:t>
      </w:r>
      <w:r w:rsidRPr="00CD729C">
        <w:rPr>
          <w:color w:val="000000"/>
          <w:szCs w:val="22"/>
        </w:rPr>
        <w:t xml:space="preserve"> izmantojot Bcr-Abl pozitīvas audzēja šūnas dzīvnieku modeļos,</w:t>
      </w:r>
      <w:r w:rsidRPr="00CD729C">
        <w:rPr>
          <w:i/>
          <w:color w:val="000000"/>
          <w:szCs w:val="22"/>
        </w:rPr>
        <w:t xml:space="preserve"> </w:t>
      </w:r>
      <w:r w:rsidRPr="00CD729C">
        <w:rPr>
          <w:color w:val="000000"/>
          <w:szCs w:val="22"/>
        </w:rPr>
        <w:t>savienojumam kā atsevišķai vielai ir pretaudzēju aktivitāte.</w:t>
      </w:r>
    </w:p>
    <w:p w14:paraId="3D394BC7" w14:textId="77777777" w:rsidR="009E01F8" w:rsidRPr="00CD729C" w:rsidRDefault="009E01F8" w:rsidP="009B4BB6">
      <w:pPr>
        <w:widowControl w:val="0"/>
        <w:tabs>
          <w:tab w:val="clear" w:pos="567"/>
        </w:tabs>
        <w:spacing w:line="240" w:lineRule="auto"/>
        <w:rPr>
          <w:color w:val="000000"/>
          <w:szCs w:val="22"/>
        </w:rPr>
      </w:pPr>
    </w:p>
    <w:p w14:paraId="3D394BC8" w14:textId="77777777" w:rsidR="009E01F8" w:rsidRPr="00CD729C" w:rsidRDefault="009E01F8" w:rsidP="009B4BB6">
      <w:pPr>
        <w:widowControl w:val="0"/>
        <w:spacing w:line="240" w:lineRule="auto"/>
        <w:rPr>
          <w:color w:val="000000"/>
          <w:szCs w:val="22"/>
        </w:rPr>
      </w:pPr>
      <w:r w:rsidRPr="00CD729C">
        <w:rPr>
          <w:color w:val="000000"/>
          <w:szCs w:val="22"/>
        </w:rPr>
        <w:t>Imatinibs inhibē arī tirozīna kināzes receptorus augšanas faktora atvasinātajās trombocītu (</w:t>
      </w:r>
      <w:r w:rsidRPr="00CD729C">
        <w:rPr>
          <w:i/>
          <w:color w:val="000000"/>
          <w:szCs w:val="22"/>
        </w:rPr>
        <w:t xml:space="preserve">Platelet-derived Growth Factor </w:t>
      </w:r>
      <w:r w:rsidRPr="00CD729C">
        <w:rPr>
          <w:color w:val="000000"/>
          <w:szCs w:val="22"/>
        </w:rPr>
        <w:t>- PDGF), PDGF-R šūnās, stumbra šūnu faktorā (</w:t>
      </w:r>
      <w:r w:rsidRPr="00CD729C">
        <w:rPr>
          <w:i/>
          <w:color w:val="000000"/>
          <w:szCs w:val="22"/>
        </w:rPr>
        <w:t>Stem Cell Factor</w:t>
      </w:r>
      <w:r w:rsidRPr="00CD729C">
        <w:rPr>
          <w:color w:val="000000"/>
          <w:szCs w:val="22"/>
        </w:rPr>
        <w:t xml:space="preserve"> - SCF) un c-Kit šūnās. Viela inhibē arī šūnu procesus, kuros mediatori ir PDGF un SCF. </w:t>
      </w:r>
      <w:r w:rsidRPr="00CD729C">
        <w:rPr>
          <w:i/>
          <w:color w:val="000000"/>
          <w:szCs w:val="22"/>
        </w:rPr>
        <w:t>In vitro</w:t>
      </w:r>
      <w:r w:rsidRPr="00CD729C">
        <w:rPr>
          <w:color w:val="000000"/>
          <w:szCs w:val="22"/>
        </w:rPr>
        <w:t xml:space="preserve"> imatinibs inhibē gastrointestinālo stromas audzēju šūnu proliferāciju un inducē apoptozi, ko parāda </w:t>
      </w:r>
      <w:r w:rsidRPr="00CD729C">
        <w:rPr>
          <w:i/>
          <w:color w:val="000000"/>
          <w:szCs w:val="22"/>
        </w:rPr>
        <w:t>kit</w:t>
      </w:r>
      <w:r w:rsidRPr="00CD729C">
        <w:rPr>
          <w:color w:val="000000"/>
          <w:szCs w:val="22"/>
        </w:rPr>
        <w:t xml:space="preserve"> mutācijas aktivizēšanās. </w:t>
      </w:r>
      <w:r w:rsidRPr="00CD729C">
        <w:rPr>
          <w:color w:val="000000"/>
        </w:rPr>
        <w:t xml:space="preserve">MDS/MPD, HES/CEL un </w:t>
      </w:r>
      <w:r w:rsidRPr="00CD729C">
        <w:rPr>
          <w:color w:val="000000"/>
          <w:szCs w:val="22"/>
        </w:rPr>
        <w:t>DFSP patoģenēzē konstatēta PDGF receptoru vai Abl proteīna tirozīnkināzes metaboliska aktivācija kā saplūšanas sekas ar dažādiem partnerolbaltumiem vai metaboliska PDGF producēšana. Imatinibs nomāc šūnu signālu pārvadi un proliferāciju, ko izraisa pārmainītā PDGFR un Abl kināzes aktivitāte.</w:t>
      </w:r>
    </w:p>
    <w:p w14:paraId="3D394BC9" w14:textId="77777777" w:rsidR="009E01F8" w:rsidRPr="00CD729C" w:rsidRDefault="009E01F8" w:rsidP="009B4BB6">
      <w:pPr>
        <w:widowControl w:val="0"/>
        <w:tabs>
          <w:tab w:val="clear" w:pos="567"/>
        </w:tabs>
        <w:spacing w:line="240" w:lineRule="auto"/>
        <w:rPr>
          <w:color w:val="000000"/>
          <w:szCs w:val="22"/>
        </w:rPr>
      </w:pPr>
    </w:p>
    <w:p w14:paraId="3D394BCA" w14:textId="77777777" w:rsidR="009E01F8" w:rsidRPr="00CD729C" w:rsidRDefault="009E01F8" w:rsidP="009B4BB6">
      <w:pPr>
        <w:keepNext/>
        <w:widowControl w:val="0"/>
        <w:tabs>
          <w:tab w:val="clear" w:pos="567"/>
        </w:tabs>
        <w:spacing w:line="240" w:lineRule="auto"/>
        <w:rPr>
          <w:color w:val="000000"/>
          <w:szCs w:val="22"/>
          <w:u w:val="single"/>
        </w:rPr>
      </w:pPr>
      <w:r w:rsidRPr="00CD729C">
        <w:rPr>
          <w:color w:val="000000"/>
          <w:szCs w:val="22"/>
          <w:u w:val="single"/>
        </w:rPr>
        <w:t>Hroniskas mieloleikozes klīniskie pētījumi</w:t>
      </w:r>
    </w:p>
    <w:p w14:paraId="3D394BCB"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Glivec efektivitāti pamato kopējā hematoloģiskās un citoģenētiskās atbildes reakcijas pakāpe un dzīvildze bez progresēšanas. Nav kontrolētu klīnisku pētījumu, kuru rezultāti pierāda klīnisko ieguvumu, piemēram, ar slimību saistīto simptomu uzlabojumu vai dzīvildzes pieaugumu, izņemot nesen diagnosticētas CML hroniskā fāzē.</w:t>
      </w:r>
    </w:p>
    <w:p w14:paraId="3D394BCC" w14:textId="77777777" w:rsidR="009E01F8" w:rsidRPr="00CD729C" w:rsidRDefault="009E01F8" w:rsidP="009B4BB6">
      <w:pPr>
        <w:pStyle w:val="EndnoteText"/>
        <w:widowControl w:val="0"/>
        <w:rPr>
          <w:color w:val="000000"/>
          <w:szCs w:val="22"/>
        </w:rPr>
      </w:pPr>
    </w:p>
    <w:p w14:paraId="3D394BCD" w14:textId="77777777" w:rsidR="009E01F8" w:rsidRPr="00CD729C" w:rsidRDefault="009E01F8" w:rsidP="009B4BB6">
      <w:pPr>
        <w:widowControl w:val="0"/>
        <w:spacing w:line="240" w:lineRule="auto"/>
        <w:rPr>
          <w:color w:val="000000"/>
          <w:szCs w:val="22"/>
        </w:rPr>
      </w:pPr>
      <w:r w:rsidRPr="00CD729C">
        <w:rPr>
          <w:color w:val="000000"/>
          <w:szCs w:val="22"/>
        </w:rPr>
        <w:t>Ar pacientiem, kam diagnosticēta Filadelfijas hromosomas pozitīva (Ph</w:t>
      </w:r>
      <w:r w:rsidRPr="00CD729C">
        <w:rPr>
          <w:color w:val="000000"/>
          <w:szCs w:val="22"/>
          <w:vertAlign w:val="superscript"/>
        </w:rPr>
        <w:t>+</w:t>
      </w:r>
      <w:r w:rsidRPr="00CD729C">
        <w:rPr>
          <w:color w:val="000000"/>
          <w:szCs w:val="22"/>
        </w:rPr>
        <w:t>) CML progresijas, blastu krīzes vai akcelerācijas fāzē, kā arī cita veida Ph</w:t>
      </w:r>
      <w:r w:rsidRPr="00CD729C">
        <w:rPr>
          <w:color w:val="000000"/>
          <w:szCs w:val="22"/>
          <w:vertAlign w:val="superscript"/>
        </w:rPr>
        <w:t xml:space="preserve">+ </w:t>
      </w:r>
      <w:r w:rsidRPr="00CD729C">
        <w:rPr>
          <w:color w:val="000000"/>
          <w:szCs w:val="22"/>
        </w:rPr>
        <w:t>leikozes vai CML hroniskā fāzē pēc neveiksmīgas iepriekšējas terapijas ar interferonu alfa (IFN), ir veikti trīs plaši, atklāti, daudzcentru starptautiski, randomizēti II fāzes pētījumi. Ar pacientiem, kam nesen diagnosticēta Ph</w:t>
      </w:r>
      <w:r w:rsidRPr="00CD729C">
        <w:rPr>
          <w:color w:val="000000"/>
          <w:szCs w:val="22"/>
          <w:vertAlign w:val="superscript"/>
        </w:rPr>
        <w:t>+</w:t>
      </w:r>
      <w:r w:rsidRPr="00CD729C">
        <w:rPr>
          <w:color w:val="000000"/>
          <w:szCs w:val="22"/>
        </w:rPr>
        <w:t xml:space="preserve"> CML, ir veikts viens, plašs, atklāts starptautisks daudzcentru nejaušināts III fāzes pētījums. Turklāt, divu I fāzes un viena II fāzes pētījumu laikā ir ārstēti bērni.</w:t>
      </w:r>
    </w:p>
    <w:p w14:paraId="3D394BCE" w14:textId="77777777" w:rsidR="009E01F8" w:rsidRPr="00CD729C" w:rsidRDefault="009E01F8" w:rsidP="009B4BB6">
      <w:pPr>
        <w:widowControl w:val="0"/>
        <w:spacing w:line="240" w:lineRule="auto"/>
        <w:rPr>
          <w:color w:val="000000"/>
          <w:szCs w:val="22"/>
        </w:rPr>
      </w:pPr>
    </w:p>
    <w:p w14:paraId="3D394BCF" w14:textId="77777777" w:rsidR="009E01F8" w:rsidRPr="00CD729C" w:rsidRDefault="009E01F8" w:rsidP="009B4BB6">
      <w:pPr>
        <w:widowControl w:val="0"/>
        <w:spacing w:line="240" w:lineRule="auto"/>
        <w:rPr>
          <w:color w:val="000000"/>
          <w:szCs w:val="22"/>
        </w:rPr>
      </w:pPr>
      <w:r w:rsidRPr="00CD729C">
        <w:rPr>
          <w:color w:val="000000"/>
          <w:szCs w:val="22"/>
        </w:rPr>
        <w:t xml:space="preserve">Visos klīniskajos pētījumos 38% līdz 40% pacientu vecums bija </w:t>
      </w:r>
      <w:r w:rsidRPr="00CD729C">
        <w:rPr>
          <w:color w:val="000000"/>
          <w:szCs w:val="22"/>
        </w:rPr>
        <w:sym w:font="Symbol" w:char="F0B3"/>
      </w:r>
      <w:r w:rsidRPr="00CD729C">
        <w:rPr>
          <w:color w:val="000000"/>
          <w:szCs w:val="22"/>
        </w:rPr>
        <w:t xml:space="preserve">60 gadi, bet 10% līdz 12% pacientu vecums bija </w:t>
      </w:r>
      <w:r w:rsidRPr="00CD729C">
        <w:rPr>
          <w:color w:val="000000"/>
          <w:szCs w:val="22"/>
        </w:rPr>
        <w:sym w:font="Symbol" w:char="F0B3"/>
      </w:r>
      <w:r w:rsidRPr="00CD729C">
        <w:rPr>
          <w:color w:val="000000"/>
          <w:szCs w:val="22"/>
        </w:rPr>
        <w:t>70 gadi.</w:t>
      </w:r>
    </w:p>
    <w:p w14:paraId="3D394BD0" w14:textId="77777777" w:rsidR="009E01F8" w:rsidRPr="00CD729C" w:rsidRDefault="009E01F8" w:rsidP="009B4BB6">
      <w:pPr>
        <w:widowControl w:val="0"/>
        <w:spacing w:line="240" w:lineRule="auto"/>
        <w:rPr>
          <w:color w:val="000000"/>
          <w:szCs w:val="22"/>
        </w:rPr>
      </w:pPr>
    </w:p>
    <w:p w14:paraId="3D394BD1" w14:textId="77777777" w:rsidR="009E01F8" w:rsidRPr="00CD729C" w:rsidRDefault="009E01F8" w:rsidP="009B4BB6">
      <w:pPr>
        <w:widowControl w:val="0"/>
        <w:spacing w:line="240" w:lineRule="auto"/>
        <w:rPr>
          <w:color w:val="000000"/>
          <w:szCs w:val="22"/>
        </w:rPr>
      </w:pPr>
      <w:r w:rsidRPr="00CD729C">
        <w:rPr>
          <w:i/>
          <w:color w:val="000000"/>
          <w:szCs w:val="22"/>
        </w:rPr>
        <w:t>Nesen diagnosticēta slimība hroniskā fāzē:</w:t>
      </w:r>
      <w:r w:rsidRPr="00CD729C">
        <w:rPr>
          <w:color w:val="000000"/>
          <w:szCs w:val="22"/>
        </w:rPr>
        <w:t xml:space="preserve"> šajā III fāzes pētījumā pieaugušajiem salīdzināja terapijas veidu, izmantojot Glivec monoterapijas veidā un interferona alfa (IFN) kombināciju ar citarabīnu (Ara-C). Pacientiem, kam reakcija uz terapiju izpalika (pilnīga hematoloģiska atbildes reakcija (</w:t>
      </w:r>
      <w:r w:rsidRPr="00CD729C">
        <w:rPr>
          <w:i/>
          <w:color w:val="000000"/>
          <w:szCs w:val="22"/>
        </w:rPr>
        <w:t>Complete haematological response</w:t>
      </w:r>
      <w:r w:rsidRPr="00CD729C">
        <w:rPr>
          <w:color w:val="000000"/>
          <w:szCs w:val="22"/>
        </w:rPr>
        <w:t xml:space="preserve"> - CHR) izpaliek pēc 6 mēnešu ilgas terapijas, pieaug (</w:t>
      </w:r>
      <w:r w:rsidRPr="00CD729C">
        <w:rPr>
          <w:i/>
          <w:color w:val="000000"/>
          <w:szCs w:val="22"/>
        </w:rPr>
        <w:t>White Blood Cells</w:t>
      </w:r>
      <w:r w:rsidRPr="00CD729C">
        <w:rPr>
          <w:color w:val="000000"/>
          <w:szCs w:val="22"/>
        </w:rPr>
        <w:t xml:space="preserve"> – WBC), 24 mēnešu laikā nav novērota nozīmīga citoģenētiska atbildes reakcija – MCyR), reakcija uz terapiju tika zaudēta (zūd CHR vai MCyR) vai novēroja smagu izvēlētā terapijas veida nepanesamību, tika atļauts pāriet uz citu terapijas veidu. Pacienti, kurus ārstēja ar Glivec, saņēma 400 mg preparāta dienā. Pacienti, ko ārstēja ar IFN, subkutāni saņēma IFN mērķa devu – 5 MSV/m</w:t>
      </w:r>
      <w:r w:rsidRPr="00CD729C">
        <w:rPr>
          <w:color w:val="000000"/>
          <w:szCs w:val="22"/>
          <w:vertAlign w:val="superscript"/>
        </w:rPr>
        <w:t>2</w:t>
      </w:r>
      <w:r w:rsidRPr="00CD729C">
        <w:rPr>
          <w:color w:val="000000"/>
          <w:szCs w:val="22"/>
        </w:rPr>
        <w:t xml:space="preserve"> dienā, kombinācijā ar 20 mg/m</w:t>
      </w:r>
      <w:r w:rsidRPr="00CD729C">
        <w:rPr>
          <w:color w:val="000000"/>
          <w:szCs w:val="22"/>
          <w:vertAlign w:val="superscript"/>
        </w:rPr>
        <w:t>2</w:t>
      </w:r>
      <w:r w:rsidRPr="00CD729C">
        <w:rPr>
          <w:color w:val="000000"/>
          <w:szCs w:val="22"/>
        </w:rPr>
        <w:t xml:space="preserve"> dienā Ara-C (subkutāni, 10 dienas mēnesī).</w:t>
      </w:r>
    </w:p>
    <w:p w14:paraId="3D394BD2" w14:textId="77777777" w:rsidR="009E01F8" w:rsidRPr="00CD729C" w:rsidRDefault="009E01F8" w:rsidP="009B4BB6">
      <w:pPr>
        <w:widowControl w:val="0"/>
        <w:spacing w:line="240" w:lineRule="auto"/>
        <w:rPr>
          <w:color w:val="000000"/>
          <w:szCs w:val="22"/>
        </w:rPr>
      </w:pPr>
    </w:p>
    <w:p w14:paraId="3D394BD3" w14:textId="77777777" w:rsidR="009E01F8" w:rsidRPr="00CD729C" w:rsidRDefault="009E01F8" w:rsidP="009B4BB6">
      <w:pPr>
        <w:widowControl w:val="0"/>
        <w:spacing w:line="240" w:lineRule="auto"/>
        <w:rPr>
          <w:color w:val="000000"/>
          <w:szCs w:val="22"/>
        </w:rPr>
      </w:pPr>
      <w:r w:rsidRPr="00CD729C">
        <w:rPr>
          <w:color w:val="000000"/>
          <w:szCs w:val="22"/>
        </w:rPr>
        <w:t xml:space="preserve">Pavisam randomizēja 1 106 pacientus, pa 553 katram ārstēšanas veidam. Sākotnējie slimnieku stāvokli raksturojošie parametri, salīdzinot abas terapijas grupas, bija labi balansēti. Vidējais vecums bija 51 gads (18–70 gadu intervālā), no tiem 21,9% pacientu </w:t>
      </w:r>
      <w:r w:rsidRPr="00CD729C">
        <w:rPr>
          <w:color w:val="000000"/>
          <w:szCs w:val="22"/>
        </w:rPr>
        <w:sym w:font="Symbol" w:char="F0B3"/>
      </w:r>
      <w:r w:rsidRPr="00CD729C">
        <w:rPr>
          <w:color w:val="000000"/>
          <w:szCs w:val="22"/>
        </w:rPr>
        <w:t>60 gadiem. No pacientu skaita 59% bija vīrieši un 41% sievietes; 89,9% - baltās rases un 4,7% melnās rases pārstāvji. Septiņus gadus pēc pēdējā pacienta iekļaušanas vidējais pirmās rindas terapijas ilgums bija 82 un 8 mēneši attiecīgi Glivec un IFN grupās. Vidējais otrās rindas terapijas ar Glivec ilgums bija 64 mēneši. Kopumā pacientiem, kuri saņēma par pirmās rindas zālēm Glivec, vidējā lietotā dienas deva bija 406 ± 76 mg. Primārais preparāta efektivitātes pētījuma beigu punkts ir dzīvildze bez slimības progresijas. Slimības progresija ir definēta kā viena no sekojošām parādībām: progresija līdz akcelerācijas fāzei vai blastu krīzei, nāve, CHR vai MCyR zudums vai, pacientiem, kuri nesasniedz CHR, WBC daudzuma pieaugums, neraugoties uz piemērotiem terapeitiskiem pasākumiem. Ievērojama citoģenētiska atbildes reakcija, hematoloģiska atbildes reakcija, molekulārā atbildes reakcija (minimālās atlieku slimības novērtēšana), laika posms līdz slimības akcelerācijas fāzei vai blastu krīzei un dzīvildze ir galvenie sekundārie preparāta efektivitātes pētījuma beigu punkti. Dati par reakciju ir norādīti tabulā Nr. </w:t>
      </w:r>
      <w:r w:rsidR="00E72001" w:rsidRPr="00CD729C">
        <w:rPr>
          <w:color w:val="000000"/>
          <w:szCs w:val="22"/>
        </w:rPr>
        <w:t>2</w:t>
      </w:r>
      <w:r w:rsidRPr="00CD729C">
        <w:rPr>
          <w:color w:val="000000"/>
          <w:szCs w:val="22"/>
        </w:rPr>
        <w:t>.</w:t>
      </w:r>
    </w:p>
    <w:p w14:paraId="3D394BD4" w14:textId="77777777" w:rsidR="009E01F8" w:rsidRPr="00CD729C" w:rsidRDefault="009E01F8" w:rsidP="009B4BB6">
      <w:pPr>
        <w:widowControl w:val="0"/>
        <w:spacing w:line="240" w:lineRule="auto"/>
        <w:rPr>
          <w:color w:val="000000"/>
          <w:szCs w:val="22"/>
        </w:rPr>
      </w:pPr>
    </w:p>
    <w:p w14:paraId="3D394BD5" w14:textId="77777777" w:rsidR="009E01F8" w:rsidRPr="00CD729C" w:rsidRDefault="009E01F8" w:rsidP="009B4BB6">
      <w:pPr>
        <w:keepNext/>
        <w:keepLines/>
        <w:widowControl w:val="0"/>
        <w:tabs>
          <w:tab w:val="left" w:pos="1701"/>
        </w:tabs>
        <w:spacing w:line="240" w:lineRule="auto"/>
        <w:rPr>
          <w:b/>
          <w:color w:val="000000"/>
          <w:szCs w:val="22"/>
        </w:rPr>
      </w:pPr>
      <w:r w:rsidRPr="00CD729C">
        <w:rPr>
          <w:b/>
          <w:color w:val="000000"/>
          <w:szCs w:val="22"/>
        </w:rPr>
        <w:t>Tabula Nr. </w:t>
      </w:r>
      <w:r w:rsidR="00E72001" w:rsidRPr="00CD729C">
        <w:rPr>
          <w:b/>
          <w:color w:val="000000"/>
          <w:szCs w:val="22"/>
        </w:rPr>
        <w:t>2</w:t>
      </w:r>
      <w:r w:rsidRPr="00CD729C">
        <w:rPr>
          <w:b/>
          <w:color w:val="000000"/>
          <w:szCs w:val="22"/>
        </w:rPr>
        <w:tab/>
        <w:t>Reakcija nesen diagnosticētas CML pētījuma laikā (84 mēnešu dati)</w:t>
      </w:r>
    </w:p>
    <w:p w14:paraId="3D394BD6" w14:textId="77777777" w:rsidR="009E01F8" w:rsidRPr="00CD729C" w:rsidRDefault="009E01F8" w:rsidP="009B4BB6">
      <w:pPr>
        <w:keepNext/>
        <w:keepLines/>
        <w:widowControl w:val="0"/>
        <w:spacing w:line="240" w:lineRule="auto"/>
        <w:rPr>
          <w:color w:val="000000"/>
          <w:szCs w:val="22"/>
        </w:rPr>
      </w:pP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1"/>
        <w:gridCol w:w="2551"/>
        <w:gridCol w:w="2373"/>
      </w:tblGrid>
      <w:tr w:rsidR="009E01F8" w:rsidRPr="00CD729C" w14:paraId="3D394BDD" w14:textId="77777777" w:rsidTr="009B4BB6">
        <w:trPr>
          <w:cantSplit/>
        </w:trPr>
        <w:tc>
          <w:tcPr>
            <w:tcW w:w="4361" w:type="dxa"/>
            <w:tcBorders>
              <w:top w:val="single" w:sz="4" w:space="0" w:color="auto"/>
              <w:left w:val="single" w:sz="4" w:space="0" w:color="auto"/>
              <w:bottom w:val="single" w:sz="4" w:space="0" w:color="auto"/>
              <w:right w:val="nil"/>
            </w:tcBorders>
          </w:tcPr>
          <w:p w14:paraId="3D394BD7" w14:textId="77777777" w:rsidR="009E01F8" w:rsidRPr="00CD729C" w:rsidRDefault="009E01F8" w:rsidP="009B4BB6">
            <w:pPr>
              <w:keepNext/>
              <w:keepLines/>
              <w:widowControl w:val="0"/>
              <w:spacing w:line="240" w:lineRule="auto"/>
              <w:rPr>
                <w:color w:val="000000"/>
                <w:szCs w:val="22"/>
              </w:rPr>
            </w:pPr>
          </w:p>
          <w:p w14:paraId="3D394BD8" w14:textId="77777777" w:rsidR="009E01F8" w:rsidRPr="00CD729C" w:rsidRDefault="009E01F8" w:rsidP="009B4BB6">
            <w:pPr>
              <w:keepNext/>
              <w:keepLines/>
              <w:widowControl w:val="0"/>
              <w:spacing w:line="240" w:lineRule="auto"/>
              <w:rPr>
                <w:b/>
                <w:color w:val="000000"/>
                <w:szCs w:val="22"/>
              </w:rPr>
            </w:pPr>
            <w:r w:rsidRPr="00CD729C">
              <w:rPr>
                <w:b/>
                <w:color w:val="000000"/>
                <w:szCs w:val="22"/>
              </w:rPr>
              <w:t>Labākā atbildes reakcija</w:t>
            </w:r>
          </w:p>
        </w:tc>
        <w:tc>
          <w:tcPr>
            <w:tcW w:w="2551" w:type="dxa"/>
            <w:tcBorders>
              <w:top w:val="single" w:sz="4" w:space="0" w:color="auto"/>
              <w:left w:val="nil"/>
              <w:bottom w:val="single" w:sz="4" w:space="0" w:color="auto"/>
              <w:right w:val="nil"/>
            </w:tcBorders>
          </w:tcPr>
          <w:p w14:paraId="3D394BD9" w14:textId="77777777" w:rsidR="009E01F8" w:rsidRPr="00CD729C" w:rsidRDefault="009E01F8" w:rsidP="009B4BB6">
            <w:pPr>
              <w:keepNext/>
              <w:keepLines/>
              <w:widowControl w:val="0"/>
              <w:spacing w:line="240" w:lineRule="auto"/>
              <w:jc w:val="center"/>
              <w:rPr>
                <w:b/>
                <w:color w:val="000000"/>
                <w:szCs w:val="22"/>
              </w:rPr>
            </w:pPr>
            <w:r w:rsidRPr="00CD729C">
              <w:rPr>
                <w:b/>
                <w:color w:val="000000"/>
                <w:szCs w:val="22"/>
              </w:rPr>
              <w:t>Glivec</w:t>
            </w:r>
          </w:p>
          <w:p w14:paraId="3D394BDA"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n=553</w:t>
            </w:r>
          </w:p>
        </w:tc>
        <w:tc>
          <w:tcPr>
            <w:tcW w:w="2373" w:type="dxa"/>
            <w:tcBorders>
              <w:top w:val="single" w:sz="4" w:space="0" w:color="auto"/>
              <w:left w:val="nil"/>
              <w:bottom w:val="single" w:sz="4" w:space="0" w:color="auto"/>
              <w:right w:val="single" w:sz="4" w:space="0" w:color="auto"/>
            </w:tcBorders>
          </w:tcPr>
          <w:p w14:paraId="3D394BDB" w14:textId="77777777" w:rsidR="009E01F8" w:rsidRPr="00CD729C" w:rsidRDefault="009E01F8" w:rsidP="009B4BB6">
            <w:pPr>
              <w:keepNext/>
              <w:keepLines/>
              <w:widowControl w:val="0"/>
              <w:spacing w:line="240" w:lineRule="auto"/>
              <w:jc w:val="center"/>
              <w:rPr>
                <w:b/>
                <w:color w:val="000000"/>
                <w:szCs w:val="22"/>
              </w:rPr>
            </w:pPr>
            <w:r w:rsidRPr="00CD729C">
              <w:rPr>
                <w:b/>
                <w:color w:val="000000"/>
                <w:szCs w:val="22"/>
              </w:rPr>
              <w:t>IFN + Ara-C</w:t>
            </w:r>
          </w:p>
          <w:p w14:paraId="3D394BDC"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n=553</w:t>
            </w:r>
          </w:p>
        </w:tc>
      </w:tr>
      <w:tr w:rsidR="009E01F8" w:rsidRPr="00CD729C" w14:paraId="3D394BE1" w14:textId="77777777" w:rsidTr="009B4BB6">
        <w:trPr>
          <w:cantSplit/>
          <w:trHeight w:val="129"/>
        </w:trPr>
        <w:tc>
          <w:tcPr>
            <w:tcW w:w="4361" w:type="dxa"/>
            <w:tcBorders>
              <w:top w:val="nil"/>
              <w:left w:val="single" w:sz="4" w:space="0" w:color="auto"/>
              <w:bottom w:val="nil"/>
              <w:right w:val="nil"/>
            </w:tcBorders>
          </w:tcPr>
          <w:p w14:paraId="3D394BDE" w14:textId="77777777" w:rsidR="009E01F8" w:rsidRPr="00CD729C" w:rsidRDefault="009E01F8" w:rsidP="009B4BB6">
            <w:pPr>
              <w:keepNext/>
              <w:keepLines/>
              <w:widowControl w:val="0"/>
              <w:spacing w:line="240" w:lineRule="auto"/>
              <w:rPr>
                <w:b/>
                <w:color w:val="000000"/>
                <w:szCs w:val="22"/>
              </w:rPr>
            </w:pPr>
            <w:r w:rsidRPr="00CD729C">
              <w:rPr>
                <w:b/>
                <w:color w:val="000000"/>
                <w:szCs w:val="22"/>
              </w:rPr>
              <w:t>Hematoloģiskā atbildes reakcija</w:t>
            </w:r>
          </w:p>
        </w:tc>
        <w:tc>
          <w:tcPr>
            <w:tcW w:w="2551" w:type="dxa"/>
            <w:tcBorders>
              <w:top w:val="nil"/>
              <w:left w:val="nil"/>
              <w:bottom w:val="nil"/>
              <w:right w:val="nil"/>
            </w:tcBorders>
          </w:tcPr>
          <w:p w14:paraId="3D394BDF" w14:textId="77777777" w:rsidR="009E01F8" w:rsidRPr="00CD729C" w:rsidRDefault="009E01F8" w:rsidP="009B4BB6">
            <w:pPr>
              <w:keepNext/>
              <w:keepLines/>
              <w:widowControl w:val="0"/>
              <w:spacing w:line="240" w:lineRule="auto"/>
              <w:rPr>
                <w:color w:val="000000"/>
                <w:szCs w:val="22"/>
              </w:rPr>
            </w:pPr>
          </w:p>
        </w:tc>
        <w:tc>
          <w:tcPr>
            <w:tcW w:w="2373" w:type="dxa"/>
            <w:tcBorders>
              <w:top w:val="nil"/>
              <w:left w:val="nil"/>
              <w:bottom w:val="nil"/>
              <w:right w:val="single" w:sz="4" w:space="0" w:color="auto"/>
            </w:tcBorders>
          </w:tcPr>
          <w:p w14:paraId="3D394BE0" w14:textId="77777777" w:rsidR="009E01F8" w:rsidRPr="00CD729C" w:rsidRDefault="009E01F8" w:rsidP="009B4BB6">
            <w:pPr>
              <w:keepNext/>
              <w:keepLines/>
              <w:widowControl w:val="0"/>
              <w:spacing w:line="240" w:lineRule="auto"/>
              <w:rPr>
                <w:color w:val="000000"/>
                <w:szCs w:val="22"/>
              </w:rPr>
            </w:pPr>
          </w:p>
        </w:tc>
      </w:tr>
      <w:tr w:rsidR="009E01F8" w:rsidRPr="00CD729C" w14:paraId="3D394BE5" w14:textId="77777777" w:rsidTr="009B4BB6">
        <w:trPr>
          <w:cantSplit/>
          <w:trHeight w:val="129"/>
        </w:trPr>
        <w:tc>
          <w:tcPr>
            <w:tcW w:w="4361" w:type="dxa"/>
            <w:tcBorders>
              <w:top w:val="nil"/>
              <w:left w:val="single" w:sz="4" w:space="0" w:color="auto"/>
              <w:bottom w:val="nil"/>
              <w:right w:val="nil"/>
            </w:tcBorders>
          </w:tcPr>
          <w:p w14:paraId="3D394BE2" w14:textId="77777777" w:rsidR="009E01F8" w:rsidRPr="00CD729C" w:rsidRDefault="009E01F8" w:rsidP="009B4BB6">
            <w:pPr>
              <w:keepNext/>
              <w:keepLines/>
              <w:widowControl w:val="0"/>
              <w:spacing w:line="240" w:lineRule="auto"/>
              <w:rPr>
                <w:color w:val="000000"/>
                <w:szCs w:val="22"/>
              </w:rPr>
            </w:pPr>
            <w:r w:rsidRPr="00CD729C">
              <w:rPr>
                <w:color w:val="000000"/>
                <w:szCs w:val="22"/>
              </w:rPr>
              <w:t>CHR proporcija n (%)</w:t>
            </w:r>
          </w:p>
        </w:tc>
        <w:tc>
          <w:tcPr>
            <w:tcW w:w="2551" w:type="dxa"/>
            <w:tcBorders>
              <w:top w:val="nil"/>
              <w:left w:val="nil"/>
              <w:bottom w:val="nil"/>
              <w:right w:val="nil"/>
            </w:tcBorders>
          </w:tcPr>
          <w:p w14:paraId="3D394BE3"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534 (96,6%)*</w:t>
            </w:r>
          </w:p>
        </w:tc>
        <w:tc>
          <w:tcPr>
            <w:tcW w:w="2373" w:type="dxa"/>
            <w:tcBorders>
              <w:top w:val="nil"/>
              <w:left w:val="nil"/>
              <w:bottom w:val="nil"/>
              <w:right w:val="single" w:sz="4" w:space="0" w:color="auto"/>
            </w:tcBorders>
          </w:tcPr>
          <w:p w14:paraId="3D394BE4"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313 (56,6%)*</w:t>
            </w:r>
          </w:p>
        </w:tc>
      </w:tr>
      <w:tr w:rsidR="009E01F8" w:rsidRPr="00CD729C" w14:paraId="3D394BE9" w14:textId="77777777" w:rsidTr="009B4BB6">
        <w:trPr>
          <w:cantSplit/>
        </w:trPr>
        <w:tc>
          <w:tcPr>
            <w:tcW w:w="4361" w:type="dxa"/>
            <w:tcBorders>
              <w:top w:val="nil"/>
              <w:left w:val="single" w:sz="4" w:space="0" w:color="auto"/>
              <w:bottom w:val="nil"/>
              <w:right w:val="nil"/>
            </w:tcBorders>
          </w:tcPr>
          <w:p w14:paraId="3D394BE6" w14:textId="77777777" w:rsidR="009E01F8" w:rsidRPr="00CD729C" w:rsidRDefault="009E01F8" w:rsidP="009B4BB6">
            <w:pPr>
              <w:pStyle w:val="EndnoteText"/>
              <w:keepNext/>
              <w:keepLines/>
              <w:widowControl w:val="0"/>
              <w:tabs>
                <w:tab w:val="clear" w:pos="567"/>
                <w:tab w:val="left" w:pos="284"/>
              </w:tabs>
              <w:rPr>
                <w:color w:val="000000"/>
                <w:szCs w:val="22"/>
              </w:rPr>
            </w:pPr>
            <w:r w:rsidRPr="00CD729C">
              <w:rPr>
                <w:color w:val="000000"/>
                <w:szCs w:val="22"/>
              </w:rPr>
              <w:tab/>
              <w:t>[95% TI]</w:t>
            </w:r>
          </w:p>
        </w:tc>
        <w:tc>
          <w:tcPr>
            <w:tcW w:w="2551" w:type="dxa"/>
            <w:tcBorders>
              <w:top w:val="nil"/>
              <w:left w:val="nil"/>
              <w:bottom w:val="nil"/>
              <w:right w:val="nil"/>
            </w:tcBorders>
          </w:tcPr>
          <w:p w14:paraId="3D394BE7"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[94,7%, 97,9%]</w:t>
            </w:r>
          </w:p>
        </w:tc>
        <w:tc>
          <w:tcPr>
            <w:tcW w:w="2373" w:type="dxa"/>
            <w:tcBorders>
              <w:top w:val="nil"/>
              <w:left w:val="nil"/>
              <w:bottom w:val="nil"/>
              <w:right w:val="single" w:sz="4" w:space="0" w:color="auto"/>
            </w:tcBorders>
          </w:tcPr>
          <w:p w14:paraId="3D394BE8"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[52,4%, 60,8%]</w:t>
            </w:r>
          </w:p>
        </w:tc>
      </w:tr>
      <w:tr w:rsidR="009E01F8" w:rsidRPr="00CD729C" w14:paraId="3D394BED" w14:textId="77777777" w:rsidTr="009B4BB6">
        <w:trPr>
          <w:cantSplit/>
        </w:trPr>
        <w:tc>
          <w:tcPr>
            <w:tcW w:w="4361" w:type="dxa"/>
            <w:tcBorders>
              <w:top w:val="nil"/>
              <w:left w:val="single" w:sz="4" w:space="0" w:color="auto"/>
              <w:bottom w:val="nil"/>
              <w:right w:val="nil"/>
            </w:tcBorders>
          </w:tcPr>
          <w:p w14:paraId="3D394BEA" w14:textId="77777777" w:rsidR="009E01F8" w:rsidRPr="00CD729C" w:rsidRDefault="009E01F8" w:rsidP="009B4BB6">
            <w:pPr>
              <w:keepNext/>
              <w:keepLines/>
              <w:widowControl w:val="0"/>
              <w:spacing w:line="240" w:lineRule="auto"/>
              <w:rPr>
                <w:color w:val="000000"/>
                <w:szCs w:val="22"/>
              </w:rPr>
            </w:pPr>
          </w:p>
        </w:tc>
        <w:tc>
          <w:tcPr>
            <w:tcW w:w="2551" w:type="dxa"/>
            <w:tcBorders>
              <w:top w:val="nil"/>
              <w:left w:val="nil"/>
              <w:bottom w:val="nil"/>
              <w:right w:val="nil"/>
            </w:tcBorders>
          </w:tcPr>
          <w:p w14:paraId="3D394BEB" w14:textId="77777777" w:rsidR="009E01F8" w:rsidRPr="00CD729C" w:rsidRDefault="009E01F8" w:rsidP="009B4BB6">
            <w:pPr>
              <w:keepNext/>
              <w:keepLines/>
              <w:widowControl w:val="0"/>
              <w:spacing w:line="240" w:lineRule="auto"/>
              <w:rPr>
                <w:color w:val="000000"/>
                <w:szCs w:val="22"/>
              </w:rPr>
            </w:pPr>
          </w:p>
        </w:tc>
        <w:tc>
          <w:tcPr>
            <w:tcW w:w="2373" w:type="dxa"/>
            <w:tcBorders>
              <w:top w:val="nil"/>
              <w:left w:val="nil"/>
              <w:bottom w:val="nil"/>
              <w:right w:val="single" w:sz="4" w:space="0" w:color="auto"/>
            </w:tcBorders>
          </w:tcPr>
          <w:p w14:paraId="3D394BEC" w14:textId="77777777" w:rsidR="009E01F8" w:rsidRPr="00CD729C" w:rsidRDefault="009E01F8" w:rsidP="009B4BB6">
            <w:pPr>
              <w:keepNext/>
              <w:keepLines/>
              <w:widowControl w:val="0"/>
              <w:spacing w:line="240" w:lineRule="auto"/>
              <w:rPr>
                <w:color w:val="000000"/>
                <w:szCs w:val="22"/>
              </w:rPr>
            </w:pPr>
          </w:p>
        </w:tc>
      </w:tr>
      <w:tr w:rsidR="009E01F8" w:rsidRPr="00CD729C" w14:paraId="3D394BF1" w14:textId="77777777" w:rsidTr="009B4BB6">
        <w:trPr>
          <w:cantSplit/>
        </w:trPr>
        <w:tc>
          <w:tcPr>
            <w:tcW w:w="4361" w:type="dxa"/>
            <w:tcBorders>
              <w:top w:val="nil"/>
              <w:left w:val="single" w:sz="4" w:space="0" w:color="auto"/>
              <w:bottom w:val="nil"/>
              <w:right w:val="nil"/>
            </w:tcBorders>
          </w:tcPr>
          <w:p w14:paraId="3D394BEE" w14:textId="77777777" w:rsidR="009E01F8" w:rsidRPr="00CD729C" w:rsidRDefault="009E01F8" w:rsidP="009B4BB6">
            <w:pPr>
              <w:keepNext/>
              <w:keepLines/>
              <w:widowControl w:val="0"/>
              <w:spacing w:line="240" w:lineRule="auto"/>
              <w:rPr>
                <w:color w:val="000000"/>
                <w:szCs w:val="22"/>
              </w:rPr>
            </w:pPr>
            <w:r w:rsidRPr="00CD729C">
              <w:rPr>
                <w:b/>
                <w:color w:val="000000"/>
                <w:szCs w:val="22"/>
              </w:rPr>
              <w:t>Citoģenētiskā atbildes reakcija</w:t>
            </w:r>
          </w:p>
        </w:tc>
        <w:tc>
          <w:tcPr>
            <w:tcW w:w="2551" w:type="dxa"/>
            <w:tcBorders>
              <w:top w:val="nil"/>
              <w:left w:val="nil"/>
              <w:bottom w:val="nil"/>
              <w:right w:val="nil"/>
            </w:tcBorders>
          </w:tcPr>
          <w:p w14:paraId="3D394BEF" w14:textId="77777777" w:rsidR="009E01F8" w:rsidRPr="00CD729C" w:rsidRDefault="009E01F8" w:rsidP="009B4BB6">
            <w:pPr>
              <w:keepNext/>
              <w:keepLines/>
              <w:widowControl w:val="0"/>
              <w:spacing w:line="240" w:lineRule="auto"/>
              <w:jc w:val="center"/>
              <w:rPr>
                <w:color w:val="000000"/>
                <w:szCs w:val="22"/>
              </w:rPr>
            </w:pPr>
          </w:p>
        </w:tc>
        <w:tc>
          <w:tcPr>
            <w:tcW w:w="2373" w:type="dxa"/>
            <w:tcBorders>
              <w:top w:val="nil"/>
              <w:left w:val="nil"/>
              <w:bottom w:val="nil"/>
              <w:right w:val="single" w:sz="4" w:space="0" w:color="auto"/>
            </w:tcBorders>
          </w:tcPr>
          <w:p w14:paraId="3D394BF0" w14:textId="77777777" w:rsidR="009E01F8" w:rsidRPr="00CD729C" w:rsidRDefault="009E01F8" w:rsidP="009B4BB6">
            <w:pPr>
              <w:keepNext/>
              <w:keepLines/>
              <w:widowControl w:val="0"/>
              <w:spacing w:line="240" w:lineRule="auto"/>
              <w:jc w:val="center"/>
              <w:rPr>
                <w:color w:val="000000"/>
                <w:szCs w:val="22"/>
              </w:rPr>
            </w:pPr>
          </w:p>
        </w:tc>
      </w:tr>
      <w:tr w:rsidR="009E01F8" w:rsidRPr="00CD729C" w14:paraId="3D394BF5" w14:textId="77777777" w:rsidTr="009B4BB6">
        <w:trPr>
          <w:cantSplit/>
        </w:trPr>
        <w:tc>
          <w:tcPr>
            <w:tcW w:w="4361" w:type="dxa"/>
            <w:tcBorders>
              <w:top w:val="nil"/>
              <w:left w:val="single" w:sz="4" w:space="0" w:color="auto"/>
              <w:bottom w:val="nil"/>
              <w:right w:val="nil"/>
            </w:tcBorders>
          </w:tcPr>
          <w:p w14:paraId="3D394BF2" w14:textId="77777777" w:rsidR="009E01F8" w:rsidRPr="00CD729C" w:rsidRDefault="009E01F8" w:rsidP="009B4BB6">
            <w:pPr>
              <w:keepNext/>
              <w:keepLines/>
              <w:widowControl w:val="0"/>
              <w:spacing w:line="240" w:lineRule="auto"/>
              <w:rPr>
                <w:color w:val="000000"/>
                <w:szCs w:val="22"/>
              </w:rPr>
            </w:pPr>
            <w:r w:rsidRPr="00CD729C">
              <w:rPr>
                <w:color w:val="000000"/>
                <w:szCs w:val="22"/>
              </w:rPr>
              <w:t>Nozīmīga reakcija n (%)</w:t>
            </w:r>
          </w:p>
        </w:tc>
        <w:tc>
          <w:tcPr>
            <w:tcW w:w="2551" w:type="dxa"/>
            <w:tcBorders>
              <w:top w:val="nil"/>
              <w:left w:val="nil"/>
              <w:bottom w:val="nil"/>
              <w:right w:val="nil"/>
            </w:tcBorders>
          </w:tcPr>
          <w:p w14:paraId="3D394BF3"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490 (88,6%)*</w:t>
            </w:r>
          </w:p>
        </w:tc>
        <w:tc>
          <w:tcPr>
            <w:tcW w:w="2373" w:type="dxa"/>
            <w:tcBorders>
              <w:top w:val="nil"/>
              <w:left w:val="nil"/>
              <w:bottom w:val="nil"/>
              <w:right w:val="single" w:sz="4" w:space="0" w:color="auto"/>
            </w:tcBorders>
          </w:tcPr>
          <w:p w14:paraId="3D394BF4"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129 (23,3%)*</w:t>
            </w:r>
          </w:p>
        </w:tc>
      </w:tr>
      <w:tr w:rsidR="009E01F8" w:rsidRPr="00CD729C" w14:paraId="3D394BF9" w14:textId="77777777" w:rsidTr="009B4BB6">
        <w:trPr>
          <w:cantSplit/>
        </w:trPr>
        <w:tc>
          <w:tcPr>
            <w:tcW w:w="4361" w:type="dxa"/>
            <w:tcBorders>
              <w:top w:val="nil"/>
              <w:left w:val="single" w:sz="4" w:space="0" w:color="auto"/>
              <w:bottom w:val="nil"/>
              <w:right w:val="nil"/>
            </w:tcBorders>
          </w:tcPr>
          <w:p w14:paraId="3D394BF6" w14:textId="77777777" w:rsidR="009E01F8" w:rsidRPr="00CD729C" w:rsidRDefault="009E01F8" w:rsidP="009B4BB6">
            <w:pPr>
              <w:keepNext/>
              <w:keepLines/>
              <w:widowControl w:val="0"/>
              <w:tabs>
                <w:tab w:val="left" w:pos="284"/>
              </w:tabs>
              <w:spacing w:line="240" w:lineRule="auto"/>
              <w:rPr>
                <w:color w:val="000000"/>
                <w:szCs w:val="22"/>
              </w:rPr>
            </w:pPr>
            <w:r w:rsidRPr="00CD729C">
              <w:rPr>
                <w:color w:val="000000"/>
                <w:szCs w:val="22"/>
              </w:rPr>
              <w:tab/>
              <w:t>[95% TI]</w:t>
            </w:r>
          </w:p>
        </w:tc>
        <w:tc>
          <w:tcPr>
            <w:tcW w:w="2551" w:type="dxa"/>
            <w:tcBorders>
              <w:top w:val="nil"/>
              <w:left w:val="nil"/>
              <w:bottom w:val="nil"/>
              <w:right w:val="nil"/>
            </w:tcBorders>
          </w:tcPr>
          <w:p w14:paraId="3D394BF7"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[85,7%, 91,1%]</w:t>
            </w:r>
          </w:p>
        </w:tc>
        <w:tc>
          <w:tcPr>
            <w:tcW w:w="2373" w:type="dxa"/>
            <w:tcBorders>
              <w:top w:val="nil"/>
              <w:left w:val="nil"/>
              <w:bottom w:val="nil"/>
              <w:right w:val="single" w:sz="4" w:space="0" w:color="auto"/>
            </w:tcBorders>
          </w:tcPr>
          <w:p w14:paraId="3D394BF8"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[19,9%, 27,1%]</w:t>
            </w:r>
          </w:p>
        </w:tc>
      </w:tr>
      <w:tr w:rsidR="009E01F8" w:rsidRPr="00CD729C" w14:paraId="3D394BFD" w14:textId="77777777" w:rsidTr="009B4BB6">
        <w:trPr>
          <w:cantSplit/>
        </w:trPr>
        <w:tc>
          <w:tcPr>
            <w:tcW w:w="4361" w:type="dxa"/>
            <w:tcBorders>
              <w:top w:val="nil"/>
              <w:left w:val="single" w:sz="4" w:space="0" w:color="auto"/>
              <w:bottom w:val="nil"/>
              <w:right w:val="nil"/>
            </w:tcBorders>
          </w:tcPr>
          <w:p w14:paraId="3D394BFA" w14:textId="77777777" w:rsidR="009E01F8" w:rsidRPr="00CD729C" w:rsidRDefault="009E01F8" w:rsidP="009B4BB6">
            <w:pPr>
              <w:keepNext/>
              <w:keepLines/>
              <w:widowControl w:val="0"/>
              <w:tabs>
                <w:tab w:val="left" w:pos="284"/>
              </w:tabs>
              <w:spacing w:line="240" w:lineRule="auto"/>
              <w:rPr>
                <w:color w:val="000000"/>
                <w:szCs w:val="22"/>
              </w:rPr>
            </w:pPr>
            <w:r w:rsidRPr="00CD729C">
              <w:rPr>
                <w:color w:val="000000"/>
                <w:szCs w:val="22"/>
              </w:rPr>
              <w:tab/>
              <w:t>Pilnīgs CyR n (%)</w:t>
            </w:r>
          </w:p>
        </w:tc>
        <w:tc>
          <w:tcPr>
            <w:tcW w:w="2551" w:type="dxa"/>
            <w:tcBorders>
              <w:top w:val="nil"/>
              <w:left w:val="nil"/>
              <w:bottom w:val="nil"/>
              <w:right w:val="nil"/>
            </w:tcBorders>
          </w:tcPr>
          <w:p w14:paraId="3D394BFB"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456 (82,5%)*</w:t>
            </w:r>
          </w:p>
        </w:tc>
        <w:tc>
          <w:tcPr>
            <w:tcW w:w="2373" w:type="dxa"/>
            <w:tcBorders>
              <w:top w:val="nil"/>
              <w:left w:val="nil"/>
              <w:bottom w:val="nil"/>
              <w:right w:val="single" w:sz="4" w:space="0" w:color="auto"/>
            </w:tcBorders>
          </w:tcPr>
          <w:p w14:paraId="3D394BFC"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64 (11,6%)*</w:t>
            </w:r>
          </w:p>
        </w:tc>
      </w:tr>
      <w:tr w:rsidR="009E01F8" w:rsidRPr="00CD729C" w14:paraId="3D394C01" w14:textId="77777777" w:rsidTr="009B4BB6">
        <w:trPr>
          <w:cantSplit/>
        </w:trPr>
        <w:tc>
          <w:tcPr>
            <w:tcW w:w="4361" w:type="dxa"/>
            <w:tcBorders>
              <w:top w:val="nil"/>
              <w:left w:val="single" w:sz="4" w:space="0" w:color="auto"/>
              <w:bottom w:val="nil"/>
              <w:right w:val="nil"/>
            </w:tcBorders>
          </w:tcPr>
          <w:p w14:paraId="3D394BFE" w14:textId="77777777" w:rsidR="009E01F8" w:rsidRPr="00CD729C" w:rsidRDefault="009E01F8" w:rsidP="009B4BB6">
            <w:pPr>
              <w:keepNext/>
              <w:keepLines/>
              <w:widowControl w:val="0"/>
              <w:tabs>
                <w:tab w:val="left" w:pos="284"/>
              </w:tabs>
              <w:spacing w:line="240" w:lineRule="auto"/>
              <w:rPr>
                <w:color w:val="000000"/>
                <w:szCs w:val="22"/>
              </w:rPr>
            </w:pPr>
            <w:r w:rsidRPr="00CD729C">
              <w:rPr>
                <w:color w:val="000000"/>
                <w:szCs w:val="22"/>
              </w:rPr>
              <w:tab/>
              <w:t>Daļējs CyR n (%)</w:t>
            </w:r>
          </w:p>
        </w:tc>
        <w:tc>
          <w:tcPr>
            <w:tcW w:w="2551" w:type="dxa"/>
            <w:tcBorders>
              <w:top w:val="nil"/>
              <w:left w:val="nil"/>
              <w:bottom w:val="nil"/>
              <w:right w:val="nil"/>
            </w:tcBorders>
          </w:tcPr>
          <w:p w14:paraId="3D394BFF"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34 (6,1%)</w:t>
            </w:r>
          </w:p>
        </w:tc>
        <w:tc>
          <w:tcPr>
            <w:tcW w:w="2373" w:type="dxa"/>
            <w:tcBorders>
              <w:top w:val="nil"/>
              <w:left w:val="nil"/>
              <w:bottom w:val="nil"/>
              <w:right w:val="single" w:sz="4" w:space="0" w:color="auto"/>
            </w:tcBorders>
          </w:tcPr>
          <w:p w14:paraId="3D394C00"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65 (11,8%)</w:t>
            </w:r>
          </w:p>
        </w:tc>
      </w:tr>
      <w:tr w:rsidR="009E01F8" w:rsidRPr="00CD729C" w14:paraId="3D394C05" w14:textId="77777777" w:rsidTr="009B4BB6">
        <w:trPr>
          <w:cantSplit/>
        </w:trPr>
        <w:tc>
          <w:tcPr>
            <w:tcW w:w="4361" w:type="dxa"/>
            <w:tcBorders>
              <w:top w:val="nil"/>
              <w:left w:val="single" w:sz="4" w:space="0" w:color="auto"/>
              <w:bottom w:val="nil"/>
              <w:right w:val="nil"/>
            </w:tcBorders>
          </w:tcPr>
          <w:p w14:paraId="3D394C02" w14:textId="77777777" w:rsidR="009E01F8" w:rsidRPr="00CD729C" w:rsidRDefault="009E01F8" w:rsidP="009B4BB6">
            <w:pPr>
              <w:keepNext/>
              <w:keepLines/>
              <w:widowControl w:val="0"/>
              <w:tabs>
                <w:tab w:val="left" w:pos="284"/>
              </w:tabs>
              <w:spacing w:line="240" w:lineRule="auto"/>
              <w:rPr>
                <w:b/>
                <w:color w:val="000000"/>
                <w:szCs w:val="22"/>
                <w:u w:val="single"/>
              </w:rPr>
            </w:pPr>
          </w:p>
        </w:tc>
        <w:tc>
          <w:tcPr>
            <w:tcW w:w="2551" w:type="dxa"/>
            <w:tcBorders>
              <w:top w:val="nil"/>
              <w:left w:val="nil"/>
              <w:bottom w:val="nil"/>
              <w:right w:val="nil"/>
            </w:tcBorders>
          </w:tcPr>
          <w:p w14:paraId="3D394C03" w14:textId="77777777" w:rsidR="009E01F8" w:rsidRPr="00CD729C" w:rsidRDefault="009E01F8" w:rsidP="009B4BB6">
            <w:pPr>
              <w:keepNext/>
              <w:keepLines/>
              <w:widowControl w:val="0"/>
              <w:spacing w:line="240" w:lineRule="auto"/>
              <w:jc w:val="center"/>
              <w:rPr>
                <w:color w:val="000000"/>
                <w:szCs w:val="22"/>
              </w:rPr>
            </w:pPr>
          </w:p>
        </w:tc>
        <w:tc>
          <w:tcPr>
            <w:tcW w:w="2373" w:type="dxa"/>
            <w:tcBorders>
              <w:top w:val="nil"/>
              <w:left w:val="nil"/>
              <w:bottom w:val="nil"/>
              <w:right w:val="single" w:sz="4" w:space="0" w:color="auto"/>
            </w:tcBorders>
          </w:tcPr>
          <w:p w14:paraId="3D394C04" w14:textId="77777777" w:rsidR="009E01F8" w:rsidRPr="00CD729C" w:rsidRDefault="009E01F8" w:rsidP="009B4BB6">
            <w:pPr>
              <w:keepNext/>
              <w:keepLines/>
              <w:widowControl w:val="0"/>
              <w:spacing w:line="240" w:lineRule="auto"/>
              <w:jc w:val="center"/>
              <w:rPr>
                <w:color w:val="000000"/>
                <w:szCs w:val="22"/>
              </w:rPr>
            </w:pPr>
          </w:p>
        </w:tc>
      </w:tr>
      <w:tr w:rsidR="009E01F8" w:rsidRPr="00CD729C" w14:paraId="3D394C09" w14:textId="77777777" w:rsidTr="009B4BB6">
        <w:trPr>
          <w:cantSplit/>
        </w:trPr>
        <w:tc>
          <w:tcPr>
            <w:tcW w:w="4361" w:type="dxa"/>
            <w:tcBorders>
              <w:top w:val="nil"/>
              <w:left w:val="single" w:sz="4" w:space="0" w:color="auto"/>
              <w:bottom w:val="nil"/>
              <w:right w:val="nil"/>
            </w:tcBorders>
          </w:tcPr>
          <w:p w14:paraId="3D394C06" w14:textId="77777777" w:rsidR="009E01F8" w:rsidRPr="00CD729C" w:rsidRDefault="009E01F8" w:rsidP="009B4BB6">
            <w:pPr>
              <w:keepNext/>
              <w:keepLines/>
              <w:widowControl w:val="0"/>
              <w:tabs>
                <w:tab w:val="left" w:pos="284"/>
              </w:tabs>
              <w:spacing w:line="240" w:lineRule="auto"/>
              <w:rPr>
                <w:color w:val="000000"/>
                <w:szCs w:val="22"/>
              </w:rPr>
            </w:pPr>
            <w:r w:rsidRPr="00CD729C">
              <w:rPr>
                <w:b/>
                <w:color w:val="000000"/>
                <w:szCs w:val="22"/>
              </w:rPr>
              <w:t>Molekulārā atbildes reakcija</w:t>
            </w:r>
            <w:r w:rsidRPr="00CD729C">
              <w:rPr>
                <w:color w:val="000000"/>
                <w:szCs w:val="22"/>
              </w:rPr>
              <w:t>**</w:t>
            </w:r>
          </w:p>
        </w:tc>
        <w:tc>
          <w:tcPr>
            <w:tcW w:w="2551" w:type="dxa"/>
            <w:tcBorders>
              <w:top w:val="nil"/>
              <w:left w:val="nil"/>
              <w:bottom w:val="nil"/>
              <w:right w:val="nil"/>
            </w:tcBorders>
          </w:tcPr>
          <w:p w14:paraId="3D394C07" w14:textId="77777777" w:rsidR="009E01F8" w:rsidRPr="00CD729C" w:rsidRDefault="009E01F8" w:rsidP="009B4BB6">
            <w:pPr>
              <w:keepNext/>
              <w:keepLines/>
              <w:widowControl w:val="0"/>
              <w:spacing w:line="240" w:lineRule="auto"/>
              <w:jc w:val="center"/>
              <w:rPr>
                <w:color w:val="000000"/>
                <w:szCs w:val="22"/>
              </w:rPr>
            </w:pPr>
          </w:p>
        </w:tc>
        <w:tc>
          <w:tcPr>
            <w:tcW w:w="2373" w:type="dxa"/>
            <w:tcBorders>
              <w:top w:val="nil"/>
              <w:left w:val="nil"/>
              <w:bottom w:val="nil"/>
              <w:right w:val="single" w:sz="4" w:space="0" w:color="auto"/>
            </w:tcBorders>
          </w:tcPr>
          <w:p w14:paraId="3D394C08" w14:textId="77777777" w:rsidR="009E01F8" w:rsidRPr="00CD729C" w:rsidRDefault="009E01F8" w:rsidP="009B4BB6">
            <w:pPr>
              <w:keepNext/>
              <w:keepLines/>
              <w:widowControl w:val="0"/>
              <w:spacing w:line="240" w:lineRule="auto"/>
              <w:jc w:val="center"/>
              <w:rPr>
                <w:color w:val="000000"/>
                <w:szCs w:val="22"/>
              </w:rPr>
            </w:pPr>
          </w:p>
        </w:tc>
      </w:tr>
      <w:tr w:rsidR="009E01F8" w:rsidRPr="00CD729C" w14:paraId="3D394C0D" w14:textId="77777777" w:rsidTr="009B4BB6">
        <w:trPr>
          <w:cantSplit/>
        </w:trPr>
        <w:tc>
          <w:tcPr>
            <w:tcW w:w="4361" w:type="dxa"/>
            <w:tcBorders>
              <w:top w:val="nil"/>
              <w:left w:val="single" w:sz="4" w:space="0" w:color="auto"/>
              <w:bottom w:val="nil"/>
              <w:right w:val="nil"/>
            </w:tcBorders>
          </w:tcPr>
          <w:p w14:paraId="3D394C0A" w14:textId="77777777" w:rsidR="009E01F8" w:rsidRPr="00CD729C" w:rsidRDefault="009E01F8" w:rsidP="009B4BB6">
            <w:pPr>
              <w:keepNext/>
              <w:keepLines/>
              <w:widowControl w:val="0"/>
              <w:tabs>
                <w:tab w:val="left" w:pos="284"/>
              </w:tabs>
              <w:spacing w:line="240" w:lineRule="auto"/>
              <w:rPr>
                <w:color w:val="000000"/>
                <w:szCs w:val="22"/>
              </w:rPr>
            </w:pPr>
            <w:r w:rsidRPr="00CD729C">
              <w:rPr>
                <w:color w:val="000000"/>
                <w:szCs w:val="22"/>
              </w:rPr>
              <w:t>Nozīmīga reakcija pēc 12 mēnešiem (%)</w:t>
            </w:r>
          </w:p>
        </w:tc>
        <w:tc>
          <w:tcPr>
            <w:tcW w:w="2551" w:type="dxa"/>
            <w:tcBorders>
              <w:top w:val="nil"/>
              <w:left w:val="nil"/>
              <w:bottom w:val="nil"/>
              <w:right w:val="nil"/>
            </w:tcBorders>
          </w:tcPr>
          <w:p w14:paraId="3D394C0B" w14:textId="77777777" w:rsidR="009E01F8" w:rsidRPr="00CD729C" w:rsidRDefault="009E01F8" w:rsidP="009B4BB6">
            <w:pPr>
              <w:keepNext/>
              <w:keepLines/>
              <w:widowControl w:val="0"/>
              <w:spacing w:line="240" w:lineRule="auto"/>
              <w:jc w:val="center"/>
              <w:rPr>
                <w:color w:val="000000"/>
                <w:szCs w:val="22"/>
              </w:rPr>
            </w:pPr>
            <w:r w:rsidRPr="00CD729C">
              <w:rPr>
                <w:szCs w:val="22"/>
              </w:rPr>
              <w:t>153/305=50,2%</w:t>
            </w:r>
          </w:p>
        </w:tc>
        <w:tc>
          <w:tcPr>
            <w:tcW w:w="2373" w:type="dxa"/>
            <w:tcBorders>
              <w:top w:val="nil"/>
              <w:left w:val="nil"/>
              <w:bottom w:val="nil"/>
              <w:right w:val="single" w:sz="4" w:space="0" w:color="auto"/>
            </w:tcBorders>
          </w:tcPr>
          <w:p w14:paraId="3D394C0C" w14:textId="77777777" w:rsidR="009E01F8" w:rsidRPr="00CD729C" w:rsidRDefault="009E01F8" w:rsidP="009B4BB6">
            <w:pPr>
              <w:keepNext/>
              <w:keepLines/>
              <w:widowControl w:val="0"/>
              <w:spacing w:line="240" w:lineRule="auto"/>
              <w:jc w:val="center"/>
              <w:rPr>
                <w:color w:val="000000"/>
                <w:szCs w:val="22"/>
              </w:rPr>
            </w:pPr>
            <w:r w:rsidRPr="00CD729C">
              <w:rPr>
                <w:szCs w:val="22"/>
              </w:rPr>
              <w:t>8/83=9,6%</w:t>
            </w:r>
          </w:p>
        </w:tc>
      </w:tr>
      <w:tr w:rsidR="009E01F8" w:rsidRPr="00CD729C" w14:paraId="3D394C11" w14:textId="77777777" w:rsidTr="009B4BB6">
        <w:trPr>
          <w:cantSplit/>
        </w:trPr>
        <w:tc>
          <w:tcPr>
            <w:tcW w:w="4361" w:type="dxa"/>
            <w:tcBorders>
              <w:top w:val="nil"/>
              <w:left w:val="single" w:sz="4" w:space="0" w:color="auto"/>
              <w:bottom w:val="nil"/>
              <w:right w:val="nil"/>
            </w:tcBorders>
          </w:tcPr>
          <w:p w14:paraId="3D394C0E" w14:textId="77777777" w:rsidR="009E01F8" w:rsidRPr="00CD729C" w:rsidRDefault="009E01F8" w:rsidP="009B4BB6">
            <w:pPr>
              <w:keepNext/>
              <w:keepLines/>
              <w:widowControl w:val="0"/>
              <w:tabs>
                <w:tab w:val="left" w:pos="284"/>
              </w:tabs>
              <w:spacing w:line="240" w:lineRule="auto"/>
              <w:rPr>
                <w:color w:val="000000"/>
                <w:szCs w:val="22"/>
              </w:rPr>
            </w:pPr>
            <w:r w:rsidRPr="00CD729C">
              <w:rPr>
                <w:color w:val="000000"/>
                <w:szCs w:val="22"/>
              </w:rPr>
              <w:t>Nozīmīga reakcija pēc 24 mēnešiem (%)</w:t>
            </w:r>
          </w:p>
        </w:tc>
        <w:tc>
          <w:tcPr>
            <w:tcW w:w="2551" w:type="dxa"/>
            <w:tcBorders>
              <w:top w:val="nil"/>
              <w:left w:val="nil"/>
              <w:bottom w:val="nil"/>
              <w:right w:val="nil"/>
            </w:tcBorders>
          </w:tcPr>
          <w:p w14:paraId="3D394C0F" w14:textId="77777777" w:rsidR="009E01F8" w:rsidRPr="00CD729C" w:rsidRDefault="009E01F8" w:rsidP="009B4BB6">
            <w:pPr>
              <w:keepNext/>
              <w:keepLines/>
              <w:widowControl w:val="0"/>
              <w:spacing w:line="240" w:lineRule="auto"/>
              <w:jc w:val="center"/>
              <w:rPr>
                <w:color w:val="000000"/>
                <w:szCs w:val="22"/>
              </w:rPr>
            </w:pPr>
            <w:r w:rsidRPr="00CD729C">
              <w:rPr>
                <w:szCs w:val="22"/>
              </w:rPr>
              <w:t>73/104=70,2%</w:t>
            </w:r>
          </w:p>
        </w:tc>
        <w:tc>
          <w:tcPr>
            <w:tcW w:w="2373" w:type="dxa"/>
            <w:tcBorders>
              <w:top w:val="nil"/>
              <w:left w:val="nil"/>
              <w:bottom w:val="nil"/>
              <w:right w:val="single" w:sz="4" w:space="0" w:color="auto"/>
            </w:tcBorders>
          </w:tcPr>
          <w:p w14:paraId="3D394C10" w14:textId="77777777" w:rsidR="009E01F8" w:rsidRPr="00CD729C" w:rsidRDefault="009E01F8" w:rsidP="009B4BB6">
            <w:pPr>
              <w:keepNext/>
              <w:keepLines/>
              <w:widowControl w:val="0"/>
              <w:spacing w:line="240" w:lineRule="auto"/>
              <w:jc w:val="center"/>
              <w:rPr>
                <w:color w:val="000000"/>
                <w:szCs w:val="22"/>
              </w:rPr>
            </w:pPr>
            <w:r w:rsidRPr="00CD729C">
              <w:rPr>
                <w:szCs w:val="22"/>
              </w:rPr>
              <w:t>3/12=25%</w:t>
            </w:r>
          </w:p>
        </w:tc>
      </w:tr>
      <w:tr w:rsidR="009E01F8" w:rsidRPr="00CD729C" w14:paraId="3D394C15" w14:textId="77777777" w:rsidTr="009B4BB6">
        <w:trPr>
          <w:cantSplit/>
        </w:trPr>
        <w:tc>
          <w:tcPr>
            <w:tcW w:w="4361" w:type="dxa"/>
            <w:tcBorders>
              <w:top w:val="nil"/>
              <w:left w:val="single" w:sz="4" w:space="0" w:color="auto"/>
              <w:bottom w:val="single" w:sz="4" w:space="0" w:color="auto"/>
              <w:right w:val="nil"/>
            </w:tcBorders>
          </w:tcPr>
          <w:p w14:paraId="3D394C12" w14:textId="77777777" w:rsidR="009E01F8" w:rsidRPr="00CD729C" w:rsidRDefault="009E01F8" w:rsidP="009B4BB6">
            <w:pPr>
              <w:keepNext/>
              <w:keepLines/>
              <w:widowControl w:val="0"/>
              <w:tabs>
                <w:tab w:val="left" w:pos="284"/>
              </w:tabs>
              <w:spacing w:line="240" w:lineRule="auto"/>
              <w:rPr>
                <w:color w:val="000000"/>
                <w:szCs w:val="22"/>
              </w:rPr>
            </w:pPr>
            <w:r w:rsidRPr="00CD729C">
              <w:rPr>
                <w:color w:val="000000"/>
                <w:szCs w:val="22"/>
              </w:rPr>
              <w:t>Nozīmīga reakcija pēc 84 mēnešiem (%)</w:t>
            </w:r>
          </w:p>
        </w:tc>
        <w:tc>
          <w:tcPr>
            <w:tcW w:w="2551" w:type="dxa"/>
            <w:tcBorders>
              <w:top w:val="nil"/>
              <w:left w:val="nil"/>
              <w:bottom w:val="single" w:sz="4" w:space="0" w:color="auto"/>
              <w:right w:val="nil"/>
            </w:tcBorders>
          </w:tcPr>
          <w:p w14:paraId="3D394C13" w14:textId="77777777" w:rsidR="009E01F8" w:rsidRPr="00CD729C" w:rsidRDefault="009E01F8" w:rsidP="009B4BB6">
            <w:pPr>
              <w:keepNext/>
              <w:keepLines/>
              <w:widowControl w:val="0"/>
              <w:spacing w:line="240" w:lineRule="auto"/>
              <w:jc w:val="center"/>
              <w:rPr>
                <w:color w:val="000000"/>
                <w:szCs w:val="22"/>
              </w:rPr>
            </w:pPr>
            <w:r w:rsidRPr="00CD729C">
              <w:rPr>
                <w:szCs w:val="22"/>
              </w:rPr>
              <w:t>102/116=87,9%</w:t>
            </w:r>
          </w:p>
        </w:tc>
        <w:tc>
          <w:tcPr>
            <w:tcW w:w="2373" w:type="dxa"/>
            <w:tcBorders>
              <w:top w:val="nil"/>
              <w:left w:val="nil"/>
              <w:bottom w:val="single" w:sz="4" w:space="0" w:color="auto"/>
              <w:right w:val="single" w:sz="4" w:space="0" w:color="auto"/>
            </w:tcBorders>
          </w:tcPr>
          <w:p w14:paraId="3D394C14" w14:textId="77777777" w:rsidR="009E01F8" w:rsidRPr="00CD729C" w:rsidRDefault="009E01F8" w:rsidP="009B4BB6">
            <w:pPr>
              <w:keepNext/>
              <w:keepLines/>
              <w:widowControl w:val="0"/>
              <w:spacing w:line="240" w:lineRule="auto"/>
              <w:jc w:val="center"/>
              <w:rPr>
                <w:color w:val="000000"/>
                <w:szCs w:val="22"/>
              </w:rPr>
            </w:pPr>
            <w:r w:rsidRPr="00CD729C">
              <w:rPr>
                <w:szCs w:val="22"/>
              </w:rPr>
              <w:t>3/4=75%</w:t>
            </w:r>
          </w:p>
        </w:tc>
      </w:tr>
      <w:tr w:rsidR="009E01F8" w:rsidRPr="00CD729C" w14:paraId="3D394C1C" w14:textId="77777777" w:rsidTr="009B4BB6">
        <w:trPr>
          <w:cantSplit/>
        </w:trPr>
        <w:tc>
          <w:tcPr>
            <w:tcW w:w="9285" w:type="dxa"/>
            <w:gridSpan w:val="3"/>
            <w:tcBorders>
              <w:top w:val="nil"/>
            </w:tcBorders>
          </w:tcPr>
          <w:p w14:paraId="3D394C16" w14:textId="77777777" w:rsidR="009E01F8" w:rsidRPr="00CD729C" w:rsidRDefault="009E01F8" w:rsidP="009B4BB6">
            <w:pPr>
              <w:pStyle w:val="EndnoteText"/>
              <w:keepNext/>
              <w:keepLines/>
              <w:widowControl w:val="0"/>
              <w:rPr>
                <w:color w:val="000000"/>
                <w:szCs w:val="22"/>
              </w:rPr>
            </w:pPr>
            <w:r w:rsidRPr="00CD729C">
              <w:rPr>
                <w:color w:val="000000"/>
                <w:szCs w:val="22"/>
              </w:rPr>
              <w:t>* p&lt;0,001, Fišera tests</w:t>
            </w:r>
          </w:p>
          <w:p w14:paraId="3D394C17" w14:textId="77777777" w:rsidR="009E01F8" w:rsidRPr="00CD729C" w:rsidRDefault="009E01F8" w:rsidP="009B4BB6">
            <w:pPr>
              <w:keepNext/>
              <w:keepLines/>
              <w:widowControl w:val="0"/>
              <w:spacing w:line="240" w:lineRule="auto"/>
              <w:rPr>
                <w:color w:val="000000"/>
                <w:szCs w:val="22"/>
              </w:rPr>
            </w:pPr>
            <w:r w:rsidRPr="00CD729C">
              <w:rPr>
                <w:color w:val="000000"/>
                <w:szCs w:val="22"/>
              </w:rPr>
              <w:t>** molekulārās atbildes reakcijas procentuālais īpatsvars pamatojas uz pieejamajiem pacientu paraugiem</w:t>
            </w:r>
          </w:p>
          <w:p w14:paraId="3D394C18" w14:textId="77777777" w:rsidR="009E01F8" w:rsidRPr="00CD729C" w:rsidRDefault="009E01F8" w:rsidP="009B4BB6">
            <w:pPr>
              <w:pStyle w:val="BodyText2"/>
              <w:keepNext/>
              <w:keepLines/>
              <w:widowControl w:val="0"/>
              <w:spacing w:line="240" w:lineRule="auto"/>
              <w:rPr>
                <w:color w:val="000000"/>
                <w:szCs w:val="22"/>
              </w:rPr>
            </w:pPr>
            <w:r w:rsidRPr="00CD729C">
              <w:rPr>
                <w:color w:val="000000"/>
                <w:szCs w:val="22"/>
              </w:rPr>
              <w:t>Hematoloģiskās atbildes reakcijas kritēriji (visas atbildes reakcijas jāapstiprina pēc 4 nedēļas ilga vai ilgāka laika posma):</w:t>
            </w:r>
          </w:p>
          <w:p w14:paraId="3D394C19" w14:textId="77777777" w:rsidR="009E01F8" w:rsidRPr="00CD729C" w:rsidRDefault="009E01F8" w:rsidP="009B4BB6">
            <w:pPr>
              <w:keepNext/>
              <w:keepLines/>
              <w:widowControl w:val="0"/>
              <w:spacing w:line="240" w:lineRule="auto"/>
              <w:rPr>
                <w:color w:val="000000"/>
                <w:szCs w:val="22"/>
              </w:rPr>
            </w:pPr>
            <w:r w:rsidRPr="00CD729C">
              <w:rPr>
                <w:color w:val="000000"/>
                <w:szCs w:val="22"/>
              </w:rPr>
              <w:t>Leikocītu skaits &lt;10 x 10</w:t>
            </w:r>
            <w:r w:rsidRPr="00CD729C">
              <w:rPr>
                <w:color w:val="000000"/>
                <w:szCs w:val="22"/>
                <w:vertAlign w:val="superscript"/>
              </w:rPr>
              <w:t>9</w:t>
            </w:r>
            <w:r w:rsidRPr="00CD729C">
              <w:rPr>
                <w:color w:val="000000"/>
                <w:szCs w:val="22"/>
              </w:rPr>
              <w:t>/l, trombocītu skaits &lt;450 x 10</w:t>
            </w:r>
            <w:r w:rsidRPr="00CD729C">
              <w:rPr>
                <w:color w:val="000000"/>
                <w:szCs w:val="22"/>
                <w:vertAlign w:val="superscript"/>
              </w:rPr>
              <w:t>9</w:t>
            </w:r>
            <w:r w:rsidRPr="00CD729C">
              <w:rPr>
                <w:color w:val="000000"/>
                <w:szCs w:val="22"/>
              </w:rPr>
              <w:t>/l, mielocīti + metamielocīti asinīs – &lt;5%, asinīs nav blastu un promielocītu, bazofilu daudzums &lt;20%, nav ekstramedulāras ietekmes.</w:t>
            </w:r>
          </w:p>
          <w:p w14:paraId="3D394C1A" w14:textId="77777777" w:rsidR="009E01F8" w:rsidRPr="00CD729C" w:rsidRDefault="009E01F8" w:rsidP="009B4BB6">
            <w:pPr>
              <w:keepNext/>
              <w:keepLines/>
              <w:widowControl w:val="0"/>
              <w:spacing w:line="240" w:lineRule="auto"/>
              <w:rPr>
                <w:color w:val="000000"/>
                <w:szCs w:val="22"/>
              </w:rPr>
            </w:pPr>
            <w:r w:rsidRPr="00CD729C">
              <w:rPr>
                <w:b/>
                <w:color w:val="000000"/>
                <w:szCs w:val="22"/>
              </w:rPr>
              <w:t>Citoģenētiskās atbildes reakcijas kritēriji:</w:t>
            </w:r>
            <w:r w:rsidRPr="00CD729C">
              <w:rPr>
                <w:color w:val="000000"/>
                <w:szCs w:val="22"/>
              </w:rPr>
              <w:t xml:space="preserve"> pilnīga (0% Ph</w:t>
            </w:r>
            <w:r w:rsidRPr="00CD729C">
              <w:rPr>
                <w:color w:val="000000"/>
                <w:szCs w:val="22"/>
                <w:vertAlign w:val="superscript"/>
              </w:rPr>
              <w:t>+</w:t>
            </w:r>
            <w:r w:rsidRPr="00CD729C">
              <w:rPr>
                <w:color w:val="000000"/>
                <w:szCs w:val="22"/>
              </w:rPr>
              <w:t xml:space="preserve"> metafāze), daļēja (1% - 35%), neliela (36% - 65%) vai minimāla (66% - 95%). Nozīmīga atbildes reakcija (0% - 35%) apvieno daļējas un pilnīgas atbildes reakcijas.</w:t>
            </w:r>
          </w:p>
          <w:p w14:paraId="3D394C1B" w14:textId="77777777" w:rsidR="009E01F8" w:rsidRPr="00CD729C" w:rsidRDefault="009E01F8" w:rsidP="009B4BB6">
            <w:pPr>
              <w:keepNext/>
              <w:keepLines/>
              <w:widowControl w:val="0"/>
              <w:spacing w:line="240" w:lineRule="auto"/>
              <w:rPr>
                <w:color w:val="000000"/>
                <w:szCs w:val="22"/>
              </w:rPr>
            </w:pPr>
            <w:r w:rsidRPr="00CD729C">
              <w:rPr>
                <w:b/>
                <w:color w:val="000000"/>
                <w:szCs w:val="22"/>
              </w:rPr>
              <w:t>Nozīmīgas molekulārās atbildes reakcijas kritēriji:</w:t>
            </w:r>
            <w:r w:rsidRPr="00CD729C">
              <w:rPr>
                <w:color w:val="000000"/>
                <w:szCs w:val="22"/>
              </w:rPr>
              <w:t xml:space="preserve"> perifērajās asinīs Bcr-Abl kopiju daudzums samazinājies </w:t>
            </w:r>
            <w:r w:rsidRPr="00CD729C">
              <w:rPr>
                <w:color w:val="000000"/>
                <w:szCs w:val="22"/>
              </w:rPr>
              <w:sym w:font="Symbol" w:char="F0B3"/>
            </w:r>
            <w:r w:rsidRPr="00CD729C">
              <w:rPr>
                <w:color w:val="000000"/>
                <w:szCs w:val="22"/>
              </w:rPr>
              <w:t>3 logaritmiem (nosakot ar reāla laika kvantitatīvo reversās transkriptāzes PCR testu), salīdzinot ar standartizētu sākumstāvokli.</w:t>
            </w:r>
          </w:p>
        </w:tc>
      </w:tr>
    </w:tbl>
    <w:p w14:paraId="3D394C1D" w14:textId="77777777" w:rsidR="009E01F8" w:rsidRPr="00CD729C" w:rsidRDefault="009E01F8" w:rsidP="009B4BB6">
      <w:pPr>
        <w:widowControl w:val="0"/>
        <w:spacing w:line="240" w:lineRule="auto"/>
        <w:rPr>
          <w:color w:val="000000"/>
          <w:szCs w:val="22"/>
        </w:rPr>
      </w:pPr>
    </w:p>
    <w:p w14:paraId="3D394C1E" w14:textId="77777777" w:rsidR="009E01F8" w:rsidRPr="00CD729C" w:rsidRDefault="009E01F8" w:rsidP="009B4BB6">
      <w:pPr>
        <w:pStyle w:val="EndnoteText"/>
        <w:widowControl w:val="0"/>
        <w:rPr>
          <w:color w:val="000000"/>
          <w:szCs w:val="22"/>
        </w:rPr>
      </w:pPr>
      <w:r w:rsidRPr="00CD729C">
        <w:rPr>
          <w:color w:val="000000"/>
          <w:szCs w:val="22"/>
        </w:rPr>
        <w:t>Pilnīgas hematoloģiskās atbildreakcijas biežums, nozīmīgas citoģenētiskās atbildreakcijas un pilnīgas citoģenētiskās atbildreakcijas biežums pēc pirmās rindas terapijas tika aprēķināts, izmantojot Kaplāna-Meijera metodi, kurā gadījumi bez atbildreakcijas tika izslēgti pēdējās izmeklēšanas dienā. Aprēķinātais kopējais atbildreakciju daudzums pēc pirmās rindas terapijas ar Glivec, lietojot šo metodi, attiecīgi uzlabojās no 12 ārstēšanas mēnešiem uz 84 ārstēšanas mēnešiem, kā arī attiecīgi CHR no 96,4% uz 98,4% un CCyR no 69,5% uz 87,2%.</w:t>
      </w:r>
    </w:p>
    <w:p w14:paraId="3D394C1F" w14:textId="77777777" w:rsidR="009E01F8" w:rsidRPr="00CD729C" w:rsidRDefault="009E01F8" w:rsidP="009B4BB6">
      <w:pPr>
        <w:pStyle w:val="EndnoteText"/>
        <w:widowControl w:val="0"/>
        <w:rPr>
          <w:color w:val="000000"/>
          <w:szCs w:val="22"/>
        </w:rPr>
      </w:pPr>
    </w:p>
    <w:p w14:paraId="3D394C20" w14:textId="77777777" w:rsidR="009E01F8" w:rsidRPr="00CD729C" w:rsidRDefault="009E01F8" w:rsidP="009B4BB6">
      <w:pPr>
        <w:pStyle w:val="EndnoteText"/>
        <w:widowControl w:val="0"/>
        <w:rPr>
          <w:color w:val="000000"/>
          <w:szCs w:val="22"/>
        </w:rPr>
      </w:pPr>
      <w:r w:rsidRPr="00CD729C">
        <w:rPr>
          <w:color w:val="000000"/>
          <w:szCs w:val="22"/>
        </w:rPr>
        <w:t>7 gadu ilgā novērošanas periodā Glivec grupā radās 93 (16,8%) progresēšanas gadījumi: 37 (6,7%) bija progresija uz paasinājuma fāzi/blastu krīzi, 31 (5,6%) McyR zudums, 15 (2,7%) CHR zudums vai leikocītu skaita palielināšanās un 10 (1,8%) bija ar CML nesaistīta nāve. Pretēji tam IFN+Ara-C grupā bija 165 (29,8%) progresēšanas gadījumi, no kuriem 130 radās pirmās rindas terapijas laikā ar IFN+Ara-C.</w:t>
      </w:r>
    </w:p>
    <w:p w14:paraId="3D394C21" w14:textId="77777777" w:rsidR="009E01F8" w:rsidRPr="00CD729C" w:rsidRDefault="009E01F8" w:rsidP="009B4BB6">
      <w:pPr>
        <w:widowControl w:val="0"/>
        <w:spacing w:line="240" w:lineRule="auto"/>
        <w:rPr>
          <w:color w:val="000000"/>
          <w:szCs w:val="22"/>
        </w:rPr>
      </w:pPr>
    </w:p>
    <w:p w14:paraId="3D394C22" w14:textId="77777777" w:rsidR="009E01F8" w:rsidRPr="00CD729C" w:rsidRDefault="009E01F8" w:rsidP="009B4BB6">
      <w:pPr>
        <w:widowControl w:val="0"/>
        <w:spacing w:line="240" w:lineRule="auto"/>
        <w:rPr>
          <w:color w:val="000000"/>
          <w:szCs w:val="22"/>
        </w:rPr>
      </w:pPr>
      <w:r w:rsidRPr="00CD729C">
        <w:rPr>
          <w:color w:val="000000"/>
          <w:szCs w:val="22"/>
        </w:rPr>
        <w:t>Aprēķinātais pacientu daudzums bez progresēšanas uz paasinājumu vai blastu krīzi pēc 84 mēnešiem bija ievērojami lielāks Glivec grupā, salīdzinot ar IFN grupu (92,5% pret 85,1% pacientu, p&lt;0,001). Ikgadējais progresēšanas biežums līdz paasinājuma fāzei vai blastu krīzei mazinājās līdz ar terapijas ilgumu un ceturtajā un piektajā gadā bija mazāks nekā 1%. Aprēķinātā dzīvildze bez slimības progresēšanas pēc 84 mēnešiem bija 81,2% Glivec grupā un 60,6% kontroles grupā (p&lt;0,001). Ikgadējais progresēšanas biežums jebkurā Glivec grupā laika gaitā arī samazinājās.</w:t>
      </w:r>
    </w:p>
    <w:p w14:paraId="3D394C23" w14:textId="77777777" w:rsidR="009E01F8" w:rsidRPr="00CD729C" w:rsidRDefault="009E01F8" w:rsidP="009B4BB6">
      <w:pPr>
        <w:pStyle w:val="EndnoteText"/>
        <w:widowControl w:val="0"/>
        <w:rPr>
          <w:color w:val="000000"/>
          <w:szCs w:val="22"/>
        </w:rPr>
      </w:pPr>
    </w:p>
    <w:p w14:paraId="3D394C24" w14:textId="77777777" w:rsidR="009E01F8" w:rsidRPr="00CD729C" w:rsidRDefault="009E01F8" w:rsidP="009B4BB6">
      <w:pPr>
        <w:pStyle w:val="EndnoteText"/>
        <w:widowControl w:val="0"/>
        <w:rPr>
          <w:color w:val="000000"/>
          <w:szCs w:val="22"/>
        </w:rPr>
      </w:pPr>
      <w:r w:rsidRPr="00CD729C">
        <w:rPr>
          <w:color w:val="000000"/>
          <w:szCs w:val="22"/>
        </w:rPr>
        <w:t>Glivec un IFN+Ara-C grupās kopumā nomira attiecīgi 71 (12,8%) un 85 (15,4%) pacienti. Pēc 84 mēnešiem aprēķinātā vispārējā dzīvildze ir attiecīgi 86,4% (83, 90) pret 83,3% (80, 87) randomizētās Glivec un IFN+Ara-C grupās (p=0,073, log-rindas tests). Šo laika līdz gadījumam iznākumu stipri ietekmē lielais terapijas maiņas biežums no IFN+Ara-C uz Glivec. Glivec terapijas ietekme uz dzīvildzi nesen diagnosticētas CML hroniskas fāzes gadījumā tika papildus pārbaudīta retrospektīvā iepriekš ziņoto Glivec datu analīzē, salīdzinot ar primāriem datiem no cita 3. fāzes pētījuma, kurā tika lietots IFN+Ara-C (n=325) identiskā terapijas shēmā. Šai retrospektīvajā analīzē tika pierādīts Glivec pārākums pār IFN+Ara-C vispārējās dzīvildzes ziņā (p&lt;0,001); 42 mēnešu laikā nomira 47 (8,5%) Glivec pacienti un 63 (19,4%) IFN+Ara-C pacienti.</w:t>
      </w:r>
    </w:p>
    <w:p w14:paraId="3D394C25" w14:textId="77777777" w:rsidR="009E01F8" w:rsidRPr="00CD729C" w:rsidRDefault="009E01F8" w:rsidP="009B4BB6">
      <w:pPr>
        <w:pStyle w:val="EndnoteText"/>
        <w:widowControl w:val="0"/>
        <w:rPr>
          <w:color w:val="000000"/>
          <w:szCs w:val="22"/>
        </w:rPr>
      </w:pPr>
    </w:p>
    <w:p w14:paraId="3D394C26" w14:textId="77777777" w:rsidR="009E01F8" w:rsidRPr="00CD729C" w:rsidRDefault="009E01F8" w:rsidP="009B4BB6">
      <w:pPr>
        <w:pStyle w:val="EndnoteText"/>
        <w:widowControl w:val="0"/>
        <w:rPr>
          <w:color w:val="000000"/>
          <w:szCs w:val="22"/>
        </w:rPr>
      </w:pPr>
      <w:r w:rsidRPr="00CD729C">
        <w:rPr>
          <w:color w:val="000000"/>
          <w:szCs w:val="22"/>
        </w:rPr>
        <w:t>Pacientiem Glivec grupā citoģenētiskās un molekulārās atbildreakcijas pakāpei bija skaidri redzama ietekme uz ilgstošiem iznākumiem. Tika aprēķināts, ka 96% (93%) pacientu ar CCyR (PCyR) pēc 12 mēnešiem, nebija radusies progresēšana uz paasinājuma fāzi/blastu krīzi pēc 84 mēnešiem, bet tikai 81% pacientiem bez MCyR pēc 12 mēnešiem, nebija radusies progresēšana uz smagāku CML pēc 84 mēnešiem (p&lt;0,001 kopumā, p=0,25 starp CCyR un PCyR). Pacientiem ar Bcr-Abl transkripcijas samazinājumu vismaz par 3 logaritmiem 12 mēnešu laikā iespējamība, ka neatkārtosies paasinājuma fāze/blastu krīzes, ir 99% 84 mēnešu periodā. Līdzīgi rādītāji tika iegūti izvēloties par atskaites punktu 18-mēnešu periodu.</w:t>
      </w:r>
    </w:p>
    <w:p w14:paraId="3D394C27" w14:textId="77777777" w:rsidR="009E01F8" w:rsidRPr="00CD729C" w:rsidRDefault="009E01F8" w:rsidP="009B4BB6">
      <w:pPr>
        <w:widowControl w:val="0"/>
        <w:spacing w:line="240" w:lineRule="auto"/>
        <w:rPr>
          <w:color w:val="000000"/>
          <w:szCs w:val="22"/>
        </w:rPr>
      </w:pPr>
    </w:p>
    <w:p w14:paraId="3D394C28" w14:textId="77777777" w:rsidR="009E01F8" w:rsidRPr="00CD729C" w:rsidRDefault="009E01F8" w:rsidP="009B4BB6">
      <w:pPr>
        <w:widowControl w:val="0"/>
        <w:spacing w:line="240" w:lineRule="auto"/>
        <w:rPr>
          <w:color w:val="000000"/>
          <w:szCs w:val="22"/>
        </w:rPr>
      </w:pPr>
      <w:r w:rsidRPr="00CD729C">
        <w:rPr>
          <w:color w:val="000000"/>
          <w:szCs w:val="22"/>
        </w:rPr>
        <w:t>Šajā pētījumā bija pieļaujama devas palielināšana no 400 mg dienā līdz 600 mg dienā, pēc tam no 600 mg dienā līdz 800 mg dienā. Pēc 42 mēnešus ilgas novērošanas 11 pacientiem konstatēja apstiprinātu citoģenētiskās atbildes reakcijas zudumu (4 nedēļu laikā). No šiem 11 pacientiem, 4 pacientiem devu palielināja līdz 800 mg dienā, 2 no tiem atguva citoģenētisko atbildes reakciju (1 daļēji un 1 pilnībā, pēdējam tika sasniegta arī molekulārā atbildes reakcija), bet no 7 pacientiem, kam nepalielināja devu, tikai viens atguva pilnīgu citoģenētisku atbildes reakciju. Dažu blakusparādību procentuālais daudzums bija lielāks 40 pacientiem, kam devu palielināja līdz 800 mg dienā, salīdzinot ar pacientiem pirms devas palielināšanas (n=551). Biežāk novērotās blakusparādības bija kuņģa-zarnu trakta asiņošana, konjunktivīts un transamināžu vai bilirubīna līmeņa palielināšanās. Par citām blakusparādībām ziņots retāk vai vienlīdz bieži.</w:t>
      </w:r>
    </w:p>
    <w:p w14:paraId="3D394C29" w14:textId="77777777" w:rsidR="009E01F8" w:rsidRPr="00CD729C" w:rsidRDefault="009E01F8" w:rsidP="009B4BB6">
      <w:pPr>
        <w:widowControl w:val="0"/>
        <w:spacing w:line="240" w:lineRule="auto"/>
        <w:rPr>
          <w:color w:val="000000"/>
          <w:szCs w:val="22"/>
        </w:rPr>
      </w:pPr>
    </w:p>
    <w:p w14:paraId="3D394C2A" w14:textId="77777777" w:rsidR="009E01F8" w:rsidRPr="00CD729C" w:rsidRDefault="009E01F8" w:rsidP="009B4BB6">
      <w:pPr>
        <w:widowControl w:val="0"/>
        <w:spacing w:line="240" w:lineRule="auto"/>
        <w:rPr>
          <w:color w:val="000000"/>
          <w:szCs w:val="22"/>
        </w:rPr>
      </w:pPr>
      <w:r w:rsidRPr="00CD729C">
        <w:rPr>
          <w:i/>
          <w:color w:val="000000"/>
          <w:szCs w:val="22"/>
        </w:rPr>
        <w:t>Hroniskā fāze, pēc neveiksmīgas terapijas ar interferonu:</w:t>
      </w:r>
      <w:r w:rsidRPr="00CD729C">
        <w:rPr>
          <w:color w:val="000000"/>
          <w:szCs w:val="22"/>
        </w:rPr>
        <w:t xml:space="preserve"> ārstēja 532 pieaugušos, preparāta sākotnējā deva – 400 mg. Pacienti tika iedalīti 3 galvenajās kategorijās: hematoloģiska neveiksme (29%), citoģenētiska neveiksme (35%) vai interferona nepanesamība (36%). Pacienti vidēji 14 mēnešus saņēma IFN terapiju ar </w:t>
      </w:r>
      <w:r w:rsidRPr="00CD729C">
        <w:rPr>
          <w:color w:val="000000"/>
          <w:szCs w:val="22"/>
        </w:rPr>
        <w:sym w:font="Symbol" w:char="F0B3"/>
      </w:r>
      <w:r w:rsidRPr="00CD729C">
        <w:rPr>
          <w:color w:val="000000"/>
          <w:szCs w:val="22"/>
        </w:rPr>
        <w:t>25 x 10</w:t>
      </w:r>
      <w:r w:rsidRPr="00CD729C">
        <w:rPr>
          <w:color w:val="000000"/>
          <w:szCs w:val="22"/>
          <w:vertAlign w:val="superscript"/>
        </w:rPr>
        <w:t>6</w:t>
      </w:r>
      <w:r w:rsidRPr="00CD729C">
        <w:rPr>
          <w:color w:val="000000"/>
          <w:szCs w:val="22"/>
        </w:rPr>
        <w:t xml:space="preserve"> SV devām nedēļā. Visiem pacientiem slimība bija vēlīnā hroniskā fāzē, vidējais laiks kopš diagnozes – 32 mēneši. Pētījuma primārais preparāta efektivitātes kritērijs bija nozīmīgas citoģenētiskas atbildes reakcijas pakāpe (pilnīga un daļēja atbildes reakcija, 0% līdz 35% Ph</w:t>
      </w:r>
      <w:r w:rsidRPr="00CD729C">
        <w:rPr>
          <w:color w:val="000000"/>
          <w:szCs w:val="22"/>
          <w:vertAlign w:val="superscript"/>
        </w:rPr>
        <w:t>+</w:t>
      </w:r>
      <w:r w:rsidRPr="00CD729C">
        <w:rPr>
          <w:color w:val="000000"/>
          <w:szCs w:val="22"/>
        </w:rPr>
        <w:t xml:space="preserve"> metafāzes kaulu smadzenēs).</w:t>
      </w:r>
    </w:p>
    <w:p w14:paraId="3D394C2B" w14:textId="77777777" w:rsidR="009E01F8" w:rsidRPr="00CD729C" w:rsidRDefault="009E01F8" w:rsidP="009B4BB6">
      <w:pPr>
        <w:widowControl w:val="0"/>
        <w:spacing w:line="240" w:lineRule="auto"/>
        <w:rPr>
          <w:color w:val="000000"/>
          <w:szCs w:val="22"/>
        </w:rPr>
      </w:pPr>
    </w:p>
    <w:p w14:paraId="3D394C2C" w14:textId="77777777" w:rsidR="009E01F8" w:rsidRPr="00CD729C" w:rsidRDefault="009E01F8" w:rsidP="009B4BB6">
      <w:pPr>
        <w:widowControl w:val="0"/>
        <w:spacing w:line="240" w:lineRule="auto"/>
        <w:rPr>
          <w:color w:val="000000"/>
          <w:szCs w:val="22"/>
        </w:rPr>
      </w:pPr>
      <w:r w:rsidRPr="00CD729C">
        <w:rPr>
          <w:color w:val="000000"/>
          <w:szCs w:val="22"/>
        </w:rPr>
        <w:t>Šajā pētījumā 65% pacientu iestājās nozīmīga citoģenētiska atbildes reakcija, kas 53% pacientu bija pilnīga (apstiprināts 43% pacientu), skatīt tabulu Nr. </w:t>
      </w:r>
      <w:r w:rsidR="00E72001" w:rsidRPr="00CD729C">
        <w:rPr>
          <w:color w:val="000000"/>
          <w:szCs w:val="22"/>
        </w:rPr>
        <w:t>3</w:t>
      </w:r>
      <w:r w:rsidRPr="00CD729C">
        <w:rPr>
          <w:color w:val="000000"/>
          <w:szCs w:val="22"/>
        </w:rPr>
        <w:t>. Pilnīga hematoloģiskas atbildes reakcija tika sasniegta 95% pacientu.</w:t>
      </w:r>
    </w:p>
    <w:p w14:paraId="3D394C2D" w14:textId="77777777" w:rsidR="009E01F8" w:rsidRPr="00CD729C" w:rsidRDefault="009E01F8" w:rsidP="009B4BB6">
      <w:pPr>
        <w:widowControl w:val="0"/>
        <w:spacing w:line="240" w:lineRule="auto"/>
        <w:rPr>
          <w:color w:val="000000"/>
          <w:szCs w:val="22"/>
        </w:rPr>
      </w:pPr>
    </w:p>
    <w:p w14:paraId="3D394C2E" w14:textId="77777777" w:rsidR="009E01F8" w:rsidRPr="00CD729C" w:rsidRDefault="009E01F8" w:rsidP="009B4BB6">
      <w:pPr>
        <w:widowControl w:val="0"/>
        <w:spacing w:line="240" w:lineRule="auto"/>
        <w:rPr>
          <w:color w:val="000000"/>
          <w:szCs w:val="22"/>
        </w:rPr>
      </w:pPr>
      <w:r w:rsidRPr="00CD729C">
        <w:rPr>
          <w:i/>
          <w:color w:val="000000"/>
          <w:szCs w:val="22"/>
        </w:rPr>
        <w:t xml:space="preserve">Slimības paasinājuma fāze: </w:t>
      </w:r>
      <w:r w:rsidRPr="00CD729C">
        <w:rPr>
          <w:color w:val="000000"/>
          <w:szCs w:val="22"/>
        </w:rPr>
        <w:t>pētījumā tika iekļauti 235 pieaugušie slimības akcelerācijas fāzē. Pirmajiem 77 pacientiem terapiju sāka ar 400 mg devu. Lai būtu iespējams izmantot lielākas preparāta devas, pētījuma protokols vēlāk tika izmainīts un atlikušajiem 158 pacientiem preparāta sākotnējā deva bija 600 mg.</w:t>
      </w:r>
    </w:p>
    <w:p w14:paraId="3D394C2F" w14:textId="77777777" w:rsidR="009E01F8" w:rsidRPr="00CD729C" w:rsidRDefault="009E01F8" w:rsidP="009B4BB6">
      <w:pPr>
        <w:widowControl w:val="0"/>
        <w:spacing w:line="240" w:lineRule="auto"/>
        <w:rPr>
          <w:color w:val="000000"/>
          <w:szCs w:val="22"/>
        </w:rPr>
      </w:pPr>
    </w:p>
    <w:p w14:paraId="3D394C30" w14:textId="77777777" w:rsidR="009E01F8" w:rsidRPr="00CD729C" w:rsidRDefault="009E01F8" w:rsidP="009B4BB6">
      <w:pPr>
        <w:widowControl w:val="0"/>
        <w:spacing w:line="240" w:lineRule="auto"/>
        <w:rPr>
          <w:color w:val="000000"/>
          <w:szCs w:val="22"/>
        </w:rPr>
      </w:pPr>
      <w:r w:rsidRPr="00CD729C">
        <w:rPr>
          <w:color w:val="000000"/>
          <w:szCs w:val="22"/>
        </w:rPr>
        <w:t>Pētījuma primārais preparāta efektivitātes kritērijs bija hematoloģiskas atbildes reakcijas pakāpe, leikozes simptomu trūkums (piemēram, blastu klīrenss no kaulu smadzenēm un asinīm, bet bez pilnīgas perifēro asiņu raksturlielumu atgriešanās normas robežās, kā pilnīgas atbildes reakcijas gadījumā) vai CML atgriešanās hroniskajā fāzē. Apstiprināta hematoloģisku atbildes reakcija tika sasniegta 71,5% pacientu (skatīt tabulu Nr. </w:t>
      </w:r>
      <w:r w:rsidR="00E72001" w:rsidRPr="00CD729C">
        <w:rPr>
          <w:color w:val="000000"/>
          <w:szCs w:val="22"/>
        </w:rPr>
        <w:t>3</w:t>
      </w:r>
      <w:r w:rsidRPr="00CD729C">
        <w:rPr>
          <w:color w:val="000000"/>
          <w:szCs w:val="22"/>
        </w:rPr>
        <w:t>.). Ir būtiski, ka 27,7% pacientu tika sasniegta nozīmīga citoģenētiska atbildes reakcija, kas bija pilnīga 20,4% pacientu (apstiprināts 16% pacientu). Pacientiem, kas saņēma 600 mg devu, pašreiz aprēķinātā vidējā dzīvildze bez slimības progresijas pazīmēm un kopējā dzīvildze bija attiecīgi 22,9 un 42,5 mēneši.</w:t>
      </w:r>
    </w:p>
    <w:p w14:paraId="3D394C31" w14:textId="77777777" w:rsidR="009E01F8" w:rsidRPr="00CD729C" w:rsidRDefault="009E01F8" w:rsidP="009B4BB6">
      <w:pPr>
        <w:widowControl w:val="0"/>
        <w:spacing w:line="240" w:lineRule="auto"/>
        <w:rPr>
          <w:color w:val="000000"/>
          <w:szCs w:val="22"/>
        </w:rPr>
      </w:pPr>
    </w:p>
    <w:p w14:paraId="3D394C32" w14:textId="77777777" w:rsidR="009E01F8" w:rsidRPr="00CD729C" w:rsidRDefault="009E01F8" w:rsidP="009B4BB6">
      <w:pPr>
        <w:widowControl w:val="0"/>
        <w:spacing w:line="240" w:lineRule="auto"/>
        <w:rPr>
          <w:color w:val="000000"/>
          <w:szCs w:val="22"/>
        </w:rPr>
      </w:pPr>
      <w:r w:rsidRPr="00CD729C">
        <w:rPr>
          <w:i/>
          <w:color w:val="000000"/>
          <w:szCs w:val="22"/>
        </w:rPr>
        <w:t xml:space="preserve">Mieloīda blastu krīze: </w:t>
      </w:r>
      <w:r w:rsidRPr="00CD729C">
        <w:rPr>
          <w:color w:val="000000"/>
          <w:szCs w:val="22"/>
        </w:rPr>
        <w:t>pētījumā tika iekļauti 260 pacienti ar mieloīdu blastu krīzi. 95 pacienti (37%) slimības akcelerācijas fāzē vai blastu krīzes apstākļos iepriekš bija saņēmuši ķīmijterapiju (“iepriekš ārstētie” pacienti), kamēr 165 pacienti (63%) to nesaņēma (“iepriekš neārstētie” pacienti). Pirmajiem 37 pacientiem terapiju sāka ar 400 mg devu. Lai būtu iespējams izmantot lielākas preparāta devas, pētījuma protokols vēlāk tika izmainīts un atlikušajiem 223 pacientiem preparāta sākotnējā deva bija 600 mg.</w:t>
      </w:r>
    </w:p>
    <w:p w14:paraId="3D394C33" w14:textId="77777777" w:rsidR="009E01F8" w:rsidRPr="00CD729C" w:rsidRDefault="009E01F8" w:rsidP="009B4BB6">
      <w:pPr>
        <w:widowControl w:val="0"/>
        <w:spacing w:line="240" w:lineRule="auto"/>
        <w:rPr>
          <w:color w:val="000000"/>
          <w:szCs w:val="22"/>
        </w:rPr>
      </w:pPr>
    </w:p>
    <w:p w14:paraId="3D394C34" w14:textId="77777777" w:rsidR="009E01F8" w:rsidRPr="00CD729C" w:rsidRDefault="009E01F8" w:rsidP="009B4BB6">
      <w:pPr>
        <w:widowControl w:val="0"/>
        <w:spacing w:line="240" w:lineRule="auto"/>
        <w:rPr>
          <w:color w:val="000000"/>
          <w:szCs w:val="22"/>
        </w:rPr>
      </w:pPr>
      <w:r w:rsidRPr="00CD729C">
        <w:rPr>
          <w:color w:val="000000"/>
          <w:szCs w:val="22"/>
        </w:rPr>
        <w:t>Pētījuma primārais preparāta efektivitātes kritērijs bija hematoloģiskas atbildes reakcijas pakāpe, ko aprakstīja kā vai nu pilnīgu hematoloģisku atbildes reakciju, leikozes simptomu trūkums vai slimības atgriešanos hroniskajā fāzē. Izmantoja tos pašus kritērijus, kā slimības akcelerācijas fāzes pētījuma laikā. Šajā pētījumā 31% pacientu tika sasniegta hematoloģiska atbildes reakcija (36% iepriekš ārstēto un 22% iepriekš neārstēto pacientu). Salīdzinot ar pacientiem, ko ārstēja ar 400 mg lielu preparāta devu (16%, p=0,0220), starp pacientiem, ko ārstēja ar 600 mg lielu preparāta devu (33%), atbildes reakcija iestājās biežāk. Pašlaik gaidāmo vidējo dzīvildzi iepriekš ārstētiem un iepriekš neārstētiem pacientiem vērtē kā attiecīgi 7,7 un 4,7 mēnešus ilgu.</w:t>
      </w:r>
    </w:p>
    <w:p w14:paraId="3D394C35" w14:textId="77777777" w:rsidR="009E01F8" w:rsidRPr="00CD729C" w:rsidRDefault="009E01F8" w:rsidP="009B4BB6">
      <w:pPr>
        <w:widowControl w:val="0"/>
        <w:spacing w:line="240" w:lineRule="auto"/>
        <w:rPr>
          <w:color w:val="000000"/>
          <w:szCs w:val="22"/>
        </w:rPr>
      </w:pPr>
    </w:p>
    <w:p w14:paraId="3D394C36" w14:textId="77777777" w:rsidR="009E01F8" w:rsidRPr="00CD729C" w:rsidRDefault="009E01F8" w:rsidP="009B4BB6">
      <w:pPr>
        <w:widowControl w:val="0"/>
        <w:spacing w:line="240" w:lineRule="auto"/>
        <w:rPr>
          <w:color w:val="000000"/>
          <w:szCs w:val="22"/>
        </w:rPr>
      </w:pPr>
      <w:r w:rsidRPr="00CD729C">
        <w:rPr>
          <w:i/>
          <w:color w:val="000000"/>
          <w:szCs w:val="22"/>
        </w:rPr>
        <w:t xml:space="preserve">Limfoīda blastu krīze: </w:t>
      </w:r>
      <w:r w:rsidRPr="00CD729C">
        <w:rPr>
          <w:color w:val="000000"/>
          <w:szCs w:val="22"/>
        </w:rPr>
        <w:t>I fāzes pētījumā iekļauto pacientu skaits bija ierobežots (n=10). Hematoloģiskās atbildes reakcijas pakāpe bija 70%. Tās ilgums – 2 līdz 3 mēneši.</w:t>
      </w:r>
    </w:p>
    <w:p w14:paraId="3D394C37" w14:textId="77777777" w:rsidR="009E01F8" w:rsidRPr="00CD729C" w:rsidRDefault="009E01F8" w:rsidP="009B4BB6">
      <w:pPr>
        <w:widowControl w:val="0"/>
        <w:spacing w:line="240" w:lineRule="auto"/>
        <w:rPr>
          <w:color w:val="000000"/>
          <w:szCs w:val="22"/>
        </w:rPr>
      </w:pPr>
    </w:p>
    <w:p w14:paraId="3D394C38" w14:textId="77777777" w:rsidR="009E01F8" w:rsidRPr="00CD729C" w:rsidRDefault="009E01F8" w:rsidP="009B4BB6">
      <w:pPr>
        <w:keepNext/>
        <w:keepLines/>
        <w:widowControl w:val="0"/>
        <w:tabs>
          <w:tab w:val="clear" w:pos="567"/>
          <w:tab w:val="left" w:pos="1701"/>
        </w:tabs>
        <w:spacing w:line="240" w:lineRule="auto"/>
        <w:rPr>
          <w:b/>
          <w:color w:val="000000"/>
          <w:szCs w:val="22"/>
        </w:rPr>
      </w:pPr>
      <w:r w:rsidRPr="00CD729C">
        <w:rPr>
          <w:b/>
          <w:color w:val="000000"/>
          <w:szCs w:val="22"/>
        </w:rPr>
        <w:t>Tabula Nr. </w:t>
      </w:r>
      <w:r w:rsidR="00E72001" w:rsidRPr="00CD729C">
        <w:rPr>
          <w:b/>
          <w:color w:val="000000"/>
          <w:szCs w:val="22"/>
        </w:rPr>
        <w:t>3</w:t>
      </w:r>
      <w:r w:rsidRPr="00CD729C">
        <w:rPr>
          <w:b/>
          <w:color w:val="000000"/>
          <w:szCs w:val="22"/>
        </w:rPr>
        <w:tab/>
        <w:t>Atbildes reakcija pieaugušajiem CML pētījumu laikā</w:t>
      </w:r>
    </w:p>
    <w:p w14:paraId="3D394C39" w14:textId="77777777" w:rsidR="009E01F8" w:rsidRPr="00CD729C" w:rsidRDefault="009E01F8" w:rsidP="009B4BB6">
      <w:pPr>
        <w:keepNext/>
        <w:keepLines/>
        <w:widowControl w:val="0"/>
        <w:spacing w:line="240" w:lineRule="auto"/>
        <w:rPr>
          <w:color w:val="000000"/>
          <w:szCs w:val="22"/>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2268"/>
        <w:gridCol w:w="1984"/>
        <w:gridCol w:w="1843"/>
      </w:tblGrid>
      <w:tr w:rsidR="009E01F8" w:rsidRPr="00CD729C" w14:paraId="3D394C48" w14:textId="77777777" w:rsidTr="009B4BB6">
        <w:trPr>
          <w:cantSplit/>
        </w:trPr>
        <w:tc>
          <w:tcPr>
            <w:tcW w:w="3227" w:type="dxa"/>
          </w:tcPr>
          <w:p w14:paraId="3D394C3A" w14:textId="77777777" w:rsidR="009E01F8" w:rsidRPr="00CD729C" w:rsidRDefault="009E01F8" w:rsidP="009B4BB6">
            <w:pPr>
              <w:keepNext/>
              <w:keepLines/>
              <w:widowControl w:val="0"/>
              <w:spacing w:line="240" w:lineRule="auto"/>
              <w:jc w:val="center"/>
              <w:rPr>
                <w:color w:val="000000"/>
                <w:szCs w:val="22"/>
              </w:rPr>
            </w:pPr>
          </w:p>
        </w:tc>
        <w:tc>
          <w:tcPr>
            <w:tcW w:w="2268" w:type="dxa"/>
          </w:tcPr>
          <w:p w14:paraId="3D394C3B"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Pētījums 0110</w:t>
            </w:r>
          </w:p>
          <w:p w14:paraId="3D394C3C"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37 mēnešu dati</w:t>
            </w:r>
          </w:p>
          <w:p w14:paraId="3D394C3D"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Hroniskā fāze,</w:t>
            </w:r>
          </w:p>
          <w:p w14:paraId="3D394C3E"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Neveiksmīga terapija ar IFN</w:t>
            </w:r>
          </w:p>
          <w:p w14:paraId="3D394C3F"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(n=532)</w:t>
            </w:r>
          </w:p>
        </w:tc>
        <w:tc>
          <w:tcPr>
            <w:tcW w:w="1984" w:type="dxa"/>
          </w:tcPr>
          <w:p w14:paraId="3D394C40"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Pētījums 0109</w:t>
            </w:r>
          </w:p>
          <w:p w14:paraId="3D394C41"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40,5 mēnešu dati</w:t>
            </w:r>
          </w:p>
          <w:p w14:paraId="3D394C42"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Akcelerācijas fāze</w:t>
            </w:r>
          </w:p>
          <w:p w14:paraId="3D394C43"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(n=235)</w:t>
            </w:r>
          </w:p>
        </w:tc>
        <w:tc>
          <w:tcPr>
            <w:tcW w:w="1843" w:type="dxa"/>
          </w:tcPr>
          <w:p w14:paraId="3D394C44"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Pētījums 0102</w:t>
            </w:r>
          </w:p>
          <w:p w14:paraId="3D394C45"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38 mēnešu dati</w:t>
            </w:r>
          </w:p>
          <w:p w14:paraId="3D394C46"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Mieloīda blastu krīze</w:t>
            </w:r>
          </w:p>
          <w:p w14:paraId="3D394C47"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(n=260)</w:t>
            </w:r>
          </w:p>
        </w:tc>
      </w:tr>
      <w:tr w:rsidR="009E01F8" w:rsidRPr="00CD729C" w14:paraId="3D394C4B" w14:textId="77777777" w:rsidTr="009B4BB6">
        <w:trPr>
          <w:cantSplit/>
        </w:trPr>
        <w:tc>
          <w:tcPr>
            <w:tcW w:w="3227" w:type="dxa"/>
            <w:tcBorders>
              <w:bottom w:val="nil"/>
            </w:tcBorders>
          </w:tcPr>
          <w:p w14:paraId="3D394C49" w14:textId="77777777" w:rsidR="009E01F8" w:rsidRPr="00CD729C" w:rsidRDefault="009E01F8" w:rsidP="009B4BB6">
            <w:pPr>
              <w:keepNext/>
              <w:keepLines/>
              <w:widowControl w:val="0"/>
              <w:spacing w:line="240" w:lineRule="auto"/>
              <w:rPr>
                <w:color w:val="000000"/>
                <w:szCs w:val="22"/>
              </w:rPr>
            </w:pPr>
          </w:p>
        </w:tc>
        <w:tc>
          <w:tcPr>
            <w:tcW w:w="6095" w:type="dxa"/>
            <w:gridSpan w:val="3"/>
            <w:tcBorders>
              <w:bottom w:val="nil"/>
            </w:tcBorders>
          </w:tcPr>
          <w:p w14:paraId="3D394C4A"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 pacientu (TI</w:t>
            </w:r>
            <w:r w:rsidRPr="00CD729C">
              <w:rPr>
                <w:color w:val="000000"/>
                <w:szCs w:val="22"/>
                <w:vertAlign w:val="subscript"/>
              </w:rPr>
              <w:t>95%</w:t>
            </w:r>
            <w:r w:rsidRPr="00CD729C">
              <w:rPr>
                <w:color w:val="000000"/>
                <w:szCs w:val="22"/>
              </w:rPr>
              <w:t>)</w:t>
            </w:r>
          </w:p>
        </w:tc>
      </w:tr>
      <w:tr w:rsidR="009E01F8" w:rsidRPr="00CD729C" w14:paraId="3D394C50" w14:textId="77777777" w:rsidTr="009B4BB6">
        <w:trPr>
          <w:cantSplit/>
        </w:trPr>
        <w:tc>
          <w:tcPr>
            <w:tcW w:w="3227" w:type="dxa"/>
            <w:tcBorders>
              <w:top w:val="single" w:sz="4" w:space="0" w:color="auto"/>
              <w:left w:val="single" w:sz="4" w:space="0" w:color="auto"/>
              <w:bottom w:val="nil"/>
              <w:right w:val="nil"/>
            </w:tcBorders>
          </w:tcPr>
          <w:p w14:paraId="3D394C4C" w14:textId="77777777" w:rsidR="009E01F8" w:rsidRPr="00CD729C" w:rsidRDefault="009E01F8" w:rsidP="009B4BB6">
            <w:pPr>
              <w:keepNext/>
              <w:keepLines/>
              <w:widowControl w:val="0"/>
              <w:spacing w:line="240" w:lineRule="auto"/>
              <w:rPr>
                <w:color w:val="000000"/>
                <w:szCs w:val="22"/>
              </w:rPr>
            </w:pPr>
            <w:r w:rsidRPr="00CD729C">
              <w:rPr>
                <w:color w:val="000000"/>
                <w:szCs w:val="22"/>
              </w:rPr>
              <w:t>Hematoloģiska atbildes reakcija</w:t>
            </w:r>
            <w:r w:rsidRPr="00CD729C">
              <w:rPr>
                <w:color w:val="000000"/>
                <w:szCs w:val="22"/>
                <w:vertAlign w:val="superscript"/>
              </w:rPr>
              <w:t>1</w:t>
            </w:r>
          </w:p>
        </w:tc>
        <w:tc>
          <w:tcPr>
            <w:tcW w:w="2268" w:type="dxa"/>
            <w:tcBorders>
              <w:top w:val="single" w:sz="4" w:space="0" w:color="auto"/>
              <w:left w:val="nil"/>
              <w:bottom w:val="nil"/>
              <w:right w:val="nil"/>
            </w:tcBorders>
          </w:tcPr>
          <w:p w14:paraId="3D394C4D"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95% (92,3–96,3)</w:t>
            </w:r>
          </w:p>
        </w:tc>
        <w:tc>
          <w:tcPr>
            <w:tcW w:w="1984" w:type="dxa"/>
            <w:tcBorders>
              <w:top w:val="single" w:sz="4" w:space="0" w:color="auto"/>
              <w:left w:val="nil"/>
              <w:bottom w:val="nil"/>
              <w:right w:val="nil"/>
            </w:tcBorders>
          </w:tcPr>
          <w:p w14:paraId="3D394C4E"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71% (65,3–77,2)</w:t>
            </w:r>
          </w:p>
        </w:tc>
        <w:tc>
          <w:tcPr>
            <w:tcW w:w="1843" w:type="dxa"/>
            <w:tcBorders>
              <w:top w:val="single" w:sz="4" w:space="0" w:color="auto"/>
              <w:left w:val="nil"/>
              <w:bottom w:val="nil"/>
              <w:right w:val="single" w:sz="4" w:space="0" w:color="auto"/>
            </w:tcBorders>
          </w:tcPr>
          <w:p w14:paraId="3D394C4F"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31% (25,2–36,8)</w:t>
            </w:r>
          </w:p>
        </w:tc>
      </w:tr>
      <w:tr w:rsidR="009E01F8" w:rsidRPr="00CD729C" w14:paraId="3D394C55" w14:textId="77777777" w:rsidTr="009B4BB6">
        <w:trPr>
          <w:cantSplit/>
        </w:trPr>
        <w:tc>
          <w:tcPr>
            <w:tcW w:w="3227" w:type="dxa"/>
            <w:tcBorders>
              <w:top w:val="nil"/>
              <w:left w:val="single" w:sz="4" w:space="0" w:color="auto"/>
              <w:bottom w:val="nil"/>
              <w:right w:val="nil"/>
            </w:tcBorders>
          </w:tcPr>
          <w:p w14:paraId="3D394C51" w14:textId="77777777" w:rsidR="009E01F8" w:rsidRPr="00CD729C" w:rsidRDefault="009E01F8" w:rsidP="009B4BB6">
            <w:pPr>
              <w:pStyle w:val="EndnoteText"/>
              <w:keepNext/>
              <w:keepLines/>
              <w:widowControl w:val="0"/>
              <w:tabs>
                <w:tab w:val="clear" w:pos="567"/>
              </w:tabs>
              <w:ind w:left="284"/>
              <w:rPr>
                <w:color w:val="000000"/>
                <w:szCs w:val="22"/>
              </w:rPr>
            </w:pPr>
            <w:r w:rsidRPr="00CD729C">
              <w:rPr>
                <w:color w:val="000000"/>
                <w:szCs w:val="22"/>
              </w:rPr>
              <w:t>Pilnīga hematoloģiska atbildes reakcija CHR)</w:t>
            </w:r>
          </w:p>
        </w:tc>
        <w:tc>
          <w:tcPr>
            <w:tcW w:w="2268" w:type="dxa"/>
            <w:tcBorders>
              <w:top w:val="nil"/>
              <w:left w:val="nil"/>
              <w:bottom w:val="nil"/>
              <w:right w:val="nil"/>
            </w:tcBorders>
          </w:tcPr>
          <w:p w14:paraId="3D394C52"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95%</w:t>
            </w:r>
          </w:p>
        </w:tc>
        <w:tc>
          <w:tcPr>
            <w:tcW w:w="1984" w:type="dxa"/>
            <w:tcBorders>
              <w:top w:val="nil"/>
              <w:left w:val="nil"/>
              <w:bottom w:val="nil"/>
              <w:right w:val="nil"/>
            </w:tcBorders>
          </w:tcPr>
          <w:p w14:paraId="3D394C53"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42%</w:t>
            </w:r>
          </w:p>
        </w:tc>
        <w:tc>
          <w:tcPr>
            <w:tcW w:w="1843" w:type="dxa"/>
            <w:tcBorders>
              <w:top w:val="nil"/>
              <w:left w:val="nil"/>
              <w:bottom w:val="nil"/>
              <w:right w:val="single" w:sz="4" w:space="0" w:color="auto"/>
            </w:tcBorders>
          </w:tcPr>
          <w:p w14:paraId="3D394C54"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8%</w:t>
            </w:r>
          </w:p>
        </w:tc>
      </w:tr>
      <w:tr w:rsidR="009E01F8" w:rsidRPr="00CD729C" w14:paraId="3D394C5A" w14:textId="77777777" w:rsidTr="009B4BB6">
        <w:trPr>
          <w:cantSplit/>
        </w:trPr>
        <w:tc>
          <w:tcPr>
            <w:tcW w:w="3227" w:type="dxa"/>
            <w:tcBorders>
              <w:top w:val="nil"/>
              <w:left w:val="single" w:sz="4" w:space="0" w:color="auto"/>
              <w:bottom w:val="nil"/>
              <w:right w:val="nil"/>
            </w:tcBorders>
          </w:tcPr>
          <w:p w14:paraId="3D394C56" w14:textId="77777777" w:rsidR="009E01F8" w:rsidRPr="00CD729C" w:rsidRDefault="009E01F8" w:rsidP="009B4BB6">
            <w:pPr>
              <w:keepNext/>
              <w:keepLines/>
              <w:widowControl w:val="0"/>
              <w:tabs>
                <w:tab w:val="clear" w:pos="567"/>
              </w:tabs>
              <w:spacing w:line="240" w:lineRule="auto"/>
              <w:ind w:left="284"/>
              <w:rPr>
                <w:color w:val="000000"/>
                <w:szCs w:val="22"/>
              </w:rPr>
            </w:pPr>
            <w:r w:rsidRPr="00CD729C">
              <w:rPr>
                <w:color w:val="000000"/>
                <w:szCs w:val="22"/>
              </w:rPr>
              <w:t>Nav leikozes simptomu (</w:t>
            </w:r>
            <w:r w:rsidRPr="00CD729C">
              <w:rPr>
                <w:i/>
                <w:color w:val="000000"/>
                <w:szCs w:val="22"/>
              </w:rPr>
              <w:t>No evidence of leukaemia</w:t>
            </w:r>
            <w:r w:rsidRPr="00CD729C">
              <w:rPr>
                <w:color w:val="000000"/>
                <w:szCs w:val="22"/>
              </w:rPr>
              <w:t xml:space="preserve"> - NEL)</w:t>
            </w:r>
          </w:p>
        </w:tc>
        <w:tc>
          <w:tcPr>
            <w:tcW w:w="2268" w:type="dxa"/>
            <w:tcBorders>
              <w:top w:val="nil"/>
              <w:left w:val="nil"/>
              <w:bottom w:val="nil"/>
              <w:right w:val="nil"/>
            </w:tcBorders>
          </w:tcPr>
          <w:p w14:paraId="3D394C57"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Nav piemērojams</w:t>
            </w:r>
          </w:p>
        </w:tc>
        <w:tc>
          <w:tcPr>
            <w:tcW w:w="1984" w:type="dxa"/>
            <w:tcBorders>
              <w:top w:val="nil"/>
              <w:left w:val="nil"/>
              <w:bottom w:val="nil"/>
              <w:right w:val="nil"/>
            </w:tcBorders>
          </w:tcPr>
          <w:p w14:paraId="3D394C58"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12%</w:t>
            </w:r>
          </w:p>
        </w:tc>
        <w:tc>
          <w:tcPr>
            <w:tcW w:w="1843" w:type="dxa"/>
            <w:tcBorders>
              <w:top w:val="nil"/>
              <w:left w:val="nil"/>
              <w:bottom w:val="nil"/>
              <w:right w:val="single" w:sz="4" w:space="0" w:color="auto"/>
            </w:tcBorders>
          </w:tcPr>
          <w:p w14:paraId="3D394C59"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5%</w:t>
            </w:r>
          </w:p>
        </w:tc>
      </w:tr>
      <w:tr w:rsidR="009E01F8" w:rsidRPr="00CD729C" w14:paraId="3D394C5F" w14:textId="77777777" w:rsidTr="009B4BB6">
        <w:trPr>
          <w:cantSplit/>
        </w:trPr>
        <w:tc>
          <w:tcPr>
            <w:tcW w:w="3227" w:type="dxa"/>
            <w:tcBorders>
              <w:top w:val="nil"/>
              <w:left w:val="single" w:sz="4" w:space="0" w:color="auto"/>
              <w:bottom w:val="nil"/>
              <w:right w:val="nil"/>
            </w:tcBorders>
          </w:tcPr>
          <w:p w14:paraId="3D394C5B" w14:textId="77777777" w:rsidR="009E01F8" w:rsidRPr="00CD729C" w:rsidRDefault="009E01F8" w:rsidP="009B4BB6">
            <w:pPr>
              <w:keepNext/>
              <w:keepLines/>
              <w:widowControl w:val="0"/>
              <w:tabs>
                <w:tab w:val="clear" w:pos="567"/>
              </w:tabs>
              <w:spacing w:line="240" w:lineRule="auto"/>
              <w:ind w:left="284"/>
              <w:rPr>
                <w:color w:val="000000"/>
                <w:szCs w:val="22"/>
              </w:rPr>
            </w:pPr>
            <w:r w:rsidRPr="00CD729C">
              <w:rPr>
                <w:color w:val="000000"/>
                <w:szCs w:val="22"/>
              </w:rPr>
              <w:t>Atgriešanā hroniskā fāzē (</w:t>
            </w:r>
            <w:r w:rsidRPr="00CD729C">
              <w:rPr>
                <w:i/>
                <w:color w:val="000000"/>
                <w:szCs w:val="22"/>
              </w:rPr>
              <w:t>Return to chronic phase</w:t>
            </w:r>
            <w:r w:rsidRPr="00CD729C">
              <w:rPr>
                <w:color w:val="000000"/>
                <w:szCs w:val="22"/>
              </w:rPr>
              <w:t xml:space="preserve"> - RTC)</w:t>
            </w:r>
          </w:p>
        </w:tc>
        <w:tc>
          <w:tcPr>
            <w:tcW w:w="2268" w:type="dxa"/>
            <w:tcBorders>
              <w:top w:val="nil"/>
              <w:left w:val="nil"/>
              <w:bottom w:val="nil"/>
              <w:right w:val="nil"/>
            </w:tcBorders>
          </w:tcPr>
          <w:p w14:paraId="3D394C5C"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Nav piemērojams</w:t>
            </w:r>
          </w:p>
        </w:tc>
        <w:tc>
          <w:tcPr>
            <w:tcW w:w="1984" w:type="dxa"/>
            <w:tcBorders>
              <w:top w:val="nil"/>
              <w:left w:val="nil"/>
              <w:bottom w:val="nil"/>
              <w:right w:val="nil"/>
            </w:tcBorders>
          </w:tcPr>
          <w:p w14:paraId="3D394C5D"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17%</w:t>
            </w:r>
          </w:p>
        </w:tc>
        <w:tc>
          <w:tcPr>
            <w:tcW w:w="1843" w:type="dxa"/>
            <w:tcBorders>
              <w:top w:val="nil"/>
              <w:left w:val="nil"/>
              <w:bottom w:val="nil"/>
              <w:right w:val="single" w:sz="4" w:space="0" w:color="auto"/>
            </w:tcBorders>
          </w:tcPr>
          <w:p w14:paraId="3D394C5E"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18%</w:t>
            </w:r>
          </w:p>
        </w:tc>
      </w:tr>
      <w:tr w:rsidR="009E01F8" w:rsidRPr="00CD729C" w14:paraId="3D394C64" w14:textId="77777777" w:rsidTr="009B4BB6">
        <w:trPr>
          <w:cantSplit/>
        </w:trPr>
        <w:tc>
          <w:tcPr>
            <w:tcW w:w="3227" w:type="dxa"/>
            <w:tcBorders>
              <w:top w:val="single" w:sz="4" w:space="0" w:color="auto"/>
              <w:left w:val="single" w:sz="4" w:space="0" w:color="auto"/>
              <w:bottom w:val="nil"/>
              <w:right w:val="nil"/>
            </w:tcBorders>
          </w:tcPr>
          <w:p w14:paraId="3D394C60" w14:textId="77777777" w:rsidR="009E01F8" w:rsidRPr="00CD729C" w:rsidRDefault="009E01F8" w:rsidP="009B4BB6">
            <w:pPr>
              <w:keepNext/>
              <w:keepLines/>
              <w:widowControl w:val="0"/>
              <w:spacing w:line="240" w:lineRule="auto"/>
              <w:rPr>
                <w:color w:val="000000"/>
                <w:szCs w:val="22"/>
              </w:rPr>
            </w:pPr>
            <w:r w:rsidRPr="00CD729C">
              <w:rPr>
                <w:color w:val="000000"/>
                <w:szCs w:val="22"/>
              </w:rPr>
              <w:t>Nozīmīga citoģenētiska atbildes reakcija</w:t>
            </w:r>
            <w:r w:rsidRPr="00CD729C">
              <w:rPr>
                <w:color w:val="000000"/>
                <w:szCs w:val="22"/>
                <w:vertAlign w:val="superscript"/>
              </w:rPr>
              <w:t>2</w:t>
            </w:r>
          </w:p>
        </w:tc>
        <w:tc>
          <w:tcPr>
            <w:tcW w:w="2268" w:type="dxa"/>
            <w:tcBorders>
              <w:top w:val="single" w:sz="4" w:space="0" w:color="auto"/>
              <w:left w:val="nil"/>
              <w:bottom w:val="nil"/>
              <w:right w:val="nil"/>
            </w:tcBorders>
          </w:tcPr>
          <w:p w14:paraId="3D394C61"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65% (61,2–69,5)</w:t>
            </w:r>
          </w:p>
        </w:tc>
        <w:tc>
          <w:tcPr>
            <w:tcW w:w="1984" w:type="dxa"/>
            <w:tcBorders>
              <w:top w:val="single" w:sz="4" w:space="0" w:color="auto"/>
              <w:left w:val="nil"/>
              <w:bottom w:val="nil"/>
              <w:right w:val="nil"/>
            </w:tcBorders>
          </w:tcPr>
          <w:p w14:paraId="3D394C62"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28% (22,0–33,9)</w:t>
            </w:r>
          </w:p>
        </w:tc>
        <w:tc>
          <w:tcPr>
            <w:tcW w:w="1843" w:type="dxa"/>
            <w:tcBorders>
              <w:top w:val="single" w:sz="4" w:space="0" w:color="auto"/>
              <w:left w:val="nil"/>
              <w:bottom w:val="nil"/>
              <w:right w:val="single" w:sz="4" w:space="0" w:color="auto"/>
            </w:tcBorders>
          </w:tcPr>
          <w:p w14:paraId="3D394C63"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15% (11,2–20,4)</w:t>
            </w:r>
          </w:p>
        </w:tc>
      </w:tr>
      <w:tr w:rsidR="009E01F8" w:rsidRPr="00CD729C" w14:paraId="3D394C69" w14:textId="77777777" w:rsidTr="009B4BB6">
        <w:trPr>
          <w:cantSplit/>
        </w:trPr>
        <w:tc>
          <w:tcPr>
            <w:tcW w:w="3227" w:type="dxa"/>
            <w:tcBorders>
              <w:top w:val="nil"/>
              <w:left w:val="single" w:sz="4" w:space="0" w:color="auto"/>
              <w:bottom w:val="nil"/>
              <w:right w:val="nil"/>
            </w:tcBorders>
          </w:tcPr>
          <w:p w14:paraId="3D394C65" w14:textId="77777777" w:rsidR="009E01F8" w:rsidRPr="00CD729C" w:rsidRDefault="009E01F8" w:rsidP="009B4BB6">
            <w:pPr>
              <w:keepNext/>
              <w:keepLines/>
              <w:widowControl w:val="0"/>
              <w:tabs>
                <w:tab w:val="clear" w:pos="567"/>
              </w:tabs>
              <w:spacing w:line="240" w:lineRule="auto"/>
              <w:ind w:left="284"/>
              <w:rPr>
                <w:color w:val="000000"/>
                <w:szCs w:val="22"/>
              </w:rPr>
            </w:pPr>
            <w:r w:rsidRPr="00CD729C">
              <w:rPr>
                <w:color w:val="000000"/>
                <w:szCs w:val="22"/>
              </w:rPr>
              <w:t>Pilnīga</w:t>
            </w:r>
          </w:p>
        </w:tc>
        <w:tc>
          <w:tcPr>
            <w:tcW w:w="2268" w:type="dxa"/>
            <w:tcBorders>
              <w:top w:val="nil"/>
              <w:left w:val="nil"/>
              <w:bottom w:val="nil"/>
              <w:right w:val="nil"/>
            </w:tcBorders>
          </w:tcPr>
          <w:p w14:paraId="3D394C66" w14:textId="77777777" w:rsidR="009E01F8" w:rsidRPr="00CD729C" w:rsidRDefault="009E01F8" w:rsidP="009B4BB6">
            <w:pPr>
              <w:pStyle w:val="EndnoteText"/>
              <w:keepNext/>
              <w:keepLines/>
              <w:widowControl w:val="0"/>
              <w:jc w:val="center"/>
              <w:rPr>
                <w:color w:val="000000"/>
                <w:szCs w:val="22"/>
              </w:rPr>
            </w:pPr>
            <w:r w:rsidRPr="00CD729C">
              <w:rPr>
                <w:color w:val="000000"/>
                <w:szCs w:val="22"/>
              </w:rPr>
              <w:t>53%</w:t>
            </w:r>
          </w:p>
        </w:tc>
        <w:tc>
          <w:tcPr>
            <w:tcW w:w="1984" w:type="dxa"/>
            <w:tcBorders>
              <w:top w:val="nil"/>
              <w:left w:val="nil"/>
              <w:bottom w:val="nil"/>
              <w:right w:val="nil"/>
            </w:tcBorders>
          </w:tcPr>
          <w:p w14:paraId="3D394C67"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20%</w:t>
            </w:r>
          </w:p>
        </w:tc>
        <w:tc>
          <w:tcPr>
            <w:tcW w:w="1843" w:type="dxa"/>
            <w:tcBorders>
              <w:top w:val="nil"/>
              <w:left w:val="nil"/>
              <w:bottom w:val="nil"/>
              <w:right w:val="single" w:sz="4" w:space="0" w:color="auto"/>
            </w:tcBorders>
          </w:tcPr>
          <w:p w14:paraId="3D394C68"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7%</w:t>
            </w:r>
          </w:p>
        </w:tc>
      </w:tr>
      <w:tr w:rsidR="009E01F8" w:rsidRPr="00CD729C" w14:paraId="3D394C6E" w14:textId="77777777" w:rsidTr="009B4BB6">
        <w:trPr>
          <w:cantSplit/>
        </w:trPr>
        <w:tc>
          <w:tcPr>
            <w:tcW w:w="3227" w:type="dxa"/>
            <w:tcBorders>
              <w:top w:val="nil"/>
              <w:left w:val="single" w:sz="4" w:space="0" w:color="auto"/>
              <w:bottom w:val="nil"/>
              <w:right w:val="nil"/>
            </w:tcBorders>
          </w:tcPr>
          <w:p w14:paraId="3D394C6A" w14:textId="77777777" w:rsidR="009E01F8" w:rsidRPr="00CD729C" w:rsidRDefault="009E01F8" w:rsidP="009B4BB6">
            <w:pPr>
              <w:keepNext/>
              <w:keepLines/>
              <w:widowControl w:val="0"/>
              <w:tabs>
                <w:tab w:val="clear" w:pos="567"/>
              </w:tabs>
              <w:spacing w:line="240" w:lineRule="auto"/>
              <w:ind w:left="284"/>
              <w:rPr>
                <w:color w:val="000000"/>
                <w:szCs w:val="22"/>
              </w:rPr>
            </w:pPr>
            <w:r w:rsidRPr="00CD729C">
              <w:rPr>
                <w:color w:val="000000"/>
                <w:szCs w:val="22"/>
              </w:rPr>
              <w:t>(Apstiprināta</w:t>
            </w:r>
            <w:r w:rsidRPr="00CD729C">
              <w:rPr>
                <w:color w:val="000000"/>
                <w:szCs w:val="22"/>
                <w:vertAlign w:val="superscript"/>
              </w:rPr>
              <w:t>3</w:t>
            </w:r>
            <w:r w:rsidRPr="00CD729C">
              <w:rPr>
                <w:color w:val="000000"/>
                <w:szCs w:val="22"/>
              </w:rPr>
              <w:t>) [95% TI]</w:t>
            </w:r>
          </w:p>
        </w:tc>
        <w:tc>
          <w:tcPr>
            <w:tcW w:w="2268" w:type="dxa"/>
            <w:tcBorders>
              <w:top w:val="nil"/>
              <w:left w:val="nil"/>
              <w:bottom w:val="nil"/>
              <w:right w:val="nil"/>
            </w:tcBorders>
          </w:tcPr>
          <w:p w14:paraId="3D394C6B"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(43%) [38,6–47,2]</w:t>
            </w:r>
          </w:p>
        </w:tc>
        <w:tc>
          <w:tcPr>
            <w:tcW w:w="1984" w:type="dxa"/>
            <w:tcBorders>
              <w:top w:val="nil"/>
              <w:left w:val="nil"/>
              <w:bottom w:val="nil"/>
              <w:right w:val="nil"/>
            </w:tcBorders>
          </w:tcPr>
          <w:p w14:paraId="3D394C6C"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(16%) [11,3–21,0]</w:t>
            </w:r>
          </w:p>
        </w:tc>
        <w:tc>
          <w:tcPr>
            <w:tcW w:w="1843" w:type="dxa"/>
            <w:tcBorders>
              <w:top w:val="nil"/>
              <w:left w:val="nil"/>
              <w:bottom w:val="nil"/>
              <w:right w:val="single" w:sz="4" w:space="0" w:color="auto"/>
            </w:tcBorders>
          </w:tcPr>
          <w:p w14:paraId="3D394C6D"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(2%) [0,6–4,4]</w:t>
            </w:r>
          </w:p>
        </w:tc>
      </w:tr>
      <w:tr w:rsidR="009E01F8" w:rsidRPr="00CD729C" w14:paraId="3D394C73" w14:textId="77777777" w:rsidTr="009B4BB6">
        <w:trPr>
          <w:cantSplit/>
        </w:trPr>
        <w:tc>
          <w:tcPr>
            <w:tcW w:w="3227" w:type="dxa"/>
            <w:tcBorders>
              <w:top w:val="nil"/>
              <w:left w:val="single" w:sz="4" w:space="0" w:color="auto"/>
              <w:bottom w:val="single" w:sz="4" w:space="0" w:color="auto"/>
              <w:right w:val="nil"/>
            </w:tcBorders>
          </w:tcPr>
          <w:p w14:paraId="3D394C6F" w14:textId="77777777" w:rsidR="009E01F8" w:rsidRPr="00CD729C" w:rsidRDefault="009E01F8" w:rsidP="009B4BB6">
            <w:pPr>
              <w:keepNext/>
              <w:keepLines/>
              <w:widowControl w:val="0"/>
              <w:tabs>
                <w:tab w:val="clear" w:pos="567"/>
              </w:tabs>
              <w:spacing w:line="240" w:lineRule="auto"/>
              <w:ind w:left="284"/>
              <w:rPr>
                <w:color w:val="000000"/>
                <w:szCs w:val="22"/>
              </w:rPr>
            </w:pPr>
            <w:r w:rsidRPr="00CD729C">
              <w:rPr>
                <w:color w:val="000000"/>
                <w:szCs w:val="22"/>
              </w:rPr>
              <w:t>Daļēja</w:t>
            </w:r>
          </w:p>
        </w:tc>
        <w:tc>
          <w:tcPr>
            <w:tcW w:w="2268" w:type="dxa"/>
            <w:tcBorders>
              <w:top w:val="nil"/>
              <w:left w:val="nil"/>
              <w:bottom w:val="single" w:sz="4" w:space="0" w:color="auto"/>
              <w:right w:val="nil"/>
            </w:tcBorders>
          </w:tcPr>
          <w:p w14:paraId="3D394C70"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12%</w:t>
            </w:r>
          </w:p>
        </w:tc>
        <w:tc>
          <w:tcPr>
            <w:tcW w:w="1984" w:type="dxa"/>
            <w:tcBorders>
              <w:top w:val="nil"/>
              <w:left w:val="nil"/>
              <w:bottom w:val="single" w:sz="4" w:space="0" w:color="auto"/>
              <w:right w:val="nil"/>
            </w:tcBorders>
          </w:tcPr>
          <w:p w14:paraId="3D394C71"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7%</w:t>
            </w:r>
          </w:p>
        </w:tc>
        <w:tc>
          <w:tcPr>
            <w:tcW w:w="1843" w:type="dxa"/>
            <w:tcBorders>
              <w:top w:val="nil"/>
              <w:left w:val="nil"/>
              <w:bottom w:val="single" w:sz="4" w:space="0" w:color="auto"/>
              <w:right w:val="single" w:sz="4" w:space="0" w:color="auto"/>
            </w:tcBorders>
          </w:tcPr>
          <w:p w14:paraId="3D394C72"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8%</w:t>
            </w:r>
          </w:p>
        </w:tc>
      </w:tr>
      <w:tr w:rsidR="009E01F8" w:rsidRPr="00CD729C" w14:paraId="3D394C7C" w14:textId="77777777" w:rsidTr="009B4BB6">
        <w:trPr>
          <w:cantSplit/>
        </w:trPr>
        <w:tc>
          <w:tcPr>
            <w:tcW w:w="9322" w:type="dxa"/>
            <w:gridSpan w:val="4"/>
            <w:tcBorders>
              <w:top w:val="nil"/>
            </w:tcBorders>
          </w:tcPr>
          <w:p w14:paraId="3D394C74" w14:textId="77777777" w:rsidR="009E01F8" w:rsidRPr="00CD729C" w:rsidRDefault="009E01F8" w:rsidP="009B4BB6">
            <w:pPr>
              <w:keepNext/>
              <w:keepLines/>
              <w:widowControl w:val="0"/>
              <w:spacing w:line="240" w:lineRule="auto"/>
              <w:rPr>
                <w:color w:val="000000"/>
                <w:szCs w:val="22"/>
              </w:rPr>
            </w:pPr>
            <w:r w:rsidRPr="00CD729C">
              <w:rPr>
                <w:color w:val="000000"/>
                <w:szCs w:val="22"/>
                <w:vertAlign w:val="superscript"/>
              </w:rPr>
              <w:t>1</w:t>
            </w:r>
            <w:r w:rsidRPr="00CD729C">
              <w:rPr>
                <w:b/>
                <w:color w:val="000000"/>
                <w:szCs w:val="22"/>
              </w:rPr>
              <w:t>Hematoloģiskās atbildes reakcijas kritēriji (visas atbildes reakcijas jāapstiprina pēc 4 nedēļas ilga vai ilgāka laika posma):</w:t>
            </w:r>
          </w:p>
          <w:p w14:paraId="3D394C75" w14:textId="77777777" w:rsidR="009E01F8" w:rsidRPr="00CD729C" w:rsidRDefault="009E01F8" w:rsidP="009B4BB6">
            <w:pPr>
              <w:pStyle w:val="EndnoteText"/>
              <w:keepNext/>
              <w:keepLines/>
              <w:widowControl w:val="0"/>
              <w:ind w:left="567" w:hanging="567"/>
              <w:rPr>
                <w:color w:val="000000"/>
                <w:szCs w:val="22"/>
              </w:rPr>
            </w:pPr>
            <w:r w:rsidRPr="00CD729C">
              <w:rPr>
                <w:color w:val="000000"/>
                <w:szCs w:val="22"/>
              </w:rPr>
              <w:t>CHR: pētījums 0110 [WBC &lt;10 x 10</w:t>
            </w:r>
            <w:r w:rsidRPr="00CD729C">
              <w:rPr>
                <w:color w:val="000000"/>
                <w:szCs w:val="22"/>
                <w:vertAlign w:val="superscript"/>
              </w:rPr>
              <w:t>9</w:t>
            </w:r>
            <w:r w:rsidRPr="00CD729C">
              <w:rPr>
                <w:color w:val="000000"/>
                <w:szCs w:val="22"/>
              </w:rPr>
              <w:t>/l, trombocītu skaits &lt;450 x 10</w:t>
            </w:r>
            <w:r w:rsidRPr="00CD729C">
              <w:rPr>
                <w:color w:val="000000"/>
                <w:szCs w:val="22"/>
                <w:vertAlign w:val="superscript"/>
              </w:rPr>
              <w:t>9</w:t>
            </w:r>
            <w:r w:rsidRPr="00CD729C">
              <w:rPr>
                <w:color w:val="000000"/>
                <w:szCs w:val="22"/>
              </w:rPr>
              <w:t xml:space="preserve">/l, mielocīti + metamielocīti asinīs &lt;5%, asinīs nav blastu un promielocītu, bazofilu daudzums &lt;20% un nav iesaistīti ekstramedulārie audi] un pētījumos 0102 un 0109 [ANC </w:t>
            </w:r>
            <w:r w:rsidRPr="00CD729C">
              <w:rPr>
                <w:color w:val="000000"/>
                <w:szCs w:val="22"/>
              </w:rPr>
              <w:sym w:font="Symbol" w:char="F0B3"/>
            </w:r>
            <w:r w:rsidRPr="00CD729C">
              <w:rPr>
                <w:color w:val="000000"/>
                <w:szCs w:val="22"/>
              </w:rPr>
              <w:t>1,5 x 10</w:t>
            </w:r>
            <w:r w:rsidRPr="00CD729C">
              <w:rPr>
                <w:color w:val="000000"/>
                <w:szCs w:val="22"/>
                <w:vertAlign w:val="superscript"/>
              </w:rPr>
              <w:t>9</w:t>
            </w:r>
            <w:r w:rsidRPr="00CD729C">
              <w:rPr>
                <w:color w:val="000000"/>
                <w:szCs w:val="22"/>
              </w:rPr>
              <w:t xml:space="preserve">/l, trombocītu skaits </w:t>
            </w:r>
            <w:r w:rsidRPr="00CD729C">
              <w:rPr>
                <w:color w:val="000000"/>
                <w:szCs w:val="22"/>
              </w:rPr>
              <w:sym w:font="Symbol" w:char="F0B3"/>
            </w:r>
            <w:r w:rsidRPr="00CD729C">
              <w:rPr>
                <w:color w:val="000000"/>
                <w:szCs w:val="22"/>
              </w:rPr>
              <w:t>100 x 10</w:t>
            </w:r>
            <w:r w:rsidRPr="00CD729C">
              <w:rPr>
                <w:color w:val="000000"/>
                <w:szCs w:val="22"/>
                <w:vertAlign w:val="superscript"/>
              </w:rPr>
              <w:t>9</w:t>
            </w:r>
            <w:r w:rsidRPr="00CD729C">
              <w:rPr>
                <w:color w:val="000000"/>
                <w:szCs w:val="22"/>
              </w:rPr>
              <w:t>/l, asinīs nav blastu, BM blastu daudzums &lt;5% un nav ekstramedulāru patoloģiju]</w:t>
            </w:r>
          </w:p>
          <w:p w14:paraId="3D394C76" w14:textId="77777777" w:rsidR="009E01F8" w:rsidRPr="00CD729C" w:rsidRDefault="009E01F8" w:rsidP="009B4BB6">
            <w:pPr>
              <w:keepNext/>
              <w:keepLines/>
              <w:widowControl w:val="0"/>
              <w:spacing w:line="240" w:lineRule="auto"/>
              <w:ind w:left="567" w:hanging="567"/>
              <w:rPr>
                <w:color w:val="000000"/>
                <w:szCs w:val="22"/>
              </w:rPr>
            </w:pPr>
            <w:r w:rsidRPr="00CD729C">
              <w:rPr>
                <w:color w:val="000000"/>
                <w:szCs w:val="22"/>
              </w:rPr>
              <w:t xml:space="preserve">NEL: kritēriji atbilst CHR, bet ANC </w:t>
            </w:r>
            <w:r w:rsidRPr="00CD729C">
              <w:rPr>
                <w:color w:val="000000"/>
                <w:szCs w:val="22"/>
              </w:rPr>
              <w:sym w:font="Symbol" w:char="F0B3"/>
            </w:r>
            <w:r w:rsidRPr="00CD729C">
              <w:rPr>
                <w:color w:val="000000"/>
                <w:szCs w:val="22"/>
              </w:rPr>
              <w:t>1 x 10</w:t>
            </w:r>
            <w:r w:rsidRPr="00CD729C">
              <w:rPr>
                <w:color w:val="000000"/>
                <w:szCs w:val="22"/>
                <w:vertAlign w:val="superscript"/>
              </w:rPr>
              <w:t>9</w:t>
            </w:r>
            <w:r w:rsidRPr="00CD729C">
              <w:rPr>
                <w:color w:val="000000"/>
                <w:szCs w:val="22"/>
              </w:rPr>
              <w:t xml:space="preserve">/l un trombocītu skaits </w:t>
            </w:r>
            <w:r w:rsidRPr="00CD729C">
              <w:rPr>
                <w:color w:val="000000"/>
                <w:szCs w:val="22"/>
              </w:rPr>
              <w:sym w:font="Symbol" w:char="F0B3"/>
            </w:r>
            <w:r w:rsidRPr="00CD729C">
              <w:rPr>
                <w:color w:val="000000"/>
                <w:szCs w:val="22"/>
              </w:rPr>
              <w:t>20 x 10</w:t>
            </w:r>
            <w:r w:rsidRPr="00CD729C">
              <w:rPr>
                <w:color w:val="000000"/>
                <w:szCs w:val="22"/>
                <w:vertAlign w:val="superscript"/>
              </w:rPr>
              <w:t>9</w:t>
            </w:r>
            <w:r w:rsidRPr="00CD729C">
              <w:rPr>
                <w:color w:val="000000"/>
                <w:szCs w:val="22"/>
              </w:rPr>
              <w:t>/l (tikai pētījumos Nr. 0102 un 0109)</w:t>
            </w:r>
          </w:p>
          <w:p w14:paraId="3D394C77" w14:textId="77777777" w:rsidR="009E01F8" w:rsidRPr="00CD729C" w:rsidRDefault="009E01F8" w:rsidP="009B4BB6">
            <w:pPr>
              <w:keepNext/>
              <w:keepLines/>
              <w:widowControl w:val="0"/>
              <w:spacing w:line="240" w:lineRule="auto"/>
              <w:ind w:left="567" w:hanging="567"/>
              <w:rPr>
                <w:color w:val="000000"/>
                <w:szCs w:val="22"/>
              </w:rPr>
            </w:pPr>
            <w:r w:rsidRPr="00CD729C">
              <w:rPr>
                <w:color w:val="000000"/>
                <w:szCs w:val="22"/>
              </w:rPr>
              <w:t>RTC: &lt;15% BM un PB, &lt;30% blastu + promielocītu BM un PB, &lt;20% bazofilu PB, nav ekstramedulāru patoloģiju (izņemot liesu un aknas – tikai pētījumos Nr. 0102 un 0109)</w:t>
            </w:r>
          </w:p>
          <w:p w14:paraId="3D394C78" w14:textId="77777777" w:rsidR="009E01F8" w:rsidRPr="00CD729C" w:rsidRDefault="009E01F8" w:rsidP="009B4BB6">
            <w:pPr>
              <w:keepNext/>
              <w:keepLines/>
              <w:widowControl w:val="0"/>
              <w:spacing w:line="240" w:lineRule="auto"/>
              <w:rPr>
                <w:color w:val="000000"/>
                <w:szCs w:val="22"/>
              </w:rPr>
            </w:pPr>
            <w:r w:rsidRPr="00CD729C">
              <w:rPr>
                <w:color w:val="000000"/>
                <w:szCs w:val="22"/>
              </w:rPr>
              <w:t>BM = kaulu smadzenes, PB = perifērās asinis</w:t>
            </w:r>
          </w:p>
          <w:p w14:paraId="3D394C79" w14:textId="77777777" w:rsidR="009E01F8" w:rsidRPr="00CD729C" w:rsidRDefault="009E01F8" w:rsidP="009B4BB6">
            <w:pPr>
              <w:keepNext/>
              <w:keepLines/>
              <w:widowControl w:val="0"/>
              <w:spacing w:line="240" w:lineRule="auto"/>
              <w:rPr>
                <w:b/>
                <w:color w:val="000000"/>
                <w:szCs w:val="22"/>
              </w:rPr>
            </w:pPr>
            <w:r w:rsidRPr="00CD729C">
              <w:rPr>
                <w:color w:val="000000"/>
                <w:szCs w:val="22"/>
                <w:vertAlign w:val="superscript"/>
              </w:rPr>
              <w:t>2</w:t>
            </w:r>
            <w:r w:rsidRPr="00CD729C">
              <w:rPr>
                <w:b/>
                <w:color w:val="000000"/>
                <w:szCs w:val="22"/>
              </w:rPr>
              <w:t>Citoģenētiskās atbildes reakcijas kritēriji:</w:t>
            </w:r>
          </w:p>
          <w:p w14:paraId="3D394C7A" w14:textId="77777777" w:rsidR="009E01F8" w:rsidRPr="00CD729C" w:rsidRDefault="009E01F8" w:rsidP="009B4BB6">
            <w:pPr>
              <w:keepNext/>
              <w:keepLines/>
              <w:widowControl w:val="0"/>
              <w:spacing w:line="240" w:lineRule="auto"/>
              <w:rPr>
                <w:color w:val="000000"/>
                <w:szCs w:val="22"/>
              </w:rPr>
            </w:pPr>
            <w:r w:rsidRPr="00CD729C">
              <w:rPr>
                <w:color w:val="000000"/>
                <w:szCs w:val="22"/>
              </w:rPr>
              <w:t>nozīmīga atbildes reakcija apvieno pilnīgu un daļēju atbildes reakciju: pilnīga atbildes reakcija (0% Ph</w:t>
            </w:r>
            <w:r w:rsidRPr="00CD729C">
              <w:rPr>
                <w:color w:val="000000"/>
                <w:szCs w:val="22"/>
                <w:vertAlign w:val="superscript"/>
              </w:rPr>
              <w:t>+</w:t>
            </w:r>
            <w:r w:rsidRPr="00CD729C">
              <w:rPr>
                <w:color w:val="000000"/>
                <w:szCs w:val="22"/>
              </w:rPr>
              <w:t xml:space="preserve"> metafāzes), daļēja (1–35%).</w:t>
            </w:r>
          </w:p>
          <w:p w14:paraId="3D394C7B" w14:textId="77777777" w:rsidR="009E01F8" w:rsidRPr="00CD729C" w:rsidRDefault="009E01F8" w:rsidP="009B4BB6">
            <w:pPr>
              <w:keepNext/>
              <w:keepLines/>
              <w:widowControl w:val="0"/>
              <w:spacing w:line="240" w:lineRule="auto"/>
              <w:rPr>
                <w:color w:val="000000"/>
                <w:szCs w:val="22"/>
              </w:rPr>
            </w:pPr>
            <w:r w:rsidRPr="00CD729C">
              <w:rPr>
                <w:color w:val="000000"/>
                <w:szCs w:val="22"/>
                <w:vertAlign w:val="superscript"/>
              </w:rPr>
              <w:t>3</w:t>
            </w:r>
            <w:r w:rsidRPr="00CD729C">
              <w:rPr>
                <w:color w:val="000000"/>
                <w:szCs w:val="22"/>
              </w:rPr>
              <w:t>Pilnīga citoģenētiska atbildes reakcija ir apstiprināta, izmantojot nākamo kaulu smadzeņu audu citoģenētisko vērtējumu, kas izdarīts vismaz mēnesi pēc sākotnējā kaulu smadzeņu audu izmeklējuma.</w:t>
            </w:r>
          </w:p>
        </w:tc>
      </w:tr>
    </w:tbl>
    <w:p w14:paraId="3D394C7D" w14:textId="77777777" w:rsidR="009E01F8" w:rsidRPr="00CD729C" w:rsidRDefault="009E01F8" w:rsidP="009B4BB6">
      <w:pPr>
        <w:widowControl w:val="0"/>
        <w:spacing w:line="240" w:lineRule="auto"/>
        <w:rPr>
          <w:color w:val="000000"/>
          <w:szCs w:val="22"/>
        </w:rPr>
      </w:pPr>
    </w:p>
    <w:p w14:paraId="3D394C7E" w14:textId="77777777" w:rsidR="009E01F8" w:rsidRPr="00CD729C" w:rsidRDefault="009E01F8" w:rsidP="009B4BB6">
      <w:pPr>
        <w:widowControl w:val="0"/>
        <w:spacing w:line="240" w:lineRule="auto"/>
        <w:rPr>
          <w:color w:val="000000"/>
          <w:szCs w:val="22"/>
        </w:rPr>
      </w:pPr>
      <w:r w:rsidRPr="00CD729C">
        <w:rPr>
          <w:i/>
          <w:color w:val="000000"/>
          <w:szCs w:val="22"/>
        </w:rPr>
        <w:t>Pediatriskie pacienti:</w:t>
      </w:r>
      <w:r w:rsidRPr="00CD729C">
        <w:rPr>
          <w:color w:val="000000"/>
          <w:szCs w:val="22"/>
        </w:rPr>
        <w:t xml:space="preserve"> I fāzes pētījumā, kura laikā paaugstināja preparāta devas, pavisam tika iekļauti 26 pediatriskie pacienti (jaunāki par 18 gadiem) ar CML hroniskā fāzē (n = 11), kā arī ar blastu krīzi vai akūtu Ph</w:t>
      </w:r>
      <w:r w:rsidRPr="00CD729C">
        <w:rPr>
          <w:color w:val="000000"/>
          <w:szCs w:val="22"/>
          <w:vertAlign w:val="superscript"/>
        </w:rPr>
        <w:t>+</w:t>
      </w:r>
      <w:r w:rsidRPr="00CD729C">
        <w:rPr>
          <w:color w:val="000000"/>
          <w:szCs w:val="22"/>
        </w:rPr>
        <w:t xml:space="preserve"> leikozi (n = 15). Šī pacientu grupa iepriekš bija saņēmusi spēcīgu iepriekšēju terapiju – 46% pacientu agrāk bija veikta kaulu smadzeņu transplantācija (BMT), bet 73% pacientu – ķīmijterapija, izmantojot vairākus preparātus. Pacienti saņēma 260 (n = 5), 340 (n = 9), 440 (n = 7) un 570 mg/m</w:t>
      </w:r>
      <w:r w:rsidRPr="00CD729C">
        <w:rPr>
          <w:color w:val="000000"/>
          <w:szCs w:val="22"/>
          <w:vertAlign w:val="superscript"/>
        </w:rPr>
        <w:t>2</w:t>
      </w:r>
      <w:r w:rsidRPr="00CD729C">
        <w:rPr>
          <w:color w:val="000000"/>
          <w:szCs w:val="22"/>
        </w:rPr>
        <w:t xml:space="preserve"> (n = 5) lielām preparāta devas dienā. No 9 pacientiem ar hronisku CML, par kuriem pieejamai citoģenēzes dati, attiecīgi 4 (44%) un 3 (33%) pacienti sasniedza pilnīgu vai daļēju citoģenētisku atbildes reakciju, kur MCyR pakāpe bija 77%.</w:t>
      </w:r>
    </w:p>
    <w:p w14:paraId="3D394C7F" w14:textId="77777777" w:rsidR="009E01F8" w:rsidRPr="00CD729C" w:rsidRDefault="009E01F8" w:rsidP="009B4BB6">
      <w:pPr>
        <w:widowControl w:val="0"/>
        <w:spacing w:line="240" w:lineRule="auto"/>
        <w:rPr>
          <w:color w:val="000000"/>
          <w:szCs w:val="22"/>
        </w:rPr>
      </w:pPr>
    </w:p>
    <w:p w14:paraId="3D394C80" w14:textId="77777777" w:rsidR="009E01F8" w:rsidRPr="00CD729C" w:rsidRDefault="009E01F8" w:rsidP="009B4BB6">
      <w:pPr>
        <w:widowControl w:val="0"/>
        <w:spacing w:line="240" w:lineRule="auto"/>
        <w:rPr>
          <w:color w:val="000000"/>
          <w:szCs w:val="22"/>
        </w:rPr>
      </w:pPr>
      <w:r w:rsidRPr="00CD729C">
        <w:rPr>
          <w:color w:val="000000"/>
          <w:szCs w:val="22"/>
        </w:rPr>
        <w:t>Kopumā atklāta tipa, daudzcentru, monogrupas II fāzes pētījumā tika iesaistīti 51 pediatrijas pacients ar jaunatklātu un neārstētu CML hroniskā fāzē. Pacienti bez pārtraukuma saņēma Glivec 340 mg/m</w:t>
      </w:r>
      <w:r w:rsidRPr="00CD729C">
        <w:rPr>
          <w:color w:val="000000"/>
          <w:szCs w:val="22"/>
          <w:vertAlign w:val="superscript"/>
        </w:rPr>
        <w:t>2</w:t>
      </w:r>
      <w:r w:rsidRPr="00CD729C">
        <w:rPr>
          <w:color w:val="000000"/>
          <w:szCs w:val="22"/>
        </w:rPr>
        <w:t>/dienā devu, jo netika novērota toksicitātes parādības, kam būtu nepieciešama devas samazināšana. 8 nedēļu laikā pēc Glivec terapijas uzsākšanas pediatrijas pacientiem ar CML novēroja strauju atbildes reakciju veidošanos, sasniedzot 78% no pilnīgas hematoloģiskās atbildes reakcijas (CHR). Augstais CHR līmenis saistīts ar pilnīgu citoģenētiskās atbildes reakcijas (CCyR) veidošanos 65% apmērā, kas ir salīdzināms ar rezultātiem pieaugušiem pacientiem. Bez tam, daļēju citoģenētiskās atbildes reakciju novēroja vēl 16% pacientu, kur MCyR pakāpe bija 81%. Vairākums pacientu, kuri sasniedza pilnīgu citoģenētiskās atbildes reakciju (CCyR), atbildes reakciju sasniedza vidēji 3 līdz 10 mēnešu laikā, pamatojoties un Kaplāna-Meijera aprēķinātajiem 5,6 mēnešiem.</w:t>
      </w:r>
    </w:p>
    <w:p w14:paraId="3D394C81" w14:textId="77777777" w:rsidR="009E01F8" w:rsidRPr="00CD729C" w:rsidRDefault="009E01F8" w:rsidP="009B4BB6">
      <w:pPr>
        <w:widowControl w:val="0"/>
        <w:spacing w:line="240" w:lineRule="auto"/>
        <w:rPr>
          <w:color w:val="000000"/>
          <w:szCs w:val="22"/>
        </w:rPr>
      </w:pPr>
    </w:p>
    <w:p w14:paraId="3D394C82" w14:textId="77777777" w:rsidR="009E01F8" w:rsidRPr="00CD729C" w:rsidRDefault="009E01F8" w:rsidP="009B4BB6">
      <w:pPr>
        <w:widowControl w:val="0"/>
        <w:spacing w:line="240" w:lineRule="auto"/>
        <w:rPr>
          <w:color w:val="000000"/>
          <w:szCs w:val="22"/>
        </w:rPr>
      </w:pPr>
      <w:r w:rsidRPr="00CD729C">
        <w:rPr>
          <w:color w:val="000000"/>
          <w:szCs w:val="22"/>
        </w:rPr>
        <w:t>Eiropas Zāļu aģentūra atbrīvojusi no pienākuma iesniegt pētījumu rezultātus Glivec visās pediatriskās populācijas apakšgrupās pacientiem ar Filadelfijas hromosomas (bcr-abl translokācija) pozitīvu hronisku mieloleikozi (informāciju par lietošanu bērniem skatīt 4.2.</w:t>
      </w:r>
      <w:r w:rsidR="00203C0B" w:rsidRPr="00CD729C">
        <w:rPr>
          <w:color w:val="000000"/>
          <w:szCs w:val="22"/>
        </w:rPr>
        <w:t> apakšpunkt</w:t>
      </w:r>
      <w:r w:rsidR="007971BC" w:rsidRPr="00CD729C">
        <w:rPr>
          <w:color w:val="000000"/>
          <w:szCs w:val="22"/>
        </w:rPr>
        <w:t>ā</w:t>
      </w:r>
      <w:r w:rsidRPr="00CD729C">
        <w:rPr>
          <w:color w:val="000000"/>
          <w:szCs w:val="22"/>
        </w:rPr>
        <w:t>).</w:t>
      </w:r>
    </w:p>
    <w:p w14:paraId="3D394C83" w14:textId="77777777" w:rsidR="009E01F8" w:rsidRPr="00CD729C" w:rsidRDefault="009E01F8" w:rsidP="009B4BB6">
      <w:pPr>
        <w:widowControl w:val="0"/>
        <w:spacing w:line="240" w:lineRule="auto"/>
        <w:rPr>
          <w:color w:val="000000"/>
          <w:szCs w:val="22"/>
        </w:rPr>
      </w:pPr>
    </w:p>
    <w:p w14:paraId="3D394C84" w14:textId="77777777" w:rsidR="009E01F8" w:rsidRPr="00CD729C" w:rsidRDefault="009E01F8" w:rsidP="009B4BB6">
      <w:pPr>
        <w:pStyle w:val="EndnoteText"/>
        <w:keepNext/>
        <w:widowControl w:val="0"/>
        <w:rPr>
          <w:color w:val="000000"/>
          <w:szCs w:val="22"/>
          <w:u w:val="single"/>
        </w:rPr>
      </w:pPr>
      <w:r w:rsidRPr="00CD729C">
        <w:rPr>
          <w:color w:val="000000"/>
          <w:szCs w:val="22"/>
          <w:u w:val="single"/>
        </w:rPr>
        <w:t>Ph+ ALL klīniskie pētījumi</w:t>
      </w:r>
    </w:p>
    <w:p w14:paraId="3D394C85" w14:textId="77777777" w:rsidR="009E01F8" w:rsidRPr="00CD729C" w:rsidRDefault="009E01F8" w:rsidP="009B4BB6">
      <w:pPr>
        <w:pStyle w:val="Text"/>
        <w:widowControl w:val="0"/>
        <w:spacing w:before="0"/>
        <w:jc w:val="left"/>
        <w:rPr>
          <w:color w:val="000000"/>
          <w:sz w:val="22"/>
          <w:szCs w:val="22"/>
          <w:lang w:val="lv-LV"/>
        </w:rPr>
      </w:pPr>
      <w:r w:rsidRPr="00CD729C">
        <w:rPr>
          <w:i/>
          <w:color w:val="000000"/>
          <w:sz w:val="22"/>
          <w:szCs w:val="22"/>
          <w:lang w:val="lv-LV"/>
        </w:rPr>
        <w:t>Tikko diagnosticēts Ph+ ALL</w:t>
      </w:r>
      <w:r w:rsidRPr="00CD729C">
        <w:rPr>
          <w:color w:val="000000"/>
          <w:sz w:val="22"/>
          <w:szCs w:val="22"/>
          <w:lang w:val="lv-LV"/>
        </w:rPr>
        <w:t>: kontrolētā (ADE10) imatiniba pētījumā, salīdzinot ar ķīmijterapijas indukciju, 55 </w:t>
      </w:r>
      <w:r w:rsidR="00B21479" w:rsidRPr="00CD729C">
        <w:rPr>
          <w:color w:val="000000"/>
          <w:sz w:val="22"/>
          <w:szCs w:val="22"/>
          <w:lang w:val="lv-LV"/>
        </w:rPr>
        <w:t xml:space="preserve">nesen </w:t>
      </w:r>
      <w:r w:rsidRPr="00CD729C">
        <w:rPr>
          <w:color w:val="000000"/>
          <w:sz w:val="22"/>
          <w:szCs w:val="22"/>
          <w:lang w:val="lv-LV"/>
        </w:rPr>
        <w:t>diagnosticētiem pacientiem no 55 gadu vecuma imatinibs, lietojot to kā vienīgo līdzekli, ticami biežāk nekā ķīmijterapija izraisīja pilnīgu hematoloģisku atbildes reakciju (96,3% vs. 50%; p=0,0001). Kad glābjošā terapija ar imatinibu tika lietota pacientiem, kuriem ķīmijterapija bija neefektīva vai mazefektīva, 9 pacientiem (81,8%) no 11 tika sasniegta pilnīga hematoloģiska atbildes reakcija. Šī klīniskā iedarbība pēc 2 terapijas nedēļām bija saistīta ar lielāku bcr-abl transkriptu samazinājumu ar imatinibu ārstētajiem pacientiem nekā ķīmijterapijas grupā (p=0,02). Visi pacienti pēc indukcijas saņēma imatinibu un konsolidācijas ķīmijterapiju (skatīt tabulu Nr. </w:t>
      </w:r>
      <w:r w:rsidR="00E72001" w:rsidRPr="00CD729C">
        <w:rPr>
          <w:color w:val="000000"/>
          <w:sz w:val="22"/>
          <w:szCs w:val="22"/>
          <w:lang w:val="lv-LV"/>
        </w:rPr>
        <w:t>4</w:t>
      </w:r>
      <w:r w:rsidRPr="00CD729C">
        <w:rPr>
          <w:color w:val="000000"/>
          <w:sz w:val="22"/>
          <w:szCs w:val="22"/>
          <w:lang w:val="lv-LV"/>
        </w:rPr>
        <w:t xml:space="preserve">.), un bcr-abl transkriptu līmenis abās grupās pēc 8 nedēļām bija pilnīgi vienāds. Kā jau bija paredzēts, ņemot vērā pētījuma dizainu, </w:t>
      </w:r>
      <w:r w:rsidRPr="00CD729C">
        <w:rPr>
          <w:rFonts w:eastAsia="MS Mincho"/>
          <w:color w:val="000000"/>
          <w:sz w:val="22"/>
          <w:szCs w:val="22"/>
          <w:lang w:val="lv-LV" w:eastAsia="ja-JP"/>
        </w:rPr>
        <w:t>nenovēroja nekādu remisijas ilguma, dzīvildzes bez slimības vai kopējās dzīvildzes atšķirību, kaut gan pacientiem ar pilnīgu molekulāru atbildes reakciju un stabilu minimālu atlieku slimību bija labāks iznākums gan remisijas ilguma (p=0,01), gan dzīvildzes bez slimības ziņā (p=0,02)</w:t>
      </w:r>
      <w:r w:rsidRPr="00CD729C">
        <w:rPr>
          <w:color w:val="000000"/>
          <w:sz w:val="22"/>
          <w:szCs w:val="22"/>
          <w:lang w:val="lv-LV"/>
        </w:rPr>
        <w:t>.</w:t>
      </w:r>
    </w:p>
    <w:p w14:paraId="3D394C86" w14:textId="77777777" w:rsidR="009E01F8" w:rsidRPr="00CD729C" w:rsidRDefault="009E01F8" w:rsidP="009B4BB6">
      <w:pPr>
        <w:pStyle w:val="Text"/>
        <w:widowControl w:val="0"/>
        <w:spacing w:before="0"/>
        <w:jc w:val="left"/>
        <w:rPr>
          <w:color w:val="000000"/>
          <w:sz w:val="22"/>
          <w:szCs w:val="22"/>
          <w:lang w:val="lv-LV"/>
        </w:rPr>
      </w:pPr>
    </w:p>
    <w:p w14:paraId="3D394C87" w14:textId="77777777" w:rsidR="009E01F8" w:rsidRPr="00CD729C" w:rsidRDefault="009E01F8" w:rsidP="009B4BB6">
      <w:pPr>
        <w:pStyle w:val="EndnoteText"/>
        <w:widowControl w:val="0"/>
        <w:rPr>
          <w:color w:val="000000"/>
          <w:szCs w:val="22"/>
        </w:rPr>
      </w:pPr>
      <w:r w:rsidRPr="00CD729C">
        <w:rPr>
          <w:color w:val="000000"/>
          <w:szCs w:val="22"/>
        </w:rPr>
        <w:t>211 </w:t>
      </w:r>
      <w:r w:rsidR="00B21479" w:rsidRPr="00CD729C">
        <w:rPr>
          <w:color w:val="000000"/>
          <w:szCs w:val="22"/>
        </w:rPr>
        <w:t xml:space="preserve">nesen </w:t>
      </w:r>
      <w:r w:rsidRPr="00CD729C">
        <w:rPr>
          <w:color w:val="000000"/>
          <w:szCs w:val="22"/>
        </w:rPr>
        <w:t>diagnosticētu Ph+ ALL pacientu grupā novērotie rezultāti četros nekontrolētos klīniskos pētījumos (AAU02, ADE04, AJP01 un AUS01) saskan ar rezultātiem, kas aprakstīti iepriekš. Imatiniba lietošana kombinācijā ar ķīmijterapijas indukciju (skatīt tabulu Nr. </w:t>
      </w:r>
      <w:r w:rsidR="00E72001" w:rsidRPr="00CD729C">
        <w:rPr>
          <w:color w:val="000000"/>
          <w:szCs w:val="22"/>
        </w:rPr>
        <w:t>4</w:t>
      </w:r>
      <w:r w:rsidRPr="00CD729C">
        <w:rPr>
          <w:color w:val="000000"/>
          <w:szCs w:val="22"/>
        </w:rPr>
        <w:t>.) izraisīja pilnīgu hematoloģisku atbildes reakciju 93% (147 no 158 novērtējamiem pacientiem) un nozīmīgu citoģenētisku atbildes reakciju 90% (19 no 21 novērtējama pacienta). Pilnīga molekulāra atbildes reakcija bija 48% (49 no 102 novērtējamiem pacientiem). Dzīvildze bez slimības simptomiem (DFS) un kopējā dzīvildze (OS) nemainīgi pārsniedza 1 gadu un divu iepriekšējo pētījumu (AJP01 un AUS01) rezultātus (DFS p&lt;0,001; OS p&lt;0,0001).</w:t>
      </w:r>
    </w:p>
    <w:p w14:paraId="3D394C88" w14:textId="77777777" w:rsidR="009E01F8" w:rsidRPr="00CD729C" w:rsidRDefault="009E01F8" w:rsidP="009B4BB6">
      <w:pPr>
        <w:pStyle w:val="EndnoteText"/>
        <w:widowControl w:val="0"/>
        <w:rPr>
          <w:color w:val="000000"/>
          <w:szCs w:val="22"/>
        </w:rPr>
      </w:pPr>
    </w:p>
    <w:p w14:paraId="3D394C89" w14:textId="77777777" w:rsidR="009E01F8" w:rsidRPr="00CD729C" w:rsidRDefault="009E01F8" w:rsidP="00E36D64">
      <w:pPr>
        <w:pStyle w:val="EndnoteText"/>
        <w:keepNext/>
        <w:widowControl w:val="0"/>
        <w:rPr>
          <w:b/>
          <w:bCs/>
          <w:color w:val="000000"/>
          <w:szCs w:val="22"/>
        </w:rPr>
      </w:pPr>
      <w:r w:rsidRPr="00CD729C">
        <w:rPr>
          <w:b/>
          <w:bCs/>
          <w:color w:val="000000"/>
          <w:szCs w:val="22"/>
        </w:rPr>
        <w:t>Tabula Nr. </w:t>
      </w:r>
      <w:r w:rsidR="00E72001" w:rsidRPr="00CD729C">
        <w:rPr>
          <w:b/>
          <w:bCs/>
          <w:color w:val="000000"/>
          <w:szCs w:val="22"/>
        </w:rPr>
        <w:t>4</w:t>
      </w:r>
      <w:r w:rsidRPr="00CD729C">
        <w:rPr>
          <w:b/>
          <w:bCs/>
          <w:color w:val="000000"/>
          <w:szCs w:val="22"/>
        </w:rPr>
        <w:tab/>
        <w:t xml:space="preserve">Ķīmijterapijas režīmi, kas lietoti kombinācijā ar </w:t>
      </w:r>
      <w:r w:rsidRPr="00CD729C">
        <w:rPr>
          <w:b/>
          <w:color w:val="000000"/>
          <w:szCs w:val="22"/>
        </w:rPr>
        <w:t>imatinibu</w:t>
      </w:r>
    </w:p>
    <w:p w14:paraId="3D394C8A" w14:textId="77777777" w:rsidR="009E01F8" w:rsidRPr="00CD729C" w:rsidRDefault="009E01F8" w:rsidP="00E36D64">
      <w:pPr>
        <w:pStyle w:val="EndnoteText"/>
        <w:keepNext/>
        <w:widowControl w:val="0"/>
        <w:rPr>
          <w:color w:val="000000"/>
          <w:szCs w:val="22"/>
        </w:rPr>
      </w:pPr>
    </w:p>
    <w:tbl>
      <w:tblPr>
        <w:tblW w:w="8880" w:type="dxa"/>
        <w:tblInd w:w="228" w:type="dxa"/>
        <w:tblBorders>
          <w:top w:val="single" w:sz="4" w:space="0" w:color="auto"/>
          <w:bottom w:val="single" w:sz="4" w:space="0" w:color="auto"/>
        </w:tblBorders>
        <w:tblLayout w:type="fixed"/>
        <w:tblLook w:val="0000" w:firstRow="0" w:lastRow="0" w:firstColumn="0" w:lastColumn="0" w:noHBand="0" w:noVBand="0"/>
      </w:tblPr>
      <w:tblGrid>
        <w:gridCol w:w="2148"/>
        <w:gridCol w:w="2652"/>
        <w:gridCol w:w="1080"/>
        <w:gridCol w:w="1380"/>
        <w:gridCol w:w="1620"/>
      </w:tblGrid>
      <w:tr w:rsidR="009E01F8" w:rsidRPr="00CD729C" w14:paraId="3D394C8D" w14:textId="77777777" w:rsidTr="004E61FE">
        <w:trPr>
          <w:cantSplit/>
        </w:trPr>
        <w:tc>
          <w:tcPr>
            <w:tcW w:w="2148" w:type="dxa"/>
            <w:tcBorders>
              <w:top w:val="single" w:sz="4" w:space="0" w:color="auto"/>
              <w:bottom w:val="single" w:sz="4" w:space="0" w:color="auto"/>
            </w:tcBorders>
            <w:shd w:val="clear" w:color="auto" w:fill="auto"/>
          </w:tcPr>
          <w:p w14:paraId="3D394C8B"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b/>
                <w:color w:val="000000"/>
                <w:szCs w:val="22"/>
                <w:lang w:val="lv-LV"/>
              </w:rPr>
              <w:t>Pētījums ADE10</w:t>
            </w:r>
          </w:p>
        </w:tc>
        <w:tc>
          <w:tcPr>
            <w:tcW w:w="6732" w:type="dxa"/>
            <w:gridSpan w:val="4"/>
            <w:tcBorders>
              <w:top w:val="single" w:sz="4" w:space="0" w:color="auto"/>
              <w:bottom w:val="single" w:sz="4" w:space="0" w:color="auto"/>
            </w:tcBorders>
            <w:shd w:val="clear" w:color="auto" w:fill="auto"/>
          </w:tcPr>
          <w:p w14:paraId="3D394C8C"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p>
        </w:tc>
      </w:tr>
      <w:tr w:rsidR="009E01F8" w:rsidRPr="00CD729C" w14:paraId="3D394C92" w14:textId="77777777" w:rsidTr="004E61FE">
        <w:trPr>
          <w:cantSplit/>
        </w:trPr>
        <w:tc>
          <w:tcPr>
            <w:tcW w:w="2148" w:type="dxa"/>
            <w:tcBorders>
              <w:top w:val="single" w:sz="4" w:space="0" w:color="auto"/>
              <w:bottom w:val="single" w:sz="4" w:space="0" w:color="auto"/>
            </w:tcBorders>
            <w:shd w:val="clear" w:color="auto" w:fill="auto"/>
          </w:tcPr>
          <w:p w14:paraId="3D394C8E"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Pirmsfāze</w:t>
            </w:r>
          </w:p>
        </w:tc>
        <w:tc>
          <w:tcPr>
            <w:tcW w:w="6732" w:type="dxa"/>
            <w:gridSpan w:val="4"/>
            <w:tcBorders>
              <w:top w:val="single" w:sz="4" w:space="0" w:color="auto"/>
              <w:bottom w:val="single" w:sz="4" w:space="0" w:color="auto"/>
            </w:tcBorders>
            <w:shd w:val="clear" w:color="auto" w:fill="auto"/>
          </w:tcPr>
          <w:p w14:paraId="3D394C8F"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DEX 10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1.-5. dienā lietojot iekšķīgi;</w:t>
            </w:r>
          </w:p>
          <w:p w14:paraId="3D394C90"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CP 200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3., 4., 5. dienā lietojot i.v.;</w:t>
            </w:r>
          </w:p>
          <w:p w14:paraId="3D394C91"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MTX 12 mg 1. dienā lietojot intratekāli.</w:t>
            </w:r>
          </w:p>
        </w:tc>
      </w:tr>
      <w:tr w:rsidR="009E01F8" w:rsidRPr="00CD729C" w14:paraId="3D394C99" w14:textId="77777777" w:rsidTr="004E61FE">
        <w:trPr>
          <w:cantSplit/>
        </w:trPr>
        <w:tc>
          <w:tcPr>
            <w:tcW w:w="2148" w:type="dxa"/>
            <w:tcBorders>
              <w:top w:val="single" w:sz="4" w:space="0" w:color="auto"/>
              <w:bottom w:val="single" w:sz="4" w:space="0" w:color="auto"/>
            </w:tcBorders>
            <w:shd w:val="clear" w:color="auto" w:fill="auto"/>
          </w:tcPr>
          <w:p w14:paraId="3D394C93"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Remisijas indukcija</w:t>
            </w:r>
          </w:p>
        </w:tc>
        <w:tc>
          <w:tcPr>
            <w:tcW w:w="6732" w:type="dxa"/>
            <w:gridSpan w:val="4"/>
            <w:tcBorders>
              <w:top w:val="single" w:sz="4" w:space="0" w:color="auto"/>
              <w:bottom w:val="single" w:sz="4" w:space="0" w:color="auto"/>
            </w:tcBorders>
            <w:shd w:val="clear" w:color="auto" w:fill="auto"/>
          </w:tcPr>
          <w:p w14:paraId="3D394C94"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DEX 10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6.-7., 13.-16. dienā lietojot iekšķīgi;</w:t>
            </w:r>
          </w:p>
          <w:p w14:paraId="3D394C95"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VCR 1 mg 7. un 14. dienā lietojot i.v.;</w:t>
            </w:r>
          </w:p>
          <w:p w14:paraId="3D394C96"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IDA 8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7., 8., 14. un 15. dienā lietojot i.v. (0,5 h);</w:t>
            </w:r>
          </w:p>
          <w:p w14:paraId="3D394C97"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CP 500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dienā lietojot i.v.(1 h);</w:t>
            </w:r>
          </w:p>
          <w:p w14:paraId="3D394C98"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Ara-C 60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22.-25., 29.-32. dienā lietojot i.v.</w:t>
            </w:r>
          </w:p>
        </w:tc>
      </w:tr>
      <w:tr w:rsidR="009E01F8" w:rsidRPr="00CD729C" w14:paraId="3D394C9D" w14:textId="77777777" w:rsidTr="004E61FE">
        <w:trPr>
          <w:cantSplit/>
        </w:trPr>
        <w:tc>
          <w:tcPr>
            <w:tcW w:w="2148" w:type="dxa"/>
            <w:tcBorders>
              <w:top w:val="single" w:sz="4" w:space="0" w:color="auto"/>
              <w:bottom w:val="single" w:sz="4" w:space="0" w:color="auto"/>
            </w:tcBorders>
            <w:shd w:val="clear" w:color="auto" w:fill="auto"/>
          </w:tcPr>
          <w:p w14:paraId="3D394C9A"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Konsolidācijas terapija I, III, V</w:t>
            </w:r>
          </w:p>
        </w:tc>
        <w:tc>
          <w:tcPr>
            <w:tcW w:w="6732" w:type="dxa"/>
            <w:gridSpan w:val="4"/>
            <w:tcBorders>
              <w:top w:val="single" w:sz="4" w:space="0" w:color="auto"/>
              <w:bottom w:val="single" w:sz="4" w:space="0" w:color="auto"/>
            </w:tcBorders>
            <w:shd w:val="clear" w:color="auto" w:fill="auto"/>
          </w:tcPr>
          <w:p w14:paraId="3D394C9B"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MTX 500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un 15. dienā lietojot i.v. (24 h);</w:t>
            </w:r>
          </w:p>
          <w:p w14:paraId="3D394C9C"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6-MP 25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1.-20. dienā lietojot iekšķīgi.</w:t>
            </w:r>
          </w:p>
        </w:tc>
      </w:tr>
      <w:tr w:rsidR="009E01F8" w:rsidRPr="00CD729C" w14:paraId="3D394CA1" w14:textId="77777777" w:rsidTr="004E61FE">
        <w:trPr>
          <w:cantSplit/>
        </w:trPr>
        <w:tc>
          <w:tcPr>
            <w:tcW w:w="2148" w:type="dxa"/>
            <w:tcBorders>
              <w:top w:val="single" w:sz="4" w:space="0" w:color="auto"/>
              <w:bottom w:val="single" w:sz="4" w:space="0" w:color="auto"/>
            </w:tcBorders>
            <w:shd w:val="clear" w:color="auto" w:fill="auto"/>
          </w:tcPr>
          <w:p w14:paraId="3D394C9E"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Konsolidācijas terapija II, IV</w:t>
            </w:r>
          </w:p>
        </w:tc>
        <w:tc>
          <w:tcPr>
            <w:tcW w:w="6732" w:type="dxa"/>
            <w:gridSpan w:val="4"/>
            <w:tcBorders>
              <w:top w:val="single" w:sz="4" w:space="0" w:color="auto"/>
              <w:bottom w:val="single" w:sz="4" w:space="0" w:color="auto"/>
            </w:tcBorders>
            <w:shd w:val="clear" w:color="auto" w:fill="auto"/>
          </w:tcPr>
          <w:p w14:paraId="3D394C9F"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Ara-C 75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1.-5. dienā lietojot i.v. (1 h);</w:t>
            </w:r>
          </w:p>
          <w:p w14:paraId="3D394CA0"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VM26 60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1.-5. dienā lietojot i.v. (1 h).</w:t>
            </w:r>
          </w:p>
        </w:tc>
      </w:tr>
      <w:tr w:rsidR="009E01F8" w:rsidRPr="00CD729C" w14:paraId="3D394CA7" w14:textId="77777777" w:rsidTr="004E61FE">
        <w:trPr>
          <w:cantSplit/>
        </w:trPr>
        <w:tc>
          <w:tcPr>
            <w:tcW w:w="2148" w:type="dxa"/>
            <w:tcBorders>
              <w:top w:val="single" w:sz="4" w:space="0" w:color="auto"/>
              <w:bottom w:val="single" w:sz="4" w:space="0" w:color="auto"/>
            </w:tcBorders>
            <w:shd w:val="clear" w:color="auto" w:fill="auto"/>
          </w:tcPr>
          <w:p w14:paraId="3D394CA2" w14:textId="77777777" w:rsidR="009E01F8" w:rsidRPr="00CD729C" w:rsidRDefault="009E01F8" w:rsidP="00E36D64">
            <w:pPr>
              <w:pStyle w:val="Table"/>
              <w:keepLines w:val="0"/>
              <w:widowControl w:val="0"/>
              <w:spacing w:before="0" w:after="0"/>
              <w:rPr>
                <w:rFonts w:ascii="Times New Roman" w:hAnsi="Times New Roman"/>
                <w:b/>
                <w:color w:val="000000"/>
                <w:szCs w:val="22"/>
                <w:lang w:val="lv-LV"/>
              </w:rPr>
            </w:pPr>
            <w:r w:rsidRPr="00CD729C">
              <w:rPr>
                <w:rFonts w:ascii="Times New Roman" w:hAnsi="Times New Roman"/>
                <w:b/>
                <w:color w:val="000000"/>
                <w:szCs w:val="22"/>
                <w:lang w:val="lv-LV"/>
              </w:rPr>
              <w:t>Pētījums AAU02</w:t>
            </w:r>
          </w:p>
        </w:tc>
        <w:tc>
          <w:tcPr>
            <w:tcW w:w="2652" w:type="dxa"/>
            <w:tcBorders>
              <w:top w:val="single" w:sz="4" w:space="0" w:color="auto"/>
              <w:bottom w:val="single" w:sz="4" w:space="0" w:color="auto"/>
            </w:tcBorders>
            <w:shd w:val="clear" w:color="auto" w:fill="auto"/>
          </w:tcPr>
          <w:p w14:paraId="3D394CA3"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p>
        </w:tc>
        <w:tc>
          <w:tcPr>
            <w:tcW w:w="1080" w:type="dxa"/>
            <w:tcBorders>
              <w:top w:val="single" w:sz="4" w:space="0" w:color="auto"/>
              <w:bottom w:val="single" w:sz="4" w:space="0" w:color="auto"/>
            </w:tcBorders>
          </w:tcPr>
          <w:p w14:paraId="3D394CA4"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p>
        </w:tc>
        <w:tc>
          <w:tcPr>
            <w:tcW w:w="1380" w:type="dxa"/>
            <w:tcBorders>
              <w:top w:val="single" w:sz="4" w:space="0" w:color="auto"/>
              <w:bottom w:val="single" w:sz="4" w:space="0" w:color="auto"/>
            </w:tcBorders>
          </w:tcPr>
          <w:p w14:paraId="3D394CA5"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p>
        </w:tc>
        <w:tc>
          <w:tcPr>
            <w:tcW w:w="1620" w:type="dxa"/>
            <w:tcBorders>
              <w:top w:val="single" w:sz="4" w:space="0" w:color="auto"/>
              <w:bottom w:val="single" w:sz="4" w:space="0" w:color="auto"/>
            </w:tcBorders>
          </w:tcPr>
          <w:p w14:paraId="3D394CA6"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p>
        </w:tc>
      </w:tr>
      <w:tr w:rsidR="009E01F8" w:rsidRPr="00CD729C" w14:paraId="3D394CB1" w14:textId="77777777" w:rsidTr="004E61FE">
        <w:trPr>
          <w:cantSplit/>
        </w:trPr>
        <w:tc>
          <w:tcPr>
            <w:tcW w:w="2148" w:type="dxa"/>
            <w:tcBorders>
              <w:top w:val="single" w:sz="4" w:space="0" w:color="auto"/>
              <w:bottom w:val="single" w:sz="4" w:space="0" w:color="auto"/>
            </w:tcBorders>
            <w:shd w:val="clear" w:color="auto" w:fill="auto"/>
          </w:tcPr>
          <w:p w14:paraId="3D394CA8"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Indukcijas terapija (</w:t>
            </w:r>
            <w:r w:rsidRPr="00CD729C">
              <w:rPr>
                <w:rFonts w:ascii="Times New Roman" w:hAnsi="Times New Roman"/>
                <w:i/>
                <w:color w:val="000000"/>
                <w:szCs w:val="22"/>
                <w:lang w:val="lv-LV"/>
              </w:rPr>
              <w:t>de novo</w:t>
            </w:r>
            <w:r w:rsidRPr="00CD729C">
              <w:rPr>
                <w:rFonts w:ascii="Times New Roman" w:hAnsi="Times New Roman"/>
                <w:color w:val="000000"/>
                <w:szCs w:val="22"/>
                <w:lang w:val="lv-LV"/>
              </w:rPr>
              <w:t xml:space="preserve"> Ph+ ALL)</w:t>
            </w:r>
          </w:p>
        </w:tc>
        <w:tc>
          <w:tcPr>
            <w:tcW w:w="6732" w:type="dxa"/>
            <w:gridSpan w:val="4"/>
            <w:tcBorders>
              <w:top w:val="single" w:sz="4" w:space="0" w:color="auto"/>
              <w:bottom w:val="single" w:sz="4" w:space="0" w:color="auto"/>
            </w:tcBorders>
            <w:shd w:val="clear" w:color="auto" w:fill="auto"/>
          </w:tcPr>
          <w:p w14:paraId="3D394CA9"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Daunorubicīns 30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1.-3., 15.-16. dienā lietojot i.v.;</w:t>
            </w:r>
          </w:p>
          <w:p w14:paraId="3D394CAA"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VCR 2 mg kopējā devā 1., 8., 15. un 22. dienā lietojot i.v.;</w:t>
            </w:r>
          </w:p>
          <w:p w14:paraId="3D394CAB"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CP 750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un 8. dienā lietojot i.v.;</w:t>
            </w:r>
          </w:p>
          <w:p w14:paraId="3D394CAC"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Prednizons 60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1.-7., 15.-21. dienā lietojot iekšķīgi;</w:t>
            </w:r>
          </w:p>
          <w:p w14:paraId="3D394CAD"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IDA 9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1.-28. dienā lietojot iekšķīgi;</w:t>
            </w:r>
          </w:p>
          <w:p w14:paraId="3D394CAE"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MTX 15 mg 1., 8., 15. un 22. dienā lietojot intratekāli;</w:t>
            </w:r>
          </w:p>
          <w:p w14:paraId="3D394CAF"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Ara-C 40 mg 1., 8., 15. un 22. dienā lietojot intratekāli;</w:t>
            </w:r>
          </w:p>
          <w:p w14:paraId="3D394CB0"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Metilprednizolons 40 mg 1., 8., 15. un 22. dienā lietojot intratekāli.</w:t>
            </w:r>
          </w:p>
        </w:tc>
      </w:tr>
      <w:tr w:rsidR="009E01F8" w:rsidRPr="00CD729C" w14:paraId="3D394CB7" w14:textId="77777777" w:rsidTr="004E61FE">
        <w:trPr>
          <w:cantSplit/>
        </w:trPr>
        <w:tc>
          <w:tcPr>
            <w:tcW w:w="2148" w:type="dxa"/>
            <w:tcBorders>
              <w:top w:val="single" w:sz="4" w:space="0" w:color="auto"/>
              <w:bottom w:val="single" w:sz="4" w:space="0" w:color="auto"/>
            </w:tcBorders>
            <w:shd w:val="clear" w:color="auto" w:fill="auto"/>
          </w:tcPr>
          <w:p w14:paraId="3D394CB2" w14:textId="77777777" w:rsidR="009E01F8" w:rsidRPr="00CD729C" w:rsidRDefault="009E01F8" w:rsidP="00E36D64">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Konsolidācija (</w:t>
            </w:r>
            <w:r w:rsidRPr="00CD729C">
              <w:rPr>
                <w:rFonts w:ascii="Times New Roman" w:hAnsi="Times New Roman"/>
                <w:i/>
                <w:color w:val="000000"/>
                <w:szCs w:val="22"/>
                <w:lang w:val="lv-LV"/>
              </w:rPr>
              <w:t>de novo</w:t>
            </w:r>
            <w:r w:rsidRPr="00CD729C">
              <w:rPr>
                <w:rFonts w:ascii="Times New Roman" w:hAnsi="Times New Roman"/>
                <w:color w:val="000000"/>
                <w:szCs w:val="22"/>
                <w:lang w:val="lv-LV"/>
              </w:rPr>
              <w:t xml:space="preserve"> Ph+ ALL)</w:t>
            </w:r>
          </w:p>
        </w:tc>
        <w:tc>
          <w:tcPr>
            <w:tcW w:w="6732" w:type="dxa"/>
            <w:gridSpan w:val="4"/>
            <w:tcBorders>
              <w:top w:val="single" w:sz="4" w:space="0" w:color="auto"/>
              <w:bottom w:val="single" w:sz="4" w:space="0" w:color="auto"/>
            </w:tcBorders>
            <w:shd w:val="clear" w:color="auto" w:fill="auto"/>
          </w:tcPr>
          <w:p w14:paraId="3D394CB3" w14:textId="77777777" w:rsidR="009E01F8" w:rsidRPr="00CD729C" w:rsidRDefault="009E01F8" w:rsidP="00E36D64">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Ara-C 1 000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/12 h 1.-4. dienā lietojot i.v.(3 h);</w:t>
            </w:r>
          </w:p>
          <w:p w14:paraId="3D394CB4" w14:textId="77777777" w:rsidR="009E01F8" w:rsidRPr="00CD729C" w:rsidRDefault="009E01F8" w:rsidP="00E36D64">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Mitoksantrons 10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3.-5. dienā lietojot i.v.;</w:t>
            </w:r>
          </w:p>
          <w:p w14:paraId="3D394CB5" w14:textId="77777777" w:rsidR="009E01F8" w:rsidRPr="00CD729C" w:rsidRDefault="009E01F8" w:rsidP="00E36D64">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MTX 15 mg 1. dienā lietojot intratekāli;</w:t>
            </w:r>
          </w:p>
          <w:p w14:paraId="3D394CB6" w14:textId="77777777" w:rsidR="009E01F8" w:rsidRPr="00CD729C" w:rsidRDefault="009E01F8" w:rsidP="00E36D64">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Metilprednizolons 40 mg 1. dienā lietojot intratekāli.</w:t>
            </w:r>
          </w:p>
        </w:tc>
      </w:tr>
      <w:tr w:rsidR="009E01F8" w:rsidRPr="00CD729C" w14:paraId="3D394CBC" w14:textId="77777777" w:rsidTr="004E61FE">
        <w:trPr>
          <w:cantSplit/>
        </w:trPr>
        <w:tc>
          <w:tcPr>
            <w:tcW w:w="4800" w:type="dxa"/>
            <w:gridSpan w:val="2"/>
            <w:tcBorders>
              <w:top w:val="single" w:sz="4" w:space="0" w:color="auto"/>
              <w:bottom w:val="single" w:sz="4" w:space="0" w:color="auto"/>
            </w:tcBorders>
            <w:shd w:val="clear" w:color="auto" w:fill="auto"/>
          </w:tcPr>
          <w:p w14:paraId="3D394CB8" w14:textId="77777777" w:rsidR="009E01F8" w:rsidRPr="00CD729C" w:rsidRDefault="009E01F8" w:rsidP="00E36D64">
            <w:pPr>
              <w:pStyle w:val="Table"/>
              <w:keepLines w:val="0"/>
              <w:widowControl w:val="0"/>
              <w:spacing w:before="0" w:after="0"/>
              <w:rPr>
                <w:rFonts w:ascii="Times New Roman" w:hAnsi="Times New Roman"/>
                <w:b/>
                <w:color w:val="000000"/>
                <w:szCs w:val="22"/>
                <w:lang w:val="lv-LV"/>
              </w:rPr>
            </w:pPr>
            <w:r w:rsidRPr="00CD729C">
              <w:rPr>
                <w:rFonts w:ascii="Times New Roman" w:hAnsi="Times New Roman"/>
                <w:b/>
                <w:color w:val="000000"/>
                <w:szCs w:val="22"/>
                <w:lang w:val="lv-LV"/>
              </w:rPr>
              <w:t>Pētījums ADE04</w:t>
            </w:r>
          </w:p>
        </w:tc>
        <w:tc>
          <w:tcPr>
            <w:tcW w:w="1080" w:type="dxa"/>
            <w:tcBorders>
              <w:top w:val="single" w:sz="4" w:space="0" w:color="auto"/>
              <w:bottom w:val="single" w:sz="4" w:space="0" w:color="auto"/>
            </w:tcBorders>
          </w:tcPr>
          <w:p w14:paraId="3D394CB9"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p>
        </w:tc>
        <w:tc>
          <w:tcPr>
            <w:tcW w:w="1380" w:type="dxa"/>
            <w:tcBorders>
              <w:top w:val="single" w:sz="4" w:space="0" w:color="auto"/>
              <w:bottom w:val="single" w:sz="4" w:space="0" w:color="auto"/>
            </w:tcBorders>
          </w:tcPr>
          <w:p w14:paraId="3D394CBA"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p>
        </w:tc>
        <w:tc>
          <w:tcPr>
            <w:tcW w:w="1620" w:type="dxa"/>
            <w:tcBorders>
              <w:top w:val="single" w:sz="4" w:space="0" w:color="auto"/>
              <w:bottom w:val="single" w:sz="4" w:space="0" w:color="auto"/>
            </w:tcBorders>
          </w:tcPr>
          <w:p w14:paraId="3D394CBB"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p>
        </w:tc>
      </w:tr>
      <w:tr w:rsidR="009E01F8" w:rsidRPr="00CD729C" w14:paraId="3D394CC1" w14:textId="77777777" w:rsidTr="004E61FE">
        <w:trPr>
          <w:cantSplit/>
        </w:trPr>
        <w:tc>
          <w:tcPr>
            <w:tcW w:w="2148" w:type="dxa"/>
            <w:tcBorders>
              <w:top w:val="single" w:sz="4" w:space="0" w:color="auto"/>
              <w:bottom w:val="single" w:sz="4" w:space="0" w:color="auto"/>
            </w:tcBorders>
            <w:shd w:val="clear" w:color="auto" w:fill="auto"/>
          </w:tcPr>
          <w:p w14:paraId="3D394CBD"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Pirmsfāze</w:t>
            </w:r>
          </w:p>
        </w:tc>
        <w:tc>
          <w:tcPr>
            <w:tcW w:w="6732" w:type="dxa"/>
            <w:gridSpan w:val="4"/>
            <w:tcBorders>
              <w:top w:val="single" w:sz="4" w:space="0" w:color="auto"/>
              <w:bottom w:val="single" w:sz="4" w:space="0" w:color="auto"/>
            </w:tcBorders>
            <w:shd w:val="clear" w:color="auto" w:fill="auto"/>
          </w:tcPr>
          <w:p w14:paraId="3D394CBE"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DEX 10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1.-5. dienā lietojot iekšķīgi;</w:t>
            </w:r>
          </w:p>
          <w:p w14:paraId="3D394CBF"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CP 200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3.-5. dienā lietojot i.v.;</w:t>
            </w:r>
          </w:p>
          <w:p w14:paraId="3D394CC0"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MTX 15 mg 1. dienā lietojot intratekāli.</w:t>
            </w:r>
          </w:p>
        </w:tc>
      </w:tr>
      <w:tr w:rsidR="009E01F8" w:rsidRPr="00CD729C" w14:paraId="3D394CC6" w14:textId="77777777" w:rsidTr="004E61FE">
        <w:trPr>
          <w:cantSplit/>
        </w:trPr>
        <w:tc>
          <w:tcPr>
            <w:tcW w:w="2148" w:type="dxa"/>
            <w:tcBorders>
              <w:top w:val="single" w:sz="4" w:space="0" w:color="auto"/>
              <w:bottom w:val="single" w:sz="4" w:space="0" w:color="auto"/>
            </w:tcBorders>
            <w:shd w:val="clear" w:color="auto" w:fill="auto"/>
          </w:tcPr>
          <w:p w14:paraId="3D394CC2"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Indukcijas terapija I</w:t>
            </w:r>
          </w:p>
        </w:tc>
        <w:tc>
          <w:tcPr>
            <w:tcW w:w="6732" w:type="dxa"/>
            <w:gridSpan w:val="4"/>
            <w:tcBorders>
              <w:top w:val="single" w:sz="4" w:space="0" w:color="auto"/>
              <w:bottom w:val="single" w:sz="4" w:space="0" w:color="auto"/>
            </w:tcBorders>
            <w:shd w:val="clear" w:color="auto" w:fill="auto"/>
          </w:tcPr>
          <w:p w14:paraId="3D394CC3"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DEX 10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1.-5. dienā lietojot iekšķīgi;</w:t>
            </w:r>
          </w:p>
          <w:p w14:paraId="3D394CC4"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VCR 2 mg 6., 13. un 20. dienā lietojot i.v.;</w:t>
            </w:r>
          </w:p>
          <w:p w14:paraId="3D394CC5"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Daunorubicīns 45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6.-7., 13.-14. dienā lietojot i.v.</w:t>
            </w:r>
          </w:p>
        </w:tc>
      </w:tr>
      <w:tr w:rsidR="009E01F8" w:rsidRPr="00CD729C" w14:paraId="3D394CCB" w14:textId="77777777" w:rsidTr="004E61FE">
        <w:trPr>
          <w:cantSplit/>
        </w:trPr>
        <w:tc>
          <w:tcPr>
            <w:tcW w:w="2148" w:type="dxa"/>
            <w:tcBorders>
              <w:top w:val="single" w:sz="4" w:space="0" w:color="auto"/>
              <w:bottom w:val="single" w:sz="4" w:space="0" w:color="auto"/>
            </w:tcBorders>
            <w:shd w:val="clear" w:color="auto" w:fill="auto"/>
          </w:tcPr>
          <w:p w14:paraId="3D394CC7"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Indukcijas terapija II</w:t>
            </w:r>
          </w:p>
        </w:tc>
        <w:tc>
          <w:tcPr>
            <w:tcW w:w="6732" w:type="dxa"/>
            <w:gridSpan w:val="4"/>
            <w:tcBorders>
              <w:top w:val="single" w:sz="4" w:space="0" w:color="auto"/>
              <w:bottom w:val="single" w:sz="4" w:space="0" w:color="auto"/>
            </w:tcBorders>
            <w:shd w:val="clear" w:color="auto" w:fill="auto"/>
          </w:tcPr>
          <w:p w14:paraId="3D394CC8"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CP 1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26. un 46. dienā lietojot i.v. (1 h);</w:t>
            </w:r>
          </w:p>
          <w:p w14:paraId="3D394CC9"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Ara-C 75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28.-31., 35.-38., 42.-45. dienā lietojot i.v. (1 h);</w:t>
            </w:r>
          </w:p>
          <w:p w14:paraId="3D394CCA"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6-MP 60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26.-46. dienā lietojot iekšķīgi.</w:t>
            </w:r>
          </w:p>
        </w:tc>
      </w:tr>
      <w:tr w:rsidR="009E01F8" w:rsidRPr="00CD729C" w14:paraId="3D394CCE" w14:textId="77777777" w:rsidTr="004E61FE">
        <w:trPr>
          <w:cantSplit/>
        </w:trPr>
        <w:tc>
          <w:tcPr>
            <w:tcW w:w="2148" w:type="dxa"/>
            <w:tcBorders>
              <w:top w:val="nil"/>
              <w:bottom w:val="single" w:sz="4" w:space="0" w:color="auto"/>
            </w:tcBorders>
            <w:shd w:val="clear" w:color="auto" w:fill="auto"/>
          </w:tcPr>
          <w:p w14:paraId="3D394CCC" w14:textId="77777777" w:rsidR="009E01F8" w:rsidRPr="00CD729C" w:rsidRDefault="009E01F8" w:rsidP="00E36D64">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Konsolidācijas terapija</w:t>
            </w:r>
          </w:p>
        </w:tc>
        <w:tc>
          <w:tcPr>
            <w:tcW w:w="6732" w:type="dxa"/>
            <w:gridSpan w:val="4"/>
            <w:tcBorders>
              <w:top w:val="nil"/>
              <w:bottom w:val="single" w:sz="4" w:space="0" w:color="auto"/>
            </w:tcBorders>
            <w:shd w:val="clear" w:color="auto" w:fill="auto"/>
          </w:tcPr>
          <w:p w14:paraId="3D394CCD" w14:textId="77777777" w:rsidR="009E01F8" w:rsidRPr="00CD729C" w:rsidRDefault="009E01F8" w:rsidP="00E36D64">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DEX 10 mg/m</w:t>
            </w:r>
            <w:r w:rsidRPr="00CD729C">
              <w:rPr>
                <w:rFonts w:ascii="Times New Roman" w:hAnsi="Times New Roman"/>
                <w:color w:val="000000"/>
                <w:szCs w:val="22"/>
                <w:vertAlign w:val="superscript"/>
                <w:lang w:val="lv-LV"/>
              </w:rPr>
              <w:t xml:space="preserve">2 </w:t>
            </w:r>
            <w:r w:rsidRPr="00CD729C">
              <w:rPr>
                <w:rFonts w:ascii="Times New Roman" w:hAnsi="Times New Roman"/>
                <w:color w:val="000000"/>
                <w:szCs w:val="22"/>
                <w:lang w:val="lv-LV"/>
              </w:rPr>
              <w:t>1.-5. dienā lietojot iekšķīgi; vindesīns 3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dienā lietojot i.v.; MTX 1,5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dienā lietojot i.v. (24 h); etoposīds 250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4.-5. dienā lietojot i.v. (1 h); Ara-C 2 x 2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5. dienā lietojot i.v. (3 h, q 12 h).</w:t>
            </w:r>
          </w:p>
        </w:tc>
      </w:tr>
      <w:tr w:rsidR="009E01F8" w:rsidRPr="00CD729C" w14:paraId="3D394CD4" w14:textId="77777777" w:rsidTr="004E61FE">
        <w:trPr>
          <w:cantSplit/>
        </w:trPr>
        <w:tc>
          <w:tcPr>
            <w:tcW w:w="2148" w:type="dxa"/>
            <w:tcBorders>
              <w:top w:val="nil"/>
              <w:bottom w:val="single" w:sz="4" w:space="0" w:color="auto"/>
            </w:tcBorders>
            <w:shd w:val="clear" w:color="auto" w:fill="auto"/>
          </w:tcPr>
          <w:p w14:paraId="3D394CCF" w14:textId="77777777" w:rsidR="009E01F8" w:rsidRPr="00CD729C" w:rsidRDefault="009E01F8" w:rsidP="00E36D64">
            <w:pPr>
              <w:pStyle w:val="Table"/>
              <w:keepLines w:val="0"/>
              <w:widowControl w:val="0"/>
              <w:spacing w:before="0" w:after="0"/>
              <w:rPr>
                <w:rFonts w:ascii="Times New Roman" w:hAnsi="Times New Roman"/>
                <w:b/>
                <w:color w:val="000000"/>
                <w:szCs w:val="22"/>
                <w:lang w:val="lv-LV"/>
              </w:rPr>
            </w:pPr>
            <w:r w:rsidRPr="00CD729C">
              <w:rPr>
                <w:rFonts w:ascii="Times New Roman" w:hAnsi="Times New Roman"/>
                <w:b/>
                <w:color w:val="000000"/>
                <w:szCs w:val="22"/>
                <w:lang w:val="lv-LV"/>
              </w:rPr>
              <w:t>Pētījums AJP01</w:t>
            </w:r>
          </w:p>
        </w:tc>
        <w:tc>
          <w:tcPr>
            <w:tcW w:w="2652" w:type="dxa"/>
            <w:tcBorders>
              <w:top w:val="nil"/>
              <w:bottom w:val="single" w:sz="4" w:space="0" w:color="auto"/>
            </w:tcBorders>
            <w:shd w:val="clear" w:color="auto" w:fill="auto"/>
          </w:tcPr>
          <w:p w14:paraId="3D394CD0"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p>
        </w:tc>
        <w:tc>
          <w:tcPr>
            <w:tcW w:w="1080" w:type="dxa"/>
            <w:tcBorders>
              <w:top w:val="nil"/>
              <w:bottom w:val="single" w:sz="4" w:space="0" w:color="auto"/>
            </w:tcBorders>
          </w:tcPr>
          <w:p w14:paraId="3D394CD1"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p>
        </w:tc>
        <w:tc>
          <w:tcPr>
            <w:tcW w:w="1380" w:type="dxa"/>
            <w:tcBorders>
              <w:top w:val="nil"/>
              <w:bottom w:val="single" w:sz="4" w:space="0" w:color="auto"/>
            </w:tcBorders>
          </w:tcPr>
          <w:p w14:paraId="3D394CD2"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p>
        </w:tc>
        <w:tc>
          <w:tcPr>
            <w:tcW w:w="1620" w:type="dxa"/>
            <w:tcBorders>
              <w:top w:val="nil"/>
              <w:bottom w:val="single" w:sz="4" w:space="0" w:color="auto"/>
            </w:tcBorders>
          </w:tcPr>
          <w:p w14:paraId="3D394CD3"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p>
        </w:tc>
      </w:tr>
      <w:tr w:rsidR="009E01F8" w:rsidRPr="00CD729C" w14:paraId="3D394CDA" w14:textId="77777777" w:rsidTr="004E61FE">
        <w:trPr>
          <w:cantSplit/>
        </w:trPr>
        <w:tc>
          <w:tcPr>
            <w:tcW w:w="2148" w:type="dxa"/>
            <w:tcBorders>
              <w:top w:val="nil"/>
              <w:bottom w:val="single" w:sz="4" w:space="0" w:color="auto"/>
            </w:tcBorders>
            <w:shd w:val="clear" w:color="auto" w:fill="auto"/>
          </w:tcPr>
          <w:p w14:paraId="3D394CD5" w14:textId="77777777" w:rsidR="009E01F8" w:rsidRPr="00CD729C" w:rsidRDefault="009E01F8" w:rsidP="00E36D64">
            <w:pPr>
              <w:pStyle w:val="Table"/>
              <w:keepLines w:val="0"/>
              <w:widowControl w:val="0"/>
              <w:spacing w:before="0" w:after="0"/>
              <w:jc w:val="both"/>
              <w:rPr>
                <w:rFonts w:ascii="Times New Roman" w:hAnsi="Times New Roman"/>
                <w:color w:val="000000"/>
                <w:szCs w:val="22"/>
                <w:lang w:val="lv-LV"/>
              </w:rPr>
            </w:pPr>
            <w:r w:rsidRPr="00CD729C">
              <w:rPr>
                <w:rFonts w:ascii="Times New Roman" w:hAnsi="Times New Roman"/>
                <w:color w:val="000000"/>
                <w:szCs w:val="22"/>
                <w:lang w:val="lv-LV"/>
              </w:rPr>
              <w:t xml:space="preserve">Indukcijas terapija </w:t>
            </w:r>
          </w:p>
        </w:tc>
        <w:tc>
          <w:tcPr>
            <w:tcW w:w="6732" w:type="dxa"/>
            <w:gridSpan w:val="4"/>
            <w:tcBorders>
              <w:top w:val="nil"/>
              <w:bottom w:val="single" w:sz="4" w:space="0" w:color="auto"/>
            </w:tcBorders>
            <w:shd w:val="clear" w:color="auto" w:fill="auto"/>
          </w:tcPr>
          <w:p w14:paraId="3D394CD6"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CP 1,2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dienā lietojot i.v. (3 h);</w:t>
            </w:r>
          </w:p>
          <w:p w14:paraId="3D394CD7"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Daunorubicīns 60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1.-3. dienā lietojot i.v. (1 h);</w:t>
            </w:r>
          </w:p>
          <w:p w14:paraId="3D394CD8"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Vinkristīns 1,3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8., 15. un 21. dienā lietojot i.v.;</w:t>
            </w:r>
          </w:p>
          <w:p w14:paraId="3D394CD9"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Prednizolons 60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/dienā lietojot iekšķīgi.</w:t>
            </w:r>
          </w:p>
        </w:tc>
      </w:tr>
      <w:tr w:rsidR="009E01F8" w:rsidRPr="00CD729C" w14:paraId="3D394CDD" w14:textId="77777777" w:rsidTr="004E61FE">
        <w:trPr>
          <w:cantSplit/>
        </w:trPr>
        <w:tc>
          <w:tcPr>
            <w:tcW w:w="2148" w:type="dxa"/>
            <w:tcBorders>
              <w:top w:val="single" w:sz="4" w:space="0" w:color="auto"/>
              <w:bottom w:val="single" w:sz="4" w:space="0" w:color="auto"/>
            </w:tcBorders>
            <w:shd w:val="clear" w:color="auto" w:fill="auto"/>
          </w:tcPr>
          <w:p w14:paraId="3D394CDB" w14:textId="77777777" w:rsidR="009E01F8" w:rsidRPr="00CD729C" w:rsidRDefault="009E01F8" w:rsidP="00E36D64">
            <w:pPr>
              <w:pStyle w:val="Table"/>
              <w:keepLines w:val="0"/>
              <w:widowControl w:val="0"/>
              <w:tabs>
                <w:tab w:val="left" w:pos="0"/>
              </w:tabs>
              <w:spacing w:before="0" w:after="0"/>
              <w:rPr>
                <w:rFonts w:ascii="Times New Roman" w:hAnsi="Times New Roman"/>
                <w:color w:val="000000"/>
                <w:szCs w:val="22"/>
                <w:lang w:val="lv-LV"/>
              </w:rPr>
            </w:pPr>
            <w:r w:rsidRPr="00CD729C">
              <w:rPr>
                <w:rFonts w:ascii="Times New Roman" w:hAnsi="Times New Roman"/>
                <w:color w:val="000000"/>
                <w:szCs w:val="22"/>
                <w:lang w:val="lv-LV"/>
              </w:rPr>
              <w:t>Konsolidācijas terapija</w:t>
            </w:r>
          </w:p>
        </w:tc>
        <w:tc>
          <w:tcPr>
            <w:tcW w:w="6732" w:type="dxa"/>
            <w:gridSpan w:val="4"/>
            <w:tcBorders>
              <w:top w:val="single" w:sz="4" w:space="0" w:color="auto"/>
              <w:bottom w:val="single" w:sz="4" w:space="0" w:color="auto"/>
            </w:tcBorders>
            <w:shd w:val="clear" w:color="auto" w:fill="auto"/>
          </w:tcPr>
          <w:p w14:paraId="3D394CDC"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Alternatīvs ķīmijterapijas kurss: ķīmijterapijas kurss ar augstām devām MTX 1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dienā lietojot i.v. (24 h) un Ara-C 2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2-3. dienā lietojot i.v. (q 12 h), atkārtojot 4 reizes</w:t>
            </w:r>
          </w:p>
        </w:tc>
      </w:tr>
      <w:tr w:rsidR="009E01F8" w:rsidRPr="00CD729C" w14:paraId="3D394CE1" w14:textId="77777777" w:rsidTr="004E61FE">
        <w:trPr>
          <w:cantSplit/>
        </w:trPr>
        <w:tc>
          <w:tcPr>
            <w:tcW w:w="2148" w:type="dxa"/>
            <w:tcBorders>
              <w:top w:val="single" w:sz="4" w:space="0" w:color="auto"/>
              <w:bottom w:val="single" w:sz="4" w:space="0" w:color="auto"/>
            </w:tcBorders>
            <w:shd w:val="clear" w:color="auto" w:fill="auto"/>
          </w:tcPr>
          <w:p w14:paraId="3D394CDE" w14:textId="77777777" w:rsidR="009E01F8" w:rsidRPr="00CD729C" w:rsidRDefault="009E01F8" w:rsidP="00E36D64">
            <w:pPr>
              <w:pStyle w:val="Table"/>
              <w:keepNext w:val="0"/>
              <w:keepLines w:val="0"/>
              <w:widowControl w:val="0"/>
              <w:tabs>
                <w:tab w:val="left" w:pos="0"/>
              </w:tabs>
              <w:spacing w:before="0" w:after="0"/>
              <w:rPr>
                <w:rFonts w:ascii="Times New Roman" w:hAnsi="Times New Roman"/>
                <w:color w:val="000000"/>
                <w:szCs w:val="22"/>
                <w:lang w:val="lv-LV"/>
              </w:rPr>
            </w:pPr>
            <w:r w:rsidRPr="00CD729C">
              <w:rPr>
                <w:rFonts w:ascii="Times New Roman" w:hAnsi="Times New Roman"/>
                <w:color w:val="000000"/>
                <w:szCs w:val="22"/>
                <w:lang w:val="lv-LV"/>
              </w:rPr>
              <w:t>Uzturošā terapija</w:t>
            </w:r>
          </w:p>
        </w:tc>
        <w:tc>
          <w:tcPr>
            <w:tcW w:w="6732" w:type="dxa"/>
            <w:gridSpan w:val="4"/>
            <w:tcBorders>
              <w:top w:val="single" w:sz="4" w:space="0" w:color="auto"/>
              <w:bottom w:val="single" w:sz="4" w:space="0" w:color="auto"/>
            </w:tcBorders>
            <w:shd w:val="clear" w:color="auto" w:fill="auto"/>
          </w:tcPr>
          <w:p w14:paraId="3D394CDF" w14:textId="77777777" w:rsidR="009E01F8" w:rsidRPr="00CD729C" w:rsidRDefault="009E01F8" w:rsidP="00E36D64">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VCR 1,3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dienā lietojot i.v.;</w:t>
            </w:r>
          </w:p>
          <w:p w14:paraId="3D394CE0" w14:textId="77777777" w:rsidR="009E01F8" w:rsidRPr="00CD729C" w:rsidRDefault="009E01F8" w:rsidP="00E36D64">
            <w:pPr>
              <w:pStyle w:val="Table"/>
              <w:keepNext w:val="0"/>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Prednizolons 60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1-5. dienā lietojot iekšķīgi.</w:t>
            </w:r>
          </w:p>
        </w:tc>
      </w:tr>
      <w:tr w:rsidR="009E01F8" w:rsidRPr="00CD729C" w14:paraId="3D394CE6" w14:textId="77777777" w:rsidTr="004E61FE">
        <w:trPr>
          <w:cantSplit/>
        </w:trPr>
        <w:tc>
          <w:tcPr>
            <w:tcW w:w="4800" w:type="dxa"/>
            <w:gridSpan w:val="2"/>
            <w:tcBorders>
              <w:top w:val="single" w:sz="4" w:space="0" w:color="auto"/>
              <w:bottom w:val="single" w:sz="4" w:space="0" w:color="auto"/>
            </w:tcBorders>
            <w:shd w:val="clear" w:color="auto" w:fill="auto"/>
          </w:tcPr>
          <w:p w14:paraId="3D394CE2"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b/>
                <w:color w:val="000000"/>
                <w:szCs w:val="22"/>
                <w:lang w:val="lv-LV"/>
              </w:rPr>
              <w:t>Pētījums AUS01</w:t>
            </w:r>
          </w:p>
        </w:tc>
        <w:tc>
          <w:tcPr>
            <w:tcW w:w="1080" w:type="dxa"/>
            <w:tcBorders>
              <w:top w:val="single" w:sz="4" w:space="0" w:color="auto"/>
              <w:bottom w:val="single" w:sz="4" w:space="0" w:color="auto"/>
            </w:tcBorders>
          </w:tcPr>
          <w:p w14:paraId="3D394CE3"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p>
        </w:tc>
        <w:tc>
          <w:tcPr>
            <w:tcW w:w="1380" w:type="dxa"/>
            <w:tcBorders>
              <w:top w:val="single" w:sz="4" w:space="0" w:color="auto"/>
              <w:bottom w:val="single" w:sz="4" w:space="0" w:color="auto"/>
            </w:tcBorders>
          </w:tcPr>
          <w:p w14:paraId="3D394CE4"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p>
        </w:tc>
        <w:tc>
          <w:tcPr>
            <w:tcW w:w="1620" w:type="dxa"/>
            <w:tcBorders>
              <w:top w:val="single" w:sz="4" w:space="0" w:color="auto"/>
              <w:bottom w:val="single" w:sz="4" w:space="0" w:color="auto"/>
            </w:tcBorders>
          </w:tcPr>
          <w:p w14:paraId="3D394CE5"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p>
        </w:tc>
      </w:tr>
      <w:tr w:rsidR="009E01F8" w:rsidRPr="00CD729C" w14:paraId="3D394CEC" w14:textId="77777777" w:rsidTr="004E61FE">
        <w:trPr>
          <w:cantSplit/>
        </w:trPr>
        <w:tc>
          <w:tcPr>
            <w:tcW w:w="2148" w:type="dxa"/>
            <w:tcBorders>
              <w:top w:val="single" w:sz="4" w:space="0" w:color="auto"/>
              <w:bottom w:val="single" w:sz="4" w:space="0" w:color="auto"/>
            </w:tcBorders>
            <w:shd w:val="clear" w:color="auto" w:fill="auto"/>
          </w:tcPr>
          <w:p w14:paraId="3D394CE7"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Indukcijas-konsolidācijas terapija</w:t>
            </w:r>
          </w:p>
        </w:tc>
        <w:tc>
          <w:tcPr>
            <w:tcW w:w="6732" w:type="dxa"/>
            <w:gridSpan w:val="4"/>
            <w:tcBorders>
              <w:top w:val="single" w:sz="4" w:space="0" w:color="auto"/>
              <w:bottom w:val="single" w:sz="4" w:space="0" w:color="auto"/>
            </w:tcBorders>
            <w:shd w:val="clear" w:color="auto" w:fill="auto"/>
          </w:tcPr>
          <w:p w14:paraId="3D394CE8"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Hiper-CVAD režīms: CP 300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1.-3. dienā lietojot i.v. (3 h, q 12 h); Vinkristīns 2 mg 4. un 11. dienā lietojot i.v.;</w:t>
            </w:r>
          </w:p>
          <w:p w14:paraId="3D394CE9"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Doksorubicīns 50 mg/m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4. dienā lietojot i.v. (24 h);</w:t>
            </w:r>
          </w:p>
          <w:p w14:paraId="3D394CEA"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DEX 40 mg/dienā 1.-4. un 11.-14. dienā, nomainot ar MTX 1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1. dienā lietojot i.v. (24 h);</w:t>
            </w:r>
          </w:p>
          <w:p w14:paraId="3D394CEB"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Ara-C 1 g/m</w:t>
            </w:r>
            <w:r w:rsidRPr="00CD729C">
              <w:rPr>
                <w:rFonts w:ascii="Times New Roman" w:hAnsi="Times New Roman"/>
                <w:color w:val="000000"/>
                <w:szCs w:val="22"/>
                <w:vertAlign w:val="superscript"/>
                <w:lang w:val="lv-LV"/>
              </w:rPr>
              <w:t>2</w:t>
            </w:r>
            <w:r w:rsidRPr="00CD729C">
              <w:rPr>
                <w:rFonts w:ascii="Times New Roman" w:hAnsi="Times New Roman"/>
                <w:color w:val="000000"/>
                <w:szCs w:val="22"/>
                <w:lang w:val="lv-LV"/>
              </w:rPr>
              <w:t xml:space="preserve"> 2.-3. dienā lietojot i.v. (2 h, q 12 h) (kopumā 8 kursi)</w:t>
            </w:r>
          </w:p>
        </w:tc>
      </w:tr>
      <w:tr w:rsidR="009E01F8" w:rsidRPr="00CD729C" w14:paraId="3D394CF0" w14:textId="77777777" w:rsidTr="004E61FE">
        <w:trPr>
          <w:cantSplit/>
        </w:trPr>
        <w:tc>
          <w:tcPr>
            <w:tcW w:w="2148" w:type="dxa"/>
            <w:tcBorders>
              <w:top w:val="single" w:sz="4" w:space="0" w:color="auto"/>
              <w:bottom w:val="single" w:sz="4" w:space="0" w:color="auto"/>
            </w:tcBorders>
            <w:shd w:val="clear" w:color="auto" w:fill="auto"/>
          </w:tcPr>
          <w:p w14:paraId="3D394CED"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Uzturošā terapija</w:t>
            </w:r>
          </w:p>
        </w:tc>
        <w:tc>
          <w:tcPr>
            <w:tcW w:w="6732" w:type="dxa"/>
            <w:gridSpan w:val="4"/>
            <w:tcBorders>
              <w:top w:val="single" w:sz="4" w:space="0" w:color="auto"/>
              <w:bottom w:val="single" w:sz="4" w:space="0" w:color="auto"/>
            </w:tcBorders>
            <w:shd w:val="clear" w:color="auto" w:fill="auto"/>
          </w:tcPr>
          <w:p w14:paraId="3D394CEE"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VCR 2 mg katru mēnesi lietojot i.v. 13 mēnešus;</w:t>
            </w:r>
          </w:p>
          <w:p w14:paraId="3D394CEF"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Prednizolons 200 mg 5 dienas mēnesī lietojot iekšķīgi 13 mēnešus.</w:t>
            </w:r>
          </w:p>
        </w:tc>
      </w:tr>
      <w:tr w:rsidR="009E01F8" w:rsidRPr="00CD729C" w14:paraId="3D394CF2" w14:textId="77777777" w:rsidTr="004E61FE">
        <w:trPr>
          <w:cantSplit/>
        </w:trPr>
        <w:tc>
          <w:tcPr>
            <w:tcW w:w="8880" w:type="dxa"/>
            <w:gridSpan w:val="5"/>
            <w:tcBorders>
              <w:top w:val="single" w:sz="4" w:space="0" w:color="auto"/>
              <w:bottom w:val="single" w:sz="4" w:space="0" w:color="auto"/>
            </w:tcBorders>
            <w:shd w:val="clear" w:color="auto" w:fill="auto"/>
          </w:tcPr>
          <w:p w14:paraId="3D394CF1"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Visi ārstēšanas režīmi ietver steroīdu lietošanu CNS profilaksei.</w:t>
            </w:r>
          </w:p>
        </w:tc>
      </w:tr>
      <w:tr w:rsidR="009E01F8" w:rsidRPr="00CD729C" w14:paraId="3D394CF4" w14:textId="77777777" w:rsidTr="004E61FE">
        <w:trPr>
          <w:cantSplit/>
        </w:trPr>
        <w:tc>
          <w:tcPr>
            <w:tcW w:w="8880" w:type="dxa"/>
            <w:gridSpan w:val="5"/>
            <w:tcBorders>
              <w:top w:val="single" w:sz="4" w:space="0" w:color="auto"/>
              <w:bottom w:val="single" w:sz="4" w:space="0" w:color="auto"/>
            </w:tcBorders>
            <w:shd w:val="clear" w:color="auto" w:fill="auto"/>
          </w:tcPr>
          <w:p w14:paraId="3D394CF3" w14:textId="77777777" w:rsidR="009E01F8" w:rsidRPr="00CD729C" w:rsidRDefault="009E01F8" w:rsidP="00E36D64">
            <w:pPr>
              <w:pStyle w:val="Table"/>
              <w:keepLines w:val="0"/>
              <w:widowControl w:val="0"/>
              <w:spacing w:before="0" w:after="0"/>
              <w:rPr>
                <w:rFonts w:ascii="Times New Roman" w:hAnsi="Times New Roman"/>
                <w:color w:val="000000"/>
                <w:szCs w:val="22"/>
                <w:lang w:val="lv-LV"/>
              </w:rPr>
            </w:pPr>
            <w:r w:rsidRPr="00CD729C">
              <w:rPr>
                <w:rFonts w:ascii="Times New Roman" w:hAnsi="Times New Roman"/>
                <w:color w:val="000000"/>
                <w:szCs w:val="22"/>
                <w:lang w:val="lv-LV"/>
              </w:rPr>
              <w:t>Ara-C: citozīna arabinozīds; CP: ciklofosfamīds; DEX: deksametazons; MTX: metotreksāts; 6-MP: 6-merkaptopurīns; VM26: teniposīds; VCR: vinkristīns; IDA: idarubicīns; i.v.: intravenozi</w:t>
            </w:r>
          </w:p>
        </w:tc>
      </w:tr>
    </w:tbl>
    <w:p w14:paraId="3D394CF5" w14:textId="77777777" w:rsidR="009E01F8" w:rsidRPr="00CD729C" w:rsidRDefault="009E01F8" w:rsidP="009B4BB6">
      <w:pPr>
        <w:pStyle w:val="EndnoteText"/>
        <w:widowControl w:val="0"/>
        <w:rPr>
          <w:color w:val="000000"/>
          <w:szCs w:val="22"/>
        </w:rPr>
      </w:pPr>
    </w:p>
    <w:p w14:paraId="3D394CF6" w14:textId="77777777" w:rsidR="009E01F8" w:rsidRPr="00CD729C" w:rsidRDefault="009E01F8" w:rsidP="009B4BB6">
      <w:pPr>
        <w:pStyle w:val="EndnoteText"/>
        <w:widowControl w:val="0"/>
        <w:rPr>
          <w:color w:val="000000"/>
        </w:rPr>
      </w:pPr>
      <w:r w:rsidRPr="00CD729C">
        <w:rPr>
          <w:i/>
          <w:color w:val="000000"/>
        </w:rPr>
        <w:t>Pediatriskie pacienti</w:t>
      </w:r>
      <w:r w:rsidRPr="00CD729C">
        <w:rPr>
          <w:color w:val="000000"/>
        </w:rPr>
        <w:t>:</w:t>
      </w:r>
      <w:r w:rsidRPr="00CD729C">
        <w:t xml:space="preserve"> I2301, atvērta tipa, daudzcentru, sekvenciālu kohortu, nerandomizētā III fāzes pētījumā kopumā tika iekļauti 93 bērni, pusaudži un gados jauni pieaugušie (vecumā no 1 līdz 22 gadiem) ar Ph+ ALL, kuri tika ārstēti ar Glivec </w:t>
      </w:r>
      <w:r w:rsidRPr="00CD729C">
        <w:rPr>
          <w:color w:val="000000"/>
        </w:rPr>
        <w:t>(340 mg/m</w:t>
      </w:r>
      <w:r w:rsidRPr="00CD729C">
        <w:rPr>
          <w:color w:val="000000"/>
          <w:vertAlign w:val="superscript"/>
        </w:rPr>
        <w:t>2</w:t>
      </w:r>
      <w:r w:rsidRPr="00CD729C">
        <w:rPr>
          <w:color w:val="000000"/>
        </w:rPr>
        <w:t>/dienā) kombinācijā ar intensīvu ķīmijterapiju pēc indukcijas terapijas. Glivec tika periodiski lietots 1.</w:t>
      </w:r>
      <w:r w:rsidRPr="00CD729C">
        <w:rPr>
          <w:color w:val="000000"/>
        </w:rPr>
        <w:noBreakHyphen/>
        <w:t>5. kohortās, no kohortas uz kohortu palielinot terapijas ilgumu un paātrinot terapijas uzsākšanas brīdi; 1. kohortā izmantoja viszemākās intensitātes terapiju un 5. kohortā izmantoja visaugstākās (lielākais terapijas ilgums pēc dienu skaita, pirmo ķīmijterapijas kursu laikā nepārtraukti lietojot Glivec dienas devu) intensitātes terapiju ar Glivec. Ilgstoša Glivec lietošana terapijas kursa sākumā kombinācijā ar ķīmijterapiju 5. kohortas pacientiem (n=50), salīdzinot ar kontroles grupu (n=120), kuri saņēma standarta ķīmijterapiju bez Glivec, uzlaboja 4 gadu dzīvildzi bez slimības gadījumiem (</w:t>
      </w:r>
      <w:r w:rsidRPr="00CD729C">
        <w:rPr>
          <w:i/>
          <w:color w:val="000000"/>
        </w:rPr>
        <w:t>event-free survival</w:t>
      </w:r>
      <w:r w:rsidRPr="00CD729C">
        <w:rPr>
          <w:color w:val="000000"/>
        </w:rPr>
        <w:t xml:space="preserve"> - EFS) (attiecīgi 69,6% vs. 31,6%). Aprēķinātā 4 gadu kopējā dzīvildze 5. kohortas pacientiem bija 83,6%, salīdzinot ar 44,8% kontroles grupā. 20 no 50 (40%) 5. kohortas pacientu saņēma hemopoēzes cilmes šūnu transplantātu.</w:t>
      </w:r>
    </w:p>
    <w:p w14:paraId="3D394CF7" w14:textId="77777777" w:rsidR="009E01F8" w:rsidRPr="00CD729C" w:rsidRDefault="009E01F8" w:rsidP="009B4BB6">
      <w:pPr>
        <w:pStyle w:val="EndnoteText"/>
        <w:widowControl w:val="0"/>
        <w:rPr>
          <w:color w:val="000000"/>
        </w:rPr>
      </w:pPr>
    </w:p>
    <w:p w14:paraId="3D394CF8" w14:textId="77777777" w:rsidR="009E01F8" w:rsidRPr="00CD729C" w:rsidRDefault="009E01F8" w:rsidP="009B4BB6">
      <w:pPr>
        <w:pStyle w:val="EndnoteText"/>
        <w:keepNext/>
        <w:keepLines/>
        <w:widowControl w:val="0"/>
        <w:rPr>
          <w:b/>
          <w:bCs/>
          <w:color w:val="000000"/>
          <w:szCs w:val="22"/>
        </w:rPr>
      </w:pPr>
      <w:r w:rsidRPr="00CD729C">
        <w:rPr>
          <w:b/>
          <w:bCs/>
          <w:color w:val="000000"/>
          <w:szCs w:val="22"/>
        </w:rPr>
        <w:t>Tabula Nr. </w:t>
      </w:r>
      <w:r w:rsidR="00E72001" w:rsidRPr="00CD729C">
        <w:rPr>
          <w:b/>
          <w:bCs/>
          <w:color w:val="000000"/>
          <w:szCs w:val="22"/>
        </w:rPr>
        <w:t>5</w:t>
      </w:r>
      <w:r w:rsidRPr="00CD729C">
        <w:rPr>
          <w:b/>
          <w:bCs/>
          <w:color w:val="000000"/>
          <w:szCs w:val="22"/>
        </w:rPr>
        <w:tab/>
        <w:t xml:space="preserve">Ķīmijterapijas režīmi, kas lietoti kombinācijā ar </w:t>
      </w:r>
      <w:r w:rsidRPr="00CD729C">
        <w:rPr>
          <w:b/>
          <w:color w:val="000000"/>
          <w:szCs w:val="22"/>
        </w:rPr>
        <w:t>imatinibu pētījumā I2301</w:t>
      </w:r>
    </w:p>
    <w:p w14:paraId="3D394CF9" w14:textId="77777777" w:rsidR="009E01F8" w:rsidRPr="00CD729C" w:rsidRDefault="009E01F8" w:rsidP="009B4BB6">
      <w:pPr>
        <w:pStyle w:val="EndnoteText"/>
        <w:keepNext/>
        <w:keepLines/>
        <w:widowControl w:val="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7"/>
        <w:gridCol w:w="6734"/>
      </w:tblGrid>
      <w:tr w:rsidR="009E01F8" w:rsidRPr="00CD729C" w14:paraId="3D394D02" w14:textId="77777777" w:rsidTr="004E61FE">
        <w:trPr>
          <w:cantSplit/>
        </w:trPr>
        <w:tc>
          <w:tcPr>
            <w:tcW w:w="2358" w:type="dxa"/>
            <w:shd w:val="clear" w:color="auto" w:fill="auto"/>
          </w:tcPr>
          <w:p w14:paraId="3D394CFA" w14:textId="77777777" w:rsidR="009E01F8" w:rsidRPr="00CD729C" w:rsidRDefault="009E01F8" w:rsidP="009B4BB6">
            <w:pPr>
              <w:pStyle w:val="EndnoteText"/>
              <w:keepNext/>
              <w:keepLines/>
              <w:widowControl w:val="0"/>
              <w:rPr>
                <w:color w:val="000000"/>
              </w:rPr>
            </w:pPr>
            <w:r w:rsidRPr="00CD729C">
              <w:rPr>
                <w:color w:val="000000"/>
              </w:rPr>
              <w:t>Konsolidācijas terapija 1</w:t>
            </w:r>
          </w:p>
          <w:p w14:paraId="3D394CFB" w14:textId="77777777" w:rsidR="009E01F8" w:rsidRPr="00CD729C" w:rsidRDefault="009E01F8" w:rsidP="009B4BB6">
            <w:pPr>
              <w:pStyle w:val="EndnoteText"/>
              <w:keepNext/>
              <w:keepLines/>
              <w:widowControl w:val="0"/>
              <w:rPr>
                <w:color w:val="000000"/>
              </w:rPr>
            </w:pPr>
            <w:r w:rsidRPr="00CD729C">
              <w:rPr>
                <w:color w:val="000000"/>
              </w:rPr>
              <w:t>(3 nedēļas)</w:t>
            </w:r>
          </w:p>
        </w:tc>
        <w:tc>
          <w:tcPr>
            <w:tcW w:w="6929" w:type="dxa"/>
            <w:shd w:val="clear" w:color="auto" w:fill="auto"/>
          </w:tcPr>
          <w:p w14:paraId="3D394CFC" w14:textId="77777777" w:rsidR="009E01F8" w:rsidRPr="00CD729C" w:rsidRDefault="009E01F8" w:rsidP="009B4BB6">
            <w:pPr>
              <w:pStyle w:val="EndnoteText"/>
              <w:keepNext/>
              <w:keepLines/>
              <w:widowControl w:val="0"/>
              <w:rPr>
                <w:color w:val="000000"/>
              </w:rPr>
            </w:pPr>
            <w:r w:rsidRPr="00CD729C">
              <w:rPr>
                <w:color w:val="000000"/>
              </w:rPr>
              <w:t>VP-16 (100 mg/m</w:t>
            </w:r>
            <w:r w:rsidRPr="00CD729C">
              <w:rPr>
                <w:color w:val="000000"/>
                <w:vertAlign w:val="superscript"/>
              </w:rPr>
              <w:t>2</w:t>
            </w:r>
            <w:r w:rsidRPr="00CD729C">
              <w:rPr>
                <w:color w:val="000000"/>
              </w:rPr>
              <w:t>/dienā, lietojot IV): 1.</w:t>
            </w:r>
            <w:r w:rsidRPr="00CD729C">
              <w:rPr>
                <w:color w:val="000000"/>
              </w:rPr>
              <w:noBreakHyphen/>
              <w:t>5. dienā</w:t>
            </w:r>
          </w:p>
          <w:p w14:paraId="3D394CFD" w14:textId="77777777" w:rsidR="009E01F8" w:rsidRPr="00CD729C" w:rsidRDefault="009E01F8" w:rsidP="009B4BB6">
            <w:pPr>
              <w:pStyle w:val="EndnoteText"/>
              <w:keepNext/>
              <w:keepLines/>
              <w:widowControl w:val="0"/>
              <w:rPr>
                <w:color w:val="000000"/>
              </w:rPr>
            </w:pPr>
            <w:r w:rsidRPr="00CD729C">
              <w:rPr>
                <w:color w:val="000000"/>
              </w:rPr>
              <w:t>Ifosfamīds (1,8 g/m</w:t>
            </w:r>
            <w:r w:rsidRPr="00CD729C">
              <w:rPr>
                <w:color w:val="000000"/>
                <w:vertAlign w:val="superscript"/>
              </w:rPr>
              <w:t>2</w:t>
            </w:r>
            <w:r w:rsidRPr="00CD729C">
              <w:rPr>
                <w:color w:val="000000"/>
              </w:rPr>
              <w:t>/dienā, lietojot IV): 1.</w:t>
            </w:r>
            <w:r w:rsidRPr="00CD729C">
              <w:rPr>
                <w:color w:val="000000"/>
              </w:rPr>
              <w:noBreakHyphen/>
              <w:t>5. dienā</w:t>
            </w:r>
          </w:p>
          <w:p w14:paraId="3D394CFE" w14:textId="77777777" w:rsidR="009E01F8" w:rsidRPr="00CD729C" w:rsidRDefault="009E01F8" w:rsidP="009B4BB6">
            <w:pPr>
              <w:pStyle w:val="EndnoteText"/>
              <w:keepNext/>
              <w:keepLines/>
              <w:widowControl w:val="0"/>
              <w:rPr>
                <w:color w:val="000000"/>
              </w:rPr>
            </w:pPr>
            <w:r w:rsidRPr="00CD729C">
              <w:rPr>
                <w:color w:val="000000"/>
              </w:rPr>
              <w:t>MESNA (360 mg/m</w:t>
            </w:r>
            <w:r w:rsidRPr="00CD729C">
              <w:rPr>
                <w:color w:val="000000"/>
                <w:vertAlign w:val="superscript"/>
              </w:rPr>
              <w:t>2</w:t>
            </w:r>
            <w:r w:rsidRPr="00CD729C">
              <w:rPr>
                <w:color w:val="000000"/>
              </w:rPr>
              <w:t>/deva q3h, x 8 devas/dienā, lietojot IV): 1.</w:t>
            </w:r>
            <w:r w:rsidRPr="00CD729C">
              <w:rPr>
                <w:color w:val="000000"/>
              </w:rPr>
              <w:noBreakHyphen/>
              <w:t>5. dienā</w:t>
            </w:r>
          </w:p>
          <w:p w14:paraId="3D394CFF" w14:textId="77777777" w:rsidR="009E01F8" w:rsidRPr="00CD729C" w:rsidRDefault="009E01F8" w:rsidP="009B4BB6">
            <w:pPr>
              <w:pStyle w:val="EndnoteText"/>
              <w:keepNext/>
              <w:keepLines/>
              <w:widowControl w:val="0"/>
              <w:rPr>
                <w:color w:val="000000"/>
              </w:rPr>
            </w:pPr>
            <w:r w:rsidRPr="00CD729C">
              <w:rPr>
                <w:color w:val="000000"/>
              </w:rPr>
              <w:t>G-CSF (5 μg/kg, SC): 6.</w:t>
            </w:r>
            <w:r w:rsidRPr="00CD729C">
              <w:rPr>
                <w:color w:val="000000"/>
              </w:rPr>
              <w:noBreakHyphen/>
              <w:t>15. dienā vai līdz ANC &gt;1 500 pēc zemākā rādītāja</w:t>
            </w:r>
          </w:p>
          <w:p w14:paraId="3D394D00" w14:textId="77777777" w:rsidR="009E01F8" w:rsidRPr="00CD729C" w:rsidRDefault="009E01F8" w:rsidP="009B4BB6">
            <w:pPr>
              <w:pStyle w:val="EndnoteText"/>
              <w:keepNext/>
              <w:keepLines/>
              <w:widowControl w:val="0"/>
              <w:rPr>
                <w:color w:val="000000"/>
              </w:rPr>
            </w:pPr>
            <w:r w:rsidRPr="00CD729C">
              <w:rPr>
                <w:color w:val="000000"/>
              </w:rPr>
              <w:t>Metotreksāts (pielāgojot pēc vecuma), lietojot IT: VIENĪGI 1. dienā</w:t>
            </w:r>
          </w:p>
          <w:p w14:paraId="3D394D01" w14:textId="77777777" w:rsidR="009E01F8" w:rsidRPr="00CD729C" w:rsidRDefault="009E01F8" w:rsidP="009B4BB6">
            <w:pPr>
              <w:pStyle w:val="EndnoteText"/>
              <w:keepNext/>
              <w:keepLines/>
              <w:widowControl w:val="0"/>
              <w:rPr>
                <w:color w:val="000000"/>
              </w:rPr>
            </w:pPr>
            <w:r w:rsidRPr="00CD729C">
              <w:rPr>
                <w:color w:val="000000"/>
              </w:rPr>
              <w:t>Trīskārša terapija (pielāgojot pēc vecuma), lietojot IT: 8., 15. dienā</w:t>
            </w:r>
          </w:p>
        </w:tc>
      </w:tr>
      <w:tr w:rsidR="009E01F8" w:rsidRPr="00CD729C" w14:paraId="3D394D0A" w14:textId="77777777" w:rsidTr="004E61FE">
        <w:trPr>
          <w:cantSplit/>
        </w:trPr>
        <w:tc>
          <w:tcPr>
            <w:tcW w:w="2358" w:type="dxa"/>
            <w:shd w:val="clear" w:color="auto" w:fill="auto"/>
          </w:tcPr>
          <w:p w14:paraId="3D394D03" w14:textId="77777777" w:rsidR="009E01F8" w:rsidRPr="00CD729C" w:rsidRDefault="009E01F8" w:rsidP="009B4BB6">
            <w:pPr>
              <w:pStyle w:val="EndnoteText"/>
              <w:widowControl w:val="0"/>
              <w:rPr>
                <w:color w:val="000000"/>
              </w:rPr>
            </w:pPr>
            <w:r w:rsidRPr="00CD729C">
              <w:rPr>
                <w:color w:val="000000"/>
              </w:rPr>
              <w:t>Konsolidācijas terapija 2</w:t>
            </w:r>
          </w:p>
          <w:p w14:paraId="3D394D04" w14:textId="77777777" w:rsidR="009E01F8" w:rsidRPr="00CD729C" w:rsidRDefault="009E01F8" w:rsidP="009B4BB6">
            <w:pPr>
              <w:pStyle w:val="EndnoteText"/>
              <w:widowControl w:val="0"/>
              <w:rPr>
                <w:color w:val="000000"/>
              </w:rPr>
            </w:pPr>
            <w:r w:rsidRPr="00CD729C">
              <w:rPr>
                <w:color w:val="000000"/>
              </w:rPr>
              <w:t>(3 nedēļas)</w:t>
            </w:r>
          </w:p>
        </w:tc>
        <w:tc>
          <w:tcPr>
            <w:tcW w:w="6929" w:type="dxa"/>
            <w:shd w:val="clear" w:color="auto" w:fill="auto"/>
          </w:tcPr>
          <w:p w14:paraId="3D394D05" w14:textId="77777777" w:rsidR="009E01F8" w:rsidRPr="00CD729C" w:rsidRDefault="009E01F8" w:rsidP="009B4BB6">
            <w:pPr>
              <w:pStyle w:val="EndnoteText"/>
              <w:widowControl w:val="0"/>
              <w:rPr>
                <w:color w:val="000000"/>
              </w:rPr>
            </w:pPr>
            <w:r w:rsidRPr="00CD729C">
              <w:rPr>
                <w:color w:val="000000"/>
              </w:rPr>
              <w:t>Metotreksāts (5 g/m</w:t>
            </w:r>
            <w:r w:rsidRPr="00CD729C">
              <w:rPr>
                <w:color w:val="000000"/>
                <w:vertAlign w:val="superscript"/>
              </w:rPr>
              <w:t>2</w:t>
            </w:r>
            <w:r w:rsidRPr="00CD729C">
              <w:rPr>
                <w:color w:val="000000"/>
              </w:rPr>
              <w:t xml:space="preserve"> 24 stundu laikā, lietojot IV): 1. dienā</w:t>
            </w:r>
          </w:p>
          <w:p w14:paraId="3D394D06" w14:textId="77777777" w:rsidR="009E01F8" w:rsidRPr="00CD729C" w:rsidRDefault="009E01F8" w:rsidP="009B4BB6">
            <w:pPr>
              <w:pStyle w:val="EndnoteText"/>
              <w:widowControl w:val="0"/>
              <w:rPr>
                <w:color w:val="000000"/>
              </w:rPr>
            </w:pPr>
            <w:r w:rsidRPr="00CD729C">
              <w:rPr>
                <w:color w:val="000000"/>
              </w:rPr>
              <w:t>Leikovorīns (75 mg/m</w:t>
            </w:r>
            <w:r w:rsidRPr="00CD729C">
              <w:rPr>
                <w:color w:val="000000"/>
                <w:vertAlign w:val="superscript"/>
              </w:rPr>
              <w:t>2</w:t>
            </w:r>
            <w:r w:rsidRPr="00CD729C">
              <w:rPr>
                <w:color w:val="000000"/>
              </w:rPr>
              <w:t xml:space="preserve"> 36. stundā, lietojot IV; 15 mg/m</w:t>
            </w:r>
            <w:r w:rsidRPr="00CD729C">
              <w:rPr>
                <w:color w:val="000000"/>
                <w:vertAlign w:val="superscript"/>
              </w:rPr>
              <w:t>2</w:t>
            </w:r>
            <w:r w:rsidRPr="00CD729C">
              <w:rPr>
                <w:color w:val="000000"/>
              </w:rPr>
              <w:t>, lietojot IV vai PO q6h x 6 devas) iii: 2. un 3. dienā</w:t>
            </w:r>
          </w:p>
          <w:p w14:paraId="3D394D07" w14:textId="77777777" w:rsidR="009E01F8" w:rsidRPr="00CD729C" w:rsidRDefault="009E01F8" w:rsidP="009B4BB6">
            <w:pPr>
              <w:pStyle w:val="EndnoteText"/>
              <w:widowControl w:val="0"/>
              <w:rPr>
                <w:color w:val="000000"/>
              </w:rPr>
            </w:pPr>
            <w:r w:rsidRPr="00CD729C">
              <w:rPr>
                <w:color w:val="000000"/>
              </w:rPr>
              <w:t>Trīskārša terapija (pielāgojot pēc vecuma), lietojot IT: 1. dienā</w:t>
            </w:r>
          </w:p>
          <w:p w14:paraId="3D394D08" w14:textId="77777777" w:rsidR="009E01F8" w:rsidRPr="00CD729C" w:rsidRDefault="009E01F8" w:rsidP="009B4BB6">
            <w:pPr>
              <w:pStyle w:val="EndnoteText"/>
              <w:widowControl w:val="0"/>
              <w:rPr>
                <w:color w:val="000000"/>
              </w:rPr>
            </w:pPr>
            <w:r w:rsidRPr="00CD729C">
              <w:rPr>
                <w:color w:val="000000"/>
              </w:rPr>
              <w:t>ARA-C (3 g/m</w:t>
            </w:r>
            <w:r w:rsidRPr="00CD729C">
              <w:rPr>
                <w:color w:val="000000"/>
                <w:vertAlign w:val="superscript"/>
              </w:rPr>
              <w:t>2</w:t>
            </w:r>
            <w:r w:rsidRPr="00CD729C">
              <w:rPr>
                <w:color w:val="000000"/>
              </w:rPr>
              <w:t>/deva q 12 h x 4, lietojot IV): 2. un 3. dienā</w:t>
            </w:r>
          </w:p>
          <w:p w14:paraId="3D394D09" w14:textId="77777777" w:rsidR="009E01F8" w:rsidRPr="00CD729C" w:rsidRDefault="009E01F8" w:rsidP="009B4BB6">
            <w:pPr>
              <w:pStyle w:val="EndnoteText"/>
              <w:widowControl w:val="0"/>
              <w:rPr>
                <w:color w:val="000000"/>
              </w:rPr>
            </w:pPr>
            <w:r w:rsidRPr="00CD729C">
              <w:rPr>
                <w:color w:val="000000"/>
              </w:rPr>
              <w:t>G-CSF (5 μg/kg, lietojot SC): 4. </w:t>
            </w:r>
            <w:r w:rsidRPr="00CD729C">
              <w:rPr>
                <w:color w:val="000000"/>
              </w:rPr>
              <w:noBreakHyphen/>
              <w:t>13. dienā vai līdz ANC &gt;1 500 pēc zemākā rādītāja</w:t>
            </w:r>
          </w:p>
        </w:tc>
      </w:tr>
      <w:tr w:rsidR="009E01F8" w:rsidRPr="00CD729C" w14:paraId="3D394D14" w14:textId="77777777" w:rsidTr="004E61FE">
        <w:trPr>
          <w:cantSplit/>
        </w:trPr>
        <w:tc>
          <w:tcPr>
            <w:tcW w:w="2358" w:type="dxa"/>
            <w:shd w:val="clear" w:color="auto" w:fill="auto"/>
          </w:tcPr>
          <w:p w14:paraId="3D394D0B" w14:textId="77777777" w:rsidR="009E01F8" w:rsidRPr="00CD729C" w:rsidRDefault="009E01F8" w:rsidP="009B4BB6">
            <w:pPr>
              <w:pStyle w:val="EndnoteText"/>
              <w:widowControl w:val="0"/>
              <w:rPr>
                <w:color w:val="000000"/>
              </w:rPr>
            </w:pPr>
            <w:r w:rsidRPr="00CD729C">
              <w:rPr>
                <w:color w:val="000000"/>
              </w:rPr>
              <w:t>Atkārtotas indukcijas terapija 1</w:t>
            </w:r>
          </w:p>
          <w:p w14:paraId="3D394D0C" w14:textId="77777777" w:rsidR="009E01F8" w:rsidRPr="00CD729C" w:rsidRDefault="009E01F8" w:rsidP="009B4BB6">
            <w:pPr>
              <w:pStyle w:val="EndnoteText"/>
              <w:widowControl w:val="0"/>
              <w:rPr>
                <w:color w:val="000000"/>
              </w:rPr>
            </w:pPr>
            <w:r w:rsidRPr="00CD729C">
              <w:rPr>
                <w:color w:val="000000"/>
              </w:rPr>
              <w:t>(3 nedēļas)</w:t>
            </w:r>
          </w:p>
        </w:tc>
        <w:tc>
          <w:tcPr>
            <w:tcW w:w="6929" w:type="dxa"/>
            <w:shd w:val="clear" w:color="auto" w:fill="auto"/>
          </w:tcPr>
          <w:p w14:paraId="3D394D0D" w14:textId="77777777" w:rsidR="009E01F8" w:rsidRPr="00CD729C" w:rsidRDefault="009E01F8" w:rsidP="009B4BB6">
            <w:pPr>
              <w:pStyle w:val="EndnoteText"/>
              <w:widowControl w:val="0"/>
              <w:rPr>
                <w:color w:val="000000"/>
              </w:rPr>
            </w:pPr>
            <w:r w:rsidRPr="00CD729C">
              <w:rPr>
                <w:color w:val="000000"/>
              </w:rPr>
              <w:t>VCR (1,5 mg/m</w:t>
            </w:r>
            <w:r w:rsidRPr="00CD729C">
              <w:rPr>
                <w:color w:val="000000"/>
                <w:vertAlign w:val="superscript"/>
              </w:rPr>
              <w:t>2</w:t>
            </w:r>
            <w:r w:rsidRPr="00CD729C">
              <w:rPr>
                <w:color w:val="000000"/>
              </w:rPr>
              <w:t>/dienā, IV): 1., 8., un 15. dienā</w:t>
            </w:r>
          </w:p>
          <w:p w14:paraId="3D394D0E" w14:textId="77777777" w:rsidR="009E01F8" w:rsidRPr="00CD729C" w:rsidRDefault="009E01F8" w:rsidP="009B4BB6">
            <w:pPr>
              <w:pStyle w:val="EndnoteText"/>
              <w:widowControl w:val="0"/>
              <w:rPr>
                <w:color w:val="000000"/>
              </w:rPr>
            </w:pPr>
            <w:r w:rsidRPr="00CD729C">
              <w:rPr>
                <w:color w:val="000000"/>
              </w:rPr>
              <w:t>DAUN (45 mg/m</w:t>
            </w:r>
            <w:r w:rsidRPr="00CD729C">
              <w:rPr>
                <w:color w:val="000000"/>
                <w:vertAlign w:val="superscript"/>
              </w:rPr>
              <w:t>2</w:t>
            </w:r>
            <w:r w:rsidRPr="00CD729C">
              <w:rPr>
                <w:color w:val="000000"/>
              </w:rPr>
              <w:t xml:space="preserve">/dienā </w:t>
            </w:r>
            <w:r w:rsidRPr="00CD729C">
              <w:rPr>
                <w:i/>
                <w:color w:val="000000"/>
              </w:rPr>
              <w:t>bolus</w:t>
            </w:r>
            <w:r w:rsidRPr="00CD729C">
              <w:rPr>
                <w:color w:val="000000"/>
              </w:rPr>
              <w:t>, IV): 1. un 2. dienā</w:t>
            </w:r>
          </w:p>
          <w:p w14:paraId="3D394D0F" w14:textId="77777777" w:rsidR="009E01F8" w:rsidRPr="00CD729C" w:rsidRDefault="009E01F8" w:rsidP="009B4BB6">
            <w:pPr>
              <w:pStyle w:val="EndnoteText"/>
              <w:widowControl w:val="0"/>
              <w:rPr>
                <w:color w:val="000000"/>
              </w:rPr>
            </w:pPr>
            <w:r w:rsidRPr="00CD729C">
              <w:rPr>
                <w:color w:val="000000"/>
              </w:rPr>
              <w:t>CPM (250 mg/m</w:t>
            </w:r>
            <w:r w:rsidRPr="00CD729C">
              <w:rPr>
                <w:color w:val="000000"/>
                <w:vertAlign w:val="superscript"/>
              </w:rPr>
              <w:t>2</w:t>
            </w:r>
            <w:r w:rsidRPr="00CD729C">
              <w:rPr>
                <w:color w:val="000000"/>
              </w:rPr>
              <w:t>/dienā q12h x 4 devas, IV): 3. un 4. dienā</w:t>
            </w:r>
          </w:p>
          <w:p w14:paraId="3D394D10" w14:textId="77777777" w:rsidR="009E01F8" w:rsidRPr="00CD729C" w:rsidRDefault="009E01F8" w:rsidP="009B4BB6">
            <w:pPr>
              <w:pStyle w:val="EndnoteText"/>
              <w:widowControl w:val="0"/>
              <w:rPr>
                <w:color w:val="000000"/>
              </w:rPr>
            </w:pPr>
            <w:r w:rsidRPr="00CD729C">
              <w:rPr>
                <w:color w:val="000000"/>
              </w:rPr>
              <w:t>PEG-ASP (2 500 SV/m</w:t>
            </w:r>
            <w:r w:rsidRPr="00CD729C">
              <w:rPr>
                <w:color w:val="000000"/>
                <w:vertAlign w:val="superscript"/>
              </w:rPr>
              <w:t>2</w:t>
            </w:r>
            <w:r w:rsidRPr="00CD729C">
              <w:rPr>
                <w:color w:val="000000"/>
              </w:rPr>
              <w:t>, lietojot IM): 4. dienā</w:t>
            </w:r>
          </w:p>
          <w:p w14:paraId="3D394D11" w14:textId="77777777" w:rsidR="009E01F8" w:rsidRPr="00CD729C" w:rsidRDefault="009E01F8" w:rsidP="009B4BB6">
            <w:pPr>
              <w:pStyle w:val="EndnoteText"/>
              <w:widowControl w:val="0"/>
              <w:rPr>
                <w:color w:val="000000"/>
              </w:rPr>
            </w:pPr>
            <w:r w:rsidRPr="00CD729C">
              <w:rPr>
                <w:color w:val="000000"/>
              </w:rPr>
              <w:t>G-CSF (5 μg/kg, SC): 5.</w:t>
            </w:r>
            <w:r w:rsidRPr="00CD729C">
              <w:rPr>
                <w:color w:val="000000"/>
              </w:rPr>
              <w:noBreakHyphen/>
              <w:t>14. dienā vai līdz ANC &gt;1 500 pēc zemākā rādītāja</w:t>
            </w:r>
          </w:p>
          <w:p w14:paraId="3D394D12" w14:textId="77777777" w:rsidR="009E01F8" w:rsidRPr="00CD729C" w:rsidRDefault="009E01F8" w:rsidP="009B4BB6">
            <w:pPr>
              <w:pStyle w:val="EndnoteText"/>
              <w:widowControl w:val="0"/>
              <w:rPr>
                <w:color w:val="000000"/>
              </w:rPr>
            </w:pPr>
            <w:r w:rsidRPr="00CD729C">
              <w:rPr>
                <w:color w:val="000000"/>
              </w:rPr>
              <w:t>Trīskārša terapija (pielāgojot pēc vecuma), lietojot IT: 1. un 15. dienā</w:t>
            </w:r>
          </w:p>
          <w:p w14:paraId="3D394D13" w14:textId="77777777" w:rsidR="009E01F8" w:rsidRPr="00CD729C" w:rsidRDefault="009E01F8" w:rsidP="009B4BB6">
            <w:pPr>
              <w:pStyle w:val="EndnoteText"/>
              <w:widowControl w:val="0"/>
              <w:rPr>
                <w:color w:val="000000"/>
              </w:rPr>
            </w:pPr>
            <w:r w:rsidRPr="00CD729C">
              <w:rPr>
                <w:color w:val="000000"/>
              </w:rPr>
              <w:t>DEX (6 mg/m</w:t>
            </w:r>
            <w:r w:rsidRPr="00CD729C">
              <w:rPr>
                <w:color w:val="000000"/>
                <w:vertAlign w:val="superscript"/>
              </w:rPr>
              <w:t>2</w:t>
            </w:r>
            <w:r w:rsidRPr="00CD729C">
              <w:rPr>
                <w:color w:val="000000"/>
              </w:rPr>
              <w:t>/dienā, lietojot PO): 1.</w:t>
            </w:r>
            <w:r w:rsidRPr="00CD729C">
              <w:rPr>
                <w:color w:val="000000"/>
              </w:rPr>
              <w:noBreakHyphen/>
              <w:t>7. dienā un 15.</w:t>
            </w:r>
            <w:r w:rsidRPr="00CD729C">
              <w:rPr>
                <w:color w:val="000000"/>
              </w:rPr>
              <w:noBreakHyphen/>
              <w:t>21. dienā</w:t>
            </w:r>
          </w:p>
        </w:tc>
      </w:tr>
      <w:tr w:rsidR="009E01F8" w:rsidRPr="00CD729C" w14:paraId="3D394D20" w14:textId="77777777" w:rsidTr="004E61FE">
        <w:trPr>
          <w:cantSplit/>
        </w:trPr>
        <w:tc>
          <w:tcPr>
            <w:tcW w:w="2358" w:type="dxa"/>
            <w:shd w:val="clear" w:color="auto" w:fill="auto"/>
          </w:tcPr>
          <w:p w14:paraId="3D394D15" w14:textId="77777777" w:rsidR="009E01F8" w:rsidRPr="00CD729C" w:rsidRDefault="009E01F8" w:rsidP="009B4BB6">
            <w:pPr>
              <w:pStyle w:val="EndnoteText"/>
              <w:widowControl w:val="0"/>
              <w:rPr>
                <w:color w:val="000000"/>
              </w:rPr>
            </w:pPr>
            <w:r w:rsidRPr="00CD729C">
              <w:rPr>
                <w:color w:val="000000"/>
              </w:rPr>
              <w:t>Intensifikācijas terapija 1</w:t>
            </w:r>
          </w:p>
          <w:p w14:paraId="3D394D16" w14:textId="77777777" w:rsidR="009E01F8" w:rsidRPr="00CD729C" w:rsidRDefault="009E01F8" w:rsidP="009B4BB6">
            <w:pPr>
              <w:pStyle w:val="EndnoteText"/>
              <w:widowControl w:val="0"/>
              <w:rPr>
                <w:color w:val="000000"/>
              </w:rPr>
            </w:pPr>
            <w:r w:rsidRPr="00CD729C">
              <w:rPr>
                <w:color w:val="000000"/>
              </w:rPr>
              <w:t>(9 nedēļas)</w:t>
            </w:r>
          </w:p>
        </w:tc>
        <w:tc>
          <w:tcPr>
            <w:tcW w:w="6929" w:type="dxa"/>
            <w:shd w:val="clear" w:color="auto" w:fill="auto"/>
          </w:tcPr>
          <w:p w14:paraId="3D394D17" w14:textId="77777777" w:rsidR="009E01F8" w:rsidRPr="00CD729C" w:rsidRDefault="009E01F8" w:rsidP="009B4BB6">
            <w:pPr>
              <w:pStyle w:val="EndnoteText"/>
              <w:widowControl w:val="0"/>
              <w:rPr>
                <w:color w:val="000000"/>
              </w:rPr>
            </w:pPr>
            <w:r w:rsidRPr="00CD729C">
              <w:rPr>
                <w:color w:val="000000"/>
              </w:rPr>
              <w:t>Metotreksāts (5 g/m</w:t>
            </w:r>
            <w:r w:rsidRPr="00CD729C">
              <w:rPr>
                <w:color w:val="000000"/>
                <w:vertAlign w:val="superscript"/>
              </w:rPr>
              <w:t>2</w:t>
            </w:r>
            <w:r w:rsidRPr="00CD729C">
              <w:rPr>
                <w:color w:val="000000"/>
              </w:rPr>
              <w:t xml:space="preserve"> 24 stundu laikā, lietojot IV): 1. un 15. dienā</w:t>
            </w:r>
          </w:p>
          <w:p w14:paraId="3D394D18" w14:textId="77777777" w:rsidR="009E01F8" w:rsidRPr="00CD729C" w:rsidRDefault="009E01F8" w:rsidP="009B4BB6">
            <w:pPr>
              <w:pStyle w:val="EndnoteText"/>
              <w:widowControl w:val="0"/>
              <w:rPr>
                <w:color w:val="000000"/>
              </w:rPr>
            </w:pPr>
            <w:r w:rsidRPr="00CD729C">
              <w:rPr>
                <w:color w:val="000000"/>
              </w:rPr>
              <w:t>Leikovorīns (75 mg/m</w:t>
            </w:r>
            <w:r w:rsidRPr="00CD729C">
              <w:rPr>
                <w:color w:val="000000"/>
                <w:vertAlign w:val="superscript"/>
              </w:rPr>
              <w:t>2</w:t>
            </w:r>
            <w:r w:rsidRPr="00CD729C">
              <w:rPr>
                <w:color w:val="000000"/>
              </w:rPr>
              <w:t xml:space="preserve"> 36. stundā, lietojot IV; 15 mg/m</w:t>
            </w:r>
            <w:r w:rsidRPr="00CD729C">
              <w:rPr>
                <w:color w:val="000000"/>
                <w:vertAlign w:val="superscript"/>
              </w:rPr>
              <w:t>2</w:t>
            </w:r>
            <w:r w:rsidRPr="00CD729C">
              <w:rPr>
                <w:color w:val="000000"/>
              </w:rPr>
              <w:t>, lietojot IV vai PO q6h x 6 devas) iii: 2., 3., 16., un 17. dienā</w:t>
            </w:r>
          </w:p>
          <w:p w14:paraId="3D394D19" w14:textId="77777777" w:rsidR="009E01F8" w:rsidRPr="00CD729C" w:rsidRDefault="009E01F8" w:rsidP="009B4BB6">
            <w:pPr>
              <w:pStyle w:val="EndnoteText"/>
              <w:widowControl w:val="0"/>
              <w:rPr>
                <w:color w:val="000000"/>
              </w:rPr>
            </w:pPr>
            <w:r w:rsidRPr="00CD729C">
              <w:rPr>
                <w:color w:val="000000"/>
              </w:rPr>
              <w:t>Trīskārša terapija (pielāgojot pēc vecuma), lietojot IT: 1. un 22. dienā</w:t>
            </w:r>
          </w:p>
          <w:p w14:paraId="3D394D1A" w14:textId="77777777" w:rsidR="009E01F8" w:rsidRPr="00CD729C" w:rsidRDefault="009E01F8" w:rsidP="009B4BB6">
            <w:pPr>
              <w:pStyle w:val="EndnoteText"/>
              <w:widowControl w:val="0"/>
              <w:rPr>
                <w:color w:val="000000"/>
              </w:rPr>
            </w:pPr>
            <w:r w:rsidRPr="00CD729C">
              <w:rPr>
                <w:color w:val="000000"/>
              </w:rPr>
              <w:t>VP-16 (100 mg/m</w:t>
            </w:r>
            <w:r w:rsidRPr="00CD729C">
              <w:rPr>
                <w:color w:val="000000"/>
                <w:vertAlign w:val="superscript"/>
              </w:rPr>
              <w:t>2</w:t>
            </w:r>
            <w:r w:rsidRPr="00CD729C">
              <w:rPr>
                <w:color w:val="000000"/>
              </w:rPr>
              <w:t>/dienā, lietojot IV): 22.</w:t>
            </w:r>
            <w:r w:rsidRPr="00CD729C">
              <w:rPr>
                <w:color w:val="000000"/>
              </w:rPr>
              <w:noBreakHyphen/>
              <w:t>26. dienā</w:t>
            </w:r>
          </w:p>
          <w:p w14:paraId="3D394D1B" w14:textId="77777777" w:rsidR="009E01F8" w:rsidRPr="00CD729C" w:rsidRDefault="009E01F8" w:rsidP="009B4BB6">
            <w:pPr>
              <w:pStyle w:val="EndnoteText"/>
              <w:widowControl w:val="0"/>
              <w:rPr>
                <w:color w:val="000000"/>
              </w:rPr>
            </w:pPr>
            <w:r w:rsidRPr="00CD729C">
              <w:rPr>
                <w:color w:val="000000"/>
              </w:rPr>
              <w:t>CPM (300 mg/m</w:t>
            </w:r>
            <w:r w:rsidRPr="00CD729C">
              <w:rPr>
                <w:color w:val="000000"/>
                <w:vertAlign w:val="superscript"/>
              </w:rPr>
              <w:t>2</w:t>
            </w:r>
            <w:r w:rsidRPr="00CD729C">
              <w:rPr>
                <w:color w:val="000000"/>
              </w:rPr>
              <w:t>/dienā, lietojot IV): 22.</w:t>
            </w:r>
            <w:r w:rsidRPr="00CD729C">
              <w:rPr>
                <w:color w:val="000000"/>
              </w:rPr>
              <w:noBreakHyphen/>
              <w:t>26. dienā</w:t>
            </w:r>
          </w:p>
          <w:p w14:paraId="3D394D1C" w14:textId="77777777" w:rsidR="009E01F8" w:rsidRPr="00CD729C" w:rsidRDefault="009E01F8" w:rsidP="009B4BB6">
            <w:pPr>
              <w:pStyle w:val="EndnoteText"/>
              <w:widowControl w:val="0"/>
              <w:rPr>
                <w:color w:val="000000"/>
              </w:rPr>
            </w:pPr>
            <w:r w:rsidRPr="00CD729C">
              <w:rPr>
                <w:color w:val="000000"/>
              </w:rPr>
              <w:t>MESNA (150 mg/m</w:t>
            </w:r>
            <w:r w:rsidRPr="00CD729C">
              <w:rPr>
                <w:color w:val="000000"/>
                <w:vertAlign w:val="superscript"/>
              </w:rPr>
              <w:t>2</w:t>
            </w:r>
            <w:r w:rsidRPr="00CD729C">
              <w:rPr>
                <w:color w:val="000000"/>
              </w:rPr>
              <w:t>/dienā, lietojot IV): 22.</w:t>
            </w:r>
            <w:r w:rsidRPr="00CD729C">
              <w:rPr>
                <w:color w:val="000000"/>
              </w:rPr>
              <w:noBreakHyphen/>
              <w:t>26. dienā</w:t>
            </w:r>
          </w:p>
          <w:p w14:paraId="3D394D1D" w14:textId="77777777" w:rsidR="009E01F8" w:rsidRPr="00CD729C" w:rsidRDefault="009E01F8" w:rsidP="009B4BB6">
            <w:pPr>
              <w:pStyle w:val="EndnoteText"/>
              <w:widowControl w:val="0"/>
              <w:rPr>
                <w:color w:val="000000"/>
              </w:rPr>
            </w:pPr>
            <w:r w:rsidRPr="00CD729C">
              <w:rPr>
                <w:color w:val="000000"/>
              </w:rPr>
              <w:t>G-CSF (5 μg/kg, lietojot SC): 27.</w:t>
            </w:r>
            <w:r w:rsidRPr="00CD729C">
              <w:rPr>
                <w:color w:val="000000"/>
              </w:rPr>
              <w:noBreakHyphen/>
              <w:t>36. dienā vai līdz ANC &gt;1 500 pēc zemākā rādītāja</w:t>
            </w:r>
          </w:p>
          <w:p w14:paraId="3D394D1E" w14:textId="77777777" w:rsidR="009E01F8" w:rsidRPr="00CD729C" w:rsidRDefault="009E01F8" w:rsidP="009B4BB6">
            <w:pPr>
              <w:pStyle w:val="EndnoteText"/>
              <w:widowControl w:val="0"/>
              <w:rPr>
                <w:color w:val="000000"/>
              </w:rPr>
            </w:pPr>
            <w:r w:rsidRPr="00CD729C">
              <w:rPr>
                <w:color w:val="000000"/>
              </w:rPr>
              <w:t>ARA-C (3 g/m</w:t>
            </w:r>
            <w:r w:rsidRPr="00CD729C">
              <w:rPr>
                <w:color w:val="000000"/>
                <w:vertAlign w:val="superscript"/>
              </w:rPr>
              <w:t>2</w:t>
            </w:r>
            <w:r w:rsidRPr="00CD729C">
              <w:rPr>
                <w:color w:val="000000"/>
              </w:rPr>
              <w:t>, q12h, lietojot IV): 43., 44. dienā</w:t>
            </w:r>
          </w:p>
          <w:p w14:paraId="3D394D1F" w14:textId="77777777" w:rsidR="009E01F8" w:rsidRPr="00CD729C" w:rsidRDefault="009E01F8" w:rsidP="009B4BB6">
            <w:pPr>
              <w:pStyle w:val="EndnoteText"/>
              <w:widowControl w:val="0"/>
              <w:rPr>
                <w:color w:val="000000"/>
              </w:rPr>
            </w:pPr>
            <w:r w:rsidRPr="00CD729C">
              <w:rPr>
                <w:color w:val="000000"/>
              </w:rPr>
              <w:t>L-ASP (6 000 SV/m</w:t>
            </w:r>
            <w:r w:rsidRPr="00CD729C">
              <w:rPr>
                <w:color w:val="000000"/>
                <w:vertAlign w:val="superscript"/>
              </w:rPr>
              <w:t>2</w:t>
            </w:r>
            <w:r w:rsidRPr="00CD729C">
              <w:rPr>
                <w:color w:val="000000"/>
              </w:rPr>
              <w:t>, lietojot IM): 44. dienā</w:t>
            </w:r>
          </w:p>
        </w:tc>
      </w:tr>
      <w:tr w:rsidR="009E01F8" w:rsidRPr="00CD729C" w14:paraId="3D394D2A" w14:textId="77777777" w:rsidTr="004E61FE">
        <w:trPr>
          <w:cantSplit/>
        </w:trPr>
        <w:tc>
          <w:tcPr>
            <w:tcW w:w="2358" w:type="dxa"/>
            <w:shd w:val="clear" w:color="auto" w:fill="auto"/>
          </w:tcPr>
          <w:p w14:paraId="3D394D21" w14:textId="77777777" w:rsidR="009E01F8" w:rsidRPr="00CD729C" w:rsidRDefault="009E01F8" w:rsidP="009B4BB6">
            <w:pPr>
              <w:pStyle w:val="EndnoteText"/>
              <w:widowControl w:val="0"/>
              <w:rPr>
                <w:color w:val="000000"/>
              </w:rPr>
            </w:pPr>
            <w:r w:rsidRPr="00CD729C">
              <w:rPr>
                <w:color w:val="000000"/>
              </w:rPr>
              <w:t>Atkārtotas indukcijas terapija 2</w:t>
            </w:r>
          </w:p>
          <w:p w14:paraId="3D394D22" w14:textId="77777777" w:rsidR="009E01F8" w:rsidRPr="00CD729C" w:rsidRDefault="009E01F8" w:rsidP="009B4BB6">
            <w:pPr>
              <w:pStyle w:val="EndnoteText"/>
              <w:widowControl w:val="0"/>
              <w:rPr>
                <w:color w:val="000000"/>
              </w:rPr>
            </w:pPr>
            <w:r w:rsidRPr="00CD729C">
              <w:rPr>
                <w:color w:val="000000"/>
              </w:rPr>
              <w:t>(3 nedēļas)</w:t>
            </w:r>
          </w:p>
        </w:tc>
        <w:tc>
          <w:tcPr>
            <w:tcW w:w="6929" w:type="dxa"/>
            <w:shd w:val="clear" w:color="auto" w:fill="auto"/>
          </w:tcPr>
          <w:p w14:paraId="3D394D23" w14:textId="77777777" w:rsidR="009E01F8" w:rsidRPr="00CD729C" w:rsidRDefault="009E01F8" w:rsidP="009B4BB6">
            <w:pPr>
              <w:pStyle w:val="EndnoteText"/>
              <w:widowControl w:val="0"/>
              <w:rPr>
                <w:color w:val="000000"/>
              </w:rPr>
            </w:pPr>
            <w:r w:rsidRPr="00CD729C">
              <w:rPr>
                <w:color w:val="000000"/>
              </w:rPr>
              <w:t>VCR (1,5 mg/m</w:t>
            </w:r>
            <w:r w:rsidRPr="00CD729C">
              <w:rPr>
                <w:color w:val="000000"/>
                <w:vertAlign w:val="superscript"/>
              </w:rPr>
              <w:t>2</w:t>
            </w:r>
            <w:r w:rsidRPr="00CD729C">
              <w:rPr>
                <w:color w:val="000000"/>
              </w:rPr>
              <w:t>/dienā, lietojot IV): 1., 8. un 15. dienā</w:t>
            </w:r>
          </w:p>
          <w:p w14:paraId="3D394D24" w14:textId="77777777" w:rsidR="009E01F8" w:rsidRPr="00CD729C" w:rsidRDefault="009E01F8" w:rsidP="009B4BB6">
            <w:pPr>
              <w:pStyle w:val="EndnoteText"/>
              <w:widowControl w:val="0"/>
              <w:rPr>
                <w:color w:val="000000"/>
              </w:rPr>
            </w:pPr>
            <w:r w:rsidRPr="00CD729C">
              <w:rPr>
                <w:color w:val="000000"/>
              </w:rPr>
              <w:t>DAUN (45 mg/m</w:t>
            </w:r>
            <w:r w:rsidRPr="00CD729C">
              <w:rPr>
                <w:color w:val="000000"/>
                <w:vertAlign w:val="superscript"/>
              </w:rPr>
              <w:t>2</w:t>
            </w:r>
            <w:r w:rsidRPr="00CD729C">
              <w:rPr>
                <w:color w:val="000000"/>
              </w:rPr>
              <w:t xml:space="preserve">/dienā </w:t>
            </w:r>
            <w:r w:rsidRPr="00CD729C">
              <w:rPr>
                <w:i/>
                <w:color w:val="000000"/>
              </w:rPr>
              <w:t>bolus</w:t>
            </w:r>
            <w:r w:rsidRPr="00CD729C">
              <w:rPr>
                <w:color w:val="000000"/>
              </w:rPr>
              <w:t>, IV): 1. un 2. dienā</w:t>
            </w:r>
          </w:p>
          <w:p w14:paraId="3D394D25" w14:textId="77777777" w:rsidR="009E01F8" w:rsidRPr="00CD729C" w:rsidRDefault="009E01F8" w:rsidP="009B4BB6">
            <w:pPr>
              <w:pStyle w:val="EndnoteText"/>
              <w:widowControl w:val="0"/>
              <w:rPr>
                <w:color w:val="000000"/>
              </w:rPr>
            </w:pPr>
            <w:r w:rsidRPr="00CD729C">
              <w:rPr>
                <w:color w:val="000000"/>
              </w:rPr>
              <w:t>CPM (250 mg/m</w:t>
            </w:r>
            <w:r w:rsidRPr="00CD729C">
              <w:rPr>
                <w:color w:val="000000"/>
                <w:vertAlign w:val="superscript"/>
              </w:rPr>
              <w:t>2</w:t>
            </w:r>
            <w:r w:rsidRPr="00CD729C">
              <w:rPr>
                <w:color w:val="000000"/>
              </w:rPr>
              <w:t>/deva q12h x 4 devas, lietojot IV): 3. un 4 dienā</w:t>
            </w:r>
          </w:p>
          <w:p w14:paraId="3D394D26" w14:textId="77777777" w:rsidR="009E01F8" w:rsidRPr="00CD729C" w:rsidRDefault="009E01F8" w:rsidP="009B4BB6">
            <w:pPr>
              <w:pStyle w:val="EndnoteText"/>
              <w:widowControl w:val="0"/>
              <w:rPr>
                <w:color w:val="000000"/>
              </w:rPr>
            </w:pPr>
            <w:r w:rsidRPr="00CD729C">
              <w:rPr>
                <w:color w:val="000000"/>
              </w:rPr>
              <w:t>PEG-ASP (2 500 SV/m</w:t>
            </w:r>
            <w:r w:rsidRPr="00CD729C">
              <w:rPr>
                <w:color w:val="000000"/>
                <w:vertAlign w:val="superscript"/>
              </w:rPr>
              <w:t>2</w:t>
            </w:r>
            <w:r w:rsidRPr="00CD729C">
              <w:rPr>
                <w:color w:val="000000"/>
              </w:rPr>
              <w:t>, lietojot IM): 4. dienā</w:t>
            </w:r>
          </w:p>
          <w:p w14:paraId="3D394D27" w14:textId="77777777" w:rsidR="009E01F8" w:rsidRPr="00CD729C" w:rsidRDefault="009E01F8" w:rsidP="009B4BB6">
            <w:pPr>
              <w:pStyle w:val="EndnoteText"/>
              <w:widowControl w:val="0"/>
              <w:rPr>
                <w:color w:val="000000"/>
              </w:rPr>
            </w:pPr>
            <w:r w:rsidRPr="00CD729C">
              <w:rPr>
                <w:color w:val="000000"/>
              </w:rPr>
              <w:t>G-CSF (5 μg/kg, lietojot SC): 5.-14. dienā vai līdz ANC &gt;1 500 pēc zemākā rādītāja</w:t>
            </w:r>
          </w:p>
          <w:p w14:paraId="3D394D28" w14:textId="77777777" w:rsidR="009E01F8" w:rsidRPr="00CD729C" w:rsidRDefault="009E01F8" w:rsidP="009B4BB6">
            <w:pPr>
              <w:pStyle w:val="EndnoteText"/>
              <w:widowControl w:val="0"/>
              <w:rPr>
                <w:color w:val="000000"/>
              </w:rPr>
            </w:pPr>
            <w:r w:rsidRPr="00CD729C">
              <w:rPr>
                <w:color w:val="000000"/>
              </w:rPr>
              <w:t>Trīskārša terapija (pielāgojot pēc vecuma), lietojot IT: 1. un 15. dienā</w:t>
            </w:r>
          </w:p>
          <w:p w14:paraId="3D394D29" w14:textId="77777777" w:rsidR="009E01F8" w:rsidRPr="00CD729C" w:rsidRDefault="009E01F8" w:rsidP="009B4BB6">
            <w:pPr>
              <w:pStyle w:val="EndnoteText"/>
              <w:widowControl w:val="0"/>
              <w:rPr>
                <w:color w:val="000000"/>
              </w:rPr>
            </w:pPr>
            <w:r w:rsidRPr="00CD729C">
              <w:rPr>
                <w:color w:val="000000"/>
              </w:rPr>
              <w:t>DEX (6 mg/m</w:t>
            </w:r>
            <w:r w:rsidRPr="00CD729C">
              <w:rPr>
                <w:color w:val="000000"/>
                <w:vertAlign w:val="superscript"/>
              </w:rPr>
              <w:t>2</w:t>
            </w:r>
            <w:r w:rsidRPr="00CD729C">
              <w:rPr>
                <w:color w:val="000000"/>
              </w:rPr>
              <w:t>/dienā, lietojot PO): 1.</w:t>
            </w:r>
            <w:r w:rsidRPr="00CD729C">
              <w:rPr>
                <w:color w:val="000000"/>
              </w:rPr>
              <w:noBreakHyphen/>
              <w:t>7. dienā un 15.</w:t>
            </w:r>
            <w:r w:rsidRPr="00CD729C">
              <w:rPr>
                <w:color w:val="000000"/>
              </w:rPr>
              <w:noBreakHyphen/>
              <w:t>21. dienā</w:t>
            </w:r>
          </w:p>
        </w:tc>
      </w:tr>
      <w:tr w:rsidR="009E01F8" w:rsidRPr="00CD729C" w14:paraId="3D394D36" w14:textId="77777777" w:rsidTr="004E61FE">
        <w:trPr>
          <w:cantSplit/>
        </w:trPr>
        <w:tc>
          <w:tcPr>
            <w:tcW w:w="2358" w:type="dxa"/>
            <w:shd w:val="clear" w:color="auto" w:fill="auto"/>
          </w:tcPr>
          <w:p w14:paraId="3D394D2B" w14:textId="77777777" w:rsidR="009E01F8" w:rsidRPr="00CD729C" w:rsidRDefault="009E01F8" w:rsidP="009B4BB6">
            <w:pPr>
              <w:pStyle w:val="EndnoteText"/>
              <w:widowControl w:val="0"/>
              <w:rPr>
                <w:color w:val="000000"/>
              </w:rPr>
            </w:pPr>
            <w:r w:rsidRPr="00CD729C">
              <w:rPr>
                <w:color w:val="000000"/>
              </w:rPr>
              <w:t>Intensifikācijas terapija 2</w:t>
            </w:r>
          </w:p>
          <w:p w14:paraId="3D394D2C" w14:textId="77777777" w:rsidR="009E01F8" w:rsidRPr="00CD729C" w:rsidRDefault="009E01F8" w:rsidP="009B4BB6">
            <w:pPr>
              <w:pStyle w:val="EndnoteText"/>
              <w:widowControl w:val="0"/>
              <w:rPr>
                <w:color w:val="000000"/>
              </w:rPr>
            </w:pPr>
            <w:r w:rsidRPr="00CD729C">
              <w:rPr>
                <w:color w:val="000000"/>
              </w:rPr>
              <w:t>(9 nedēļas)</w:t>
            </w:r>
          </w:p>
        </w:tc>
        <w:tc>
          <w:tcPr>
            <w:tcW w:w="6929" w:type="dxa"/>
            <w:shd w:val="clear" w:color="auto" w:fill="auto"/>
          </w:tcPr>
          <w:p w14:paraId="3D394D2D" w14:textId="77777777" w:rsidR="009E01F8" w:rsidRPr="00CD729C" w:rsidRDefault="009E01F8" w:rsidP="009B4BB6">
            <w:pPr>
              <w:pStyle w:val="EndnoteText"/>
              <w:widowControl w:val="0"/>
              <w:rPr>
                <w:color w:val="000000"/>
              </w:rPr>
            </w:pPr>
            <w:r w:rsidRPr="00CD729C">
              <w:rPr>
                <w:color w:val="000000"/>
              </w:rPr>
              <w:t>Metotreksāts (5 g/m</w:t>
            </w:r>
            <w:r w:rsidRPr="00CD729C">
              <w:rPr>
                <w:color w:val="000000"/>
                <w:vertAlign w:val="superscript"/>
              </w:rPr>
              <w:t>2</w:t>
            </w:r>
            <w:r w:rsidRPr="00CD729C">
              <w:rPr>
                <w:color w:val="000000"/>
              </w:rPr>
              <w:t xml:space="preserve"> 24 stundu laikā, lietojot IV): 1. un 15. dienā</w:t>
            </w:r>
          </w:p>
          <w:p w14:paraId="3D394D2E" w14:textId="77777777" w:rsidR="009E01F8" w:rsidRPr="00CD729C" w:rsidRDefault="009E01F8" w:rsidP="009B4BB6">
            <w:pPr>
              <w:pStyle w:val="EndnoteText"/>
              <w:widowControl w:val="0"/>
              <w:rPr>
                <w:color w:val="000000"/>
              </w:rPr>
            </w:pPr>
            <w:r w:rsidRPr="00CD729C">
              <w:rPr>
                <w:color w:val="000000"/>
              </w:rPr>
              <w:t>Leikovorīns (75 mg/m</w:t>
            </w:r>
            <w:r w:rsidRPr="00CD729C">
              <w:rPr>
                <w:color w:val="000000"/>
                <w:vertAlign w:val="superscript"/>
              </w:rPr>
              <w:t>2</w:t>
            </w:r>
            <w:r w:rsidRPr="00CD729C">
              <w:rPr>
                <w:color w:val="000000"/>
              </w:rPr>
              <w:t xml:space="preserve"> 36. stundā, lietojot IV; 15 mg/m</w:t>
            </w:r>
            <w:r w:rsidRPr="00CD729C">
              <w:rPr>
                <w:color w:val="000000"/>
                <w:vertAlign w:val="superscript"/>
              </w:rPr>
              <w:t>2</w:t>
            </w:r>
            <w:r w:rsidRPr="00CD729C">
              <w:rPr>
                <w:color w:val="000000"/>
              </w:rPr>
              <w:t>, lietojot IV vai PO q6h x 6 devas) iii: 2., 3., 16., un 17. dienā</w:t>
            </w:r>
          </w:p>
          <w:p w14:paraId="3D394D2F" w14:textId="77777777" w:rsidR="009E01F8" w:rsidRPr="00CD729C" w:rsidRDefault="009E01F8" w:rsidP="009B4BB6">
            <w:pPr>
              <w:pStyle w:val="EndnoteText"/>
              <w:widowControl w:val="0"/>
              <w:rPr>
                <w:color w:val="000000"/>
              </w:rPr>
            </w:pPr>
            <w:r w:rsidRPr="00CD729C">
              <w:rPr>
                <w:color w:val="000000"/>
              </w:rPr>
              <w:t>Trīskārša terapija (pielāgojot pēc vecuma), lietojot IT: 1. dienā un 22. dienā</w:t>
            </w:r>
          </w:p>
          <w:p w14:paraId="3D394D30" w14:textId="77777777" w:rsidR="009E01F8" w:rsidRPr="00CD729C" w:rsidRDefault="009E01F8" w:rsidP="009B4BB6">
            <w:pPr>
              <w:pStyle w:val="EndnoteText"/>
              <w:widowControl w:val="0"/>
              <w:rPr>
                <w:color w:val="000000"/>
              </w:rPr>
            </w:pPr>
            <w:r w:rsidRPr="00CD729C">
              <w:rPr>
                <w:color w:val="000000"/>
              </w:rPr>
              <w:t>VP-16 (100 mg/m</w:t>
            </w:r>
            <w:r w:rsidRPr="00CD729C">
              <w:rPr>
                <w:color w:val="000000"/>
                <w:vertAlign w:val="superscript"/>
              </w:rPr>
              <w:t>2</w:t>
            </w:r>
            <w:r w:rsidRPr="00CD729C">
              <w:rPr>
                <w:color w:val="000000"/>
              </w:rPr>
              <w:t>/dienā, lietojot IV): 22.</w:t>
            </w:r>
            <w:r w:rsidRPr="00CD729C">
              <w:rPr>
                <w:color w:val="000000"/>
              </w:rPr>
              <w:noBreakHyphen/>
              <w:t>26. dienā</w:t>
            </w:r>
          </w:p>
          <w:p w14:paraId="3D394D31" w14:textId="77777777" w:rsidR="009E01F8" w:rsidRPr="00CD729C" w:rsidRDefault="009E01F8" w:rsidP="009B4BB6">
            <w:pPr>
              <w:pStyle w:val="EndnoteText"/>
              <w:widowControl w:val="0"/>
              <w:rPr>
                <w:color w:val="000000"/>
              </w:rPr>
            </w:pPr>
            <w:r w:rsidRPr="00CD729C">
              <w:rPr>
                <w:color w:val="000000"/>
              </w:rPr>
              <w:t>CPM (300 mg/m</w:t>
            </w:r>
            <w:r w:rsidRPr="00CD729C">
              <w:rPr>
                <w:color w:val="000000"/>
                <w:vertAlign w:val="superscript"/>
              </w:rPr>
              <w:t>2</w:t>
            </w:r>
            <w:r w:rsidRPr="00CD729C">
              <w:rPr>
                <w:color w:val="000000"/>
              </w:rPr>
              <w:t>/dienā, lietojot IV): 22.</w:t>
            </w:r>
            <w:r w:rsidRPr="00CD729C">
              <w:rPr>
                <w:color w:val="000000"/>
              </w:rPr>
              <w:noBreakHyphen/>
              <w:t>26. dienā</w:t>
            </w:r>
          </w:p>
          <w:p w14:paraId="3D394D32" w14:textId="77777777" w:rsidR="009E01F8" w:rsidRPr="00CD729C" w:rsidRDefault="009E01F8" w:rsidP="009B4BB6">
            <w:pPr>
              <w:pStyle w:val="EndnoteText"/>
              <w:widowControl w:val="0"/>
              <w:rPr>
                <w:color w:val="000000"/>
              </w:rPr>
            </w:pPr>
            <w:r w:rsidRPr="00CD729C">
              <w:rPr>
                <w:color w:val="000000"/>
              </w:rPr>
              <w:t>MESNA (150 mg/m</w:t>
            </w:r>
            <w:r w:rsidRPr="00CD729C">
              <w:rPr>
                <w:color w:val="000000"/>
                <w:vertAlign w:val="superscript"/>
              </w:rPr>
              <w:t>2</w:t>
            </w:r>
            <w:r w:rsidRPr="00CD729C">
              <w:rPr>
                <w:color w:val="000000"/>
              </w:rPr>
              <w:t>/dienā, lietojot IV): 22.</w:t>
            </w:r>
            <w:r w:rsidRPr="00CD729C">
              <w:rPr>
                <w:color w:val="000000"/>
              </w:rPr>
              <w:noBreakHyphen/>
              <w:t>26. dienā</w:t>
            </w:r>
          </w:p>
          <w:p w14:paraId="3D394D33" w14:textId="77777777" w:rsidR="009E01F8" w:rsidRPr="00CD729C" w:rsidRDefault="009E01F8" w:rsidP="009B4BB6">
            <w:pPr>
              <w:pStyle w:val="EndnoteText"/>
              <w:widowControl w:val="0"/>
              <w:rPr>
                <w:color w:val="000000"/>
              </w:rPr>
            </w:pPr>
            <w:r w:rsidRPr="00CD729C">
              <w:rPr>
                <w:color w:val="000000"/>
              </w:rPr>
              <w:t>G-CSF (5 μg/kg, lietojot SC): 27.</w:t>
            </w:r>
            <w:r w:rsidRPr="00CD729C">
              <w:rPr>
                <w:color w:val="000000"/>
              </w:rPr>
              <w:noBreakHyphen/>
              <w:t>36. dienā vai līdz ANC &gt;1 500 pēc zemākā rādītāja</w:t>
            </w:r>
          </w:p>
          <w:p w14:paraId="3D394D34" w14:textId="77777777" w:rsidR="009E01F8" w:rsidRPr="00CD729C" w:rsidRDefault="009E01F8" w:rsidP="009B4BB6">
            <w:pPr>
              <w:pStyle w:val="EndnoteText"/>
              <w:widowControl w:val="0"/>
              <w:rPr>
                <w:color w:val="000000"/>
              </w:rPr>
            </w:pPr>
            <w:r w:rsidRPr="00CD729C">
              <w:rPr>
                <w:color w:val="000000"/>
              </w:rPr>
              <w:t>ARA-C (3 g/m</w:t>
            </w:r>
            <w:r w:rsidRPr="00CD729C">
              <w:rPr>
                <w:color w:val="000000"/>
                <w:vertAlign w:val="superscript"/>
              </w:rPr>
              <w:t>2</w:t>
            </w:r>
            <w:r w:rsidRPr="00CD729C">
              <w:rPr>
                <w:color w:val="000000"/>
              </w:rPr>
              <w:t>, q12h, lietojot IV): 43., 44. dienā</w:t>
            </w:r>
          </w:p>
          <w:p w14:paraId="3D394D35" w14:textId="77777777" w:rsidR="009E01F8" w:rsidRPr="00CD729C" w:rsidRDefault="009E01F8" w:rsidP="009B4BB6">
            <w:pPr>
              <w:pStyle w:val="EndnoteText"/>
              <w:widowControl w:val="0"/>
              <w:rPr>
                <w:color w:val="000000"/>
              </w:rPr>
            </w:pPr>
            <w:r w:rsidRPr="00CD729C">
              <w:rPr>
                <w:color w:val="000000"/>
              </w:rPr>
              <w:t>L-ASP (6 000 SV/m</w:t>
            </w:r>
            <w:r w:rsidRPr="00CD729C">
              <w:rPr>
                <w:color w:val="000000"/>
                <w:vertAlign w:val="superscript"/>
              </w:rPr>
              <w:t>2</w:t>
            </w:r>
            <w:r w:rsidRPr="00CD729C">
              <w:rPr>
                <w:color w:val="000000"/>
              </w:rPr>
              <w:t>, lietojot IM): 44 dienā</w:t>
            </w:r>
          </w:p>
        </w:tc>
      </w:tr>
      <w:tr w:rsidR="009E01F8" w:rsidRPr="00CD729C" w14:paraId="3D394D45" w14:textId="77777777" w:rsidTr="004E61FE">
        <w:trPr>
          <w:cantSplit/>
        </w:trPr>
        <w:tc>
          <w:tcPr>
            <w:tcW w:w="2358" w:type="dxa"/>
            <w:shd w:val="clear" w:color="auto" w:fill="auto"/>
          </w:tcPr>
          <w:p w14:paraId="3D394D37" w14:textId="77777777" w:rsidR="009E01F8" w:rsidRPr="00CD729C" w:rsidRDefault="009E01F8" w:rsidP="009B4BB6">
            <w:pPr>
              <w:pStyle w:val="EndnoteText"/>
              <w:widowControl w:val="0"/>
              <w:rPr>
                <w:color w:val="000000"/>
              </w:rPr>
            </w:pPr>
            <w:r w:rsidRPr="00CD729C">
              <w:rPr>
                <w:color w:val="000000"/>
              </w:rPr>
              <w:t>Uzturošā terapija</w:t>
            </w:r>
          </w:p>
          <w:p w14:paraId="3D394D38" w14:textId="77777777" w:rsidR="009E01F8" w:rsidRPr="00CD729C" w:rsidRDefault="009E01F8" w:rsidP="009B4BB6">
            <w:pPr>
              <w:pStyle w:val="EndnoteText"/>
              <w:widowControl w:val="0"/>
              <w:rPr>
                <w:color w:val="000000"/>
              </w:rPr>
            </w:pPr>
            <w:r w:rsidRPr="00CD729C">
              <w:rPr>
                <w:color w:val="000000"/>
              </w:rPr>
              <w:t>(8-nedēļu cikli)</w:t>
            </w:r>
          </w:p>
          <w:p w14:paraId="3D394D39" w14:textId="77777777" w:rsidR="009E01F8" w:rsidRPr="00CD729C" w:rsidRDefault="009E01F8" w:rsidP="009B4BB6">
            <w:pPr>
              <w:pStyle w:val="EndnoteText"/>
              <w:widowControl w:val="0"/>
              <w:rPr>
                <w:color w:val="000000"/>
              </w:rPr>
            </w:pPr>
            <w:r w:rsidRPr="00CD729C">
              <w:rPr>
                <w:color w:val="000000"/>
              </w:rPr>
              <w:t>Cikli 1–4</w:t>
            </w:r>
          </w:p>
        </w:tc>
        <w:tc>
          <w:tcPr>
            <w:tcW w:w="6929" w:type="dxa"/>
            <w:shd w:val="clear" w:color="auto" w:fill="auto"/>
          </w:tcPr>
          <w:p w14:paraId="3D394D3A" w14:textId="77777777" w:rsidR="009E01F8" w:rsidRPr="00CD729C" w:rsidRDefault="009E01F8" w:rsidP="009B4BB6">
            <w:pPr>
              <w:pStyle w:val="EndnoteText"/>
              <w:widowControl w:val="0"/>
              <w:rPr>
                <w:color w:val="000000"/>
              </w:rPr>
            </w:pPr>
            <w:r w:rsidRPr="00CD729C">
              <w:rPr>
                <w:color w:val="000000"/>
              </w:rPr>
              <w:t>MTX (5 g/m</w:t>
            </w:r>
            <w:r w:rsidRPr="00CD729C">
              <w:rPr>
                <w:color w:val="000000"/>
                <w:vertAlign w:val="superscript"/>
              </w:rPr>
              <w:t>2</w:t>
            </w:r>
            <w:r w:rsidRPr="00CD729C">
              <w:rPr>
                <w:color w:val="000000"/>
              </w:rPr>
              <w:t xml:space="preserve"> 24 stundu laikā, lietojot IV): 1. dienā</w:t>
            </w:r>
          </w:p>
          <w:p w14:paraId="3D394D3B" w14:textId="77777777" w:rsidR="009E01F8" w:rsidRPr="00CD729C" w:rsidRDefault="009E01F8" w:rsidP="009B4BB6">
            <w:pPr>
              <w:pStyle w:val="EndnoteText"/>
              <w:widowControl w:val="0"/>
              <w:rPr>
                <w:color w:val="000000"/>
              </w:rPr>
            </w:pPr>
            <w:r w:rsidRPr="00CD729C">
              <w:rPr>
                <w:color w:val="000000"/>
              </w:rPr>
              <w:t>Leikovorīns (75 mg/m</w:t>
            </w:r>
            <w:r w:rsidRPr="00CD729C">
              <w:rPr>
                <w:color w:val="000000"/>
                <w:vertAlign w:val="superscript"/>
              </w:rPr>
              <w:t>2</w:t>
            </w:r>
            <w:r w:rsidRPr="00CD729C">
              <w:rPr>
                <w:color w:val="000000"/>
              </w:rPr>
              <w:t xml:space="preserve"> 36. stundā, lietojot IV; 15 mg/m</w:t>
            </w:r>
            <w:r w:rsidRPr="00CD729C">
              <w:rPr>
                <w:color w:val="000000"/>
                <w:vertAlign w:val="superscript"/>
              </w:rPr>
              <w:t>2</w:t>
            </w:r>
            <w:r w:rsidRPr="00CD729C">
              <w:rPr>
                <w:color w:val="000000"/>
              </w:rPr>
              <w:t xml:space="preserve"> lietojot IV vai PO q6h x 6 devas) iii: 2. un 3. dienā</w:t>
            </w:r>
          </w:p>
          <w:p w14:paraId="3D394D3C" w14:textId="77777777" w:rsidR="009E01F8" w:rsidRPr="00CD729C" w:rsidRDefault="009E01F8" w:rsidP="009B4BB6">
            <w:pPr>
              <w:pStyle w:val="EndnoteText"/>
              <w:widowControl w:val="0"/>
              <w:rPr>
                <w:color w:val="000000"/>
              </w:rPr>
            </w:pPr>
            <w:r w:rsidRPr="00CD729C">
              <w:rPr>
                <w:color w:val="000000"/>
              </w:rPr>
              <w:t>Trīskārša terapija (pielāgojot pēc vecuma), lietojot IT: 1., 29. dienā</w:t>
            </w:r>
          </w:p>
          <w:p w14:paraId="3D394D3D" w14:textId="77777777" w:rsidR="009E01F8" w:rsidRPr="00CD729C" w:rsidRDefault="009E01F8" w:rsidP="009B4BB6">
            <w:pPr>
              <w:pStyle w:val="EndnoteText"/>
              <w:widowControl w:val="0"/>
              <w:rPr>
                <w:color w:val="000000"/>
              </w:rPr>
            </w:pPr>
            <w:r w:rsidRPr="00CD729C">
              <w:rPr>
                <w:color w:val="000000"/>
              </w:rPr>
              <w:t>VCR (1.5 mg/m</w:t>
            </w:r>
            <w:r w:rsidRPr="00CD729C">
              <w:rPr>
                <w:color w:val="000000"/>
                <w:vertAlign w:val="superscript"/>
              </w:rPr>
              <w:t>2</w:t>
            </w:r>
            <w:r w:rsidRPr="00CD729C">
              <w:rPr>
                <w:color w:val="000000"/>
              </w:rPr>
              <w:t>, lietojot IV): 1., 29. dienā</w:t>
            </w:r>
          </w:p>
          <w:p w14:paraId="3D394D3E" w14:textId="77777777" w:rsidR="009E01F8" w:rsidRPr="00CD729C" w:rsidRDefault="009E01F8" w:rsidP="009B4BB6">
            <w:pPr>
              <w:pStyle w:val="EndnoteText"/>
              <w:widowControl w:val="0"/>
              <w:rPr>
                <w:color w:val="000000"/>
              </w:rPr>
            </w:pPr>
            <w:r w:rsidRPr="00CD729C">
              <w:rPr>
                <w:color w:val="000000"/>
              </w:rPr>
              <w:t>DEX (6 mg/m</w:t>
            </w:r>
            <w:r w:rsidRPr="00CD729C">
              <w:rPr>
                <w:color w:val="000000"/>
                <w:vertAlign w:val="superscript"/>
              </w:rPr>
              <w:t>2</w:t>
            </w:r>
            <w:r w:rsidRPr="00CD729C">
              <w:rPr>
                <w:color w:val="000000"/>
              </w:rPr>
              <w:t>/dienā, lietojot PO): 1.</w:t>
            </w:r>
            <w:r w:rsidRPr="00CD729C">
              <w:rPr>
                <w:color w:val="000000"/>
              </w:rPr>
              <w:noBreakHyphen/>
              <w:t>5.; 29.</w:t>
            </w:r>
            <w:r w:rsidRPr="00CD729C">
              <w:rPr>
                <w:color w:val="000000"/>
              </w:rPr>
              <w:noBreakHyphen/>
              <w:t>33. dienā</w:t>
            </w:r>
          </w:p>
          <w:p w14:paraId="3D394D3F" w14:textId="77777777" w:rsidR="009E01F8" w:rsidRPr="00CD729C" w:rsidRDefault="009E01F8" w:rsidP="009B4BB6">
            <w:pPr>
              <w:pStyle w:val="EndnoteText"/>
              <w:widowControl w:val="0"/>
              <w:rPr>
                <w:color w:val="000000"/>
              </w:rPr>
            </w:pPr>
            <w:r w:rsidRPr="00CD729C">
              <w:rPr>
                <w:color w:val="000000"/>
              </w:rPr>
              <w:t>6-MP (75 mg/m</w:t>
            </w:r>
            <w:r w:rsidRPr="00CD729C">
              <w:rPr>
                <w:color w:val="000000"/>
                <w:vertAlign w:val="superscript"/>
              </w:rPr>
              <w:t>2</w:t>
            </w:r>
            <w:r w:rsidRPr="00CD729C">
              <w:rPr>
                <w:color w:val="000000"/>
              </w:rPr>
              <w:t>/dienā, PO): 8.-28. dienā</w:t>
            </w:r>
          </w:p>
          <w:p w14:paraId="3D394D40" w14:textId="77777777" w:rsidR="009E01F8" w:rsidRPr="00CD729C" w:rsidRDefault="009E01F8" w:rsidP="009B4BB6">
            <w:pPr>
              <w:pStyle w:val="EndnoteText"/>
              <w:widowControl w:val="0"/>
              <w:rPr>
                <w:color w:val="000000"/>
              </w:rPr>
            </w:pPr>
            <w:r w:rsidRPr="00CD729C">
              <w:rPr>
                <w:color w:val="000000"/>
              </w:rPr>
              <w:t>Metotreksāts (20 mg/m</w:t>
            </w:r>
            <w:r w:rsidRPr="00CD729C">
              <w:rPr>
                <w:color w:val="000000"/>
                <w:vertAlign w:val="superscript"/>
              </w:rPr>
              <w:t>2</w:t>
            </w:r>
            <w:r w:rsidRPr="00CD729C">
              <w:rPr>
                <w:color w:val="000000"/>
              </w:rPr>
              <w:t>/nedēļā, lietojot PO): 8., 15., 22. dienā</w:t>
            </w:r>
          </w:p>
          <w:p w14:paraId="3D394D41" w14:textId="77777777" w:rsidR="009E01F8" w:rsidRPr="00CD729C" w:rsidRDefault="009E01F8" w:rsidP="009B4BB6">
            <w:pPr>
              <w:pStyle w:val="EndnoteText"/>
              <w:widowControl w:val="0"/>
              <w:rPr>
                <w:color w:val="000000"/>
              </w:rPr>
            </w:pPr>
            <w:r w:rsidRPr="00CD729C">
              <w:rPr>
                <w:color w:val="000000"/>
              </w:rPr>
              <w:t>VP-16 (100 mg/m</w:t>
            </w:r>
            <w:r w:rsidRPr="00CD729C">
              <w:rPr>
                <w:color w:val="000000"/>
                <w:vertAlign w:val="superscript"/>
              </w:rPr>
              <w:t>2</w:t>
            </w:r>
            <w:r w:rsidRPr="00CD729C">
              <w:rPr>
                <w:color w:val="000000"/>
              </w:rPr>
              <w:t>, lietojot IV): 29.</w:t>
            </w:r>
            <w:r w:rsidRPr="00CD729C">
              <w:rPr>
                <w:color w:val="000000"/>
              </w:rPr>
              <w:noBreakHyphen/>
              <w:t>33. dienā</w:t>
            </w:r>
          </w:p>
          <w:p w14:paraId="3D394D42" w14:textId="77777777" w:rsidR="009E01F8" w:rsidRPr="00CD729C" w:rsidRDefault="009E01F8" w:rsidP="009B4BB6">
            <w:pPr>
              <w:pStyle w:val="EndnoteText"/>
              <w:widowControl w:val="0"/>
              <w:rPr>
                <w:color w:val="000000"/>
              </w:rPr>
            </w:pPr>
            <w:r w:rsidRPr="00CD729C">
              <w:rPr>
                <w:color w:val="000000"/>
              </w:rPr>
              <w:t>CPM (300 mg/m</w:t>
            </w:r>
            <w:r w:rsidRPr="00CD729C">
              <w:rPr>
                <w:color w:val="000000"/>
                <w:vertAlign w:val="superscript"/>
              </w:rPr>
              <w:t>2</w:t>
            </w:r>
            <w:r w:rsidRPr="00CD729C">
              <w:rPr>
                <w:color w:val="000000"/>
              </w:rPr>
              <w:t>, lietojot IV): 29.</w:t>
            </w:r>
            <w:r w:rsidRPr="00CD729C">
              <w:rPr>
                <w:color w:val="000000"/>
              </w:rPr>
              <w:noBreakHyphen/>
              <w:t>33. dienā</w:t>
            </w:r>
          </w:p>
          <w:p w14:paraId="3D394D43" w14:textId="77777777" w:rsidR="009E01F8" w:rsidRPr="00CD729C" w:rsidRDefault="009E01F8" w:rsidP="009B4BB6">
            <w:pPr>
              <w:pStyle w:val="EndnoteText"/>
              <w:widowControl w:val="0"/>
              <w:rPr>
                <w:color w:val="000000"/>
              </w:rPr>
            </w:pPr>
            <w:r w:rsidRPr="00CD729C">
              <w:rPr>
                <w:color w:val="000000"/>
              </w:rPr>
              <w:t>MESNA IV 29.</w:t>
            </w:r>
            <w:r w:rsidRPr="00CD729C">
              <w:rPr>
                <w:color w:val="000000"/>
              </w:rPr>
              <w:noBreakHyphen/>
              <w:t>33. dienā</w:t>
            </w:r>
          </w:p>
          <w:p w14:paraId="3D394D44" w14:textId="77777777" w:rsidR="009E01F8" w:rsidRPr="00CD729C" w:rsidRDefault="009E01F8" w:rsidP="009B4BB6">
            <w:pPr>
              <w:pStyle w:val="EndnoteText"/>
              <w:widowControl w:val="0"/>
              <w:rPr>
                <w:color w:val="000000"/>
              </w:rPr>
            </w:pPr>
            <w:r w:rsidRPr="00CD729C">
              <w:rPr>
                <w:color w:val="000000"/>
              </w:rPr>
              <w:t>G-CSF (5 μg/kg, lietojot SC): 34.</w:t>
            </w:r>
            <w:r w:rsidRPr="00CD729C">
              <w:rPr>
                <w:color w:val="000000"/>
              </w:rPr>
              <w:noBreakHyphen/>
              <w:t>43. dienā</w:t>
            </w:r>
          </w:p>
        </w:tc>
      </w:tr>
      <w:tr w:rsidR="009E01F8" w:rsidRPr="00CD729C" w14:paraId="3D394D50" w14:textId="77777777" w:rsidTr="004E61FE">
        <w:trPr>
          <w:cantSplit/>
        </w:trPr>
        <w:tc>
          <w:tcPr>
            <w:tcW w:w="2358" w:type="dxa"/>
            <w:shd w:val="clear" w:color="auto" w:fill="auto"/>
          </w:tcPr>
          <w:p w14:paraId="3D394D46" w14:textId="77777777" w:rsidR="009E01F8" w:rsidRPr="00CD729C" w:rsidRDefault="009E01F8" w:rsidP="009B4BB6">
            <w:pPr>
              <w:pStyle w:val="EndnoteText"/>
              <w:widowControl w:val="0"/>
              <w:rPr>
                <w:color w:val="000000"/>
              </w:rPr>
            </w:pPr>
            <w:r w:rsidRPr="00CD729C">
              <w:rPr>
                <w:color w:val="000000"/>
              </w:rPr>
              <w:t>Uzturošā terapija</w:t>
            </w:r>
          </w:p>
          <w:p w14:paraId="3D394D47" w14:textId="77777777" w:rsidR="009E01F8" w:rsidRPr="00CD729C" w:rsidRDefault="009E01F8" w:rsidP="009B4BB6">
            <w:pPr>
              <w:pStyle w:val="EndnoteText"/>
              <w:widowControl w:val="0"/>
              <w:rPr>
                <w:color w:val="000000"/>
              </w:rPr>
            </w:pPr>
            <w:r w:rsidRPr="00CD729C">
              <w:rPr>
                <w:color w:val="000000"/>
              </w:rPr>
              <w:t>(8-nedēļu cikli)</w:t>
            </w:r>
          </w:p>
          <w:p w14:paraId="3D394D48" w14:textId="77777777" w:rsidR="009E01F8" w:rsidRPr="00CD729C" w:rsidRDefault="009E01F8" w:rsidP="009B4BB6">
            <w:pPr>
              <w:pStyle w:val="EndnoteText"/>
              <w:widowControl w:val="0"/>
              <w:rPr>
                <w:color w:val="000000"/>
              </w:rPr>
            </w:pPr>
            <w:r w:rsidRPr="00CD729C">
              <w:rPr>
                <w:color w:val="000000"/>
              </w:rPr>
              <w:t>Cikls 5</w:t>
            </w:r>
          </w:p>
        </w:tc>
        <w:tc>
          <w:tcPr>
            <w:tcW w:w="6929" w:type="dxa"/>
            <w:shd w:val="clear" w:color="auto" w:fill="auto"/>
          </w:tcPr>
          <w:p w14:paraId="3D394D49" w14:textId="77777777" w:rsidR="009E01F8" w:rsidRPr="00CD729C" w:rsidRDefault="009E01F8" w:rsidP="009B4BB6">
            <w:pPr>
              <w:pStyle w:val="EndnoteText"/>
              <w:widowControl w:val="0"/>
              <w:rPr>
                <w:color w:val="000000"/>
              </w:rPr>
            </w:pPr>
            <w:r w:rsidRPr="00CD729C">
              <w:rPr>
                <w:color w:val="000000"/>
              </w:rPr>
              <w:t>Kraniālā apstarošana (vienīgi 5. kohortā)</w:t>
            </w:r>
          </w:p>
          <w:p w14:paraId="3D394D4A" w14:textId="77777777" w:rsidR="009E01F8" w:rsidRPr="00CD729C" w:rsidRDefault="009E01F8" w:rsidP="009B4BB6">
            <w:pPr>
              <w:pStyle w:val="EndnoteText"/>
              <w:widowControl w:val="0"/>
              <w:rPr>
                <w:color w:val="000000"/>
              </w:rPr>
            </w:pPr>
            <w:r w:rsidRPr="00CD729C">
              <w:rPr>
                <w:color w:val="000000"/>
              </w:rPr>
              <w:t>12 Gy 8 daļās visiem pacientiem, kuriem diagnozē ir CNS1 un CNS2</w:t>
            </w:r>
          </w:p>
          <w:p w14:paraId="3D394D4B" w14:textId="77777777" w:rsidR="009E01F8" w:rsidRPr="00CD729C" w:rsidRDefault="009E01F8" w:rsidP="009B4BB6">
            <w:pPr>
              <w:pStyle w:val="EndnoteText"/>
              <w:widowControl w:val="0"/>
              <w:rPr>
                <w:color w:val="000000"/>
              </w:rPr>
            </w:pPr>
            <w:r w:rsidRPr="00CD729C">
              <w:rPr>
                <w:color w:val="000000"/>
              </w:rPr>
              <w:t>18 Gy 10 daļās visiem pacientiem, kuriem diagnozē ir CNS3</w:t>
            </w:r>
          </w:p>
          <w:p w14:paraId="3D394D4C" w14:textId="77777777" w:rsidR="009E01F8" w:rsidRPr="00CD729C" w:rsidRDefault="009E01F8" w:rsidP="009B4BB6">
            <w:pPr>
              <w:pStyle w:val="EndnoteText"/>
              <w:widowControl w:val="0"/>
              <w:rPr>
                <w:color w:val="000000"/>
              </w:rPr>
            </w:pPr>
            <w:r w:rsidRPr="00CD729C">
              <w:rPr>
                <w:color w:val="000000"/>
              </w:rPr>
              <w:t>VCR (1,5 mg/m</w:t>
            </w:r>
            <w:r w:rsidRPr="00CD729C">
              <w:rPr>
                <w:color w:val="000000"/>
                <w:vertAlign w:val="superscript"/>
              </w:rPr>
              <w:t>2</w:t>
            </w:r>
            <w:r w:rsidRPr="00CD729C">
              <w:rPr>
                <w:color w:val="000000"/>
              </w:rPr>
              <w:t>/dienā, lietojot IV): 1., 29. dienā</w:t>
            </w:r>
          </w:p>
          <w:p w14:paraId="3D394D4D" w14:textId="77777777" w:rsidR="009E01F8" w:rsidRPr="00CD729C" w:rsidRDefault="009E01F8" w:rsidP="009B4BB6">
            <w:pPr>
              <w:pStyle w:val="EndnoteText"/>
              <w:widowControl w:val="0"/>
              <w:rPr>
                <w:color w:val="000000"/>
              </w:rPr>
            </w:pPr>
            <w:r w:rsidRPr="00CD729C">
              <w:rPr>
                <w:color w:val="000000"/>
              </w:rPr>
              <w:t>DEX (6 mg/m</w:t>
            </w:r>
            <w:r w:rsidRPr="00CD729C">
              <w:rPr>
                <w:color w:val="000000"/>
                <w:vertAlign w:val="superscript"/>
              </w:rPr>
              <w:t>2</w:t>
            </w:r>
            <w:r w:rsidRPr="00CD729C">
              <w:rPr>
                <w:color w:val="000000"/>
              </w:rPr>
              <w:t>/dienā, lietojot PO): 1.</w:t>
            </w:r>
            <w:r w:rsidRPr="00CD729C">
              <w:rPr>
                <w:color w:val="000000"/>
              </w:rPr>
              <w:noBreakHyphen/>
              <w:t>5.; 29.</w:t>
            </w:r>
            <w:r w:rsidRPr="00CD729C">
              <w:rPr>
                <w:color w:val="000000"/>
              </w:rPr>
              <w:noBreakHyphen/>
              <w:t>33. dienā</w:t>
            </w:r>
          </w:p>
          <w:p w14:paraId="3D394D4E" w14:textId="77777777" w:rsidR="009E01F8" w:rsidRPr="00CD729C" w:rsidRDefault="009E01F8" w:rsidP="009B4BB6">
            <w:pPr>
              <w:pStyle w:val="EndnoteText"/>
              <w:widowControl w:val="0"/>
              <w:rPr>
                <w:color w:val="000000"/>
              </w:rPr>
            </w:pPr>
            <w:r w:rsidRPr="00CD729C">
              <w:rPr>
                <w:color w:val="000000"/>
              </w:rPr>
              <w:t>6-MP (75 mg/m</w:t>
            </w:r>
            <w:r w:rsidRPr="00CD729C">
              <w:rPr>
                <w:color w:val="000000"/>
                <w:vertAlign w:val="superscript"/>
              </w:rPr>
              <w:t>2</w:t>
            </w:r>
            <w:r w:rsidRPr="00CD729C">
              <w:rPr>
                <w:color w:val="000000"/>
              </w:rPr>
              <w:t>/dienā, lietojot PO): 11.</w:t>
            </w:r>
            <w:r w:rsidRPr="00CD729C">
              <w:rPr>
                <w:color w:val="000000"/>
              </w:rPr>
              <w:noBreakHyphen/>
              <w:t>56. dienā (sākot ar 5. cikla 1. dienu pārtraukt 6-MP lietošanu 6.</w:t>
            </w:r>
            <w:r w:rsidRPr="00CD729C">
              <w:rPr>
                <w:color w:val="000000"/>
              </w:rPr>
              <w:noBreakHyphen/>
              <w:t>10. dienā veicot kraniālo apstarošanu. Sākt 6-MP lietošanu 1. dienā pēc kraniālās apstarošanas beigām.)</w:t>
            </w:r>
          </w:p>
          <w:p w14:paraId="3D394D4F" w14:textId="77777777" w:rsidR="009E01F8" w:rsidRPr="00CD729C" w:rsidRDefault="009E01F8" w:rsidP="009B4BB6">
            <w:pPr>
              <w:pStyle w:val="EndnoteText"/>
              <w:widowControl w:val="0"/>
              <w:rPr>
                <w:color w:val="000000"/>
              </w:rPr>
            </w:pPr>
            <w:r w:rsidRPr="00CD729C">
              <w:rPr>
                <w:color w:val="000000"/>
              </w:rPr>
              <w:t>Metotreksāts (20 mg/m</w:t>
            </w:r>
            <w:r w:rsidRPr="00CD729C">
              <w:rPr>
                <w:color w:val="000000"/>
                <w:vertAlign w:val="superscript"/>
              </w:rPr>
              <w:t>2</w:t>
            </w:r>
            <w:r w:rsidRPr="00CD729C">
              <w:rPr>
                <w:color w:val="000000"/>
              </w:rPr>
              <w:t>/nedēļā, lietojot PO): 8., 15., 22., 29., 36., 43., 50. dienā</w:t>
            </w:r>
          </w:p>
        </w:tc>
      </w:tr>
      <w:tr w:rsidR="009E01F8" w:rsidRPr="00CD729C" w14:paraId="3D394D58" w14:textId="77777777" w:rsidTr="004E61FE">
        <w:trPr>
          <w:cantSplit/>
        </w:trPr>
        <w:tc>
          <w:tcPr>
            <w:tcW w:w="2358" w:type="dxa"/>
            <w:shd w:val="clear" w:color="auto" w:fill="auto"/>
          </w:tcPr>
          <w:p w14:paraId="3D394D51" w14:textId="77777777" w:rsidR="009E01F8" w:rsidRPr="00CD729C" w:rsidRDefault="009E01F8" w:rsidP="009B4BB6">
            <w:pPr>
              <w:pStyle w:val="EndnoteText"/>
              <w:keepNext/>
              <w:keepLines/>
              <w:widowControl w:val="0"/>
              <w:rPr>
                <w:color w:val="000000"/>
              </w:rPr>
            </w:pPr>
            <w:r w:rsidRPr="00CD729C">
              <w:rPr>
                <w:color w:val="000000"/>
              </w:rPr>
              <w:t>Uzturošā terapija</w:t>
            </w:r>
          </w:p>
          <w:p w14:paraId="3D394D52" w14:textId="77777777" w:rsidR="009E01F8" w:rsidRPr="00CD729C" w:rsidRDefault="009E01F8" w:rsidP="009B4BB6">
            <w:pPr>
              <w:pStyle w:val="EndnoteText"/>
              <w:keepNext/>
              <w:keepLines/>
              <w:widowControl w:val="0"/>
              <w:rPr>
                <w:color w:val="000000"/>
              </w:rPr>
            </w:pPr>
            <w:r w:rsidRPr="00CD729C">
              <w:rPr>
                <w:color w:val="000000"/>
              </w:rPr>
              <w:t>(8-nedēļu cikli)</w:t>
            </w:r>
          </w:p>
          <w:p w14:paraId="3D394D53" w14:textId="77777777" w:rsidR="009E01F8" w:rsidRPr="00CD729C" w:rsidRDefault="009E01F8" w:rsidP="009B4BB6">
            <w:pPr>
              <w:pStyle w:val="EndnoteText"/>
              <w:keepNext/>
              <w:keepLines/>
              <w:widowControl w:val="0"/>
              <w:rPr>
                <w:color w:val="000000"/>
              </w:rPr>
            </w:pPr>
            <w:r w:rsidRPr="00CD729C">
              <w:rPr>
                <w:color w:val="000000"/>
              </w:rPr>
              <w:t>Cikli 6</w:t>
            </w:r>
            <w:r w:rsidRPr="00CD729C">
              <w:rPr>
                <w:color w:val="000000"/>
              </w:rPr>
              <w:noBreakHyphen/>
              <w:t>12</w:t>
            </w:r>
          </w:p>
        </w:tc>
        <w:tc>
          <w:tcPr>
            <w:tcW w:w="6929" w:type="dxa"/>
            <w:shd w:val="clear" w:color="auto" w:fill="auto"/>
          </w:tcPr>
          <w:p w14:paraId="3D394D54" w14:textId="77777777" w:rsidR="009E01F8" w:rsidRPr="00CD729C" w:rsidRDefault="009E01F8" w:rsidP="009B4BB6">
            <w:pPr>
              <w:pStyle w:val="EndnoteText"/>
              <w:keepNext/>
              <w:keepLines/>
              <w:widowControl w:val="0"/>
              <w:rPr>
                <w:color w:val="000000"/>
              </w:rPr>
            </w:pPr>
            <w:r w:rsidRPr="00CD729C">
              <w:rPr>
                <w:color w:val="000000"/>
              </w:rPr>
              <w:t>VCR (1,5 mg/m</w:t>
            </w:r>
            <w:r w:rsidRPr="00CD729C">
              <w:rPr>
                <w:color w:val="000000"/>
                <w:vertAlign w:val="superscript"/>
              </w:rPr>
              <w:t>2</w:t>
            </w:r>
            <w:r w:rsidRPr="00CD729C">
              <w:rPr>
                <w:color w:val="000000"/>
              </w:rPr>
              <w:t>/dienā, lietojot IV): 1., 29. dienā</w:t>
            </w:r>
          </w:p>
          <w:p w14:paraId="3D394D55" w14:textId="77777777" w:rsidR="009E01F8" w:rsidRPr="00CD729C" w:rsidRDefault="009E01F8" w:rsidP="009B4BB6">
            <w:pPr>
              <w:pStyle w:val="EndnoteText"/>
              <w:keepNext/>
              <w:keepLines/>
              <w:widowControl w:val="0"/>
              <w:rPr>
                <w:color w:val="000000"/>
              </w:rPr>
            </w:pPr>
            <w:r w:rsidRPr="00CD729C">
              <w:rPr>
                <w:color w:val="000000"/>
              </w:rPr>
              <w:t>DEX (6 mg/m</w:t>
            </w:r>
            <w:r w:rsidRPr="00CD729C">
              <w:rPr>
                <w:color w:val="000000"/>
                <w:vertAlign w:val="superscript"/>
              </w:rPr>
              <w:t>2</w:t>
            </w:r>
            <w:r w:rsidRPr="00CD729C">
              <w:rPr>
                <w:color w:val="000000"/>
              </w:rPr>
              <w:t>/dienā, lietojot PO): 1.</w:t>
            </w:r>
            <w:r w:rsidRPr="00CD729C">
              <w:rPr>
                <w:color w:val="000000"/>
              </w:rPr>
              <w:noBreakHyphen/>
              <w:t>5.; 29.</w:t>
            </w:r>
            <w:r w:rsidRPr="00CD729C">
              <w:rPr>
                <w:color w:val="000000"/>
              </w:rPr>
              <w:noBreakHyphen/>
              <w:t>33. dienā</w:t>
            </w:r>
          </w:p>
          <w:p w14:paraId="3D394D56" w14:textId="77777777" w:rsidR="009E01F8" w:rsidRPr="00CD729C" w:rsidRDefault="009E01F8" w:rsidP="009B4BB6">
            <w:pPr>
              <w:pStyle w:val="EndnoteText"/>
              <w:keepNext/>
              <w:keepLines/>
              <w:widowControl w:val="0"/>
              <w:rPr>
                <w:color w:val="000000"/>
              </w:rPr>
            </w:pPr>
            <w:r w:rsidRPr="00CD729C">
              <w:rPr>
                <w:color w:val="000000"/>
              </w:rPr>
              <w:t>6-MP (75 mg/m</w:t>
            </w:r>
            <w:r w:rsidRPr="00CD729C">
              <w:rPr>
                <w:color w:val="000000"/>
                <w:vertAlign w:val="superscript"/>
              </w:rPr>
              <w:t>2</w:t>
            </w:r>
            <w:r w:rsidRPr="00CD729C">
              <w:rPr>
                <w:color w:val="000000"/>
              </w:rPr>
              <w:t>/dienā, lietojot PO): 1.</w:t>
            </w:r>
            <w:r w:rsidRPr="00CD729C">
              <w:rPr>
                <w:color w:val="000000"/>
              </w:rPr>
              <w:noBreakHyphen/>
              <w:t>56. dienā</w:t>
            </w:r>
          </w:p>
          <w:p w14:paraId="3D394D57" w14:textId="77777777" w:rsidR="009E01F8" w:rsidRPr="00CD729C" w:rsidRDefault="009E01F8" w:rsidP="009B4BB6">
            <w:pPr>
              <w:pStyle w:val="EndnoteText"/>
              <w:keepNext/>
              <w:keepLines/>
              <w:widowControl w:val="0"/>
              <w:rPr>
                <w:color w:val="000000"/>
              </w:rPr>
            </w:pPr>
            <w:r w:rsidRPr="00CD729C">
              <w:rPr>
                <w:color w:val="000000"/>
              </w:rPr>
              <w:t>Metotreksāts (20 mg/m</w:t>
            </w:r>
            <w:r w:rsidRPr="00CD729C">
              <w:rPr>
                <w:color w:val="000000"/>
                <w:vertAlign w:val="superscript"/>
              </w:rPr>
              <w:t>2</w:t>
            </w:r>
            <w:r w:rsidRPr="00CD729C">
              <w:rPr>
                <w:color w:val="000000"/>
              </w:rPr>
              <w:t>/nedēļā, lietojot PO): 1., 8., 15., 22., 29., 36., 43., 50. dienā</w:t>
            </w:r>
          </w:p>
        </w:tc>
      </w:tr>
    </w:tbl>
    <w:p w14:paraId="3D394D59" w14:textId="77777777" w:rsidR="009E01F8" w:rsidRPr="00CD729C" w:rsidRDefault="009E01F8" w:rsidP="009B4BB6">
      <w:pPr>
        <w:pStyle w:val="EndnoteText"/>
        <w:keepNext/>
        <w:keepLines/>
        <w:widowControl w:val="0"/>
        <w:rPr>
          <w:color w:val="000000"/>
          <w:szCs w:val="22"/>
        </w:rPr>
      </w:pPr>
      <w:r w:rsidRPr="00CD729C">
        <w:rPr>
          <w:color w:val="000000"/>
          <w:szCs w:val="22"/>
        </w:rPr>
        <w:t xml:space="preserve">G-CSF = granulocītu koloniju stimulējošais faktors, VP-16 = etoposīds, MTX = metotreksāts, IV = intravenozi, SC = subkutāni, IT = intratekāli, PO = perorāli, IM = intramuskulāri, ARA-C = citozīna arabinozīds, CPM = ciklofosfamīds, VCR = vinkristīns, DEX = deksametazons, DAUN = daunorubicīns , 6-MP = 6-merkaptopurīns, </w:t>
      </w:r>
      <w:r w:rsidRPr="00CD729C">
        <w:rPr>
          <w:i/>
          <w:color w:val="000000"/>
          <w:szCs w:val="22"/>
        </w:rPr>
        <w:t>E.Coli</w:t>
      </w:r>
      <w:r w:rsidRPr="00CD729C">
        <w:rPr>
          <w:color w:val="000000"/>
          <w:szCs w:val="22"/>
        </w:rPr>
        <w:t xml:space="preserve"> L-ASP = L-asparagināze, PEG-ASP = PEG asparagināze, MESNA= 2-merkaptoetānsulfonāta nātrija sāls, iii= vai kamēr MTX līmenis ir &lt;0,1 µM, q6h = ik pēc 6 stundām, Gy= grejs</w:t>
      </w:r>
    </w:p>
    <w:p w14:paraId="3D394D5A" w14:textId="77777777" w:rsidR="009E01F8" w:rsidRPr="00CD729C" w:rsidRDefault="009E01F8" w:rsidP="009B4BB6">
      <w:pPr>
        <w:pStyle w:val="EndnoteText"/>
        <w:widowControl w:val="0"/>
        <w:rPr>
          <w:color w:val="000000"/>
          <w:sz w:val="20"/>
        </w:rPr>
      </w:pPr>
    </w:p>
    <w:p w14:paraId="3D394D5B" w14:textId="77777777" w:rsidR="009E01F8" w:rsidRPr="00CD729C" w:rsidRDefault="009E01F8" w:rsidP="009B4BB6">
      <w:pPr>
        <w:pStyle w:val="EndnoteText"/>
        <w:widowControl w:val="0"/>
        <w:rPr>
          <w:color w:val="000000"/>
        </w:rPr>
      </w:pPr>
      <w:r w:rsidRPr="00CD729C">
        <w:rPr>
          <w:color w:val="000000"/>
          <w:szCs w:val="22"/>
        </w:rPr>
        <w:t xml:space="preserve">Pētījums AIT07 bija </w:t>
      </w:r>
      <w:r w:rsidRPr="00CD729C">
        <w:t xml:space="preserve">daudzcentru, atvērta tipa, randomizēts II/III fāzes pētījums, kurā tika iekļauti 128 pacienti (vecumā no 1 līdz 18 gadiem), un kuri tika ārstēti ar imatinibu kombinācijā ar ķīmijterapiju. Drošuma dati no šī klīniskā pētījuma atbilst imatiniba drošuma profilam </w:t>
      </w:r>
      <w:r w:rsidRPr="00CD729C">
        <w:rPr>
          <w:color w:val="000000"/>
          <w:szCs w:val="22"/>
        </w:rPr>
        <w:t xml:space="preserve">Ph+ ALL </w:t>
      </w:r>
      <w:r w:rsidRPr="00CD729C">
        <w:t>pacientiem</w:t>
      </w:r>
      <w:r w:rsidRPr="00CD729C">
        <w:rPr>
          <w:color w:val="000000"/>
          <w:szCs w:val="22"/>
        </w:rPr>
        <w:t>.</w:t>
      </w:r>
    </w:p>
    <w:p w14:paraId="3D394D5C" w14:textId="77777777" w:rsidR="009E01F8" w:rsidRPr="00CD729C" w:rsidRDefault="009E01F8" w:rsidP="009B4BB6">
      <w:pPr>
        <w:widowControl w:val="0"/>
        <w:spacing w:line="240" w:lineRule="auto"/>
        <w:rPr>
          <w:color w:val="000000"/>
        </w:rPr>
      </w:pPr>
    </w:p>
    <w:p w14:paraId="3D394D5D" w14:textId="77777777" w:rsidR="009E01F8" w:rsidRPr="00CD729C" w:rsidRDefault="009E01F8" w:rsidP="009B4BB6">
      <w:pPr>
        <w:pStyle w:val="Text"/>
        <w:widowControl w:val="0"/>
        <w:spacing w:before="0"/>
        <w:jc w:val="left"/>
        <w:rPr>
          <w:color w:val="000000"/>
          <w:sz w:val="22"/>
          <w:szCs w:val="22"/>
          <w:lang w:val="lv-LV"/>
        </w:rPr>
      </w:pPr>
      <w:r w:rsidRPr="00CD729C">
        <w:rPr>
          <w:i/>
          <w:color w:val="000000"/>
          <w:sz w:val="22"/>
          <w:szCs w:val="22"/>
          <w:lang w:val="lv-LV"/>
        </w:rPr>
        <w:t>Recidivējošs/refraktārs Ph+ ALL:</w:t>
      </w:r>
      <w:r w:rsidRPr="00CD729C">
        <w:rPr>
          <w:color w:val="000000"/>
          <w:sz w:val="22"/>
          <w:szCs w:val="22"/>
          <w:lang w:val="lv-LV"/>
        </w:rPr>
        <w:t xml:space="preserve"> kad imatinibs tika lietots kā vienīgais līdzeklis pacientiem ar recidivējošu/refraktāru Ph+ ALL, 53 no 411 pacientiem, kuriem varēja novērtēt atbildes reakciju, hematoloģisku atbildes reakciju konstatēja 30% (9% pilnīgu), nozīmīgu citoģenētisku atbildes reakciju 23%. (Jāpiezīmē, ka no 411 pacientiem 353 tika ārstēti paplašinātas pieejas programmas ietvaros bez apkopotiem primārās atbildes reakcijas datiem.) Vidējais laiks līdz progresēšanai kopējā 411 pacientu grupā ar recidivējošu/refraktāru Ph+ ALL svārstījās no 2,6 līdz 3,1 mēnešiem, un vidējā kopējā dzīvildze 401 novērtējamiem pacientiem svārstījās no 4,9 līdz 9 mēnešiem. Atkārtotā analīzē iekļaujot pacientu grupu no 55 gadu vecuma iegūtie rezultāti bija līdzīgi.</w:t>
      </w:r>
    </w:p>
    <w:p w14:paraId="3D394D5E" w14:textId="77777777" w:rsidR="009E01F8" w:rsidRPr="0034378B" w:rsidRDefault="009E01F8" w:rsidP="009B4BB6">
      <w:pPr>
        <w:pStyle w:val="EndnoteText"/>
        <w:widowControl w:val="0"/>
        <w:rPr>
          <w:color w:val="000000"/>
        </w:rPr>
      </w:pPr>
    </w:p>
    <w:p w14:paraId="3D394D5F" w14:textId="77777777" w:rsidR="009E01F8" w:rsidRPr="00CD729C" w:rsidRDefault="009E01F8" w:rsidP="009B4BB6">
      <w:pPr>
        <w:pStyle w:val="EndnoteText"/>
        <w:keepNext/>
        <w:widowControl w:val="0"/>
        <w:rPr>
          <w:color w:val="000000"/>
          <w:u w:val="single"/>
        </w:rPr>
      </w:pPr>
      <w:r w:rsidRPr="00CD729C">
        <w:rPr>
          <w:color w:val="000000"/>
          <w:u w:val="single"/>
        </w:rPr>
        <w:t>MDS/MPD klīniskie pētījumi</w:t>
      </w:r>
    </w:p>
    <w:p w14:paraId="3D394D60" w14:textId="77777777" w:rsidR="002B5915" w:rsidRDefault="009E01F8" w:rsidP="009B4BB6">
      <w:pPr>
        <w:widowControl w:val="0"/>
        <w:spacing w:line="240" w:lineRule="auto"/>
        <w:rPr>
          <w:rFonts w:eastAsia="MS Mincho"/>
          <w:color w:val="000000"/>
          <w:lang w:eastAsia="ja-JP"/>
        </w:rPr>
      </w:pPr>
      <w:r w:rsidRPr="00CD729C">
        <w:rPr>
          <w:color w:val="000000"/>
          <w:szCs w:val="22"/>
        </w:rPr>
        <w:t xml:space="preserve">Pieredze Glivec lietošanai šajā indikācijā ir ļoti ierobežota un ir balstīta uz noteikto hematoloģisko un citoģenētisko atbildes reakciju rādītājiem. Nav klīnisko pētījumu, kas apstiprinātu klīnisku ieguvumu dzīvildzes pagarināšanā. </w:t>
      </w:r>
      <w:r w:rsidRPr="00CD729C">
        <w:rPr>
          <w:rFonts w:eastAsia="MS Mincho"/>
          <w:color w:val="000000"/>
          <w:lang w:eastAsia="ja-JP"/>
        </w:rPr>
        <w:t>Tika veikts viens atklāts, daudzcentru, II fāzes klīniskais pētījums (pētījums B2225), kurā Glivec tika pārbaudīts dažādu pacientu grupās, kuri cieta no dzīvību apdraudošām slimībām, saistītām ar Abl, Kit vai PDGFR proteīnu tirozīnkināzēm. Šajā pētījumā piedalījās 7 pacienti ar MDS/MPD, kuri tika ārstēti ar Glivec devu 400 mg dienā. Trīs pacienti sasniedza pilnīgu hematoloģisko atbildes reakciju (CHR) un viens pacients sasniedza daļēju hematoloģisko atbildes reakciju (PHR). Tajā pat laikā veicot oriģinālo datu analīzi, trim no četriem pacientiem, kuriem konstatēta PDGFR gēnu pārkārtošanās, novēroja hematoloģisko atbildes reakciju (2 CHR un 1 PHR). Šo pacientu vecums svārstījās no 20 līdz 72 gadiem.</w:t>
      </w:r>
    </w:p>
    <w:p w14:paraId="3D394D61" w14:textId="77777777" w:rsidR="002B5915" w:rsidRDefault="002B5915" w:rsidP="009B4BB6">
      <w:pPr>
        <w:widowControl w:val="0"/>
        <w:spacing w:line="240" w:lineRule="auto"/>
        <w:rPr>
          <w:rFonts w:eastAsia="MS Mincho"/>
          <w:color w:val="000000"/>
          <w:lang w:eastAsia="ja-JP"/>
        </w:rPr>
      </w:pPr>
    </w:p>
    <w:p w14:paraId="3D394D62" w14:textId="77777777" w:rsidR="002B5915" w:rsidRPr="006939BA" w:rsidRDefault="002B5915" w:rsidP="009B4BB6">
      <w:pPr>
        <w:widowControl w:val="0"/>
        <w:spacing w:line="240" w:lineRule="auto"/>
        <w:rPr>
          <w:rFonts w:eastAsia="MS Mincho"/>
          <w:color w:val="000000"/>
          <w:lang w:eastAsia="ja-JP"/>
        </w:rPr>
      </w:pPr>
      <w:r w:rsidRPr="002B5915">
        <w:rPr>
          <w:rFonts w:eastAsia="MS Mincho"/>
          <w:color w:val="000000"/>
          <w:lang w:eastAsia="ja-JP"/>
        </w:rPr>
        <w:t>Pacientiem, kuriem ir mieloproliferatīvi jaunveidojumi ar PDGFR-</w:t>
      </w:r>
      <w:r w:rsidRPr="002B5915">
        <w:rPr>
          <w:rFonts w:eastAsia="TimesNewRoman"/>
          <w:szCs w:val="22"/>
        </w:rPr>
        <w:t xml:space="preserve"> </w:t>
      </w:r>
      <w:r w:rsidRPr="002B5915">
        <w:rPr>
          <w:rFonts w:eastAsia="TimesNewRoman"/>
          <w:szCs w:val="22"/>
          <w:lang w:val="en-US"/>
        </w:rPr>
        <w:t>β</w:t>
      </w:r>
      <w:r w:rsidRPr="000F4940">
        <w:rPr>
          <w:rFonts w:eastAsia="TimesNewRoman"/>
          <w:szCs w:val="22"/>
        </w:rPr>
        <w:t xml:space="preserve"> pārkārtošanos un kurus ārstēja</w:t>
      </w:r>
      <w:r w:rsidRPr="00142A7B">
        <w:rPr>
          <w:rFonts w:eastAsia="TimesNewRoman"/>
          <w:szCs w:val="22"/>
        </w:rPr>
        <w:t xml:space="preserve"> ar Glivec, izveidoja novērojumu </w:t>
      </w:r>
      <w:r w:rsidRPr="002B5915">
        <w:rPr>
          <w:rFonts w:eastAsia="TimesNewRoman"/>
          <w:szCs w:val="22"/>
        </w:rPr>
        <w:t>datu reģistru (pētījums L2401), lai apkopotu ilgtermiņa drošuma un efektivitātes datus.</w:t>
      </w:r>
      <w:r w:rsidRPr="00142A7B">
        <w:rPr>
          <w:rFonts w:eastAsia="TimesNewRoman"/>
          <w:szCs w:val="22"/>
        </w:rPr>
        <w:t xml:space="preserve"> 23 pacienti, kuri iekļauti šajā reģistrā, saņēma mediāno Glivec dienas devu 264 mg (diapazons: 100 līdz 400 mg) ar mediāno ilgumu 7,2 gadi (diapazons: 0,1 līdz 12,7 gadi). Šī reģistra novērojošā rakstura dēļ hematoloģiskie, citoģenētiskie un molekulārie izvērtējuma dati no 23 iekļautajiem pacientiem bija pieejami attiecīgi 22, 9 un 17 . Konservatīvi </w:t>
      </w:r>
      <w:r w:rsidRPr="002B5915">
        <w:rPr>
          <w:rFonts w:eastAsia="TimesNewRoman"/>
          <w:szCs w:val="22"/>
        </w:rPr>
        <w:t>pieņemot, ka pacienti, kuriem</w:t>
      </w:r>
      <w:r w:rsidRPr="00142A7B">
        <w:rPr>
          <w:rFonts w:eastAsia="TimesNewRoman"/>
          <w:szCs w:val="22"/>
        </w:rPr>
        <w:t xml:space="preserve"> trūka datu, bija bez atbildes reakcijas, CHR novēroja attiecīgi 20/23 (87%) pacientiem, CcyR - 9/23 (39,1%) pacientiem un MR 11/23 (47,8%) pacientiem. Kad atbildes reakciju biežumu </w:t>
      </w:r>
      <w:r w:rsidRPr="002B5915">
        <w:rPr>
          <w:rFonts w:eastAsia="TimesNewRoman"/>
          <w:szCs w:val="22"/>
        </w:rPr>
        <w:t xml:space="preserve">aprēķināja pacientiem, kuriem ir vismaz viens </w:t>
      </w:r>
      <w:r w:rsidRPr="00142A7B">
        <w:rPr>
          <w:rFonts w:eastAsia="TimesNewRoman"/>
          <w:szCs w:val="22"/>
        </w:rPr>
        <w:t>derīgs izvērtējums, CHR, CCyR un MR atbildes reakcijas biežums bija attiecīgi 20/22 (</w:t>
      </w:r>
      <w:r w:rsidRPr="002B5915">
        <w:rPr>
          <w:rFonts w:eastAsia="TimesNewRoman"/>
          <w:szCs w:val="22"/>
        </w:rPr>
        <w:t>90,9%), 9/9 (100%) un 11/17 (64,7%).</w:t>
      </w:r>
    </w:p>
    <w:p w14:paraId="3D394D63" w14:textId="77777777" w:rsidR="002B5915" w:rsidRDefault="002B5915" w:rsidP="009B4BB6">
      <w:pPr>
        <w:widowControl w:val="0"/>
        <w:spacing w:line="240" w:lineRule="auto"/>
        <w:rPr>
          <w:rFonts w:eastAsia="MS Mincho"/>
          <w:color w:val="000000"/>
          <w:lang w:eastAsia="ja-JP"/>
        </w:rPr>
      </w:pPr>
    </w:p>
    <w:p w14:paraId="3D394D64" w14:textId="77777777" w:rsidR="009E01F8" w:rsidRPr="00CD729C" w:rsidRDefault="009E01F8" w:rsidP="009B4BB6">
      <w:pPr>
        <w:widowControl w:val="0"/>
        <w:spacing w:line="240" w:lineRule="auto"/>
        <w:rPr>
          <w:color w:val="000000"/>
          <w:szCs w:val="22"/>
        </w:rPr>
      </w:pPr>
      <w:r w:rsidRPr="00CD729C">
        <w:rPr>
          <w:rFonts w:eastAsia="MS Mincho"/>
          <w:color w:val="000000"/>
          <w:lang w:eastAsia="ja-JP"/>
        </w:rPr>
        <w:t xml:space="preserve">Vēl par 24 pacientiem ar MDS/MPD tika ziņots </w:t>
      </w:r>
      <w:r w:rsidRPr="00CD729C">
        <w:rPr>
          <w:color w:val="000000"/>
        </w:rPr>
        <w:t xml:space="preserve">13 publicētos gadījumu ziņojumos. 21 pacients saņēma Glivec 400 mg dienas devā, bet trīs pacienti saņēma mazākas devas. Vienpadsmit pacientiem tika konstatēta </w:t>
      </w:r>
      <w:r w:rsidRPr="00CD729C">
        <w:rPr>
          <w:rFonts w:eastAsia="MS Mincho"/>
          <w:color w:val="000000"/>
          <w:lang w:eastAsia="ja-JP"/>
        </w:rPr>
        <w:t>PDGFR gēnu pārkārtošanās, no kuriem 9 pacienti sasniedza CHR un 1 pacients sasniedza PHR. Šo pacientu vecums svārstījās no 2 līdz 79 gadiem. Nesenā publikācija sniedza papildus informāciju par 6 no šiem 11 pacientiem, ka visiem viņiem novēroja citoģenētisku remisiju (32</w:t>
      </w:r>
      <w:r w:rsidRPr="00CD729C">
        <w:rPr>
          <w:color w:val="000000"/>
          <w:szCs w:val="22"/>
        </w:rPr>
        <w:noBreakHyphen/>
      </w:r>
      <w:r w:rsidRPr="00CD729C">
        <w:rPr>
          <w:rFonts w:eastAsia="MS Mincho"/>
          <w:color w:val="000000"/>
          <w:lang w:eastAsia="ja-JP"/>
        </w:rPr>
        <w:t xml:space="preserve">38 mēnešu periodā). Vēl šajā publikācijā sniegta informācija par ilgtermiņa datiem 12 MDS/MPD slimniekiem ar PDGFR gēnu pārkārtošanos (5 pacienti no pētījuma B2225). Šie pacienti saņēma Glivec vidēji 47 mēnešus (laika posmā no 24 dienām līdz 60 mēnešiem).6 no šiem pacientiem lietošanas ilgums tagad jau pārsniedz 4 gadus. Vienpadsmit pacientiem novēroja strauju CHR; desmit pacientiem novēroja pilnīgu citoģenētisko anomāliju izzušanu un </w:t>
      </w:r>
      <w:r w:rsidRPr="00CD729C">
        <w:rPr>
          <w:color w:val="000000"/>
          <w:szCs w:val="22"/>
        </w:rPr>
        <w:t xml:space="preserve">saplūšanas </w:t>
      </w:r>
      <w:r w:rsidRPr="00CD729C">
        <w:rPr>
          <w:rFonts w:eastAsia="MS Mincho"/>
          <w:color w:val="000000"/>
          <w:lang w:eastAsia="ja-JP"/>
        </w:rPr>
        <w:t>transkripta samazinājumu vai izzušanu pēc RT-PCR mērījumu rezultātiem. Hematoloģiskās atbildes reakcijas turpinājās vidēji 49 mēnešus (19</w:t>
      </w:r>
      <w:r w:rsidRPr="00CD729C">
        <w:rPr>
          <w:color w:val="000000"/>
          <w:szCs w:val="22"/>
        </w:rPr>
        <w:noBreakHyphen/>
      </w:r>
      <w:r w:rsidRPr="00CD729C">
        <w:rPr>
          <w:rFonts w:eastAsia="MS Mincho"/>
          <w:color w:val="000000"/>
          <w:lang w:eastAsia="ja-JP"/>
        </w:rPr>
        <w:t>60 intervālā) un citoģenētiskās atbildes reakcijas – attiecīgi 47 mēnešus (16</w:t>
      </w:r>
      <w:r w:rsidRPr="00CD729C">
        <w:rPr>
          <w:color w:val="000000"/>
          <w:szCs w:val="22"/>
        </w:rPr>
        <w:noBreakHyphen/>
        <w:t>59</w:t>
      </w:r>
      <w:r w:rsidRPr="00CD729C">
        <w:rPr>
          <w:rFonts w:eastAsia="MS Mincho"/>
          <w:color w:val="000000"/>
          <w:lang w:eastAsia="ja-JP"/>
        </w:rPr>
        <w:t> intervālā). Kopējā dzīvildze pēc diagnozes uzstādīšanas ir 65 mēneši (25</w:t>
      </w:r>
      <w:r w:rsidRPr="00CD729C">
        <w:rPr>
          <w:color w:val="000000"/>
          <w:szCs w:val="22"/>
        </w:rPr>
        <w:noBreakHyphen/>
      </w:r>
      <w:r w:rsidRPr="00CD729C">
        <w:rPr>
          <w:rFonts w:eastAsia="MS Mincho"/>
          <w:color w:val="000000"/>
          <w:lang w:eastAsia="ja-JP"/>
        </w:rPr>
        <w:t>234 intervālā). Glivec lietošana pacientiem bez ģenētiskas translokācijas kopumā nesniedza nekādu uzlabojumu.</w:t>
      </w:r>
    </w:p>
    <w:p w14:paraId="3D394D65" w14:textId="77777777" w:rsidR="009E01F8" w:rsidRPr="00CD729C" w:rsidRDefault="009E01F8" w:rsidP="009B4BB6">
      <w:pPr>
        <w:pStyle w:val="EndnoteText"/>
        <w:widowControl w:val="0"/>
        <w:tabs>
          <w:tab w:val="clear" w:pos="567"/>
        </w:tabs>
        <w:rPr>
          <w:color w:val="000000"/>
          <w:szCs w:val="22"/>
        </w:rPr>
      </w:pPr>
    </w:p>
    <w:p w14:paraId="3D394D66"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Kontrolēti klīniskie pētījumi pediatrijas pacientiem ar MDS/MPD nav veikti. 4 publikācijās ziņots par pieciem (5) pacientiem</w:t>
      </w:r>
      <w:r w:rsidRPr="00CD729C">
        <w:rPr>
          <w:rFonts w:eastAsia="MS Mincho"/>
          <w:color w:val="000000"/>
          <w:lang w:eastAsia="ja-JP"/>
        </w:rPr>
        <w:t xml:space="preserve"> ar </w:t>
      </w:r>
      <w:r w:rsidRPr="00CD729C">
        <w:rPr>
          <w:color w:val="000000"/>
          <w:szCs w:val="22"/>
        </w:rPr>
        <w:t xml:space="preserve">MDS/MPD, kas saistīta ar </w:t>
      </w:r>
      <w:r w:rsidRPr="00CD729C">
        <w:rPr>
          <w:rFonts w:eastAsia="MS Mincho"/>
          <w:color w:val="000000"/>
          <w:lang w:eastAsia="ja-JP"/>
        </w:rPr>
        <w:t xml:space="preserve">PDGFR gēnu pārkārtošanos. Šo pacientu vecums bija robežās no 3 mēnešiem līdz 4 gadiem, un izmantotā imatiniba deva bija </w:t>
      </w:r>
      <w:r w:rsidRPr="00CD729C">
        <w:rPr>
          <w:color w:val="000000"/>
          <w:szCs w:val="22"/>
        </w:rPr>
        <w:t>50 mg dienā vai</w:t>
      </w:r>
      <w:r w:rsidRPr="00CD729C">
        <w:rPr>
          <w:rFonts w:eastAsia="MS Mincho"/>
          <w:color w:val="000000"/>
          <w:lang w:eastAsia="ja-JP"/>
        </w:rPr>
        <w:t xml:space="preserve"> robežās no </w:t>
      </w:r>
      <w:r w:rsidRPr="00CD729C">
        <w:rPr>
          <w:color w:val="000000"/>
          <w:szCs w:val="22"/>
        </w:rPr>
        <w:t>92,5 līdz 340 mg/m</w:t>
      </w:r>
      <w:r w:rsidRPr="00CD729C">
        <w:rPr>
          <w:color w:val="000000"/>
          <w:szCs w:val="22"/>
          <w:vertAlign w:val="superscript"/>
        </w:rPr>
        <w:t>2</w:t>
      </w:r>
      <w:r w:rsidRPr="00CD729C">
        <w:rPr>
          <w:color w:val="000000"/>
          <w:szCs w:val="22"/>
        </w:rPr>
        <w:t xml:space="preserve"> dienā. Visi pacienti sasniedza </w:t>
      </w:r>
      <w:r w:rsidRPr="00CD729C">
        <w:rPr>
          <w:rFonts w:eastAsia="MS Mincho"/>
          <w:color w:val="000000"/>
          <w:lang w:eastAsia="ja-JP"/>
        </w:rPr>
        <w:t>hematoloģisku, citoģenētisku un/vai klīnisku atbildes reakciju.</w:t>
      </w:r>
    </w:p>
    <w:p w14:paraId="3D394D67" w14:textId="77777777" w:rsidR="009E01F8" w:rsidRPr="00CD729C" w:rsidRDefault="009E01F8" w:rsidP="009B4BB6">
      <w:pPr>
        <w:widowControl w:val="0"/>
        <w:spacing w:line="240" w:lineRule="auto"/>
      </w:pPr>
    </w:p>
    <w:p w14:paraId="3D394D68" w14:textId="77777777" w:rsidR="009E01F8" w:rsidRPr="00CD729C" w:rsidRDefault="009E01F8" w:rsidP="009B4BB6">
      <w:pPr>
        <w:pStyle w:val="EndnoteText"/>
        <w:keepNext/>
        <w:widowControl w:val="0"/>
        <w:rPr>
          <w:color w:val="000000"/>
          <w:szCs w:val="22"/>
          <w:u w:val="single"/>
        </w:rPr>
      </w:pPr>
      <w:r w:rsidRPr="00CD729C">
        <w:rPr>
          <w:color w:val="000000"/>
          <w:szCs w:val="22"/>
          <w:u w:val="single"/>
        </w:rPr>
        <w:t>HES/CEL klīniskie pētījumi</w:t>
      </w:r>
    </w:p>
    <w:p w14:paraId="3D394D69" w14:textId="77777777" w:rsidR="009E01F8" w:rsidRPr="00CD729C" w:rsidRDefault="009E01F8" w:rsidP="009B4BB6">
      <w:pPr>
        <w:widowControl w:val="0"/>
        <w:spacing w:line="240" w:lineRule="auto"/>
        <w:rPr>
          <w:rFonts w:eastAsia="MS Mincho"/>
          <w:color w:val="000000"/>
          <w:szCs w:val="22"/>
          <w:lang w:eastAsia="ja-JP"/>
        </w:rPr>
      </w:pPr>
      <w:r w:rsidRPr="00CD729C">
        <w:rPr>
          <w:rFonts w:eastAsia="MS Mincho"/>
          <w:color w:val="000000"/>
          <w:szCs w:val="22"/>
          <w:lang w:eastAsia="ja-JP"/>
        </w:rPr>
        <w:t xml:space="preserve">Tika veikts viens atklāts, daudzcentru, II fāzes klīniskais pētījums (pētījums B2225) </w:t>
      </w:r>
      <w:r w:rsidRPr="00CD729C">
        <w:rPr>
          <w:color w:val="000000"/>
          <w:szCs w:val="22"/>
        </w:rPr>
        <w:t>Glivec novērtēšanai dažādām pacientu grupām</w:t>
      </w:r>
      <w:r w:rsidRPr="00CD729C">
        <w:rPr>
          <w:rFonts w:eastAsia="MS Mincho"/>
          <w:color w:val="000000"/>
          <w:szCs w:val="22"/>
          <w:lang w:eastAsia="ja-JP"/>
        </w:rPr>
        <w:t xml:space="preserve">, </w:t>
      </w:r>
      <w:r w:rsidRPr="00CD729C">
        <w:rPr>
          <w:color w:val="000000"/>
          <w:szCs w:val="22"/>
        </w:rPr>
        <w:t xml:space="preserve">kurās iekļauti pacienti, kas </w:t>
      </w:r>
      <w:r w:rsidRPr="00CD729C">
        <w:rPr>
          <w:rFonts w:eastAsia="MS Mincho"/>
          <w:color w:val="000000"/>
          <w:szCs w:val="22"/>
          <w:lang w:eastAsia="ja-JP"/>
        </w:rPr>
        <w:t xml:space="preserve">slimo ar dzīvībai bīstamām slimībām, kas saistītas ar Abl, Kit vai PDGFR proteīnu tirozīnkināzēm. Šajā pētījumā </w:t>
      </w:r>
      <w:r w:rsidRPr="00CD729C">
        <w:rPr>
          <w:color w:val="000000"/>
          <w:szCs w:val="22"/>
        </w:rPr>
        <w:t>14 pacienti ar HES/CEL tika ārstēti ar 100</w:t>
      </w:r>
      <w:r w:rsidRPr="00CD729C">
        <w:rPr>
          <w:color w:val="000000"/>
          <w:szCs w:val="22"/>
        </w:rPr>
        <w:noBreakHyphen/>
        <w:t>1 000 mg Glivec dienā. Vēl par 162 pacientiem ar HES/CEL ziņots 35 publicētos gadījuma ziņojumos un ziņojumu sērijās. Šie pacienti saņēma Glivec pa 75</w:t>
      </w:r>
      <w:r w:rsidRPr="00CD729C">
        <w:rPr>
          <w:color w:val="000000"/>
          <w:szCs w:val="22"/>
        </w:rPr>
        <w:noBreakHyphen/>
        <w:t>800 mg dienā. Citoģenētiskas patoloģijas novērtēja 117 pacientiem no kopējās 176 pacientu grupas. 61 no šiem 117 pacientiem konstatēja FIP1L1-PDGFR</w:t>
      </w:r>
      <w:r w:rsidRPr="00CD729C">
        <w:rPr>
          <w:color w:val="000000"/>
          <w:szCs w:val="22"/>
        </w:rPr>
        <w:sym w:font="Symbol" w:char="F061"/>
      </w:r>
      <w:r w:rsidRPr="00CD729C">
        <w:rPr>
          <w:color w:val="000000"/>
          <w:szCs w:val="22"/>
        </w:rPr>
        <w:t xml:space="preserve"> saplūšanas kināzi. Bez tam 3 citās publikācijās tika minēti četri HES pacienti ar pozitīvu FIP1L1-PDGFRα. Visi 65 pacienti ar pozitīvu FIP1L1-PDGFRα saplūšanas kināzi CHR, kas saglabājās vairākus mēnešus (laika posmā to 1+ līdz 44+ mēnešiem vadoties pēc ziņojumu saņemšanas brīža). Kā minēts nesen veiktajās publikācijās 21 no šiem 65 pacientiem sasniedza arī pilnīgu molekulāro remisiju ar vidējo ilgumu 28 mēneši (13</w:t>
      </w:r>
      <w:r w:rsidRPr="00CD729C">
        <w:rPr>
          <w:color w:val="000000"/>
          <w:szCs w:val="22"/>
        </w:rPr>
        <w:noBreakHyphen/>
        <w:t xml:space="preserve">67 mēnešu laika posmā). </w:t>
      </w:r>
      <w:r w:rsidRPr="00CD729C">
        <w:rPr>
          <w:rFonts w:eastAsia="MS Mincho"/>
          <w:color w:val="000000"/>
          <w:lang w:eastAsia="ja-JP"/>
        </w:rPr>
        <w:t xml:space="preserve">Šo pacientu vecums svārstījās no 25 līdz 72 gadiem. </w:t>
      </w:r>
      <w:r w:rsidRPr="00CD729C">
        <w:rPr>
          <w:color w:val="000000"/>
          <w:szCs w:val="22"/>
        </w:rPr>
        <w:t>Turklāt gadījumu aprakstos pētnieki ziņoja par simptomu un citu orgānu patoloģiju uzlabošanos. Uzlabošanās tika novērota sirds, nervu, ādas/zemādas audu, elpošanas/krūšu kurvja/videnes, muskuļu un skeleta/saistaudu/asinsvadu un gastrointestinālo orgānu sistēmās.</w:t>
      </w:r>
    </w:p>
    <w:p w14:paraId="3D394D6A" w14:textId="77777777" w:rsidR="009E01F8" w:rsidRPr="00CD729C" w:rsidRDefault="009E01F8" w:rsidP="009B4BB6">
      <w:pPr>
        <w:widowControl w:val="0"/>
        <w:spacing w:line="240" w:lineRule="auto"/>
        <w:rPr>
          <w:color w:val="000000"/>
          <w:szCs w:val="22"/>
        </w:rPr>
      </w:pPr>
    </w:p>
    <w:p w14:paraId="3D394D6B"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Kontrolēti klīniskie pētījumi pediatrijas pacientiem ar HES/CEL nav veikti. 3 publikācijās ziņots par trim (3) pacientiem</w:t>
      </w:r>
      <w:r w:rsidRPr="00CD729C">
        <w:rPr>
          <w:rFonts w:eastAsia="MS Mincho"/>
          <w:color w:val="000000"/>
          <w:lang w:eastAsia="ja-JP"/>
        </w:rPr>
        <w:t xml:space="preserve"> ar </w:t>
      </w:r>
      <w:r w:rsidRPr="00CD729C">
        <w:rPr>
          <w:color w:val="000000"/>
          <w:szCs w:val="22"/>
        </w:rPr>
        <w:t xml:space="preserve">HES un CEL, kas saistīta ar </w:t>
      </w:r>
      <w:r w:rsidRPr="00CD729C">
        <w:rPr>
          <w:rFonts w:eastAsia="MS Mincho"/>
          <w:color w:val="000000"/>
          <w:lang w:eastAsia="ja-JP"/>
        </w:rPr>
        <w:t xml:space="preserve">PDGFR gēnu pārkārtošanos. Šo pacientu vecums bija robežās no 2 līdz 16 gadiem, un izmantotā imatiniba deva bija </w:t>
      </w:r>
      <w:r w:rsidRPr="00CD729C">
        <w:rPr>
          <w:color w:val="000000"/>
          <w:szCs w:val="22"/>
        </w:rPr>
        <w:t>300 mg/m</w:t>
      </w:r>
      <w:r w:rsidRPr="00CD729C">
        <w:rPr>
          <w:color w:val="000000"/>
          <w:szCs w:val="22"/>
          <w:vertAlign w:val="superscript"/>
        </w:rPr>
        <w:t>2</w:t>
      </w:r>
      <w:r w:rsidRPr="00CD729C">
        <w:rPr>
          <w:color w:val="000000"/>
          <w:szCs w:val="22"/>
        </w:rPr>
        <w:t xml:space="preserve"> dienā vai </w:t>
      </w:r>
      <w:r w:rsidRPr="00CD729C">
        <w:rPr>
          <w:rFonts w:eastAsia="MS Mincho"/>
          <w:color w:val="000000"/>
          <w:lang w:eastAsia="ja-JP"/>
        </w:rPr>
        <w:t xml:space="preserve">robežās no </w:t>
      </w:r>
      <w:r w:rsidRPr="00CD729C">
        <w:rPr>
          <w:color w:val="000000"/>
          <w:szCs w:val="22"/>
        </w:rPr>
        <w:t xml:space="preserve">200 līdz 400 mg dienā. Visi pacienti sasniedza pilnīgu </w:t>
      </w:r>
      <w:r w:rsidRPr="00CD729C">
        <w:rPr>
          <w:rFonts w:eastAsia="MS Mincho"/>
          <w:color w:val="000000"/>
          <w:lang w:eastAsia="ja-JP"/>
        </w:rPr>
        <w:t>hematoloģisku, pilnīgu citoģenētisku un/vai pilnīgu molekulāru atbildes reakciju.</w:t>
      </w:r>
    </w:p>
    <w:p w14:paraId="3D394D6C" w14:textId="77777777" w:rsidR="009E01F8" w:rsidRPr="00CD729C" w:rsidRDefault="009E01F8" w:rsidP="009B4BB6">
      <w:pPr>
        <w:widowControl w:val="0"/>
        <w:spacing w:line="240" w:lineRule="auto"/>
        <w:rPr>
          <w:color w:val="000000"/>
          <w:szCs w:val="22"/>
        </w:rPr>
      </w:pPr>
    </w:p>
    <w:p w14:paraId="3D394D6D" w14:textId="77777777" w:rsidR="009E01F8" w:rsidRPr="00CD729C" w:rsidRDefault="009E01F8" w:rsidP="009B4BB6">
      <w:pPr>
        <w:keepNext/>
        <w:widowControl w:val="0"/>
        <w:tabs>
          <w:tab w:val="clear" w:pos="567"/>
        </w:tabs>
        <w:spacing w:line="240" w:lineRule="auto"/>
        <w:rPr>
          <w:color w:val="000000"/>
          <w:szCs w:val="22"/>
          <w:u w:val="single"/>
        </w:rPr>
      </w:pPr>
      <w:r w:rsidRPr="00CD729C">
        <w:rPr>
          <w:color w:val="000000"/>
          <w:szCs w:val="22"/>
          <w:u w:val="single"/>
        </w:rPr>
        <w:t>Nerezecējama un/vai metastazējoša GIST klīniskie pētījumi</w:t>
      </w:r>
    </w:p>
    <w:p w14:paraId="3D394D6E" w14:textId="77777777" w:rsidR="009E01F8" w:rsidRPr="00CD729C" w:rsidRDefault="009E01F8" w:rsidP="009B4BB6">
      <w:pPr>
        <w:widowControl w:val="0"/>
        <w:spacing w:line="240" w:lineRule="auto"/>
        <w:rPr>
          <w:color w:val="000000"/>
          <w:szCs w:val="22"/>
        </w:rPr>
      </w:pPr>
      <w:r w:rsidRPr="00CD729C">
        <w:rPr>
          <w:color w:val="000000"/>
          <w:szCs w:val="22"/>
        </w:rPr>
        <w:t>Ar pacientiem ar nerezecējamu vai metastazējušu ļaundabīgu kuņģa – zarnu trakta stromas audzēju GIST) ir veikts viens starptautisks II fāzes atklāts randomizēts, nekontrolēts pētījums. Šajā pētījumā tika iekļauti 147 pacienti, kas randomizēti līdz pat 36 mēnešus ilgi saņēma 400 vai 600 mg preparāta (perorāli, reizi dienā). Šo pacientu vecums bija robežās no 18 līdz 83 gadiem un patoloģija tika diagnosticēta kā Kit pozitīva GIST, kas nav rezecējama un/vai ir metastazējusi. Imunohistoķīmiskās analīzes tika veiktas pēc parastās metodes, izmantojot Kit antivielas (A-4502, trušu poliklonālais antiserums, 1:100, DAKO korporācija, Carpinteria, Kalifornija), atbilstoši analīzēm ar avidīna – biotīna – peroksidāzes kompleksa metodi, pēc antigēna atgūšanas.</w:t>
      </w:r>
    </w:p>
    <w:p w14:paraId="3D394D6F" w14:textId="77777777" w:rsidR="009E01F8" w:rsidRPr="00CD729C" w:rsidRDefault="009E01F8" w:rsidP="009B4BB6">
      <w:pPr>
        <w:widowControl w:val="0"/>
        <w:spacing w:line="240" w:lineRule="auto"/>
        <w:rPr>
          <w:color w:val="000000"/>
          <w:szCs w:val="22"/>
        </w:rPr>
      </w:pPr>
    </w:p>
    <w:p w14:paraId="3D394D70" w14:textId="77777777" w:rsidR="009E01F8" w:rsidRPr="00CD729C" w:rsidRDefault="009E01F8" w:rsidP="009B4BB6">
      <w:pPr>
        <w:widowControl w:val="0"/>
        <w:spacing w:line="240" w:lineRule="auto"/>
        <w:rPr>
          <w:color w:val="000000"/>
          <w:szCs w:val="22"/>
        </w:rPr>
      </w:pPr>
      <w:r w:rsidRPr="00CD729C">
        <w:rPr>
          <w:color w:val="000000"/>
          <w:szCs w:val="22"/>
        </w:rPr>
        <w:t>Primāros efektivitātes pierādījumus pamato objektīvā atbildes reakcijas pakāpe. Bija nepieciešams, lai vismaz vienā patoloģijas vietā audzējs būtu izmērāms. Atbildes reakciju vērtē pēc Dienvidrietumu Onkoloģijas (pētniecības) Grupas (</w:t>
      </w:r>
      <w:r w:rsidRPr="00CD729C">
        <w:rPr>
          <w:i/>
          <w:color w:val="000000"/>
          <w:szCs w:val="22"/>
        </w:rPr>
        <w:t>Southwestern Oncology Group</w:t>
      </w:r>
      <w:r w:rsidRPr="00CD729C">
        <w:rPr>
          <w:color w:val="000000"/>
          <w:szCs w:val="22"/>
        </w:rPr>
        <w:t xml:space="preserve"> - SWOG) kritērijiem. Iegūtie rezultāti ir apkopoti tabulā Nr. </w:t>
      </w:r>
      <w:r w:rsidR="00E72001" w:rsidRPr="00CD729C">
        <w:rPr>
          <w:color w:val="000000"/>
          <w:szCs w:val="22"/>
        </w:rPr>
        <w:t>6</w:t>
      </w:r>
      <w:r w:rsidRPr="00CD729C">
        <w:rPr>
          <w:color w:val="000000"/>
          <w:szCs w:val="22"/>
        </w:rPr>
        <w:t>.</w:t>
      </w:r>
    </w:p>
    <w:p w14:paraId="3D394D71" w14:textId="77777777" w:rsidR="009E01F8" w:rsidRPr="00CD729C" w:rsidRDefault="009E01F8" w:rsidP="009B4BB6">
      <w:pPr>
        <w:widowControl w:val="0"/>
        <w:spacing w:line="240" w:lineRule="auto"/>
        <w:rPr>
          <w:color w:val="000000"/>
          <w:szCs w:val="22"/>
        </w:rPr>
      </w:pPr>
    </w:p>
    <w:p w14:paraId="3D394D72" w14:textId="77777777" w:rsidR="009E01F8" w:rsidRPr="00CD729C" w:rsidRDefault="009E01F8" w:rsidP="009B4BB6">
      <w:pPr>
        <w:keepNext/>
        <w:keepLines/>
        <w:widowControl w:val="0"/>
        <w:tabs>
          <w:tab w:val="clear" w:pos="567"/>
          <w:tab w:val="left" w:pos="1701"/>
        </w:tabs>
        <w:spacing w:line="240" w:lineRule="auto"/>
        <w:rPr>
          <w:b/>
          <w:color w:val="000000"/>
          <w:szCs w:val="22"/>
        </w:rPr>
      </w:pPr>
      <w:r w:rsidRPr="00CD729C">
        <w:rPr>
          <w:b/>
          <w:color w:val="000000"/>
          <w:szCs w:val="22"/>
        </w:rPr>
        <w:t>Tabulā Nr. </w:t>
      </w:r>
      <w:r w:rsidR="00E72001" w:rsidRPr="00CD729C">
        <w:rPr>
          <w:b/>
          <w:color w:val="000000"/>
          <w:szCs w:val="22"/>
        </w:rPr>
        <w:t>6</w:t>
      </w:r>
      <w:r w:rsidRPr="00CD729C">
        <w:rPr>
          <w:b/>
          <w:color w:val="000000"/>
          <w:szCs w:val="22"/>
        </w:rPr>
        <w:tab/>
        <w:t>Labākā audzēja atbildes reakcija GIST pētījumā Nr. STIB2222</w:t>
      </w:r>
    </w:p>
    <w:p w14:paraId="3D394D73" w14:textId="77777777" w:rsidR="009E01F8" w:rsidRPr="00CD729C" w:rsidRDefault="009E01F8" w:rsidP="009B4BB6">
      <w:pPr>
        <w:keepNext/>
        <w:keepLines/>
        <w:widowControl w:val="0"/>
        <w:spacing w:line="240" w:lineRule="auto"/>
        <w:rPr>
          <w:color w:val="000000"/>
          <w:szCs w:val="22"/>
        </w:rPr>
      </w:pPr>
    </w:p>
    <w:tbl>
      <w:tblPr>
        <w:tblW w:w="0" w:type="auto"/>
        <w:tblLayout w:type="fixed"/>
        <w:tblLook w:val="0000" w:firstRow="0" w:lastRow="0" w:firstColumn="0" w:lastColumn="0" w:noHBand="0" w:noVBand="0"/>
      </w:tblPr>
      <w:tblGrid>
        <w:gridCol w:w="4643"/>
        <w:gridCol w:w="4643"/>
      </w:tblGrid>
      <w:tr w:rsidR="009E01F8" w:rsidRPr="00CD729C" w14:paraId="3D394D76" w14:textId="77777777" w:rsidTr="00E36D64">
        <w:trPr>
          <w:cantSplit/>
        </w:trPr>
        <w:tc>
          <w:tcPr>
            <w:tcW w:w="4643" w:type="dxa"/>
            <w:tcBorders>
              <w:top w:val="single" w:sz="4" w:space="0" w:color="auto"/>
            </w:tcBorders>
          </w:tcPr>
          <w:p w14:paraId="3D394D74" w14:textId="77777777" w:rsidR="009E01F8" w:rsidRPr="00CD729C" w:rsidRDefault="009E01F8" w:rsidP="009B4BB6">
            <w:pPr>
              <w:keepNext/>
              <w:keepLines/>
              <w:widowControl w:val="0"/>
              <w:spacing w:line="240" w:lineRule="auto"/>
              <w:rPr>
                <w:color w:val="000000"/>
                <w:szCs w:val="22"/>
              </w:rPr>
            </w:pPr>
          </w:p>
        </w:tc>
        <w:tc>
          <w:tcPr>
            <w:tcW w:w="4643" w:type="dxa"/>
            <w:tcBorders>
              <w:top w:val="single" w:sz="4" w:space="0" w:color="auto"/>
            </w:tcBorders>
          </w:tcPr>
          <w:p w14:paraId="3D394D75"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Visi devu lielumi (n = 147)</w:t>
            </w:r>
          </w:p>
        </w:tc>
      </w:tr>
      <w:tr w:rsidR="009E01F8" w:rsidRPr="00CD729C" w14:paraId="3D394D79" w14:textId="77777777" w:rsidTr="00E36D64">
        <w:trPr>
          <w:cantSplit/>
        </w:trPr>
        <w:tc>
          <w:tcPr>
            <w:tcW w:w="4643" w:type="dxa"/>
          </w:tcPr>
          <w:p w14:paraId="3D394D77" w14:textId="77777777" w:rsidR="009E01F8" w:rsidRPr="00CD729C" w:rsidRDefault="009E01F8" w:rsidP="009B4BB6">
            <w:pPr>
              <w:keepNext/>
              <w:keepLines/>
              <w:widowControl w:val="0"/>
              <w:spacing w:line="240" w:lineRule="auto"/>
              <w:rPr>
                <w:color w:val="000000"/>
                <w:szCs w:val="22"/>
              </w:rPr>
            </w:pPr>
          </w:p>
        </w:tc>
        <w:tc>
          <w:tcPr>
            <w:tcW w:w="4643" w:type="dxa"/>
          </w:tcPr>
          <w:p w14:paraId="3D394D78"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400 mg (n = 73)</w:t>
            </w:r>
          </w:p>
        </w:tc>
      </w:tr>
      <w:tr w:rsidR="009E01F8" w:rsidRPr="00CD729C" w14:paraId="3D394D7C" w14:textId="77777777" w:rsidTr="00E36D64">
        <w:trPr>
          <w:cantSplit/>
        </w:trPr>
        <w:tc>
          <w:tcPr>
            <w:tcW w:w="4643" w:type="dxa"/>
          </w:tcPr>
          <w:p w14:paraId="3D394D7A" w14:textId="77777777" w:rsidR="009E01F8" w:rsidRPr="00CD729C" w:rsidRDefault="009E01F8" w:rsidP="009B4BB6">
            <w:pPr>
              <w:keepNext/>
              <w:keepLines/>
              <w:widowControl w:val="0"/>
              <w:spacing w:line="240" w:lineRule="auto"/>
              <w:rPr>
                <w:color w:val="000000"/>
                <w:szCs w:val="22"/>
              </w:rPr>
            </w:pPr>
          </w:p>
        </w:tc>
        <w:tc>
          <w:tcPr>
            <w:tcW w:w="4643" w:type="dxa"/>
          </w:tcPr>
          <w:p w14:paraId="3D394D7B"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600 mg (n = 74)</w:t>
            </w:r>
          </w:p>
        </w:tc>
      </w:tr>
      <w:tr w:rsidR="009E01F8" w:rsidRPr="00CD729C" w14:paraId="3D394D7F" w14:textId="77777777" w:rsidTr="00E36D64">
        <w:trPr>
          <w:cantSplit/>
        </w:trPr>
        <w:tc>
          <w:tcPr>
            <w:tcW w:w="4643" w:type="dxa"/>
            <w:tcBorders>
              <w:bottom w:val="single" w:sz="4" w:space="0" w:color="auto"/>
            </w:tcBorders>
          </w:tcPr>
          <w:p w14:paraId="3D394D7D" w14:textId="77777777" w:rsidR="009E01F8" w:rsidRPr="00CD729C" w:rsidRDefault="009E01F8" w:rsidP="009B4BB6">
            <w:pPr>
              <w:keepNext/>
              <w:keepLines/>
              <w:widowControl w:val="0"/>
              <w:spacing w:line="240" w:lineRule="auto"/>
              <w:rPr>
                <w:color w:val="000000"/>
                <w:szCs w:val="22"/>
              </w:rPr>
            </w:pPr>
            <w:r w:rsidRPr="00CD729C">
              <w:rPr>
                <w:color w:val="000000"/>
                <w:szCs w:val="22"/>
              </w:rPr>
              <w:t>Labākā atbildes reakcija</w:t>
            </w:r>
          </w:p>
        </w:tc>
        <w:tc>
          <w:tcPr>
            <w:tcW w:w="4643" w:type="dxa"/>
            <w:tcBorders>
              <w:bottom w:val="single" w:sz="4" w:space="0" w:color="auto"/>
            </w:tcBorders>
          </w:tcPr>
          <w:p w14:paraId="3D394D7E"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n (%)</w:t>
            </w:r>
          </w:p>
        </w:tc>
      </w:tr>
      <w:tr w:rsidR="009E01F8" w:rsidRPr="00CD729C" w14:paraId="3D394D82" w14:textId="77777777" w:rsidTr="00E36D64">
        <w:trPr>
          <w:cantSplit/>
        </w:trPr>
        <w:tc>
          <w:tcPr>
            <w:tcW w:w="4643" w:type="dxa"/>
          </w:tcPr>
          <w:p w14:paraId="3D394D80" w14:textId="77777777" w:rsidR="009E01F8" w:rsidRPr="00CD729C" w:rsidRDefault="009E01F8" w:rsidP="009B4BB6">
            <w:pPr>
              <w:keepNext/>
              <w:keepLines/>
              <w:widowControl w:val="0"/>
              <w:spacing w:line="240" w:lineRule="auto"/>
              <w:rPr>
                <w:color w:val="000000"/>
                <w:szCs w:val="22"/>
              </w:rPr>
            </w:pPr>
            <w:r w:rsidRPr="00CD729C">
              <w:rPr>
                <w:color w:val="000000"/>
                <w:szCs w:val="22"/>
              </w:rPr>
              <w:t>Pilnīga atbildes reakcija</w:t>
            </w:r>
          </w:p>
        </w:tc>
        <w:tc>
          <w:tcPr>
            <w:tcW w:w="4643" w:type="dxa"/>
          </w:tcPr>
          <w:p w14:paraId="3D394D81"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1 (0,7)</w:t>
            </w:r>
          </w:p>
        </w:tc>
      </w:tr>
      <w:tr w:rsidR="009E01F8" w:rsidRPr="00CD729C" w14:paraId="3D394D85" w14:textId="77777777" w:rsidTr="00E36D64">
        <w:trPr>
          <w:cantSplit/>
        </w:trPr>
        <w:tc>
          <w:tcPr>
            <w:tcW w:w="4643" w:type="dxa"/>
          </w:tcPr>
          <w:p w14:paraId="3D394D83" w14:textId="77777777" w:rsidR="009E01F8" w:rsidRPr="00CD729C" w:rsidRDefault="009E01F8" w:rsidP="009B4BB6">
            <w:pPr>
              <w:keepNext/>
              <w:keepLines/>
              <w:widowControl w:val="0"/>
              <w:spacing w:line="240" w:lineRule="auto"/>
              <w:rPr>
                <w:color w:val="000000"/>
                <w:szCs w:val="22"/>
              </w:rPr>
            </w:pPr>
            <w:r w:rsidRPr="00CD729C">
              <w:rPr>
                <w:color w:val="000000"/>
                <w:szCs w:val="22"/>
              </w:rPr>
              <w:t>Daļēja atbildes reakcija</w:t>
            </w:r>
          </w:p>
        </w:tc>
        <w:tc>
          <w:tcPr>
            <w:tcW w:w="4643" w:type="dxa"/>
          </w:tcPr>
          <w:p w14:paraId="3D394D84"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98 (66,7)</w:t>
            </w:r>
          </w:p>
        </w:tc>
      </w:tr>
      <w:tr w:rsidR="009E01F8" w:rsidRPr="00CD729C" w14:paraId="3D394D88" w14:textId="77777777" w:rsidTr="00E36D64">
        <w:trPr>
          <w:cantSplit/>
        </w:trPr>
        <w:tc>
          <w:tcPr>
            <w:tcW w:w="4643" w:type="dxa"/>
          </w:tcPr>
          <w:p w14:paraId="3D394D86" w14:textId="77777777" w:rsidR="009E01F8" w:rsidRPr="00CD729C" w:rsidRDefault="009E01F8" w:rsidP="009B4BB6">
            <w:pPr>
              <w:keepNext/>
              <w:keepLines/>
              <w:widowControl w:val="0"/>
              <w:spacing w:line="240" w:lineRule="auto"/>
              <w:rPr>
                <w:color w:val="000000"/>
                <w:szCs w:val="22"/>
              </w:rPr>
            </w:pPr>
            <w:r w:rsidRPr="00CD729C">
              <w:rPr>
                <w:color w:val="000000"/>
                <w:szCs w:val="22"/>
              </w:rPr>
              <w:t>Slimības (stāvokļa) stabilizācija</w:t>
            </w:r>
          </w:p>
        </w:tc>
        <w:tc>
          <w:tcPr>
            <w:tcW w:w="4643" w:type="dxa"/>
          </w:tcPr>
          <w:p w14:paraId="3D394D87"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23 (15,6)</w:t>
            </w:r>
          </w:p>
        </w:tc>
      </w:tr>
      <w:tr w:rsidR="009E01F8" w:rsidRPr="00CD729C" w14:paraId="3D394D8B" w14:textId="77777777" w:rsidTr="00E36D64">
        <w:trPr>
          <w:cantSplit/>
        </w:trPr>
        <w:tc>
          <w:tcPr>
            <w:tcW w:w="4643" w:type="dxa"/>
          </w:tcPr>
          <w:p w14:paraId="3D394D89" w14:textId="77777777" w:rsidR="009E01F8" w:rsidRPr="00CD729C" w:rsidRDefault="009E01F8" w:rsidP="009B4BB6">
            <w:pPr>
              <w:keepNext/>
              <w:keepLines/>
              <w:widowControl w:val="0"/>
              <w:spacing w:line="240" w:lineRule="auto"/>
              <w:rPr>
                <w:color w:val="000000"/>
                <w:szCs w:val="22"/>
              </w:rPr>
            </w:pPr>
            <w:r w:rsidRPr="00CD729C">
              <w:rPr>
                <w:color w:val="000000"/>
                <w:szCs w:val="22"/>
              </w:rPr>
              <w:t>Slimības (stāvokļa) progresija</w:t>
            </w:r>
          </w:p>
        </w:tc>
        <w:tc>
          <w:tcPr>
            <w:tcW w:w="4643" w:type="dxa"/>
          </w:tcPr>
          <w:p w14:paraId="3D394D8A"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18 (12,2)</w:t>
            </w:r>
          </w:p>
        </w:tc>
      </w:tr>
      <w:tr w:rsidR="009E01F8" w:rsidRPr="00CD729C" w14:paraId="3D394D8E" w14:textId="77777777" w:rsidTr="00E36D64">
        <w:trPr>
          <w:cantSplit/>
        </w:trPr>
        <w:tc>
          <w:tcPr>
            <w:tcW w:w="4643" w:type="dxa"/>
          </w:tcPr>
          <w:p w14:paraId="3D394D8C" w14:textId="77777777" w:rsidR="009E01F8" w:rsidRPr="00CD729C" w:rsidRDefault="009E01F8" w:rsidP="009B4BB6">
            <w:pPr>
              <w:keepNext/>
              <w:keepLines/>
              <w:widowControl w:val="0"/>
              <w:spacing w:line="240" w:lineRule="auto"/>
              <w:rPr>
                <w:color w:val="000000"/>
                <w:szCs w:val="22"/>
              </w:rPr>
            </w:pPr>
            <w:r w:rsidRPr="00CD729C">
              <w:rPr>
                <w:color w:val="000000"/>
                <w:szCs w:val="22"/>
              </w:rPr>
              <w:t>Nav vērtējams</w:t>
            </w:r>
          </w:p>
        </w:tc>
        <w:tc>
          <w:tcPr>
            <w:tcW w:w="4643" w:type="dxa"/>
          </w:tcPr>
          <w:p w14:paraId="3D394D8D"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5 (3,4)</w:t>
            </w:r>
          </w:p>
        </w:tc>
      </w:tr>
      <w:tr w:rsidR="009E01F8" w:rsidRPr="00CD729C" w14:paraId="3D394D91" w14:textId="77777777" w:rsidTr="00E36D64">
        <w:trPr>
          <w:cantSplit/>
        </w:trPr>
        <w:tc>
          <w:tcPr>
            <w:tcW w:w="4643" w:type="dxa"/>
            <w:tcBorders>
              <w:bottom w:val="single" w:sz="4" w:space="0" w:color="auto"/>
            </w:tcBorders>
          </w:tcPr>
          <w:p w14:paraId="3D394D8F" w14:textId="77777777" w:rsidR="009E01F8" w:rsidRPr="00CD729C" w:rsidRDefault="009E01F8" w:rsidP="009B4BB6">
            <w:pPr>
              <w:keepNext/>
              <w:keepLines/>
              <w:widowControl w:val="0"/>
              <w:spacing w:line="240" w:lineRule="auto"/>
              <w:rPr>
                <w:color w:val="000000"/>
                <w:szCs w:val="22"/>
              </w:rPr>
            </w:pPr>
            <w:r w:rsidRPr="00CD729C">
              <w:rPr>
                <w:color w:val="000000"/>
                <w:szCs w:val="22"/>
              </w:rPr>
              <w:t>Nav zināms</w:t>
            </w:r>
          </w:p>
        </w:tc>
        <w:tc>
          <w:tcPr>
            <w:tcW w:w="4643" w:type="dxa"/>
            <w:tcBorders>
              <w:bottom w:val="single" w:sz="4" w:space="0" w:color="auto"/>
            </w:tcBorders>
          </w:tcPr>
          <w:p w14:paraId="3D394D90" w14:textId="77777777" w:rsidR="009E01F8" w:rsidRPr="00CD729C" w:rsidRDefault="009E01F8" w:rsidP="009B4BB6">
            <w:pPr>
              <w:keepNext/>
              <w:keepLines/>
              <w:widowControl w:val="0"/>
              <w:spacing w:line="240" w:lineRule="auto"/>
              <w:jc w:val="center"/>
              <w:rPr>
                <w:color w:val="000000"/>
                <w:szCs w:val="22"/>
              </w:rPr>
            </w:pPr>
            <w:r w:rsidRPr="00CD729C">
              <w:rPr>
                <w:color w:val="000000"/>
                <w:szCs w:val="22"/>
              </w:rPr>
              <w:t>2 (1,4)</w:t>
            </w:r>
          </w:p>
        </w:tc>
      </w:tr>
    </w:tbl>
    <w:p w14:paraId="3D394D92" w14:textId="77777777" w:rsidR="009E01F8" w:rsidRPr="00CD729C" w:rsidRDefault="009E01F8" w:rsidP="009B4BB6">
      <w:pPr>
        <w:widowControl w:val="0"/>
        <w:spacing w:line="240" w:lineRule="auto"/>
        <w:rPr>
          <w:color w:val="000000"/>
          <w:szCs w:val="22"/>
        </w:rPr>
      </w:pPr>
    </w:p>
    <w:p w14:paraId="3D394D93" w14:textId="77777777" w:rsidR="009E01F8" w:rsidRPr="00CD729C" w:rsidRDefault="009E01F8" w:rsidP="009B4BB6">
      <w:pPr>
        <w:widowControl w:val="0"/>
        <w:spacing w:line="240" w:lineRule="auto"/>
        <w:rPr>
          <w:color w:val="000000"/>
          <w:szCs w:val="22"/>
        </w:rPr>
      </w:pPr>
      <w:r w:rsidRPr="00CD729C">
        <w:rPr>
          <w:color w:val="000000"/>
          <w:szCs w:val="22"/>
        </w:rPr>
        <w:t>Abās devu grupās reakcijas pakāpes atšķirības nav novērotas. Nozīmīgs skaits pacientu, kam bija stabila slimība starpanalīzes laikā, sasniedza daļēju atbildreakciju, veicot ilgāku ārstēšanu (vidējais novērošanas ilgums 31 mēnesis). Vidējais laiks līdz atbildes reakcijai bija 13 nedēļas (95% TI 12–23). Vidējais laiks līdz terapijas neefektivitātei pacientiem ar atbildes reakciju bija 122 nedēļas (95% TI 106–147), bet kopējā pētījuma populācijā tas bija 84 nedēļas (95% TI 71–109). Vidējā kopējā dzīvildze netika sasniegta. Kaplāna-Meijera aprēķinātā dzīvildze pēc 36 mēnešus ilgas novērošanas ir 68%.</w:t>
      </w:r>
    </w:p>
    <w:p w14:paraId="3D394D94" w14:textId="77777777" w:rsidR="009E01F8" w:rsidRPr="00CD729C" w:rsidRDefault="009E01F8" w:rsidP="009B4BB6">
      <w:pPr>
        <w:widowControl w:val="0"/>
        <w:spacing w:line="240" w:lineRule="auto"/>
        <w:rPr>
          <w:color w:val="000000"/>
          <w:szCs w:val="22"/>
        </w:rPr>
      </w:pPr>
    </w:p>
    <w:p w14:paraId="3D394D95" w14:textId="77777777" w:rsidR="009E01F8" w:rsidRPr="00CD729C" w:rsidRDefault="009E01F8" w:rsidP="009B4BB6">
      <w:pPr>
        <w:widowControl w:val="0"/>
        <w:spacing w:line="240" w:lineRule="auto"/>
        <w:rPr>
          <w:color w:val="000000"/>
          <w:szCs w:val="22"/>
        </w:rPr>
      </w:pPr>
      <w:r w:rsidRPr="00CD729C">
        <w:rPr>
          <w:color w:val="000000"/>
          <w:szCs w:val="22"/>
        </w:rPr>
        <w:t>Divos klīniskajos pētījumos (B2222 pētījumā un S0033 starpgrupu pētījumā) Glivec dienas deva tika palielināta līdz 800 mg pacientiem, kam bija vērojama progresēšana, lietojot mazākas (400 mg vai 600 mg) dienas devas. Dienas deva līdz 800 mg tika palielināta kopumā 103 pacientiem; 6 pacienti sasniedza daļēju atbildes reakciju un 21 – slimības stabilizāciju pēc devas palielināšanas ar kopējo klīnisko ieguvumu 26%. Pieejamie droš</w:t>
      </w:r>
      <w:r w:rsidR="00743B0B">
        <w:rPr>
          <w:color w:val="000000"/>
          <w:szCs w:val="22"/>
        </w:rPr>
        <w:t>uma</w:t>
      </w:r>
      <w:r w:rsidRPr="00CD729C">
        <w:rPr>
          <w:color w:val="000000"/>
          <w:szCs w:val="22"/>
        </w:rPr>
        <w:t xml:space="preserve"> dati liecina, ka devas palielināšana līdz 800 mg dienā pacientiem, kam slimība progresē, lietojot mazākas (400 mg vai 600 mg) dienas devas, neietekmē Glivec droš</w:t>
      </w:r>
      <w:r w:rsidR="00743B0B">
        <w:rPr>
          <w:color w:val="000000"/>
          <w:szCs w:val="22"/>
        </w:rPr>
        <w:t>uma</w:t>
      </w:r>
      <w:r w:rsidRPr="00CD729C">
        <w:rPr>
          <w:color w:val="000000"/>
          <w:szCs w:val="22"/>
        </w:rPr>
        <w:t xml:space="preserve"> īpašības.</w:t>
      </w:r>
    </w:p>
    <w:p w14:paraId="3D394D96" w14:textId="77777777" w:rsidR="009E01F8" w:rsidRPr="00CD729C" w:rsidRDefault="009E01F8" w:rsidP="009B4BB6">
      <w:pPr>
        <w:widowControl w:val="0"/>
        <w:spacing w:line="240" w:lineRule="auto"/>
        <w:rPr>
          <w:color w:val="000000"/>
          <w:szCs w:val="22"/>
        </w:rPr>
      </w:pPr>
    </w:p>
    <w:p w14:paraId="3D394D97" w14:textId="77777777" w:rsidR="009E01F8" w:rsidRPr="00CD729C" w:rsidRDefault="009E01F8" w:rsidP="009B4BB6">
      <w:pPr>
        <w:keepNext/>
        <w:widowControl w:val="0"/>
        <w:spacing w:line="240" w:lineRule="auto"/>
        <w:rPr>
          <w:snapToGrid w:val="0"/>
          <w:color w:val="000000"/>
          <w:szCs w:val="22"/>
        </w:rPr>
      </w:pPr>
      <w:r w:rsidRPr="00CD729C">
        <w:rPr>
          <w:color w:val="000000"/>
          <w:szCs w:val="22"/>
          <w:u w:val="single"/>
        </w:rPr>
        <w:t>Adjuvanta GIST klīniskie pētījumi</w:t>
      </w:r>
    </w:p>
    <w:p w14:paraId="3D394D98" w14:textId="00BEAF72" w:rsidR="009E01F8" w:rsidRPr="00CD729C" w:rsidRDefault="009E01F8" w:rsidP="009B4BB6">
      <w:pPr>
        <w:pStyle w:val="Text"/>
        <w:widowControl w:val="0"/>
        <w:spacing w:before="0"/>
        <w:jc w:val="left"/>
        <w:rPr>
          <w:rFonts w:eastAsia="MS Mincho"/>
          <w:color w:val="000000"/>
          <w:sz w:val="22"/>
          <w:szCs w:val="22"/>
          <w:lang w:val="lv-LV" w:eastAsia="ja-JP"/>
        </w:rPr>
      </w:pPr>
      <w:r w:rsidRPr="00CD729C">
        <w:rPr>
          <w:rFonts w:eastAsia="MS Mincho"/>
          <w:color w:val="000000"/>
          <w:sz w:val="22"/>
          <w:szCs w:val="22"/>
          <w:lang w:val="lv-LV" w:eastAsia="ja-JP"/>
        </w:rPr>
        <w:t xml:space="preserve">Glivec adjuvanta lietošana pētīta daudzcentru, dubultmaskētā, ilgstošā, placebo kontrolētā III fāzes pētījumā (Z9001), kurā piedalījās 773 pacienti. Šo pacientu vecums svārstījās no 18 līdz 91 gadiem. Pētījumā iekļāva pacientus ar primāra GIST histoloģisko diagnozi </w:t>
      </w:r>
      <w:r w:rsidR="00C23AAA">
        <w:rPr>
          <w:rFonts w:eastAsia="MS Mincho"/>
          <w:color w:val="000000"/>
          <w:sz w:val="22"/>
          <w:szCs w:val="22"/>
          <w:lang w:val="lv-LV" w:eastAsia="ja-JP"/>
        </w:rPr>
        <w:t>ar</w:t>
      </w:r>
      <w:r w:rsidR="00C23AAA" w:rsidRPr="00CD729C">
        <w:rPr>
          <w:rFonts w:eastAsia="MS Mincho"/>
          <w:color w:val="000000"/>
          <w:sz w:val="22"/>
          <w:szCs w:val="22"/>
          <w:lang w:val="lv-LV" w:eastAsia="ja-JP"/>
        </w:rPr>
        <w:t xml:space="preserve"> </w:t>
      </w:r>
      <w:r w:rsidRPr="00CD729C">
        <w:rPr>
          <w:rFonts w:eastAsia="MS Mincho"/>
          <w:color w:val="000000"/>
          <w:sz w:val="22"/>
          <w:szCs w:val="22"/>
          <w:lang w:val="lv-LV" w:eastAsia="ja-JP"/>
        </w:rPr>
        <w:t xml:space="preserve">Kit proteīna </w:t>
      </w:r>
      <w:r w:rsidR="00C23AAA">
        <w:rPr>
          <w:rFonts w:eastAsia="MS Mincho"/>
          <w:color w:val="000000"/>
          <w:sz w:val="22"/>
          <w:szCs w:val="22"/>
          <w:lang w:val="lv-LV" w:eastAsia="ja-JP"/>
        </w:rPr>
        <w:t xml:space="preserve">ekspresiju atbilstoši </w:t>
      </w:r>
      <w:r w:rsidRPr="00CD729C">
        <w:rPr>
          <w:rFonts w:eastAsia="MS Mincho"/>
          <w:color w:val="000000"/>
          <w:sz w:val="22"/>
          <w:szCs w:val="22"/>
          <w:lang w:val="lv-LV" w:eastAsia="ja-JP"/>
        </w:rPr>
        <w:t>imunoķīmijas datiem un audzēja maksimālo lielumu ≥3 cm, un pilnīgu primārā GIST rezekciju 14</w:t>
      </w:r>
      <w:r w:rsidRPr="00CD729C">
        <w:rPr>
          <w:rFonts w:eastAsia="MS Mincho"/>
          <w:color w:val="000000"/>
          <w:sz w:val="22"/>
          <w:szCs w:val="22"/>
          <w:lang w:val="lv-LV" w:eastAsia="ja-JP"/>
        </w:rPr>
        <w:noBreakHyphen/>
        <w:t>70 dienu laikā pirms reģistrācijas pētījumam. Pēc primārā GIST rezekcijas, pacienti tika randomizēti vienā no divām pētījuma grupām: Glivec 400 mg/dienā grupā vai atbilstošā placebo grupā ar dalības ilgumu viens gads.</w:t>
      </w:r>
    </w:p>
    <w:p w14:paraId="3D394D99" w14:textId="77777777" w:rsidR="009E01F8" w:rsidRPr="00CD729C" w:rsidRDefault="009E01F8" w:rsidP="009B4BB6">
      <w:pPr>
        <w:pStyle w:val="Text"/>
        <w:widowControl w:val="0"/>
        <w:spacing w:before="0"/>
        <w:jc w:val="left"/>
        <w:rPr>
          <w:rFonts w:eastAsia="MS Mincho"/>
          <w:color w:val="000000"/>
          <w:sz w:val="22"/>
          <w:szCs w:val="22"/>
          <w:lang w:val="lv-LV" w:eastAsia="ja-JP"/>
        </w:rPr>
      </w:pPr>
    </w:p>
    <w:p w14:paraId="3D394D9A" w14:textId="77777777" w:rsidR="009E01F8" w:rsidRPr="00CD729C" w:rsidRDefault="009E01F8" w:rsidP="009B4BB6">
      <w:pPr>
        <w:pStyle w:val="Text"/>
        <w:widowControl w:val="0"/>
        <w:spacing w:before="0"/>
        <w:jc w:val="left"/>
        <w:rPr>
          <w:rFonts w:eastAsia="MS Mincho"/>
          <w:color w:val="000000"/>
          <w:sz w:val="22"/>
          <w:szCs w:val="22"/>
          <w:lang w:val="lv-LV" w:eastAsia="ja-JP"/>
        </w:rPr>
      </w:pPr>
      <w:r w:rsidRPr="00CD729C">
        <w:rPr>
          <w:rFonts w:eastAsia="MS Mincho"/>
          <w:color w:val="000000"/>
          <w:sz w:val="22"/>
          <w:szCs w:val="22"/>
          <w:lang w:val="lv-LV" w:eastAsia="ja-JP"/>
        </w:rPr>
        <w:t>Pētījuma primārais mērķa kritērijs bija dzīvildze bez recidīva (</w:t>
      </w:r>
      <w:r w:rsidRPr="00CD729C">
        <w:rPr>
          <w:rFonts w:eastAsia="MS Mincho"/>
          <w:i/>
          <w:color w:val="000000"/>
          <w:sz w:val="22"/>
          <w:szCs w:val="22"/>
          <w:lang w:val="lv-LV" w:eastAsia="ja-JP"/>
        </w:rPr>
        <w:t>recurrence-free survival</w:t>
      </w:r>
      <w:r w:rsidRPr="00CD729C">
        <w:rPr>
          <w:rFonts w:eastAsia="MS Mincho"/>
          <w:color w:val="000000"/>
          <w:sz w:val="22"/>
          <w:szCs w:val="22"/>
          <w:lang w:val="lv-LV" w:eastAsia="ja-JP"/>
        </w:rPr>
        <w:t xml:space="preserve"> -RFS), kas definēts kā laika posms no pacienta randomizācijas brīža pētījumā līdz recidīva diagnosticēšanas vai nāves brīdim.</w:t>
      </w:r>
    </w:p>
    <w:p w14:paraId="3D394D9B" w14:textId="77777777" w:rsidR="009E01F8" w:rsidRPr="00CD729C" w:rsidRDefault="009E01F8" w:rsidP="009B4BB6">
      <w:pPr>
        <w:pStyle w:val="Text"/>
        <w:widowControl w:val="0"/>
        <w:spacing w:before="0"/>
        <w:jc w:val="left"/>
        <w:rPr>
          <w:rFonts w:eastAsia="MS Mincho"/>
          <w:color w:val="000000"/>
          <w:sz w:val="22"/>
          <w:szCs w:val="22"/>
          <w:lang w:val="lv-LV" w:eastAsia="ja-JP"/>
        </w:rPr>
      </w:pPr>
    </w:p>
    <w:p w14:paraId="3D394D9C" w14:textId="77777777" w:rsidR="009E01F8" w:rsidRPr="00CD729C" w:rsidRDefault="009E01F8" w:rsidP="009B4BB6">
      <w:pPr>
        <w:pStyle w:val="Text"/>
        <w:widowControl w:val="0"/>
        <w:spacing w:before="0"/>
        <w:jc w:val="left"/>
        <w:rPr>
          <w:rFonts w:eastAsia="MS Mincho"/>
          <w:color w:val="000000"/>
          <w:sz w:val="22"/>
          <w:szCs w:val="22"/>
          <w:lang w:val="lv-LV" w:eastAsia="ja-JP"/>
        </w:rPr>
      </w:pPr>
      <w:r w:rsidRPr="00CD729C">
        <w:rPr>
          <w:rFonts w:eastAsia="MS Mincho"/>
          <w:color w:val="000000"/>
          <w:sz w:val="22"/>
          <w:szCs w:val="22"/>
          <w:lang w:val="lv-LV" w:eastAsia="ja-JP"/>
        </w:rPr>
        <w:t>Glivec ievērojami pagarināja RFS, kā rezultātā 75% pacientu Glivec grupā dzīvildze bez recidīva bija 38 mēneši, salīdzinot ar 20 mēnešiem placebo grupā (95% TI, attiecīgi [30 - nav nosakāms] un [14 - nav nosakāms]); (riska attiecība = 0,398 [0,259</w:t>
      </w:r>
      <w:r w:rsidRPr="00CD729C">
        <w:rPr>
          <w:rFonts w:eastAsia="MS Mincho"/>
          <w:color w:val="000000"/>
          <w:sz w:val="22"/>
          <w:szCs w:val="22"/>
          <w:lang w:val="lv-LV" w:eastAsia="ja-JP"/>
        </w:rPr>
        <w:noBreakHyphen/>
        <w:t>0,610], p&lt;0,0001). Kopumā viena gada laikā Glivec grupā novēroja labākus RFS rezultātus (97,7%), salīdzinot ar placebo grupu (82,3%) (p&lt;0,0001). Tādēļ recidīvu gadījumu risks tika samazināts aptuveni par 89% salīdzinot ar placebo grupu (riska attiecība = 0,113 [0,049</w:t>
      </w:r>
      <w:r w:rsidRPr="00CD729C">
        <w:rPr>
          <w:rFonts w:eastAsia="MS Mincho"/>
          <w:color w:val="000000"/>
          <w:sz w:val="22"/>
          <w:szCs w:val="22"/>
          <w:lang w:val="lv-LV" w:eastAsia="ja-JP"/>
        </w:rPr>
        <w:noBreakHyphen/>
        <w:t>0,264]).</w:t>
      </w:r>
    </w:p>
    <w:p w14:paraId="3D394D9D" w14:textId="77777777" w:rsidR="009E01F8" w:rsidRPr="00CD729C" w:rsidRDefault="009E01F8" w:rsidP="009B4BB6">
      <w:pPr>
        <w:pStyle w:val="Text"/>
        <w:widowControl w:val="0"/>
        <w:spacing w:before="0"/>
        <w:jc w:val="left"/>
        <w:rPr>
          <w:rFonts w:eastAsia="MS Mincho"/>
          <w:color w:val="000000"/>
          <w:sz w:val="22"/>
          <w:szCs w:val="22"/>
          <w:lang w:val="lv-LV" w:eastAsia="ja-JP"/>
        </w:rPr>
      </w:pPr>
    </w:p>
    <w:p w14:paraId="3D394D9E" w14:textId="77777777" w:rsidR="009E01F8" w:rsidRPr="00CD729C" w:rsidRDefault="009E01F8" w:rsidP="009B4BB6">
      <w:pPr>
        <w:pStyle w:val="Text"/>
        <w:widowControl w:val="0"/>
        <w:spacing w:before="0"/>
        <w:jc w:val="left"/>
        <w:rPr>
          <w:color w:val="000000"/>
          <w:sz w:val="22"/>
          <w:szCs w:val="22"/>
          <w:lang w:val="lv-LV"/>
        </w:rPr>
      </w:pPr>
      <w:r w:rsidRPr="00CD729C">
        <w:rPr>
          <w:rFonts w:eastAsia="MS Mincho"/>
          <w:color w:val="000000"/>
          <w:sz w:val="22"/>
          <w:szCs w:val="22"/>
          <w:lang w:val="lv-LV" w:eastAsia="ja-JP"/>
        </w:rPr>
        <w:t>Recidīva risku pacientiem pēc primārā GIST audzēja rezekcijas attiecīgi izvērtēja pamatojoties uz sekojošiem prognostiskiem faktoriem: audzēja izmēriem, mitotisko indeksu, audzēja lokalizāciju. Mitotiskā indeksa dati bija pieejami par 556 no 713 ITT (</w:t>
      </w:r>
      <w:r w:rsidRPr="00CD729C">
        <w:rPr>
          <w:rFonts w:eastAsia="MS Mincho"/>
          <w:i/>
          <w:color w:val="000000"/>
          <w:sz w:val="22"/>
          <w:szCs w:val="22"/>
          <w:lang w:val="lv-LV" w:eastAsia="ja-JP"/>
        </w:rPr>
        <w:t>intention-to-treat</w:t>
      </w:r>
      <w:r w:rsidRPr="00CD729C">
        <w:rPr>
          <w:rFonts w:eastAsia="MS Mincho"/>
          <w:color w:val="000000"/>
          <w:sz w:val="22"/>
          <w:szCs w:val="22"/>
          <w:lang w:val="lv-LV" w:eastAsia="ja-JP"/>
        </w:rPr>
        <w:t xml:space="preserve"> – ar nolūku ārstēt) grupas pacientiem. Apakšgrupu analīžu, kas veiktas saskaņā ar Amerikas Savienoto Valstu Nacionālo veselības institūtu (</w:t>
      </w:r>
      <w:r w:rsidRPr="00CD729C">
        <w:rPr>
          <w:rFonts w:eastAsia="MS Mincho"/>
          <w:i/>
          <w:color w:val="000000"/>
          <w:sz w:val="22"/>
          <w:szCs w:val="22"/>
          <w:lang w:val="lv-LV" w:eastAsia="ja-JP"/>
        </w:rPr>
        <w:t>United States National Institutes of Health</w:t>
      </w:r>
      <w:r w:rsidRPr="00CD729C">
        <w:rPr>
          <w:rFonts w:eastAsia="MS Mincho"/>
          <w:color w:val="000000"/>
          <w:sz w:val="22"/>
          <w:szCs w:val="22"/>
          <w:lang w:val="lv-LV" w:eastAsia="ja-JP"/>
        </w:rPr>
        <w:t xml:space="preserve"> - NIH) un Bruņoto spēku patoloģiskās izpētes institūta (</w:t>
      </w:r>
      <w:r w:rsidRPr="00CD729C">
        <w:rPr>
          <w:rFonts w:eastAsia="MS Mincho"/>
          <w:i/>
          <w:color w:val="000000"/>
          <w:sz w:val="22"/>
          <w:szCs w:val="22"/>
          <w:lang w:val="lv-LV" w:eastAsia="ja-JP"/>
        </w:rPr>
        <w:t>Armed Forces Institute of Pathology</w:t>
      </w:r>
      <w:r w:rsidRPr="00CD729C">
        <w:rPr>
          <w:rFonts w:eastAsia="MS Mincho"/>
          <w:color w:val="000000"/>
          <w:sz w:val="22"/>
          <w:szCs w:val="22"/>
          <w:lang w:val="lv-LV" w:eastAsia="ja-JP"/>
        </w:rPr>
        <w:t xml:space="preserve"> - AFIP) riska klasifikācijas kritērijiem, rezultāti </w:t>
      </w:r>
      <w:r w:rsidRPr="00CD729C">
        <w:rPr>
          <w:color w:val="000000"/>
          <w:sz w:val="22"/>
          <w:szCs w:val="22"/>
          <w:lang w:val="lv-LV"/>
        </w:rPr>
        <w:t>apkopoti tabulā Nr. </w:t>
      </w:r>
      <w:r w:rsidR="00E72001" w:rsidRPr="00CD729C">
        <w:rPr>
          <w:color w:val="000000"/>
          <w:sz w:val="22"/>
          <w:szCs w:val="22"/>
          <w:lang w:val="lv-LV"/>
        </w:rPr>
        <w:t>7</w:t>
      </w:r>
      <w:r w:rsidRPr="00CD729C">
        <w:rPr>
          <w:color w:val="000000"/>
          <w:sz w:val="22"/>
          <w:szCs w:val="22"/>
          <w:lang w:val="lv-LV"/>
        </w:rPr>
        <w:t>. Zema un ļoti zema riska grupās ieguvums netika konstatēts. Netika konstatēta kopējās dzīvildzes uzlabošanās.</w:t>
      </w:r>
    </w:p>
    <w:p w14:paraId="3D394D9F" w14:textId="77777777" w:rsidR="009E01F8" w:rsidRPr="00CD729C" w:rsidRDefault="009E01F8" w:rsidP="009B4BB6">
      <w:pPr>
        <w:pStyle w:val="Text"/>
        <w:widowControl w:val="0"/>
        <w:spacing w:before="0"/>
        <w:jc w:val="left"/>
        <w:rPr>
          <w:sz w:val="22"/>
          <w:szCs w:val="22"/>
          <w:lang w:val="lv-LV"/>
        </w:rPr>
      </w:pPr>
    </w:p>
    <w:p w14:paraId="3D394DA0" w14:textId="77777777" w:rsidR="009E01F8" w:rsidRPr="00CD729C" w:rsidRDefault="009E01F8" w:rsidP="009B4BB6">
      <w:pPr>
        <w:pStyle w:val="Heading6"/>
        <w:keepLines/>
        <w:widowControl w:val="0"/>
        <w:tabs>
          <w:tab w:val="clear" w:pos="567"/>
          <w:tab w:val="clear" w:pos="4536"/>
          <w:tab w:val="left" w:pos="1134"/>
        </w:tabs>
        <w:spacing w:line="240" w:lineRule="auto"/>
        <w:ind w:left="1701" w:hanging="1701"/>
        <w:rPr>
          <w:rFonts w:eastAsia="MS Mincho"/>
          <w:b/>
          <w:i w:val="0"/>
          <w:color w:val="000000"/>
          <w:szCs w:val="22"/>
          <w:lang w:eastAsia="ja-JP"/>
        </w:rPr>
      </w:pPr>
      <w:r w:rsidRPr="00CD729C">
        <w:rPr>
          <w:rFonts w:eastAsia="MS Mincho"/>
          <w:b/>
          <w:i w:val="0"/>
          <w:color w:val="000000"/>
          <w:szCs w:val="22"/>
          <w:lang w:eastAsia="ja-JP"/>
        </w:rPr>
        <w:t>Tabula Nr. </w:t>
      </w:r>
      <w:r w:rsidR="00E72001" w:rsidRPr="00CD729C">
        <w:rPr>
          <w:rFonts w:eastAsia="MS Mincho"/>
          <w:b/>
          <w:i w:val="0"/>
          <w:color w:val="000000"/>
          <w:szCs w:val="22"/>
          <w:lang w:eastAsia="ja-JP"/>
        </w:rPr>
        <w:t>7</w:t>
      </w:r>
      <w:r w:rsidRPr="00CD729C">
        <w:rPr>
          <w:rFonts w:eastAsia="MS Mincho"/>
          <w:b/>
          <w:i w:val="0"/>
          <w:color w:val="000000"/>
          <w:szCs w:val="22"/>
          <w:lang w:eastAsia="ja-JP"/>
        </w:rPr>
        <w:tab/>
        <w:t>Kopsavilkums par pētījuma Z9001 RFS analīžu rezultātiem pēc NIH un AFIP riska klasifikācijas kritērijiem</w:t>
      </w:r>
    </w:p>
    <w:p w14:paraId="3D394DA1" w14:textId="77777777" w:rsidR="009E01F8" w:rsidRPr="00CD729C" w:rsidRDefault="009E01F8" w:rsidP="009B4BB6">
      <w:pPr>
        <w:keepNext/>
        <w:keepLines/>
        <w:widowControl w:val="0"/>
        <w:spacing w:line="240" w:lineRule="auto"/>
        <w:rPr>
          <w:rFonts w:eastAsia="MS Mincho"/>
          <w:lang w:eastAsia="ja-JP"/>
        </w:rPr>
      </w:pPr>
    </w:p>
    <w:tbl>
      <w:tblPr>
        <w:tblW w:w="10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1"/>
        <w:gridCol w:w="1250"/>
        <w:gridCol w:w="986"/>
        <w:gridCol w:w="2083"/>
        <w:gridCol w:w="1800"/>
        <w:gridCol w:w="1440"/>
        <w:gridCol w:w="1360"/>
      </w:tblGrid>
      <w:tr w:rsidR="009E01F8" w:rsidRPr="00CD729C" w14:paraId="3D394DA9" w14:textId="77777777" w:rsidTr="00E36D64">
        <w:trPr>
          <w:cantSplit/>
        </w:trPr>
        <w:tc>
          <w:tcPr>
            <w:tcW w:w="1101" w:type="dxa"/>
            <w:vMerge w:val="restart"/>
          </w:tcPr>
          <w:p w14:paraId="3D394DA2" w14:textId="77777777" w:rsidR="009E01F8" w:rsidRPr="00CD729C" w:rsidRDefault="009E01F8"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Riska kritērijs</w:t>
            </w:r>
          </w:p>
        </w:tc>
        <w:tc>
          <w:tcPr>
            <w:tcW w:w="1250" w:type="dxa"/>
            <w:vMerge w:val="restart"/>
            <w:tcBorders>
              <w:right w:val="single" w:sz="4" w:space="0" w:color="auto"/>
            </w:tcBorders>
          </w:tcPr>
          <w:p w14:paraId="3D394DA3" w14:textId="77777777" w:rsidR="009E01F8" w:rsidRPr="00CD729C" w:rsidRDefault="009E01F8" w:rsidP="009B4BB6">
            <w:pPr>
              <w:pStyle w:val="Table"/>
              <w:widowControl w:val="0"/>
              <w:spacing w:before="0" w:after="0"/>
              <w:rPr>
                <w:rFonts w:ascii="Times New Roman" w:hAnsi="Times New Roman"/>
                <w:b/>
                <w:szCs w:val="22"/>
                <w:lang w:val="lv-LV"/>
              </w:rPr>
            </w:pPr>
            <w:r w:rsidRPr="00CD729C">
              <w:rPr>
                <w:rFonts w:ascii="Times New Roman" w:hAnsi="Times New Roman"/>
                <w:b/>
                <w:szCs w:val="22"/>
                <w:lang w:val="lv-LV"/>
              </w:rPr>
              <w:t>Riska līmenis</w:t>
            </w:r>
          </w:p>
          <w:p w14:paraId="3D394DA4" w14:textId="77777777" w:rsidR="009E01F8" w:rsidRPr="00CD729C" w:rsidRDefault="009E01F8" w:rsidP="009B4BB6">
            <w:pPr>
              <w:pStyle w:val="Table"/>
              <w:widowControl w:val="0"/>
              <w:spacing w:before="0" w:after="0"/>
              <w:rPr>
                <w:rFonts w:ascii="Times New Roman" w:hAnsi="Times New Roman"/>
                <w:b/>
                <w:szCs w:val="22"/>
                <w:lang w:val="lv-LV"/>
              </w:rPr>
            </w:pPr>
          </w:p>
        </w:tc>
        <w:tc>
          <w:tcPr>
            <w:tcW w:w="986" w:type="dxa"/>
            <w:vMerge w:val="restart"/>
            <w:tcBorders>
              <w:left w:val="single" w:sz="4" w:space="0" w:color="auto"/>
              <w:right w:val="single" w:sz="4" w:space="0" w:color="auto"/>
            </w:tcBorders>
          </w:tcPr>
          <w:p w14:paraId="3D394DA5" w14:textId="77777777" w:rsidR="009E01F8" w:rsidRPr="00CD729C" w:rsidRDefault="009E01F8"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Pacientu īpatsvars %</w:t>
            </w:r>
          </w:p>
        </w:tc>
        <w:tc>
          <w:tcPr>
            <w:tcW w:w="2083" w:type="dxa"/>
            <w:vMerge w:val="restart"/>
            <w:tcBorders>
              <w:left w:val="single" w:sz="4" w:space="0" w:color="auto"/>
              <w:right w:val="single" w:sz="4" w:space="0" w:color="auto"/>
            </w:tcBorders>
          </w:tcPr>
          <w:p w14:paraId="3D394DA6" w14:textId="77777777" w:rsidR="009E01F8" w:rsidRPr="00CD729C" w:rsidRDefault="009E01F8"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Gadījumu skaits /</w:t>
            </w:r>
            <w:r w:rsidRPr="00CD729C">
              <w:rPr>
                <w:rFonts w:ascii="Times New Roman" w:hAnsi="Times New Roman"/>
                <w:b/>
                <w:szCs w:val="22"/>
                <w:lang w:val="lv-LV"/>
              </w:rPr>
              <w:br/>
              <w:t>Pacientu skaits</w:t>
            </w:r>
          </w:p>
        </w:tc>
        <w:tc>
          <w:tcPr>
            <w:tcW w:w="1800" w:type="dxa"/>
            <w:vMerge w:val="restart"/>
            <w:tcBorders>
              <w:left w:val="single" w:sz="4" w:space="0" w:color="auto"/>
              <w:right w:val="single" w:sz="4" w:space="0" w:color="auto"/>
            </w:tcBorders>
          </w:tcPr>
          <w:p w14:paraId="3D394DA7" w14:textId="77777777" w:rsidR="009E01F8" w:rsidRPr="00CD729C" w:rsidRDefault="009E01F8"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Kopējā riska attiecība (95%TI)*</w:t>
            </w:r>
          </w:p>
        </w:tc>
        <w:tc>
          <w:tcPr>
            <w:tcW w:w="2800" w:type="dxa"/>
            <w:gridSpan w:val="2"/>
            <w:tcBorders>
              <w:left w:val="single" w:sz="4" w:space="0" w:color="auto"/>
            </w:tcBorders>
          </w:tcPr>
          <w:p w14:paraId="3D394DA8" w14:textId="77777777" w:rsidR="009E01F8" w:rsidRPr="00CD729C" w:rsidRDefault="009E01F8"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RFS indeksi (%)</w:t>
            </w:r>
          </w:p>
        </w:tc>
      </w:tr>
      <w:tr w:rsidR="009E01F8" w:rsidRPr="00CD729C" w14:paraId="3D394DB1" w14:textId="77777777" w:rsidTr="00E36D64">
        <w:trPr>
          <w:cantSplit/>
        </w:trPr>
        <w:tc>
          <w:tcPr>
            <w:tcW w:w="1101" w:type="dxa"/>
            <w:vMerge/>
          </w:tcPr>
          <w:p w14:paraId="3D394DAA" w14:textId="77777777" w:rsidR="009E01F8" w:rsidRPr="00CD729C" w:rsidRDefault="009E01F8" w:rsidP="009B4BB6">
            <w:pPr>
              <w:pStyle w:val="Table"/>
              <w:widowControl w:val="0"/>
              <w:spacing w:before="0" w:after="0"/>
              <w:rPr>
                <w:rFonts w:ascii="Times New Roman" w:hAnsi="Times New Roman"/>
                <w:b/>
                <w:szCs w:val="22"/>
                <w:lang w:val="lv-LV"/>
              </w:rPr>
            </w:pPr>
          </w:p>
        </w:tc>
        <w:tc>
          <w:tcPr>
            <w:tcW w:w="1250" w:type="dxa"/>
            <w:vMerge/>
            <w:tcBorders>
              <w:right w:val="single" w:sz="4" w:space="0" w:color="auto"/>
            </w:tcBorders>
          </w:tcPr>
          <w:p w14:paraId="3D394DAB" w14:textId="77777777" w:rsidR="009E01F8" w:rsidRPr="00CD729C" w:rsidRDefault="009E01F8" w:rsidP="009B4BB6">
            <w:pPr>
              <w:pStyle w:val="Table"/>
              <w:widowControl w:val="0"/>
              <w:spacing w:before="0" w:after="0"/>
              <w:rPr>
                <w:rFonts w:ascii="Times New Roman" w:hAnsi="Times New Roman"/>
                <w:b/>
                <w:szCs w:val="22"/>
                <w:lang w:val="lv-LV"/>
              </w:rPr>
            </w:pPr>
          </w:p>
        </w:tc>
        <w:tc>
          <w:tcPr>
            <w:tcW w:w="986" w:type="dxa"/>
            <w:vMerge/>
            <w:tcBorders>
              <w:left w:val="single" w:sz="4" w:space="0" w:color="auto"/>
              <w:right w:val="single" w:sz="4" w:space="0" w:color="auto"/>
            </w:tcBorders>
          </w:tcPr>
          <w:p w14:paraId="3D394DAC" w14:textId="77777777" w:rsidR="009E01F8" w:rsidRPr="00CD729C" w:rsidRDefault="009E01F8" w:rsidP="009B4BB6">
            <w:pPr>
              <w:pStyle w:val="Table"/>
              <w:widowControl w:val="0"/>
              <w:spacing w:before="0" w:after="0"/>
              <w:jc w:val="center"/>
              <w:rPr>
                <w:rFonts w:ascii="Times New Roman" w:hAnsi="Times New Roman"/>
                <w:b/>
                <w:szCs w:val="22"/>
                <w:lang w:val="lv-LV"/>
              </w:rPr>
            </w:pPr>
          </w:p>
        </w:tc>
        <w:tc>
          <w:tcPr>
            <w:tcW w:w="2083" w:type="dxa"/>
            <w:vMerge/>
            <w:tcBorders>
              <w:left w:val="single" w:sz="4" w:space="0" w:color="auto"/>
              <w:right w:val="single" w:sz="4" w:space="0" w:color="auto"/>
            </w:tcBorders>
          </w:tcPr>
          <w:p w14:paraId="3D394DAD" w14:textId="77777777" w:rsidR="009E01F8" w:rsidRPr="00CD729C" w:rsidRDefault="009E01F8" w:rsidP="009B4BB6">
            <w:pPr>
              <w:pStyle w:val="Table"/>
              <w:widowControl w:val="0"/>
              <w:spacing w:before="0" w:after="0"/>
              <w:jc w:val="center"/>
              <w:rPr>
                <w:rFonts w:ascii="Times New Roman" w:hAnsi="Times New Roman"/>
                <w:b/>
                <w:szCs w:val="22"/>
                <w:lang w:val="lv-LV"/>
              </w:rPr>
            </w:pPr>
          </w:p>
        </w:tc>
        <w:tc>
          <w:tcPr>
            <w:tcW w:w="1800" w:type="dxa"/>
            <w:vMerge/>
            <w:tcBorders>
              <w:left w:val="single" w:sz="4" w:space="0" w:color="auto"/>
              <w:right w:val="single" w:sz="4" w:space="0" w:color="auto"/>
            </w:tcBorders>
          </w:tcPr>
          <w:p w14:paraId="3D394DAE" w14:textId="77777777" w:rsidR="009E01F8" w:rsidRPr="00CD729C" w:rsidRDefault="009E01F8" w:rsidP="009B4BB6">
            <w:pPr>
              <w:pStyle w:val="Table"/>
              <w:widowControl w:val="0"/>
              <w:spacing w:before="0" w:after="0"/>
              <w:rPr>
                <w:rFonts w:ascii="Times New Roman" w:hAnsi="Times New Roman"/>
                <w:b/>
                <w:szCs w:val="22"/>
                <w:lang w:val="lv-LV"/>
              </w:rPr>
            </w:pPr>
          </w:p>
        </w:tc>
        <w:tc>
          <w:tcPr>
            <w:tcW w:w="1440" w:type="dxa"/>
            <w:tcBorders>
              <w:left w:val="single" w:sz="4" w:space="0" w:color="auto"/>
              <w:right w:val="single" w:sz="4" w:space="0" w:color="auto"/>
            </w:tcBorders>
          </w:tcPr>
          <w:p w14:paraId="3D394DAF" w14:textId="77777777" w:rsidR="009E01F8" w:rsidRPr="00CD729C" w:rsidRDefault="009E01F8"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12. mēnesis</w:t>
            </w:r>
          </w:p>
        </w:tc>
        <w:tc>
          <w:tcPr>
            <w:tcW w:w="1360" w:type="dxa"/>
            <w:tcBorders>
              <w:left w:val="single" w:sz="4" w:space="0" w:color="auto"/>
            </w:tcBorders>
          </w:tcPr>
          <w:p w14:paraId="3D394DB0" w14:textId="77777777" w:rsidR="009E01F8" w:rsidRPr="00CD729C" w:rsidRDefault="009E01F8"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24. mēnesis</w:t>
            </w:r>
          </w:p>
        </w:tc>
      </w:tr>
      <w:tr w:rsidR="009E01F8" w:rsidRPr="00CD729C" w14:paraId="3D394DB9" w14:textId="77777777" w:rsidTr="00E36D64">
        <w:trPr>
          <w:cantSplit/>
        </w:trPr>
        <w:tc>
          <w:tcPr>
            <w:tcW w:w="1101" w:type="dxa"/>
            <w:vMerge/>
          </w:tcPr>
          <w:p w14:paraId="3D394DB2" w14:textId="77777777" w:rsidR="009E01F8" w:rsidRPr="00CD729C" w:rsidRDefault="009E01F8" w:rsidP="009B4BB6">
            <w:pPr>
              <w:pStyle w:val="Table"/>
              <w:widowControl w:val="0"/>
              <w:spacing w:before="0" w:after="0"/>
              <w:rPr>
                <w:rFonts w:ascii="Times New Roman" w:hAnsi="Times New Roman"/>
                <w:b/>
                <w:szCs w:val="22"/>
                <w:lang w:val="lv-LV"/>
              </w:rPr>
            </w:pPr>
          </w:p>
        </w:tc>
        <w:tc>
          <w:tcPr>
            <w:tcW w:w="1250" w:type="dxa"/>
            <w:vMerge/>
            <w:tcBorders>
              <w:right w:val="single" w:sz="4" w:space="0" w:color="auto"/>
            </w:tcBorders>
          </w:tcPr>
          <w:p w14:paraId="3D394DB3" w14:textId="77777777" w:rsidR="009E01F8" w:rsidRPr="00CD729C" w:rsidRDefault="009E01F8" w:rsidP="009B4BB6">
            <w:pPr>
              <w:pStyle w:val="Table"/>
              <w:widowControl w:val="0"/>
              <w:spacing w:before="0" w:after="0"/>
              <w:rPr>
                <w:rFonts w:ascii="Times New Roman" w:hAnsi="Times New Roman"/>
                <w:b/>
                <w:szCs w:val="22"/>
                <w:lang w:val="lv-LV"/>
              </w:rPr>
            </w:pPr>
          </w:p>
        </w:tc>
        <w:tc>
          <w:tcPr>
            <w:tcW w:w="986" w:type="dxa"/>
            <w:vMerge/>
            <w:tcBorders>
              <w:left w:val="single" w:sz="4" w:space="0" w:color="auto"/>
              <w:right w:val="single" w:sz="4" w:space="0" w:color="auto"/>
            </w:tcBorders>
          </w:tcPr>
          <w:p w14:paraId="3D394DB4" w14:textId="77777777" w:rsidR="009E01F8" w:rsidRPr="00CD729C" w:rsidRDefault="009E01F8" w:rsidP="009B4BB6">
            <w:pPr>
              <w:pStyle w:val="Table"/>
              <w:widowControl w:val="0"/>
              <w:spacing w:before="0" w:after="0"/>
              <w:jc w:val="center"/>
              <w:rPr>
                <w:rFonts w:ascii="Times New Roman" w:hAnsi="Times New Roman"/>
                <w:b/>
                <w:szCs w:val="22"/>
                <w:lang w:val="lv-LV"/>
              </w:rPr>
            </w:pPr>
          </w:p>
        </w:tc>
        <w:tc>
          <w:tcPr>
            <w:tcW w:w="2083" w:type="dxa"/>
            <w:tcBorders>
              <w:left w:val="single" w:sz="4" w:space="0" w:color="auto"/>
              <w:bottom w:val="single" w:sz="4" w:space="0" w:color="auto"/>
              <w:right w:val="single" w:sz="4" w:space="0" w:color="auto"/>
            </w:tcBorders>
          </w:tcPr>
          <w:p w14:paraId="3D394DB5" w14:textId="77777777" w:rsidR="009E01F8" w:rsidRPr="00CD729C" w:rsidRDefault="009E01F8"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Glivec vs placebo</w:t>
            </w:r>
          </w:p>
        </w:tc>
        <w:tc>
          <w:tcPr>
            <w:tcW w:w="1800" w:type="dxa"/>
            <w:vMerge/>
            <w:tcBorders>
              <w:left w:val="single" w:sz="4" w:space="0" w:color="auto"/>
              <w:bottom w:val="single" w:sz="4" w:space="0" w:color="auto"/>
              <w:right w:val="single" w:sz="4" w:space="0" w:color="auto"/>
            </w:tcBorders>
          </w:tcPr>
          <w:p w14:paraId="3D394DB6" w14:textId="77777777" w:rsidR="009E01F8" w:rsidRPr="00CD729C" w:rsidRDefault="009E01F8" w:rsidP="009B4BB6">
            <w:pPr>
              <w:pStyle w:val="Table"/>
              <w:widowControl w:val="0"/>
              <w:spacing w:before="0" w:after="0"/>
              <w:jc w:val="center"/>
              <w:rPr>
                <w:rFonts w:ascii="Times New Roman" w:hAnsi="Times New Roman"/>
                <w:b/>
                <w:szCs w:val="22"/>
                <w:lang w:val="lv-LV"/>
              </w:rPr>
            </w:pPr>
          </w:p>
        </w:tc>
        <w:tc>
          <w:tcPr>
            <w:tcW w:w="1440" w:type="dxa"/>
            <w:tcBorders>
              <w:left w:val="single" w:sz="4" w:space="0" w:color="auto"/>
              <w:bottom w:val="single" w:sz="4" w:space="0" w:color="auto"/>
              <w:right w:val="single" w:sz="4" w:space="0" w:color="auto"/>
            </w:tcBorders>
          </w:tcPr>
          <w:p w14:paraId="3D394DB7" w14:textId="77777777" w:rsidR="009E01F8" w:rsidRPr="00CD729C" w:rsidRDefault="009E01F8"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Glivec vs placebo</w:t>
            </w:r>
          </w:p>
        </w:tc>
        <w:tc>
          <w:tcPr>
            <w:tcW w:w="1360" w:type="dxa"/>
            <w:tcBorders>
              <w:left w:val="single" w:sz="4" w:space="0" w:color="auto"/>
            </w:tcBorders>
          </w:tcPr>
          <w:p w14:paraId="3D394DB8" w14:textId="77777777" w:rsidR="009E01F8" w:rsidRPr="00CD729C" w:rsidRDefault="009E01F8" w:rsidP="009B4BB6">
            <w:pPr>
              <w:pStyle w:val="Table"/>
              <w:widowControl w:val="0"/>
              <w:spacing w:before="0" w:after="0"/>
              <w:jc w:val="center"/>
              <w:rPr>
                <w:rFonts w:ascii="Times New Roman" w:hAnsi="Times New Roman"/>
                <w:b/>
                <w:szCs w:val="22"/>
                <w:lang w:val="lv-LV"/>
              </w:rPr>
            </w:pPr>
            <w:r w:rsidRPr="00CD729C">
              <w:rPr>
                <w:rFonts w:ascii="Times New Roman" w:hAnsi="Times New Roman"/>
                <w:b/>
                <w:szCs w:val="22"/>
                <w:lang w:val="lv-LV"/>
              </w:rPr>
              <w:t>Glivec vs placebo</w:t>
            </w:r>
          </w:p>
        </w:tc>
      </w:tr>
      <w:tr w:rsidR="009E01F8" w:rsidRPr="00CD729C" w14:paraId="3D394DC2" w14:textId="77777777" w:rsidTr="00E36D64">
        <w:trPr>
          <w:cantSplit/>
        </w:trPr>
        <w:tc>
          <w:tcPr>
            <w:tcW w:w="1101" w:type="dxa"/>
            <w:vMerge w:val="restart"/>
            <w:shd w:val="clear" w:color="auto" w:fill="auto"/>
          </w:tcPr>
          <w:p w14:paraId="3D394DBA" w14:textId="77777777" w:rsidR="009E01F8" w:rsidRPr="00CD729C" w:rsidRDefault="009E01F8" w:rsidP="009B4BB6">
            <w:pPr>
              <w:keepNext/>
              <w:keepLines/>
              <w:widowControl w:val="0"/>
              <w:spacing w:line="240" w:lineRule="auto"/>
              <w:rPr>
                <w:szCs w:val="22"/>
              </w:rPr>
            </w:pPr>
            <w:r w:rsidRPr="00CD729C">
              <w:rPr>
                <w:szCs w:val="22"/>
              </w:rPr>
              <w:t>NIH</w:t>
            </w:r>
          </w:p>
          <w:p w14:paraId="3D394DBB" w14:textId="77777777" w:rsidR="009E01F8" w:rsidRPr="00CD729C" w:rsidRDefault="009E01F8" w:rsidP="009B4BB6">
            <w:pPr>
              <w:pStyle w:val="Text"/>
              <w:keepNext/>
              <w:keepLines/>
              <w:widowControl w:val="0"/>
              <w:spacing w:before="0"/>
              <w:rPr>
                <w:sz w:val="22"/>
                <w:szCs w:val="22"/>
                <w:lang w:val="lv-LV"/>
              </w:rPr>
            </w:pPr>
          </w:p>
        </w:tc>
        <w:tc>
          <w:tcPr>
            <w:tcW w:w="1250" w:type="dxa"/>
            <w:tcBorders>
              <w:bottom w:val="nil"/>
              <w:right w:val="single" w:sz="4" w:space="0" w:color="auto"/>
            </w:tcBorders>
            <w:vAlign w:val="bottom"/>
          </w:tcPr>
          <w:p w14:paraId="3D394DBC" w14:textId="77777777" w:rsidR="009E01F8" w:rsidRPr="00CD729C" w:rsidRDefault="009E01F8" w:rsidP="009B4BB6">
            <w:pPr>
              <w:keepNext/>
              <w:keepLines/>
              <w:widowControl w:val="0"/>
              <w:spacing w:line="240" w:lineRule="auto"/>
              <w:ind w:left="57" w:hanging="57"/>
              <w:rPr>
                <w:szCs w:val="22"/>
              </w:rPr>
            </w:pPr>
            <w:r w:rsidRPr="00CD729C">
              <w:rPr>
                <w:szCs w:val="22"/>
              </w:rPr>
              <w:t>Zems</w:t>
            </w:r>
          </w:p>
        </w:tc>
        <w:tc>
          <w:tcPr>
            <w:tcW w:w="986" w:type="dxa"/>
            <w:tcBorders>
              <w:left w:val="single" w:sz="4" w:space="0" w:color="auto"/>
              <w:bottom w:val="nil"/>
              <w:right w:val="single" w:sz="4" w:space="0" w:color="auto"/>
            </w:tcBorders>
            <w:vAlign w:val="bottom"/>
          </w:tcPr>
          <w:p w14:paraId="3D394DBD" w14:textId="77777777" w:rsidR="009E01F8" w:rsidRPr="00CD729C" w:rsidRDefault="009E01F8" w:rsidP="009B4BB6">
            <w:pPr>
              <w:keepNext/>
              <w:keepLines/>
              <w:widowControl w:val="0"/>
              <w:spacing w:line="240" w:lineRule="auto"/>
              <w:ind w:left="57" w:hanging="57"/>
              <w:jc w:val="center"/>
              <w:rPr>
                <w:szCs w:val="22"/>
              </w:rPr>
            </w:pPr>
            <w:r w:rsidRPr="00CD729C">
              <w:rPr>
                <w:szCs w:val="22"/>
              </w:rPr>
              <w:t>29,5</w:t>
            </w:r>
          </w:p>
        </w:tc>
        <w:tc>
          <w:tcPr>
            <w:tcW w:w="2083" w:type="dxa"/>
            <w:tcBorders>
              <w:left w:val="single" w:sz="4" w:space="0" w:color="auto"/>
              <w:bottom w:val="nil"/>
              <w:right w:val="single" w:sz="4" w:space="0" w:color="auto"/>
            </w:tcBorders>
            <w:vAlign w:val="bottom"/>
          </w:tcPr>
          <w:p w14:paraId="3D394DBE" w14:textId="77777777" w:rsidR="009E01F8" w:rsidRPr="00CD729C" w:rsidRDefault="009E01F8" w:rsidP="009B4BB6">
            <w:pPr>
              <w:keepNext/>
              <w:keepLines/>
              <w:widowControl w:val="0"/>
              <w:spacing w:line="240" w:lineRule="auto"/>
              <w:ind w:left="57" w:hanging="57"/>
              <w:rPr>
                <w:szCs w:val="22"/>
              </w:rPr>
            </w:pPr>
            <w:r w:rsidRPr="00CD729C">
              <w:rPr>
                <w:szCs w:val="22"/>
              </w:rPr>
              <w:t>0/86 vs. 2/90</w:t>
            </w:r>
          </w:p>
        </w:tc>
        <w:tc>
          <w:tcPr>
            <w:tcW w:w="1800" w:type="dxa"/>
            <w:tcBorders>
              <w:left w:val="single" w:sz="4" w:space="0" w:color="auto"/>
              <w:bottom w:val="nil"/>
              <w:right w:val="single" w:sz="4" w:space="0" w:color="auto"/>
            </w:tcBorders>
            <w:vAlign w:val="bottom"/>
          </w:tcPr>
          <w:p w14:paraId="3D394DBF" w14:textId="77777777" w:rsidR="009E01F8" w:rsidRPr="00CD729C" w:rsidRDefault="009E01F8" w:rsidP="009B4BB6">
            <w:pPr>
              <w:keepNext/>
              <w:keepLines/>
              <w:widowControl w:val="0"/>
              <w:spacing w:line="240" w:lineRule="auto"/>
              <w:ind w:left="57" w:hanging="57"/>
              <w:rPr>
                <w:szCs w:val="22"/>
              </w:rPr>
            </w:pPr>
            <w:r w:rsidRPr="00CD729C">
              <w:rPr>
                <w:szCs w:val="22"/>
              </w:rPr>
              <w:t>N.E.</w:t>
            </w:r>
          </w:p>
        </w:tc>
        <w:tc>
          <w:tcPr>
            <w:tcW w:w="1440" w:type="dxa"/>
            <w:tcBorders>
              <w:left w:val="single" w:sz="4" w:space="0" w:color="auto"/>
              <w:bottom w:val="nil"/>
              <w:right w:val="single" w:sz="4" w:space="0" w:color="auto"/>
            </w:tcBorders>
            <w:vAlign w:val="bottom"/>
          </w:tcPr>
          <w:p w14:paraId="3D394DC0" w14:textId="77777777" w:rsidR="009E01F8" w:rsidRPr="00CD729C" w:rsidRDefault="009E01F8" w:rsidP="009B4BB6">
            <w:pPr>
              <w:keepNext/>
              <w:keepLines/>
              <w:widowControl w:val="0"/>
              <w:spacing w:line="240" w:lineRule="auto"/>
              <w:ind w:left="57" w:hanging="57"/>
              <w:rPr>
                <w:szCs w:val="22"/>
              </w:rPr>
            </w:pPr>
            <w:r w:rsidRPr="00CD729C">
              <w:rPr>
                <w:szCs w:val="22"/>
              </w:rPr>
              <w:t>100 vs. 98,7</w:t>
            </w:r>
          </w:p>
        </w:tc>
        <w:tc>
          <w:tcPr>
            <w:tcW w:w="1360" w:type="dxa"/>
            <w:tcBorders>
              <w:left w:val="single" w:sz="4" w:space="0" w:color="auto"/>
              <w:bottom w:val="nil"/>
            </w:tcBorders>
            <w:vAlign w:val="bottom"/>
          </w:tcPr>
          <w:p w14:paraId="3D394DC1" w14:textId="77777777" w:rsidR="009E01F8" w:rsidRPr="00CD729C" w:rsidRDefault="009E01F8" w:rsidP="009B4BB6">
            <w:pPr>
              <w:keepNext/>
              <w:keepLines/>
              <w:widowControl w:val="0"/>
              <w:spacing w:line="240" w:lineRule="auto"/>
              <w:ind w:left="57" w:hanging="57"/>
              <w:rPr>
                <w:szCs w:val="22"/>
              </w:rPr>
            </w:pPr>
            <w:r w:rsidRPr="00CD729C">
              <w:rPr>
                <w:szCs w:val="22"/>
              </w:rPr>
              <w:t>100 vs. 95,5</w:t>
            </w:r>
          </w:p>
        </w:tc>
      </w:tr>
      <w:tr w:rsidR="009E01F8" w:rsidRPr="00CD729C" w14:paraId="3D394DCA" w14:textId="77777777" w:rsidTr="00E36D64">
        <w:trPr>
          <w:cantSplit/>
        </w:trPr>
        <w:tc>
          <w:tcPr>
            <w:tcW w:w="1101" w:type="dxa"/>
            <w:vMerge/>
            <w:shd w:val="clear" w:color="auto" w:fill="auto"/>
          </w:tcPr>
          <w:p w14:paraId="3D394DC3" w14:textId="77777777" w:rsidR="009E01F8" w:rsidRPr="00CD729C" w:rsidRDefault="009E01F8" w:rsidP="009B4BB6">
            <w:pPr>
              <w:keepNext/>
              <w:keepLines/>
              <w:widowControl w:val="0"/>
              <w:spacing w:line="240" w:lineRule="auto"/>
              <w:rPr>
                <w:b/>
                <w:szCs w:val="22"/>
              </w:rPr>
            </w:pPr>
          </w:p>
        </w:tc>
        <w:tc>
          <w:tcPr>
            <w:tcW w:w="1250" w:type="dxa"/>
            <w:tcBorders>
              <w:top w:val="nil"/>
              <w:bottom w:val="nil"/>
              <w:right w:val="single" w:sz="4" w:space="0" w:color="auto"/>
            </w:tcBorders>
            <w:vAlign w:val="bottom"/>
          </w:tcPr>
          <w:p w14:paraId="3D394DC4"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Vidējs</w:t>
            </w:r>
          </w:p>
        </w:tc>
        <w:tc>
          <w:tcPr>
            <w:tcW w:w="986" w:type="dxa"/>
            <w:tcBorders>
              <w:top w:val="nil"/>
              <w:left w:val="single" w:sz="4" w:space="0" w:color="auto"/>
              <w:bottom w:val="nil"/>
              <w:right w:val="single" w:sz="4" w:space="0" w:color="auto"/>
            </w:tcBorders>
            <w:vAlign w:val="bottom"/>
          </w:tcPr>
          <w:p w14:paraId="3D394DC5" w14:textId="77777777" w:rsidR="009E01F8" w:rsidRPr="00CD729C" w:rsidRDefault="009E01F8" w:rsidP="009B4BB6">
            <w:pPr>
              <w:pStyle w:val="Table"/>
              <w:widowControl w:val="0"/>
              <w:spacing w:before="0" w:after="0"/>
              <w:jc w:val="center"/>
              <w:rPr>
                <w:rFonts w:ascii="Times New Roman" w:hAnsi="Times New Roman"/>
                <w:szCs w:val="22"/>
                <w:lang w:val="lv-LV"/>
              </w:rPr>
            </w:pPr>
            <w:r w:rsidRPr="00CD729C">
              <w:rPr>
                <w:rFonts w:ascii="Times New Roman" w:hAnsi="Times New Roman"/>
                <w:szCs w:val="22"/>
                <w:lang w:val="lv-LV"/>
              </w:rPr>
              <w:t>25,7</w:t>
            </w:r>
          </w:p>
        </w:tc>
        <w:tc>
          <w:tcPr>
            <w:tcW w:w="2083" w:type="dxa"/>
            <w:tcBorders>
              <w:top w:val="nil"/>
              <w:left w:val="single" w:sz="4" w:space="0" w:color="auto"/>
              <w:bottom w:val="nil"/>
              <w:right w:val="single" w:sz="4" w:space="0" w:color="auto"/>
            </w:tcBorders>
            <w:vAlign w:val="bottom"/>
          </w:tcPr>
          <w:p w14:paraId="3D394DC6"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4/75 vs. 6/78</w:t>
            </w:r>
          </w:p>
        </w:tc>
        <w:tc>
          <w:tcPr>
            <w:tcW w:w="1800" w:type="dxa"/>
            <w:tcBorders>
              <w:top w:val="nil"/>
              <w:left w:val="single" w:sz="4" w:space="0" w:color="auto"/>
              <w:bottom w:val="nil"/>
              <w:right w:val="single" w:sz="4" w:space="0" w:color="auto"/>
            </w:tcBorders>
            <w:vAlign w:val="bottom"/>
          </w:tcPr>
          <w:p w14:paraId="3D394DC7"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0,59 (0,17; 2,10)</w:t>
            </w:r>
          </w:p>
        </w:tc>
        <w:tc>
          <w:tcPr>
            <w:tcW w:w="1440" w:type="dxa"/>
            <w:tcBorders>
              <w:top w:val="nil"/>
              <w:left w:val="single" w:sz="4" w:space="0" w:color="auto"/>
              <w:bottom w:val="nil"/>
              <w:right w:val="single" w:sz="4" w:space="0" w:color="auto"/>
            </w:tcBorders>
            <w:vAlign w:val="bottom"/>
          </w:tcPr>
          <w:p w14:paraId="3D394DC8"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100 vs. 94,8</w:t>
            </w:r>
          </w:p>
        </w:tc>
        <w:tc>
          <w:tcPr>
            <w:tcW w:w="1360" w:type="dxa"/>
            <w:tcBorders>
              <w:top w:val="nil"/>
              <w:left w:val="single" w:sz="4" w:space="0" w:color="auto"/>
              <w:bottom w:val="nil"/>
            </w:tcBorders>
            <w:vAlign w:val="bottom"/>
          </w:tcPr>
          <w:p w14:paraId="3D394DC9"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97,8 vs. 89,5</w:t>
            </w:r>
          </w:p>
        </w:tc>
      </w:tr>
      <w:tr w:rsidR="009E01F8" w:rsidRPr="00CD729C" w14:paraId="3D394DD2" w14:textId="77777777" w:rsidTr="00E36D64">
        <w:trPr>
          <w:cantSplit/>
        </w:trPr>
        <w:tc>
          <w:tcPr>
            <w:tcW w:w="1101" w:type="dxa"/>
            <w:vMerge/>
            <w:shd w:val="clear" w:color="auto" w:fill="auto"/>
          </w:tcPr>
          <w:p w14:paraId="3D394DCB" w14:textId="77777777" w:rsidR="009E01F8" w:rsidRPr="00CD729C" w:rsidRDefault="009E01F8" w:rsidP="009B4BB6">
            <w:pPr>
              <w:pStyle w:val="Table"/>
              <w:widowControl w:val="0"/>
              <w:spacing w:before="0" w:after="0"/>
              <w:rPr>
                <w:rFonts w:ascii="Times New Roman" w:hAnsi="Times New Roman"/>
                <w:szCs w:val="22"/>
                <w:lang w:val="lv-LV"/>
              </w:rPr>
            </w:pPr>
          </w:p>
        </w:tc>
        <w:tc>
          <w:tcPr>
            <w:tcW w:w="1250" w:type="dxa"/>
            <w:tcBorders>
              <w:top w:val="nil"/>
              <w:right w:val="single" w:sz="4" w:space="0" w:color="auto"/>
            </w:tcBorders>
            <w:vAlign w:val="bottom"/>
          </w:tcPr>
          <w:p w14:paraId="3D394DCC"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Augsts</w:t>
            </w:r>
          </w:p>
        </w:tc>
        <w:tc>
          <w:tcPr>
            <w:tcW w:w="986" w:type="dxa"/>
            <w:tcBorders>
              <w:top w:val="nil"/>
              <w:left w:val="single" w:sz="4" w:space="0" w:color="auto"/>
              <w:right w:val="single" w:sz="4" w:space="0" w:color="auto"/>
            </w:tcBorders>
            <w:vAlign w:val="bottom"/>
          </w:tcPr>
          <w:p w14:paraId="3D394DCD" w14:textId="77777777" w:rsidR="009E01F8" w:rsidRPr="00CD729C" w:rsidRDefault="009E01F8" w:rsidP="009B4BB6">
            <w:pPr>
              <w:pStyle w:val="Table"/>
              <w:widowControl w:val="0"/>
              <w:spacing w:before="0" w:after="0"/>
              <w:jc w:val="center"/>
              <w:rPr>
                <w:rFonts w:ascii="Times New Roman" w:hAnsi="Times New Roman"/>
                <w:szCs w:val="22"/>
                <w:lang w:val="lv-LV"/>
              </w:rPr>
            </w:pPr>
            <w:r w:rsidRPr="00CD729C">
              <w:rPr>
                <w:rFonts w:ascii="Times New Roman" w:hAnsi="Times New Roman"/>
                <w:szCs w:val="22"/>
                <w:lang w:val="lv-LV"/>
              </w:rPr>
              <w:t>44,8</w:t>
            </w:r>
          </w:p>
        </w:tc>
        <w:tc>
          <w:tcPr>
            <w:tcW w:w="2083" w:type="dxa"/>
            <w:tcBorders>
              <w:top w:val="nil"/>
              <w:left w:val="single" w:sz="4" w:space="0" w:color="auto"/>
              <w:right w:val="single" w:sz="4" w:space="0" w:color="auto"/>
            </w:tcBorders>
            <w:vAlign w:val="bottom"/>
          </w:tcPr>
          <w:p w14:paraId="3D394DCE"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21/140 vs. 51/127</w:t>
            </w:r>
          </w:p>
        </w:tc>
        <w:tc>
          <w:tcPr>
            <w:tcW w:w="1800" w:type="dxa"/>
            <w:tcBorders>
              <w:top w:val="nil"/>
              <w:left w:val="single" w:sz="4" w:space="0" w:color="auto"/>
              <w:right w:val="single" w:sz="4" w:space="0" w:color="auto"/>
            </w:tcBorders>
            <w:vAlign w:val="bottom"/>
          </w:tcPr>
          <w:p w14:paraId="3D394DCF"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0,29 (0,18; 0,49)</w:t>
            </w:r>
          </w:p>
        </w:tc>
        <w:tc>
          <w:tcPr>
            <w:tcW w:w="1440" w:type="dxa"/>
            <w:tcBorders>
              <w:top w:val="nil"/>
              <w:left w:val="single" w:sz="4" w:space="0" w:color="auto"/>
              <w:right w:val="single" w:sz="4" w:space="0" w:color="auto"/>
            </w:tcBorders>
            <w:vAlign w:val="bottom"/>
          </w:tcPr>
          <w:p w14:paraId="3D394DD0"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94,8 vs. 64,0</w:t>
            </w:r>
          </w:p>
        </w:tc>
        <w:tc>
          <w:tcPr>
            <w:tcW w:w="1360" w:type="dxa"/>
            <w:tcBorders>
              <w:top w:val="nil"/>
              <w:left w:val="single" w:sz="4" w:space="0" w:color="auto"/>
            </w:tcBorders>
            <w:vAlign w:val="bottom"/>
          </w:tcPr>
          <w:p w14:paraId="3D394DD1"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80,7 vs. 46,6</w:t>
            </w:r>
          </w:p>
        </w:tc>
      </w:tr>
      <w:tr w:rsidR="009E01F8" w:rsidRPr="00CD729C" w14:paraId="3D394DDB" w14:textId="77777777" w:rsidTr="00E36D64">
        <w:trPr>
          <w:cantSplit/>
        </w:trPr>
        <w:tc>
          <w:tcPr>
            <w:tcW w:w="1101" w:type="dxa"/>
            <w:vMerge w:val="restart"/>
            <w:shd w:val="clear" w:color="auto" w:fill="auto"/>
          </w:tcPr>
          <w:p w14:paraId="3D394DD3"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AFIP</w:t>
            </w:r>
          </w:p>
          <w:p w14:paraId="3D394DD4" w14:textId="77777777" w:rsidR="009E01F8" w:rsidRPr="00CD729C" w:rsidRDefault="009E01F8" w:rsidP="009B4BB6">
            <w:pPr>
              <w:pStyle w:val="Table"/>
              <w:widowControl w:val="0"/>
              <w:spacing w:before="0" w:after="0"/>
              <w:rPr>
                <w:rFonts w:ascii="Times New Roman" w:hAnsi="Times New Roman"/>
                <w:szCs w:val="22"/>
                <w:lang w:val="lv-LV"/>
              </w:rPr>
            </w:pPr>
          </w:p>
        </w:tc>
        <w:tc>
          <w:tcPr>
            <w:tcW w:w="1250" w:type="dxa"/>
            <w:tcBorders>
              <w:bottom w:val="nil"/>
              <w:right w:val="single" w:sz="4" w:space="0" w:color="auto"/>
            </w:tcBorders>
            <w:vAlign w:val="bottom"/>
          </w:tcPr>
          <w:p w14:paraId="3D394DD5"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Ļoti zems</w:t>
            </w:r>
          </w:p>
        </w:tc>
        <w:tc>
          <w:tcPr>
            <w:tcW w:w="986" w:type="dxa"/>
            <w:tcBorders>
              <w:left w:val="single" w:sz="4" w:space="0" w:color="auto"/>
              <w:bottom w:val="nil"/>
              <w:right w:val="single" w:sz="4" w:space="0" w:color="auto"/>
            </w:tcBorders>
            <w:vAlign w:val="bottom"/>
          </w:tcPr>
          <w:p w14:paraId="3D394DD6" w14:textId="77777777" w:rsidR="009E01F8" w:rsidRPr="00CD729C" w:rsidRDefault="009E01F8" w:rsidP="009B4BB6">
            <w:pPr>
              <w:pStyle w:val="Table"/>
              <w:widowControl w:val="0"/>
              <w:spacing w:before="0" w:after="0"/>
              <w:jc w:val="center"/>
              <w:rPr>
                <w:rFonts w:ascii="Times New Roman" w:hAnsi="Times New Roman"/>
                <w:szCs w:val="22"/>
                <w:lang w:val="lv-LV"/>
              </w:rPr>
            </w:pPr>
            <w:r w:rsidRPr="00CD729C">
              <w:rPr>
                <w:rFonts w:ascii="Times New Roman" w:hAnsi="Times New Roman"/>
                <w:szCs w:val="22"/>
                <w:lang w:val="lv-LV"/>
              </w:rPr>
              <w:t>20,7</w:t>
            </w:r>
          </w:p>
        </w:tc>
        <w:tc>
          <w:tcPr>
            <w:tcW w:w="2083" w:type="dxa"/>
            <w:tcBorders>
              <w:left w:val="single" w:sz="4" w:space="0" w:color="auto"/>
              <w:bottom w:val="nil"/>
              <w:right w:val="single" w:sz="4" w:space="0" w:color="auto"/>
            </w:tcBorders>
            <w:vAlign w:val="bottom"/>
          </w:tcPr>
          <w:p w14:paraId="3D394DD7"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0/52 vs. 2/63</w:t>
            </w:r>
          </w:p>
        </w:tc>
        <w:tc>
          <w:tcPr>
            <w:tcW w:w="1800" w:type="dxa"/>
            <w:tcBorders>
              <w:left w:val="single" w:sz="4" w:space="0" w:color="auto"/>
              <w:bottom w:val="nil"/>
              <w:right w:val="single" w:sz="4" w:space="0" w:color="auto"/>
            </w:tcBorders>
            <w:vAlign w:val="bottom"/>
          </w:tcPr>
          <w:p w14:paraId="3D394DD8"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N.E.</w:t>
            </w:r>
          </w:p>
        </w:tc>
        <w:tc>
          <w:tcPr>
            <w:tcW w:w="1440" w:type="dxa"/>
            <w:tcBorders>
              <w:left w:val="single" w:sz="4" w:space="0" w:color="auto"/>
              <w:bottom w:val="nil"/>
              <w:right w:val="single" w:sz="4" w:space="0" w:color="auto"/>
            </w:tcBorders>
            <w:vAlign w:val="bottom"/>
          </w:tcPr>
          <w:p w14:paraId="3D394DD9"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100 vs. 98,1</w:t>
            </w:r>
          </w:p>
        </w:tc>
        <w:tc>
          <w:tcPr>
            <w:tcW w:w="1360" w:type="dxa"/>
            <w:tcBorders>
              <w:left w:val="single" w:sz="4" w:space="0" w:color="auto"/>
              <w:bottom w:val="nil"/>
            </w:tcBorders>
            <w:vAlign w:val="bottom"/>
          </w:tcPr>
          <w:p w14:paraId="3D394DDA"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100 vs. 93,0</w:t>
            </w:r>
          </w:p>
        </w:tc>
      </w:tr>
      <w:tr w:rsidR="009E01F8" w:rsidRPr="00CD729C" w14:paraId="3D394DE3" w14:textId="77777777" w:rsidTr="00E36D64">
        <w:trPr>
          <w:cantSplit/>
        </w:trPr>
        <w:tc>
          <w:tcPr>
            <w:tcW w:w="1101" w:type="dxa"/>
            <w:vMerge/>
            <w:shd w:val="clear" w:color="auto" w:fill="auto"/>
          </w:tcPr>
          <w:p w14:paraId="3D394DDC" w14:textId="77777777" w:rsidR="009E01F8" w:rsidRPr="00CD729C" w:rsidRDefault="009E01F8" w:rsidP="009B4BB6">
            <w:pPr>
              <w:pStyle w:val="Table"/>
              <w:widowControl w:val="0"/>
              <w:spacing w:before="0" w:after="0"/>
              <w:rPr>
                <w:rFonts w:ascii="Times New Roman" w:hAnsi="Times New Roman"/>
                <w:szCs w:val="22"/>
                <w:lang w:val="lv-LV"/>
              </w:rPr>
            </w:pPr>
          </w:p>
        </w:tc>
        <w:tc>
          <w:tcPr>
            <w:tcW w:w="1250" w:type="dxa"/>
            <w:tcBorders>
              <w:top w:val="nil"/>
              <w:bottom w:val="nil"/>
              <w:right w:val="single" w:sz="4" w:space="0" w:color="auto"/>
            </w:tcBorders>
            <w:vAlign w:val="bottom"/>
          </w:tcPr>
          <w:p w14:paraId="3D394DDD"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Zems</w:t>
            </w:r>
          </w:p>
        </w:tc>
        <w:tc>
          <w:tcPr>
            <w:tcW w:w="986" w:type="dxa"/>
            <w:tcBorders>
              <w:top w:val="nil"/>
              <w:left w:val="single" w:sz="4" w:space="0" w:color="auto"/>
              <w:bottom w:val="nil"/>
              <w:right w:val="single" w:sz="4" w:space="0" w:color="auto"/>
            </w:tcBorders>
            <w:vAlign w:val="bottom"/>
          </w:tcPr>
          <w:p w14:paraId="3D394DDE" w14:textId="77777777" w:rsidR="009E01F8" w:rsidRPr="00CD729C" w:rsidRDefault="009E01F8" w:rsidP="009B4BB6">
            <w:pPr>
              <w:pStyle w:val="Table"/>
              <w:widowControl w:val="0"/>
              <w:spacing w:before="0" w:after="0"/>
              <w:jc w:val="center"/>
              <w:rPr>
                <w:rFonts w:ascii="Times New Roman" w:hAnsi="Times New Roman"/>
                <w:szCs w:val="22"/>
                <w:lang w:val="lv-LV"/>
              </w:rPr>
            </w:pPr>
            <w:r w:rsidRPr="00CD729C">
              <w:rPr>
                <w:rFonts w:ascii="Times New Roman" w:hAnsi="Times New Roman"/>
                <w:szCs w:val="22"/>
                <w:lang w:val="lv-LV"/>
              </w:rPr>
              <w:t>25,0</w:t>
            </w:r>
          </w:p>
        </w:tc>
        <w:tc>
          <w:tcPr>
            <w:tcW w:w="2083" w:type="dxa"/>
            <w:tcBorders>
              <w:top w:val="nil"/>
              <w:left w:val="single" w:sz="4" w:space="0" w:color="auto"/>
              <w:bottom w:val="nil"/>
              <w:right w:val="single" w:sz="4" w:space="0" w:color="auto"/>
            </w:tcBorders>
            <w:vAlign w:val="bottom"/>
          </w:tcPr>
          <w:p w14:paraId="3D394DDF"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2/70 vs. 0/69</w:t>
            </w:r>
          </w:p>
        </w:tc>
        <w:tc>
          <w:tcPr>
            <w:tcW w:w="1800" w:type="dxa"/>
            <w:tcBorders>
              <w:top w:val="nil"/>
              <w:left w:val="single" w:sz="4" w:space="0" w:color="auto"/>
              <w:bottom w:val="nil"/>
              <w:right w:val="single" w:sz="4" w:space="0" w:color="auto"/>
            </w:tcBorders>
            <w:vAlign w:val="bottom"/>
          </w:tcPr>
          <w:p w14:paraId="3D394DE0"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N.E.</w:t>
            </w:r>
          </w:p>
        </w:tc>
        <w:tc>
          <w:tcPr>
            <w:tcW w:w="1440" w:type="dxa"/>
            <w:tcBorders>
              <w:top w:val="nil"/>
              <w:left w:val="single" w:sz="4" w:space="0" w:color="auto"/>
              <w:bottom w:val="nil"/>
              <w:right w:val="single" w:sz="4" w:space="0" w:color="auto"/>
            </w:tcBorders>
            <w:vAlign w:val="bottom"/>
          </w:tcPr>
          <w:p w14:paraId="3D394DE1"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100 vs. 100</w:t>
            </w:r>
          </w:p>
        </w:tc>
        <w:tc>
          <w:tcPr>
            <w:tcW w:w="1360" w:type="dxa"/>
            <w:tcBorders>
              <w:top w:val="nil"/>
              <w:left w:val="single" w:sz="4" w:space="0" w:color="auto"/>
              <w:bottom w:val="nil"/>
            </w:tcBorders>
            <w:vAlign w:val="bottom"/>
          </w:tcPr>
          <w:p w14:paraId="3D394DE2"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97,8 vs. 100</w:t>
            </w:r>
          </w:p>
        </w:tc>
      </w:tr>
      <w:tr w:rsidR="009E01F8" w:rsidRPr="00CD729C" w14:paraId="3D394DEB" w14:textId="77777777" w:rsidTr="00E36D64">
        <w:trPr>
          <w:cantSplit/>
        </w:trPr>
        <w:tc>
          <w:tcPr>
            <w:tcW w:w="1101" w:type="dxa"/>
            <w:vMerge/>
            <w:shd w:val="clear" w:color="auto" w:fill="auto"/>
          </w:tcPr>
          <w:p w14:paraId="3D394DE4" w14:textId="77777777" w:rsidR="009E01F8" w:rsidRPr="00CD729C" w:rsidRDefault="009E01F8" w:rsidP="009B4BB6">
            <w:pPr>
              <w:pStyle w:val="Table"/>
              <w:widowControl w:val="0"/>
              <w:spacing w:before="0" w:after="0"/>
              <w:rPr>
                <w:rFonts w:ascii="Times New Roman" w:hAnsi="Times New Roman"/>
                <w:b/>
                <w:szCs w:val="22"/>
                <w:lang w:val="lv-LV"/>
              </w:rPr>
            </w:pPr>
          </w:p>
        </w:tc>
        <w:tc>
          <w:tcPr>
            <w:tcW w:w="1250" w:type="dxa"/>
            <w:tcBorders>
              <w:top w:val="nil"/>
              <w:bottom w:val="nil"/>
              <w:right w:val="single" w:sz="4" w:space="0" w:color="auto"/>
            </w:tcBorders>
            <w:vAlign w:val="bottom"/>
          </w:tcPr>
          <w:p w14:paraId="3D394DE5"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Vidējs</w:t>
            </w:r>
          </w:p>
        </w:tc>
        <w:tc>
          <w:tcPr>
            <w:tcW w:w="986" w:type="dxa"/>
            <w:tcBorders>
              <w:top w:val="nil"/>
              <w:left w:val="single" w:sz="4" w:space="0" w:color="auto"/>
              <w:bottom w:val="nil"/>
              <w:right w:val="single" w:sz="4" w:space="0" w:color="auto"/>
            </w:tcBorders>
            <w:vAlign w:val="bottom"/>
          </w:tcPr>
          <w:p w14:paraId="3D394DE6" w14:textId="77777777" w:rsidR="009E01F8" w:rsidRPr="00CD729C" w:rsidRDefault="009E01F8" w:rsidP="009B4BB6">
            <w:pPr>
              <w:pStyle w:val="Table"/>
              <w:widowControl w:val="0"/>
              <w:spacing w:before="0" w:after="0"/>
              <w:jc w:val="center"/>
              <w:rPr>
                <w:rFonts w:ascii="Times New Roman" w:hAnsi="Times New Roman"/>
                <w:szCs w:val="22"/>
                <w:lang w:val="lv-LV"/>
              </w:rPr>
            </w:pPr>
            <w:r w:rsidRPr="00CD729C">
              <w:rPr>
                <w:rFonts w:ascii="Times New Roman" w:hAnsi="Times New Roman"/>
                <w:szCs w:val="22"/>
                <w:lang w:val="lv-LV"/>
              </w:rPr>
              <w:t>24,6</w:t>
            </w:r>
          </w:p>
        </w:tc>
        <w:tc>
          <w:tcPr>
            <w:tcW w:w="2083" w:type="dxa"/>
            <w:tcBorders>
              <w:top w:val="nil"/>
              <w:left w:val="single" w:sz="4" w:space="0" w:color="auto"/>
              <w:bottom w:val="nil"/>
              <w:right w:val="single" w:sz="4" w:space="0" w:color="auto"/>
            </w:tcBorders>
            <w:vAlign w:val="bottom"/>
          </w:tcPr>
          <w:p w14:paraId="3D394DE7"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2/70 vs. 11/67</w:t>
            </w:r>
          </w:p>
        </w:tc>
        <w:tc>
          <w:tcPr>
            <w:tcW w:w="1800" w:type="dxa"/>
            <w:tcBorders>
              <w:top w:val="nil"/>
              <w:left w:val="single" w:sz="4" w:space="0" w:color="auto"/>
              <w:bottom w:val="nil"/>
              <w:right w:val="single" w:sz="4" w:space="0" w:color="auto"/>
            </w:tcBorders>
            <w:vAlign w:val="bottom"/>
          </w:tcPr>
          <w:p w14:paraId="3D394DE8"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0,16 (0,03; 0,70)</w:t>
            </w:r>
          </w:p>
        </w:tc>
        <w:tc>
          <w:tcPr>
            <w:tcW w:w="1440" w:type="dxa"/>
            <w:tcBorders>
              <w:top w:val="nil"/>
              <w:left w:val="single" w:sz="4" w:space="0" w:color="auto"/>
              <w:bottom w:val="nil"/>
              <w:right w:val="single" w:sz="4" w:space="0" w:color="auto"/>
            </w:tcBorders>
            <w:vAlign w:val="bottom"/>
          </w:tcPr>
          <w:p w14:paraId="3D394DE9"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97,9 vs. 90,8</w:t>
            </w:r>
          </w:p>
        </w:tc>
        <w:tc>
          <w:tcPr>
            <w:tcW w:w="1360" w:type="dxa"/>
            <w:tcBorders>
              <w:top w:val="nil"/>
              <w:left w:val="single" w:sz="4" w:space="0" w:color="auto"/>
              <w:bottom w:val="nil"/>
            </w:tcBorders>
            <w:vAlign w:val="bottom"/>
          </w:tcPr>
          <w:p w14:paraId="3D394DEA"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97,9 vs. 73,3</w:t>
            </w:r>
          </w:p>
        </w:tc>
      </w:tr>
      <w:tr w:rsidR="009E01F8" w:rsidRPr="00CD729C" w14:paraId="3D394DF3" w14:textId="77777777" w:rsidTr="00E36D64">
        <w:trPr>
          <w:cantSplit/>
        </w:trPr>
        <w:tc>
          <w:tcPr>
            <w:tcW w:w="1101" w:type="dxa"/>
            <w:vMerge/>
            <w:tcBorders>
              <w:bottom w:val="single" w:sz="4" w:space="0" w:color="auto"/>
            </w:tcBorders>
            <w:shd w:val="clear" w:color="auto" w:fill="auto"/>
          </w:tcPr>
          <w:p w14:paraId="3D394DEC" w14:textId="77777777" w:rsidR="009E01F8" w:rsidRPr="00CD729C" w:rsidRDefault="009E01F8" w:rsidP="009B4BB6">
            <w:pPr>
              <w:pStyle w:val="Table"/>
              <w:widowControl w:val="0"/>
              <w:spacing w:before="0" w:after="0"/>
              <w:rPr>
                <w:rFonts w:ascii="Times New Roman" w:hAnsi="Times New Roman"/>
                <w:szCs w:val="22"/>
                <w:lang w:val="lv-LV"/>
              </w:rPr>
            </w:pPr>
          </w:p>
        </w:tc>
        <w:tc>
          <w:tcPr>
            <w:tcW w:w="1250" w:type="dxa"/>
            <w:tcBorders>
              <w:top w:val="nil"/>
              <w:bottom w:val="single" w:sz="4" w:space="0" w:color="auto"/>
              <w:right w:val="single" w:sz="4" w:space="0" w:color="auto"/>
            </w:tcBorders>
            <w:vAlign w:val="bottom"/>
          </w:tcPr>
          <w:p w14:paraId="3D394DED"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Augsts</w:t>
            </w:r>
          </w:p>
        </w:tc>
        <w:tc>
          <w:tcPr>
            <w:tcW w:w="986" w:type="dxa"/>
            <w:tcBorders>
              <w:top w:val="nil"/>
              <w:left w:val="single" w:sz="4" w:space="0" w:color="auto"/>
              <w:bottom w:val="single" w:sz="4" w:space="0" w:color="auto"/>
              <w:right w:val="single" w:sz="4" w:space="0" w:color="auto"/>
            </w:tcBorders>
            <w:vAlign w:val="bottom"/>
          </w:tcPr>
          <w:p w14:paraId="3D394DEE" w14:textId="77777777" w:rsidR="009E01F8" w:rsidRPr="00CD729C" w:rsidRDefault="009E01F8" w:rsidP="009B4BB6">
            <w:pPr>
              <w:pStyle w:val="Table"/>
              <w:widowControl w:val="0"/>
              <w:spacing w:before="0" w:after="0"/>
              <w:ind w:right="-3"/>
              <w:jc w:val="center"/>
              <w:rPr>
                <w:rFonts w:ascii="Times New Roman" w:hAnsi="Times New Roman"/>
                <w:szCs w:val="22"/>
                <w:lang w:val="lv-LV"/>
              </w:rPr>
            </w:pPr>
            <w:r w:rsidRPr="00CD729C">
              <w:rPr>
                <w:rFonts w:ascii="Times New Roman" w:hAnsi="Times New Roman"/>
                <w:szCs w:val="22"/>
                <w:lang w:val="lv-LV"/>
              </w:rPr>
              <w:t>29,7</w:t>
            </w:r>
          </w:p>
        </w:tc>
        <w:tc>
          <w:tcPr>
            <w:tcW w:w="2083" w:type="dxa"/>
            <w:tcBorders>
              <w:top w:val="nil"/>
              <w:left w:val="single" w:sz="4" w:space="0" w:color="auto"/>
              <w:bottom w:val="single" w:sz="4" w:space="0" w:color="auto"/>
              <w:right w:val="single" w:sz="4" w:space="0" w:color="auto"/>
            </w:tcBorders>
            <w:vAlign w:val="bottom"/>
          </w:tcPr>
          <w:p w14:paraId="3D394DEF"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16/84 vs. 39/81</w:t>
            </w:r>
          </w:p>
        </w:tc>
        <w:tc>
          <w:tcPr>
            <w:tcW w:w="1800" w:type="dxa"/>
            <w:tcBorders>
              <w:top w:val="nil"/>
              <w:left w:val="single" w:sz="4" w:space="0" w:color="auto"/>
              <w:bottom w:val="single" w:sz="4" w:space="0" w:color="auto"/>
              <w:right w:val="single" w:sz="4" w:space="0" w:color="auto"/>
            </w:tcBorders>
            <w:vAlign w:val="bottom"/>
          </w:tcPr>
          <w:p w14:paraId="3D394DF0"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0,27 (0,15; 0,48)</w:t>
            </w:r>
          </w:p>
        </w:tc>
        <w:tc>
          <w:tcPr>
            <w:tcW w:w="1440" w:type="dxa"/>
            <w:tcBorders>
              <w:top w:val="nil"/>
              <w:left w:val="single" w:sz="4" w:space="0" w:color="auto"/>
              <w:bottom w:val="single" w:sz="4" w:space="0" w:color="auto"/>
              <w:right w:val="single" w:sz="4" w:space="0" w:color="auto"/>
            </w:tcBorders>
            <w:vAlign w:val="bottom"/>
          </w:tcPr>
          <w:p w14:paraId="3D394DF1"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98,7 vs. 56,1</w:t>
            </w:r>
          </w:p>
        </w:tc>
        <w:tc>
          <w:tcPr>
            <w:tcW w:w="1360" w:type="dxa"/>
            <w:tcBorders>
              <w:top w:val="nil"/>
              <w:left w:val="single" w:sz="4" w:space="0" w:color="auto"/>
              <w:bottom w:val="single" w:sz="4" w:space="0" w:color="auto"/>
            </w:tcBorders>
            <w:vAlign w:val="bottom"/>
          </w:tcPr>
          <w:p w14:paraId="3D394DF2" w14:textId="77777777" w:rsidR="009E01F8" w:rsidRPr="00CD729C" w:rsidRDefault="009E01F8" w:rsidP="009B4BB6">
            <w:pPr>
              <w:pStyle w:val="Table"/>
              <w:widowControl w:val="0"/>
              <w:spacing w:before="0" w:after="0"/>
              <w:rPr>
                <w:rFonts w:ascii="Times New Roman" w:hAnsi="Times New Roman"/>
                <w:szCs w:val="22"/>
                <w:lang w:val="lv-LV"/>
              </w:rPr>
            </w:pPr>
            <w:r w:rsidRPr="00CD729C">
              <w:rPr>
                <w:rFonts w:ascii="Times New Roman" w:hAnsi="Times New Roman"/>
                <w:szCs w:val="22"/>
                <w:lang w:val="lv-LV"/>
              </w:rPr>
              <w:t>79,9 vs. 41,5</w:t>
            </w:r>
          </w:p>
        </w:tc>
      </w:tr>
    </w:tbl>
    <w:p w14:paraId="3D394DF4" w14:textId="77777777" w:rsidR="009E01F8" w:rsidRPr="00CD729C" w:rsidRDefault="009E01F8" w:rsidP="009B4BB6">
      <w:pPr>
        <w:pStyle w:val="Text"/>
        <w:keepNext/>
        <w:keepLines/>
        <w:widowControl w:val="0"/>
        <w:spacing w:before="0"/>
        <w:rPr>
          <w:sz w:val="22"/>
          <w:szCs w:val="22"/>
          <w:lang w:val="lv-LV"/>
        </w:rPr>
      </w:pPr>
      <w:r w:rsidRPr="00CD729C">
        <w:rPr>
          <w:sz w:val="22"/>
          <w:szCs w:val="22"/>
          <w:lang w:val="lv-LV"/>
        </w:rPr>
        <w:t>* Pilns novērošanas periods; N.E. – Nav nosakāms</w:t>
      </w:r>
    </w:p>
    <w:p w14:paraId="3D394DF5" w14:textId="77777777" w:rsidR="009E01F8" w:rsidRPr="00CD729C" w:rsidRDefault="009E01F8" w:rsidP="009B4BB6">
      <w:pPr>
        <w:pStyle w:val="Text"/>
        <w:widowControl w:val="0"/>
        <w:spacing w:before="0"/>
        <w:jc w:val="left"/>
        <w:rPr>
          <w:rFonts w:eastAsia="MS Mincho"/>
          <w:color w:val="000000"/>
          <w:sz w:val="22"/>
          <w:szCs w:val="22"/>
          <w:lang w:val="lv-LV" w:eastAsia="ja-JP"/>
        </w:rPr>
      </w:pPr>
    </w:p>
    <w:p w14:paraId="3D394DF6" w14:textId="0A1E5A9A" w:rsidR="009E01F8" w:rsidRPr="00CD729C" w:rsidRDefault="009E01F8" w:rsidP="009B4BB6">
      <w:pPr>
        <w:widowControl w:val="0"/>
        <w:tabs>
          <w:tab w:val="clear" w:pos="567"/>
        </w:tabs>
        <w:spacing w:line="240" w:lineRule="auto"/>
        <w:rPr>
          <w:rFonts w:eastAsia="MS Mincho"/>
          <w:szCs w:val="22"/>
          <w:lang w:eastAsia="ja-JP"/>
        </w:rPr>
      </w:pPr>
      <w:r w:rsidRPr="00CD729C">
        <w:rPr>
          <w:rFonts w:eastAsia="MS Mincho"/>
          <w:szCs w:val="22"/>
          <w:lang w:eastAsia="ja-JP"/>
        </w:rPr>
        <w:t xml:space="preserve">Otrajā daudzcentru, atklātā III fāzes pētījumā (SSG XVIII/AIO) salīdzināja 12 mēnešu ārstēšanu ar Glivec 400 mg/dienā ar 36 mēnešu ārstēšanu pacientiem pēc ķirurģiskas GIST rezekcijas un vienu no šādiem faktoriem: audzēja diametrs </w:t>
      </w:r>
      <w:r w:rsidRPr="00CD729C">
        <w:rPr>
          <w:rFonts w:eastAsia="MS Mincho"/>
          <w:iCs/>
          <w:szCs w:val="22"/>
          <w:lang w:eastAsia="ja-JP"/>
        </w:rPr>
        <w:t>&gt;5</w:t>
      </w:r>
      <w:r w:rsidRPr="00CD729C">
        <w:rPr>
          <w:rFonts w:eastAsia="MS Mincho"/>
          <w:szCs w:val="22"/>
          <w:lang w:eastAsia="ja-JP"/>
        </w:rPr>
        <w:t> </w:t>
      </w:r>
      <w:r w:rsidRPr="00CD729C">
        <w:rPr>
          <w:rFonts w:eastAsia="MS Mincho"/>
          <w:iCs/>
          <w:szCs w:val="22"/>
          <w:lang w:eastAsia="ja-JP"/>
        </w:rPr>
        <w:t xml:space="preserve">cm un mitožu skaits &gt;5/50 maksimālā palielinājuma redzes laukos (HPF); vai </w:t>
      </w:r>
      <w:r w:rsidRPr="00CD729C">
        <w:rPr>
          <w:rFonts w:eastAsia="MS Mincho"/>
          <w:szCs w:val="22"/>
          <w:lang w:eastAsia="ja-JP"/>
        </w:rPr>
        <w:t xml:space="preserve">audzēja diametrs </w:t>
      </w:r>
      <w:r w:rsidRPr="00CD729C">
        <w:rPr>
          <w:rFonts w:eastAsia="MS Mincho"/>
          <w:iCs/>
          <w:szCs w:val="22"/>
          <w:lang w:eastAsia="ja-JP"/>
        </w:rPr>
        <w:t>&gt;10</w:t>
      </w:r>
      <w:r w:rsidRPr="00CD729C">
        <w:rPr>
          <w:rFonts w:eastAsia="MS Mincho"/>
          <w:szCs w:val="22"/>
          <w:lang w:eastAsia="ja-JP"/>
        </w:rPr>
        <w:t> </w:t>
      </w:r>
      <w:r w:rsidRPr="00CD729C">
        <w:rPr>
          <w:rFonts w:eastAsia="MS Mincho"/>
          <w:iCs/>
          <w:szCs w:val="22"/>
          <w:lang w:eastAsia="ja-JP"/>
        </w:rPr>
        <w:t>cm un un jebkurš mitožu skaits, vai jebkura izmēra audzējs un mitožu skaits</w:t>
      </w:r>
      <w:r w:rsidR="00944918">
        <w:rPr>
          <w:rFonts w:eastAsia="MS Mincho"/>
          <w:iCs/>
          <w:szCs w:val="22"/>
          <w:lang w:eastAsia="ja-JP"/>
        </w:rPr>
        <w:t xml:space="preserve"> </w:t>
      </w:r>
      <w:r w:rsidR="00944918" w:rsidRPr="00654EF1">
        <w:rPr>
          <w:rFonts w:eastAsia="MS Mincho"/>
          <w:iCs/>
          <w:szCs w:val="22"/>
          <w:lang w:val="en-US" w:eastAsia="ja-JP"/>
        </w:rPr>
        <w:t>&gt;</w:t>
      </w:r>
      <w:r w:rsidRPr="00CD729C">
        <w:rPr>
          <w:rFonts w:eastAsia="MS Mincho"/>
          <w:iCs/>
          <w:szCs w:val="22"/>
          <w:lang w:eastAsia="ja-JP"/>
        </w:rPr>
        <w:t xml:space="preserve">10/50 HPF, vai audzēju iekļūšana peritoneālā dobumā. Kopumā pētījumā tika iesaistīti un randomizēti 397 pacienti (199 pacienti 12 mēnešu ārstēšanas grupā un 198 pacienti 36 mēnešu ārstēšanas grupā), kuru vidējais vecums bija 61 gads (robežās no 22 līdz 84 gadiem). Vidējais novērošanas ilgums bija 54 mēneši (no randomizācijas datuma līdz datu </w:t>
      </w:r>
      <w:r w:rsidR="00944918" w:rsidRPr="00F247CC">
        <w:rPr>
          <w:lang w:val="en-US" w:eastAsia="de-DE"/>
        </w:rPr>
        <w:t>sadalījuma (</w:t>
      </w:r>
      <w:r w:rsidR="00944918" w:rsidRPr="00F247CC">
        <w:rPr>
          <w:i/>
          <w:lang w:val="en-US" w:eastAsia="de-DE"/>
        </w:rPr>
        <w:t>cut-off</w:t>
      </w:r>
      <w:r w:rsidR="00944918">
        <w:rPr>
          <w:lang w:val="en-US" w:eastAsia="de-DE"/>
        </w:rPr>
        <w:t>)</w:t>
      </w:r>
      <w:r w:rsidRPr="00CD729C">
        <w:rPr>
          <w:rFonts w:eastAsia="MS Mincho"/>
          <w:iCs/>
          <w:szCs w:val="22"/>
          <w:lang w:eastAsia="ja-JP"/>
        </w:rPr>
        <w:t xml:space="preserve"> brīdim), un kopumā 83 mēneši - no pirmā pacienta randomizācijas līdz </w:t>
      </w:r>
      <w:r w:rsidR="00944918">
        <w:rPr>
          <w:rFonts w:eastAsia="MS Mincho"/>
          <w:iCs/>
          <w:szCs w:val="22"/>
          <w:lang w:eastAsia="ja-JP"/>
        </w:rPr>
        <w:t xml:space="preserve">datu </w:t>
      </w:r>
      <w:r w:rsidR="00944918" w:rsidRPr="00F247CC">
        <w:rPr>
          <w:lang w:val="en-US" w:eastAsia="de-DE"/>
        </w:rPr>
        <w:t>sadalījuma (</w:t>
      </w:r>
      <w:r w:rsidR="00944918" w:rsidRPr="00F247CC">
        <w:rPr>
          <w:i/>
          <w:lang w:val="en-US" w:eastAsia="de-DE"/>
        </w:rPr>
        <w:t>cut-off</w:t>
      </w:r>
      <w:r w:rsidR="00944918">
        <w:rPr>
          <w:lang w:val="en-US" w:eastAsia="de-DE"/>
        </w:rPr>
        <w:t>)</w:t>
      </w:r>
      <w:r w:rsidR="00944918">
        <w:rPr>
          <w:rFonts w:eastAsia="MS Mincho"/>
          <w:iCs/>
          <w:szCs w:val="22"/>
          <w:lang w:eastAsia="ja-JP"/>
        </w:rPr>
        <w:t xml:space="preserve"> </w:t>
      </w:r>
      <w:r w:rsidRPr="00CD729C">
        <w:rPr>
          <w:rFonts w:eastAsia="MS Mincho"/>
          <w:iCs/>
          <w:szCs w:val="22"/>
          <w:lang w:eastAsia="ja-JP"/>
        </w:rPr>
        <w:t>brīdim.</w:t>
      </w:r>
    </w:p>
    <w:p w14:paraId="3D394DF7" w14:textId="77777777" w:rsidR="009E01F8" w:rsidRPr="00CD729C" w:rsidRDefault="009E01F8" w:rsidP="009B4BB6">
      <w:pPr>
        <w:widowControl w:val="0"/>
        <w:tabs>
          <w:tab w:val="clear" w:pos="567"/>
        </w:tabs>
        <w:spacing w:line="240" w:lineRule="auto"/>
        <w:rPr>
          <w:rFonts w:eastAsia="MS Mincho"/>
          <w:szCs w:val="22"/>
          <w:lang w:eastAsia="ja-JP"/>
        </w:rPr>
      </w:pPr>
    </w:p>
    <w:p w14:paraId="3D394DF8" w14:textId="77777777" w:rsidR="009E01F8" w:rsidRPr="00CD729C" w:rsidRDefault="009E01F8" w:rsidP="009B4BB6">
      <w:pPr>
        <w:pStyle w:val="Text"/>
        <w:widowControl w:val="0"/>
        <w:spacing w:before="0"/>
        <w:jc w:val="left"/>
        <w:rPr>
          <w:rFonts w:eastAsia="MS Mincho"/>
          <w:color w:val="000000"/>
          <w:sz w:val="22"/>
          <w:szCs w:val="22"/>
          <w:lang w:val="lv-LV" w:eastAsia="ja-JP"/>
        </w:rPr>
      </w:pPr>
      <w:r w:rsidRPr="00CD729C">
        <w:rPr>
          <w:rFonts w:eastAsia="MS Mincho"/>
          <w:color w:val="000000"/>
          <w:sz w:val="22"/>
          <w:szCs w:val="22"/>
          <w:lang w:val="lv-LV" w:eastAsia="ja-JP"/>
        </w:rPr>
        <w:t>Pētījuma primārais mērķa kritērijs bija dzīvildze bez recidīva (</w:t>
      </w:r>
      <w:r w:rsidRPr="00CD729C">
        <w:rPr>
          <w:rFonts w:eastAsia="MS Mincho"/>
          <w:i/>
          <w:color w:val="000000"/>
          <w:sz w:val="22"/>
          <w:szCs w:val="22"/>
          <w:lang w:val="lv-LV" w:eastAsia="ja-JP"/>
        </w:rPr>
        <w:t>recurrence-free survival</w:t>
      </w:r>
      <w:r w:rsidRPr="00CD729C">
        <w:rPr>
          <w:rFonts w:eastAsia="MS Mincho"/>
          <w:color w:val="000000"/>
          <w:sz w:val="22"/>
          <w:szCs w:val="22"/>
          <w:lang w:val="lv-LV" w:eastAsia="ja-JP"/>
        </w:rPr>
        <w:t xml:space="preserve"> -RFS), kas definēts kā laika posms no pacienta randomizācijas brīža pētījumā līdz recidīva diagnosticēšanas vai nāves (neatkarīgi no iemesla) brīdim.</w:t>
      </w:r>
    </w:p>
    <w:p w14:paraId="3D394DF9" w14:textId="77777777" w:rsidR="009E01F8" w:rsidRPr="00CD729C" w:rsidRDefault="009E01F8" w:rsidP="009B4BB6">
      <w:pPr>
        <w:widowControl w:val="0"/>
        <w:tabs>
          <w:tab w:val="clear" w:pos="567"/>
        </w:tabs>
        <w:spacing w:line="240" w:lineRule="auto"/>
        <w:rPr>
          <w:rFonts w:eastAsia="MS Mincho"/>
          <w:szCs w:val="22"/>
          <w:lang w:eastAsia="ja-JP"/>
        </w:rPr>
      </w:pPr>
    </w:p>
    <w:p w14:paraId="3D394DFA" w14:textId="77777777" w:rsidR="009E01F8" w:rsidRPr="00CD729C" w:rsidRDefault="009E01F8" w:rsidP="009B4BB6">
      <w:pPr>
        <w:pStyle w:val="Text"/>
        <w:widowControl w:val="0"/>
        <w:spacing w:before="0"/>
        <w:jc w:val="left"/>
        <w:rPr>
          <w:rFonts w:eastAsia="MS Mincho"/>
          <w:color w:val="000000"/>
          <w:sz w:val="22"/>
          <w:szCs w:val="22"/>
          <w:lang w:val="lv-LV" w:eastAsia="ja-JP"/>
        </w:rPr>
      </w:pPr>
      <w:r w:rsidRPr="00CD729C">
        <w:rPr>
          <w:rFonts w:eastAsia="MS Mincho"/>
          <w:color w:val="000000"/>
          <w:sz w:val="22"/>
          <w:szCs w:val="22"/>
          <w:lang w:val="lv-LV" w:eastAsia="ja-JP"/>
        </w:rPr>
        <w:t>Trīsdesmit sešu (36) mēnešu ārstēšana ar Glivec ievērojami pagarināja dzīvildzi bez recidīva (RFS), salīdzinot ar 12 mēnešu ārstēšanu ar Glivec (kopējā riska attiecība (RA) = 0,46 [0,32, 0,65], p&lt;0,0001) (tabula Nr. </w:t>
      </w:r>
      <w:r w:rsidR="00E72001" w:rsidRPr="00CD729C">
        <w:rPr>
          <w:rFonts w:eastAsia="MS Mincho"/>
          <w:color w:val="000000"/>
          <w:sz w:val="22"/>
          <w:szCs w:val="22"/>
          <w:lang w:val="lv-LV" w:eastAsia="ja-JP"/>
        </w:rPr>
        <w:t>8</w:t>
      </w:r>
      <w:r w:rsidRPr="00CD729C">
        <w:rPr>
          <w:rFonts w:eastAsia="MS Mincho"/>
          <w:color w:val="000000"/>
          <w:sz w:val="22"/>
          <w:szCs w:val="22"/>
          <w:lang w:val="lv-LV" w:eastAsia="ja-JP"/>
        </w:rPr>
        <w:t>, 1. attēls).</w:t>
      </w:r>
    </w:p>
    <w:p w14:paraId="3D394DFB" w14:textId="77777777" w:rsidR="009E01F8" w:rsidRPr="00CD729C" w:rsidRDefault="009E01F8" w:rsidP="009B4BB6">
      <w:pPr>
        <w:pStyle w:val="Text"/>
        <w:widowControl w:val="0"/>
        <w:spacing w:before="0"/>
        <w:jc w:val="left"/>
        <w:rPr>
          <w:rFonts w:eastAsia="MS Mincho"/>
          <w:color w:val="000000"/>
          <w:sz w:val="22"/>
          <w:szCs w:val="22"/>
          <w:lang w:val="lv-LV" w:eastAsia="ja-JP"/>
        </w:rPr>
      </w:pPr>
    </w:p>
    <w:p w14:paraId="3D394DFC" w14:textId="77777777" w:rsidR="009E01F8" w:rsidRPr="00CD729C" w:rsidRDefault="009E01F8" w:rsidP="009B4BB6">
      <w:pPr>
        <w:pStyle w:val="Text"/>
        <w:widowControl w:val="0"/>
        <w:spacing w:before="0"/>
        <w:jc w:val="left"/>
        <w:rPr>
          <w:rFonts w:eastAsia="MS Mincho"/>
          <w:color w:val="000000"/>
          <w:sz w:val="22"/>
          <w:szCs w:val="22"/>
          <w:lang w:val="lv-LV" w:eastAsia="ja-JP"/>
        </w:rPr>
      </w:pPr>
      <w:r w:rsidRPr="00CD729C">
        <w:rPr>
          <w:rFonts w:eastAsia="MS Mincho"/>
          <w:color w:val="000000"/>
          <w:sz w:val="22"/>
          <w:szCs w:val="22"/>
          <w:lang w:val="lv-LV" w:eastAsia="ja-JP"/>
        </w:rPr>
        <w:t>Turklāt trīsdesmit sešu (36) mēnešu ārstēšana ar Glivec ievērojami pagarināja kopējo dzīvildzi (OS), salīdzinot ar 12 mēnešu ārstēšanu ar Glivec (RA = 0,45 [0,22, 0,89], p=0,0187) (tabula Nr. </w:t>
      </w:r>
      <w:r w:rsidR="00E72001" w:rsidRPr="00CD729C">
        <w:rPr>
          <w:rFonts w:eastAsia="MS Mincho"/>
          <w:color w:val="000000"/>
          <w:sz w:val="22"/>
          <w:szCs w:val="22"/>
          <w:lang w:val="lv-LV" w:eastAsia="ja-JP"/>
        </w:rPr>
        <w:t>8</w:t>
      </w:r>
      <w:r w:rsidRPr="00CD729C">
        <w:rPr>
          <w:rFonts w:eastAsia="MS Mincho"/>
          <w:color w:val="000000"/>
          <w:sz w:val="22"/>
          <w:szCs w:val="22"/>
          <w:lang w:val="lv-LV" w:eastAsia="ja-JP"/>
        </w:rPr>
        <w:t>, 2. attēls).</w:t>
      </w:r>
    </w:p>
    <w:p w14:paraId="3D394DFD" w14:textId="77777777" w:rsidR="009E01F8" w:rsidRPr="00CD729C" w:rsidRDefault="009E01F8" w:rsidP="009B4BB6">
      <w:pPr>
        <w:pStyle w:val="Text"/>
        <w:widowControl w:val="0"/>
        <w:spacing w:before="0"/>
        <w:jc w:val="left"/>
        <w:rPr>
          <w:rFonts w:eastAsia="MS Mincho"/>
          <w:color w:val="000000"/>
          <w:sz w:val="22"/>
          <w:szCs w:val="22"/>
          <w:lang w:val="lv-LV" w:eastAsia="ja-JP"/>
        </w:rPr>
      </w:pPr>
    </w:p>
    <w:p w14:paraId="3D394DFE" w14:textId="77777777" w:rsidR="009E01F8" w:rsidRPr="00CD729C" w:rsidRDefault="009E01F8" w:rsidP="009B4BB6">
      <w:pPr>
        <w:pStyle w:val="Text"/>
        <w:widowControl w:val="0"/>
        <w:spacing w:before="0"/>
        <w:jc w:val="left"/>
        <w:rPr>
          <w:rFonts w:eastAsia="MS Mincho"/>
          <w:color w:val="000000"/>
          <w:sz w:val="22"/>
          <w:szCs w:val="22"/>
          <w:lang w:val="lv-LV" w:eastAsia="ja-JP"/>
        </w:rPr>
      </w:pPr>
      <w:r w:rsidRPr="00CD729C">
        <w:rPr>
          <w:rFonts w:eastAsia="MS Mincho"/>
          <w:color w:val="000000"/>
          <w:sz w:val="22"/>
          <w:szCs w:val="22"/>
          <w:lang w:val="lv-LV" w:eastAsia="ja-JP"/>
        </w:rPr>
        <w:t>Ilgāka (&gt;36 mēnešu) ārstēšana var aizkavēt turpmāku recidīvu rašanos; tomēr šīs atrades ietekme uz kopējo dzīvildzi joprojām nav zināma.</w:t>
      </w:r>
    </w:p>
    <w:p w14:paraId="3D394DFF" w14:textId="77777777" w:rsidR="009E01F8" w:rsidRPr="00CD729C" w:rsidRDefault="009E01F8" w:rsidP="009B4BB6">
      <w:pPr>
        <w:pStyle w:val="Text"/>
        <w:widowControl w:val="0"/>
        <w:spacing w:before="0"/>
        <w:jc w:val="left"/>
        <w:rPr>
          <w:rFonts w:eastAsia="MS Mincho"/>
          <w:color w:val="000000"/>
          <w:sz w:val="22"/>
          <w:szCs w:val="22"/>
          <w:lang w:val="lv-LV" w:eastAsia="ja-JP"/>
        </w:rPr>
      </w:pPr>
    </w:p>
    <w:p w14:paraId="3D394E00" w14:textId="77777777" w:rsidR="009E01F8" w:rsidRPr="00CD729C" w:rsidRDefault="009E01F8" w:rsidP="009B4BB6">
      <w:pPr>
        <w:pStyle w:val="Text"/>
        <w:widowControl w:val="0"/>
        <w:spacing w:before="0"/>
        <w:jc w:val="left"/>
        <w:rPr>
          <w:rFonts w:eastAsia="MS Mincho"/>
          <w:color w:val="000000"/>
          <w:sz w:val="22"/>
          <w:szCs w:val="22"/>
          <w:lang w:val="lv-LV" w:eastAsia="ja-JP"/>
        </w:rPr>
      </w:pPr>
      <w:r w:rsidRPr="00CD729C">
        <w:rPr>
          <w:rFonts w:eastAsia="MS Mincho"/>
          <w:color w:val="000000"/>
          <w:sz w:val="22"/>
          <w:szCs w:val="22"/>
          <w:lang w:val="lv-LV" w:eastAsia="ja-JP"/>
        </w:rPr>
        <w:t>Kopējais nāves gadījumu skaits 12 mēnešu un 36 mēnešu ārstēšanas grupās bija attiecīgi 25 un 12.</w:t>
      </w:r>
    </w:p>
    <w:p w14:paraId="3D394E01" w14:textId="77777777" w:rsidR="009E01F8" w:rsidRPr="00CD729C" w:rsidRDefault="009E01F8" w:rsidP="009B4BB6">
      <w:pPr>
        <w:widowControl w:val="0"/>
        <w:tabs>
          <w:tab w:val="clear" w:pos="567"/>
        </w:tabs>
        <w:spacing w:line="240" w:lineRule="auto"/>
        <w:rPr>
          <w:rFonts w:eastAsia="MS Mincho"/>
          <w:iCs/>
          <w:szCs w:val="22"/>
          <w:lang w:eastAsia="ja-JP"/>
        </w:rPr>
      </w:pPr>
    </w:p>
    <w:p w14:paraId="3D394E02" w14:textId="77777777" w:rsidR="009E01F8" w:rsidRPr="00CD729C" w:rsidRDefault="009E01F8" w:rsidP="009B4BB6">
      <w:pPr>
        <w:widowControl w:val="0"/>
        <w:tabs>
          <w:tab w:val="clear" w:pos="567"/>
        </w:tabs>
        <w:spacing w:line="240" w:lineRule="auto"/>
        <w:rPr>
          <w:rFonts w:eastAsia="MS Mincho"/>
          <w:iCs/>
          <w:szCs w:val="22"/>
          <w:lang w:eastAsia="ja-JP"/>
        </w:rPr>
      </w:pPr>
      <w:r w:rsidRPr="00CD729C">
        <w:rPr>
          <w:rFonts w:eastAsia="MS Mincho"/>
          <w:iCs/>
          <w:szCs w:val="22"/>
          <w:lang w:eastAsia="ja-JP"/>
        </w:rPr>
        <w:t xml:space="preserve">ITT analīzē, t.i., iekļaujot visu pētījuma populāciju, 36 mēnešu ārstēšana ar imatinibu bija pārāka par 12 mēnešu ārstēšanu ar imatinibu. Plānotajā apakšgrupu analīzē pēc mutāciju tipa, 36 mēnešu ārstēšanas grupā pacientiem ar </w:t>
      </w:r>
      <w:r w:rsidRPr="00CD729C">
        <w:rPr>
          <w:rFonts w:eastAsia="MS Mincho"/>
          <w:i/>
          <w:iCs/>
          <w:szCs w:val="22"/>
          <w:lang w:eastAsia="ja-JP"/>
        </w:rPr>
        <w:t>exon 11</w:t>
      </w:r>
      <w:r w:rsidRPr="00CD729C">
        <w:rPr>
          <w:rFonts w:eastAsia="MS Mincho"/>
          <w:iCs/>
          <w:szCs w:val="22"/>
          <w:lang w:eastAsia="ja-JP"/>
        </w:rPr>
        <w:t xml:space="preserve"> mutāciju riska attiecība bija 0,35 [95% TI: 0,22, 0,56]. Nelielā novēroto gadījumu skaita dēļ apakšgrupās nevar izdarīt secinājumus par citām retāk sastopamām mutācijām.</w:t>
      </w:r>
    </w:p>
    <w:p w14:paraId="3D394E03" w14:textId="77777777" w:rsidR="009E01F8" w:rsidRPr="00CD729C" w:rsidRDefault="009E01F8" w:rsidP="009B4BB6">
      <w:pPr>
        <w:widowControl w:val="0"/>
        <w:tabs>
          <w:tab w:val="clear" w:pos="567"/>
        </w:tabs>
        <w:spacing w:line="240" w:lineRule="auto"/>
        <w:rPr>
          <w:rFonts w:eastAsia="MS Mincho"/>
          <w:iCs/>
          <w:szCs w:val="22"/>
          <w:lang w:eastAsia="ja-JP"/>
        </w:rPr>
      </w:pPr>
    </w:p>
    <w:p w14:paraId="3D394E04" w14:textId="77777777" w:rsidR="009E01F8" w:rsidRPr="00CD729C" w:rsidRDefault="009E01F8" w:rsidP="009B4BB6">
      <w:pPr>
        <w:keepNext/>
        <w:keepLines/>
        <w:widowControl w:val="0"/>
        <w:tabs>
          <w:tab w:val="clear" w:pos="567"/>
        </w:tabs>
        <w:spacing w:line="240" w:lineRule="auto"/>
        <w:ind w:left="1701" w:hanging="1701"/>
        <w:rPr>
          <w:rFonts w:eastAsia="MS Mincho"/>
          <w:b/>
          <w:szCs w:val="22"/>
          <w:lang w:eastAsia="ja-JP"/>
        </w:rPr>
      </w:pPr>
      <w:r w:rsidRPr="00CD729C">
        <w:rPr>
          <w:rFonts w:eastAsia="MS Mincho"/>
          <w:b/>
          <w:color w:val="000000"/>
          <w:szCs w:val="22"/>
          <w:lang w:eastAsia="ja-JP"/>
        </w:rPr>
        <w:t>Tabula Nr. </w:t>
      </w:r>
      <w:r w:rsidR="00E72001" w:rsidRPr="00CD729C">
        <w:rPr>
          <w:rFonts w:eastAsia="MS Mincho"/>
          <w:b/>
          <w:color w:val="000000"/>
          <w:szCs w:val="22"/>
          <w:lang w:eastAsia="ja-JP"/>
        </w:rPr>
        <w:t>8</w:t>
      </w:r>
      <w:r w:rsidRPr="00CD729C">
        <w:rPr>
          <w:rFonts w:eastAsia="MS Mincho"/>
          <w:szCs w:val="22"/>
        </w:rPr>
        <w:tab/>
      </w:r>
      <w:r w:rsidRPr="00CD729C">
        <w:rPr>
          <w:rFonts w:eastAsia="MS Mincho"/>
          <w:b/>
          <w:szCs w:val="22"/>
          <w:lang w:eastAsia="ja-JP"/>
        </w:rPr>
        <w:t>12 mēnešu un 36 mēnešu ilga ārstēšana ar Glivec (pētījums SSGXVIII/AIO)</w:t>
      </w:r>
    </w:p>
    <w:p w14:paraId="3D394E05" w14:textId="77777777" w:rsidR="009E01F8" w:rsidRPr="00CD729C" w:rsidRDefault="009E01F8" w:rsidP="009B4BB6">
      <w:pPr>
        <w:keepNext/>
        <w:keepLines/>
        <w:widowControl w:val="0"/>
        <w:tabs>
          <w:tab w:val="clear" w:pos="567"/>
        </w:tabs>
        <w:spacing w:line="240" w:lineRule="auto"/>
        <w:rPr>
          <w:rFonts w:eastAsia="MS Mincho"/>
          <w:szCs w:val="22"/>
        </w:rPr>
      </w:pPr>
    </w:p>
    <w:tbl>
      <w:tblPr>
        <w:tblW w:w="0" w:type="auto"/>
        <w:tblBorders>
          <w:top w:val="single" w:sz="4" w:space="0" w:color="auto"/>
          <w:bottom w:val="single" w:sz="4" w:space="0" w:color="auto"/>
        </w:tblBorders>
        <w:tblLayout w:type="fixed"/>
        <w:tblLook w:val="0000" w:firstRow="0" w:lastRow="0" w:firstColumn="0" w:lastColumn="0" w:noHBand="0" w:noVBand="0"/>
      </w:tblPr>
      <w:tblGrid>
        <w:gridCol w:w="3099"/>
        <w:gridCol w:w="3100"/>
        <w:gridCol w:w="3100"/>
      </w:tblGrid>
      <w:tr w:rsidR="009E01F8" w:rsidRPr="00CD729C" w14:paraId="3D394E09" w14:textId="77777777" w:rsidTr="00E36D64">
        <w:trPr>
          <w:cantSplit/>
        </w:trPr>
        <w:tc>
          <w:tcPr>
            <w:tcW w:w="3099" w:type="dxa"/>
            <w:tcBorders>
              <w:top w:val="single" w:sz="4" w:space="0" w:color="auto"/>
              <w:bottom w:val="nil"/>
            </w:tcBorders>
            <w:shd w:val="clear" w:color="auto" w:fill="auto"/>
          </w:tcPr>
          <w:p w14:paraId="3D394E06" w14:textId="77777777" w:rsidR="009E01F8" w:rsidRPr="00CD729C" w:rsidRDefault="009E01F8" w:rsidP="009B4BB6">
            <w:pPr>
              <w:keepNext/>
              <w:keepLines/>
              <w:widowControl w:val="0"/>
              <w:tabs>
                <w:tab w:val="clear" w:pos="567"/>
                <w:tab w:val="left" w:pos="284"/>
              </w:tabs>
              <w:spacing w:line="240" w:lineRule="auto"/>
              <w:rPr>
                <w:rFonts w:eastAsia="MS Mincho"/>
                <w:szCs w:val="22"/>
              </w:rPr>
            </w:pPr>
          </w:p>
        </w:tc>
        <w:tc>
          <w:tcPr>
            <w:tcW w:w="3100" w:type="dxa"/>
            <w:tcBorders>
              <w:top w:val="single" w:sz="4" w:space="0" w:color="auto"/>
              <w:bottom w:val="nil"/>
            </w:tcBorders>
            <w:shd w:val="clear" w:color="auto" w:fill="auto"/>
          </w:tcPr>
          <w:p w14:paraId="3D394E07" w14:textId="77777777" w:rsidR="009E01F8" w:rsidRPr="00CD729C" w:rsidRDefault="009E01F8" w:rsidP="009B4BB6">
            <w:pPr>
              <w:keepNext/>
              <w:keepLines/>
              <w:widowControl w:val="0"/>
              <w:tabs>
                <w:tab w:val="clear" w:pos="567"/>
                <w:tab w:val="left" w:pos="284"/>
              </w:tabs>
              <w:spacing w:line="240" w:lineRule="auto"/>
              <w:rPr>
                <w:rFonts w:eastAsia="MS Mincho"/>
                <w:b/>
                <w:szCs w:val="22"/>
              </w:rPr>
            </w:pPr>
            <w:r w:rsidRPr="00CD729C">
              <w:rPr>
                <w:rFonts w:eastAsia="MS Mincho"/>
                <w:b/>
                <w:szCs w:val="22"/>
              </w:rPr>
              <w:t>12 mēnešu ārstēšanas grupa</w:t>
            </w:r>
          </w:p>
        </w:tc>
        <w:tc>
          <w:tcPr>
            <w:tcW w:w="3100" w:type="dxa"/>
            <w:tcBorders>
              <w:top w:val="single" w:sz="4" w:space="0" w:color="auto"/>
              <w:bottom w:val="nil"/>
            </w:tcBorders>
            <w:shd w:val="clear" w:color="auto" w:fill="auto"/>
          </w:tcPr>
          <w:p w14:paraId="3D394E08" w14:textId="77777777" w:rsidR="009E01F8" w:rsidRPr="00CD729C" w:rsidRDefault="009E01F8" w:rsidP="009B4BB6">
            <w:pPr>
              <w:keepNext/>
              <w:keepLines/>
              <w:widowControl w:val="0"/>
              <w:tabs>
                <w:tab w:val="clear" w:pos="567"/>
                <w:tab w:val="left" w:pos="284"/>
              </w:tabs>
              <w:spacing w:line="240" w:lineRule="auto"/>
              <w:rPr>
                <w:rFonts w:eastAsia="MS Mincho"/>
                <w:b/>
                <w:szCs w:val="22"/>
              </w:rPr>
            </w:pPr>
            <w:r w:rsidRPr="00CD729C">
              <w:rPr>
                <w:rFonts w:eastAsia="MS Mincho"/>
                <w:b/>
                <w:szCs w:val="22"/>
              </w:rPr>
              <w:t>36 mēnešu ārstēšanas grupa</w:t>
            </w:r>
          </w:p>
        </w:tc>
      </w:tr>
      <w:tr w:rsidR="009E01F8" w:rsidRPr="00CD729C" w14:paraId="3D394E0D" w14:textId="77777777" w:rsidTr="00E36D64">
        <w:trPr>
          <w:cantSplit/>
        </w:trPr>
        <w:tc>
          <w:tcPr>
            <w:tcW w:w="3099" w:type="dxa"/>
            <w:tcBorders>
              <w:top w:val="nil"/>
            </w:tcBorders>
            <w:shd w:val="clear" w:color="auto" w:fill="auto"/>
          </w:tcPr>
          <w:p w14:paraId="3D394E0A" w14:textId="77777777" w:rsidR="009E01F8" w:rsidRPr="00CD729C" w:rsidRDefault="009E01F8" w:rsidP="009B4BB6">
            <w:pPr>
              <w:keepNext/>
              <w:keepLines/>
              <w:widowControl w:val="0"/>
              <w:tabs>
                <w:tab w:val="clear" w:pos="567"/>
                <w:tab w:val="left" w:pos="284"/>
              </w:tabs>
              <w:spacing w:line="240" w:lineRule="auto"/>
              <w:rPr>
                <w:rFonts w:eastAsia="MS Mincho"/>
                <w:b/>
                <w:szCs w:val="22"/>
              </w:rPr>
            </w:pPr>
            <w:r w:rsidRPr="00CD729C">
              <w:rPr>
                <w:rFonts w:eastAsia="MS Mincho"/>
                <w:b/>
                <w:szCs w:val="22"/>
              </w:rPr>
              <w:t>RFS</w:t>
            </w:r>
          </w:p>
        </w:tc>
        <w:tc>
          <w:tcPr>
            <w:tcW w:w="3100" w:type="dxa"/>
            <w:tcBorders>
              <w:top w:val="nil"/>
            </w:tcBorders>
            <w:shd w:val="clear" w:color="auto" w:fill="auto"/>
          </w:tcPr>
          <w:p w14:paraId="3D394E0B" w14:textId="77777777" w:rsidR="009E01F8" w:rsidRPr="00CD729C" w:rsidRDefault="009E01F8" w:rsidP="009B4BB6">
            <w:pPr>
              <w:keepNext/>
              <w:keepLines/>
              <w:widowControl w:val="0"/>
              <w:tabs>
                <w:tab w:val="clear" w:pos="567"/>
                <w:tab w:val="left" w:pos="284"/>
              </w:tabs>
              <w:spacing w:line="240" w:lineRule="auto"/>
              <w:rPr>
                <w:rFonts w:eastAsia="MS Mincho"/>
                <w:b/>
                <w:szCs w:val="22"/>
              </w:rPr>
            </w:pPr>
            <w:r w:rsidRPr="00CD729C">
              <w:rPr>
                <w:rFonts w:eastAsia="MS Mincho"/>
                <w:b/>
                <w:szCs w:val="22"/>
              </w:rPr>
              <w:t>%(TI)</w:t>
            </w:r>
          </w:p>
        </w:tc>
        <w:tc>
          <w:tcPr>
            <w:tcW w:w="3100" w:type="dxa"/>
            <w:tcBorders>
              <w:top w:val="nil"/>
            </w:tcBorders>
            <w:shd w:val="clear" w:color="auto" w:fill="auto"/>
          </w:tcPr>
          <w:p w14:paraId="3D394E0C" w14:textId="77777777" w:rsidR="009E01F8" w:rsidRPr="00CD729C" w:rsidRDefault="009E01F8" w:rsidP="009B4BB6">
            <w:pPr>
              <w:keepNext/>
              <w:keepLines/>
              <w:widowControl w:val="0"/>
              <w:tabs>
                <w:tab w:val="clear" w:pos="567"/>
                <w:tab w:val="left" w:pos="284"/>
              </w:tabs>
              <w:spacing w:line="240" w:lineRule="auto"/>
              <w:rPr>
                <w:rFonts w:eastAsia="MS Mincho"/>
                <w:b/>
                <w:szCs w:val="22"/>
              </w:rPr>
            </w:pPr>
            <w:r w:rsidRPr="00CD729C">
              <w:rPr>
                <w:rFonts w:eastAsia="MS Mincho"/>
                <w:b/>
                <w:szCs w:val="22"/>
              </w:rPr>
              <w:t>%(TI)</w:t>
            </w:r>
          </w:p>
        </w:tc>
      </w:tr>
      <w:tr w:rsidR="009E01F8" w:rsidRPr="00CD729C" w14:paraId="3D394E11" w14:textId="77777777" w:rsidTr="00E36D64">
        <w:trPr>
          <w:cantSplit/>
        </w:trPr>
        <w:tc>
          <w:tcPr>
            <w:tcW w:w="3099" w:type="dxa"/>
            <w:shd w:val="clear" w:color="auto" w:fill="auto"/>
          </w:tcPr>
          <w:p w14:paraId="3D394E0E" w14:textId="77777777" w:rsidR="009E01F8" w:rsidRPr="00CD729C" w:rsidRDefault="009E01F8" w:rsidP="009B4BB6">
            <w:pPr>
              <w:keepNext/>
              <w:keepLines/>
              <w:widowControl w:val="0"/>
              <w:tabs>
                <w:tab w:val="clear" w:pos="567"/>
              </w:tabs>
              <w:spacing w:line="240" w:lineRule="auto"/>
              <w:ind w:left="284"/>
              <w:rPr>
                <w:rFonts w:eastAsia="MS Mincho"/>
                <w:szCs w:val="22"/>
              </w:rPr>
            </w:pPr>
            <w:r w:rsidRPr="00CD729C">
              <w:rPr>
                <w:rFonts w:eastAsia="MS Mincho"/>
                <w:szCs w:val="22"/>
              </w:rPr>
              <w:t>12</w:t>
            </w:r>
            <w:r w:rsidRPr="00CD729C">
              <w:rPr>
                <w:rFonts w:eastAsia="MS Mincho"/>
                <w:szCs w:val="22"/>
                <w:lang w:eastAsia="ja-JP"/>
              </w:rPr>
              <w:t> </w:t>
            </w:r>
            <w:r w:rsidRPr="00CD729C">
              <w:rPr>
                <w:rFonts w:eastAsia="MS Mincho"/>
                <w:szCs w:val="22"/>
              </w:rPr>
              <w:t>mēneši</w:t>
            </w:r>
          </w:p>
        </w:tc>
        <w:tc>
          <w:tcPr>
            <w:tcW w:w="3100" w:type="dxa"/>
            <w:shd w:val="clear" w:color="auto" w:fill="auto"/>
          </w:tcPr>
          <w:p w14:paraId="3D394E0F" w14:textId="77777777" w:rsidR="009E01F8" w:rsidRPr="00CD729C" w:rsidRDefault="009E01F8" w:rsidP="009B4BB6">
            <w:pPr>
              <w:keepNext/>
              <w:keepLines/>
              <w:widowControl w:val="0"/>
              <w:tabs>
                <w:tab w:val="clear" w:pos="567"/>
                <w:tab w:val="left" w:pos="284"/>
              </w:tabs>
              <w:spacing w:line="240" w:lineRule="auto"/>
              <w:rPr>
                <w:rFonts w:eastAsia="MS Mincho"/>
                <w:szCs w:val="22"/>
              </w:rPr>
            </w:pPr>
            <w:r w:rsidRPr="00CD729C">
              <w:rPr>
                <w:rFonts w:eastAsia="MS Mincho"/>
                <w:szCs w:val="22"/>
              </w:rPr>
              <w:t>93,7 (89,2</w:t>
            </w:r>
            <w:r w:rsidRPr="00CD729C">
              <w:rPr>
                <w:rFonts w:eastAsia="MS Mincho"/>
                <w:szCs w:val="22"/>
              </w:rPr>
              <w:noBreakHyphen/>
              <w:t>96,4)</w:t>
            </w:r>
          </w:p>
        </w:tc>
        <w:tc>
          <w:tcPr>
            <w:tcW w:w="3100" w:type="dxa"/>
            <w:shd w:val="clear" w:color="auto" w:fill="auto"/>
          </w:tcPr>
          <w:p w14:paraId="3D394E10" w14:textId="77777777" w:rsidR="009E01F8" w:rsidRPr="00CD729C" w:rsidRDefault="009E01F8" w:rsidP="009B4BB6">
            <w:pPr>
              <w:keepNext/>
              <w:keepLines/>
              <w:widowControl w:val="0"/>
              <w:tabs>
                <w:tab w:val="clear" w:pos="567"/>
                <w:tab w:val="left" w:pos="284"/>
              </w:tabs>
              <w:spacing w:line="240" w:lineRule="auto"/>
              <w:rPr>
                <w:rFonts w:eastAsia="MS Mincho"/>
                <w:szCs w:val="22"/>
              </w:rPr>
            </w:pPr>
            <w:r w:rsidRPr="00CD729C">
              <w:rPr>
                <w:rFonts w:eastAsia="MS Mincho"/>
                <w:szCs w:val="22"/>
              </w:rPr>
              <w:t>95,9 (91,9</w:t>
            </w:r>
            <w:r w:rsidRPr="00CD729C">
              <w:rPr>
                <w:rFonts w:eastAsia="MS Mincho"/>
                <w:szCs w:val="22"/>
              </w:rPr>
              <w:noBreakHyphen/>
              <w:t>97,9)</w:t>
            </w:r>
          </w:p>
        </w:tc>
      </w:tr>
      <w:tr w:rsidR="009E01F8" w:rsidRPr="00CD729C" w14:paraId="3D394E15" w14:textId="77777777" w:rsidTr="00E36D64">
        <w:trPr>
          <w:cantSplit/>
        </w:trPr>
        <w:tc>
          <w:tcPr>
            <w:tcW w:w="3099" w:type="dxa"/>
            <w:shd w:val="clear" w:color="auto" w:fill="auto"/>
          </w:tcPr>
          <w:p w14:paraId="3D394E12" w14:textId="77777777" w:rsidR="009E01F8" w:rsidRPr="00CD729C" w:rsidRDefault="009E01F8" w:rsidP="009B4BB6">
            <w:pPr>
              <w:keepNext/>
              <w:keepLines/>
              <w:widowControl w:val="0"/>
              <w:tabs>
                <w:tab w:val="clear" w:pos="567"/>
              </w:tabs>
              <w:spacing w:line="240" w:lineRule="auto"/>
              <w:ind w:left="284"/>
              <w:rPr>
                <w:rFonts w:eastAsia="MS Mincho"/>
                <w:szCs w:val="22"/>
              </w:rPr>
            </w:pPr>
            <w:r w:rsidRPr="00CD729C">
              <w:rPr>
                <w:rFonts w:eastAsia="MS Mincho"/>
                <w:szCs w:val="22"/>
              </w:rPr>
              <w:t>24</w:t>
            </w:r>
            <w:r w:rsidRPr="00CD729C">
              <w:rPr>
                <w:rFonts w:eastAsia="MS Mincho"/>
                <w:szCs w:val="22"/>
                <w:lang w:eastAsia="ja-JP"/>
              </w:rPr>
              <w:t> </w:t>
            </w:r>
            <w:r w:rsidRPr="00CD729C">
              <w:rPr>
                <w:rFonts w:eastAsia="MS Mincho"/>
                <w:szCs w:val="22"/>
              </w:rPr>
              <w:t>mēneši</w:t>
            </w:r>
          </w:p>
        </w:tc>
        <w:tc>
          <w:tcPr>
            <w:tcW w:w="3100" w:type="dxa"/>
            <w:shd w:val="clear" w:color="auto" w:fill="auto"/>
          </w:tcPr>
          <w:p w14:paraId="3D394E13" w14:textId="77777777" w:rsidR="009E01F8" w:rsidRPr="00CD729C" w:rsidRDefault="009E01F8" w:rsidP="009B4BB6">
            <w:pPr>
              <w:keepNext/>
              <w:keepLines/>
              <w:widowControl w:val="0"/>
              <w:tabs>
                <w:tab w:val="clear" w:pos="567"/>
                <w:tab w:val="left" w:pos="284"/>
              </w:tabs>
              <w:spacing w:line="240" w:lineRule="auto"/>
              <w:rPr>
                <w:rFonts w:eastAsia="MS Mincho"/>
                <w:szCs w:val="22"/>
              </w:rPr>
            </w:pPr>
            <w:r w:rsidRPr="00CD729C">
              <w:rPr>
                <w:rFonts w:eastAsia="MS Mincho"/>
                <w:szCs w:val="22"/>
              </w:rPr>
              <w:t>75,4 (68,6</w:t>
            </w:r>
            <w:r w:rsidRPr="00CD729C">
              <w:rPr>
                <w:rFonts w:eastAsia="MS Mincho"/>
                <w:szCs w:val="22"/>
              </w:rPr>
              <w:noBreakHyphen/>
              <w:t>81,0)</w:t>
            </w:r>
          </w:p>
        </w:tc>
        <w:tc>
          <w:tcPr>
            <w:tcW w:w="3100" w:type="dxa"/>
            <w:shd w:val="clear" w:color="auto" w:fill="auto"/>
          </w:tcPr>
          <w:p w14:paraId="3D394E14" w14:textId="77777777" w:rsidR="009E01F8" w:rsidRPr="00CD729C" w:rsidRDefault="009E01F8" w:rsidP="009B4BB6">
            <w:pPr>
              <w:keepNext/>
              <w:keepLines/>
              <w:widowControl w:val="0"/>
              <w:tabs>
                <w:tab w:val="clear" w:pos="567"/>
                <w:tab w:val="left" w:pos="284"/>
              </w:tabs>
              <w:spacing w:line="240" w:lineRule="auto"/>
              <w:rPr>
                <w:rFonts w:eastAsia="MS Mincho"/>
                <w:szCs w:val="22"/>
              </w:rPr>
            </w:pPr>
            <w:r w:rsidRPr="00CD729C">
              <w:rPr>
                <w:rFonts w:eastAsia="MS Mincho"/>
                <w:szCs w:val="22"/>
              </w:rPr>
              <w:t>90,7 (85,6</w:t>
            </w:r>
            <w:r w:rsidRPr="00CD729C">
              <w:rPr>
                <w:rFonts w:eastAsia="MS Mincho"/>
                <w:szCs w:val="22"/>
              </w:rPr>
              <w:noBreakHyphen/>
              <w:t>94,0)</w:t>
            </w:r>
          </w:p>
        </w:tc>
      </w:tr>
      <w:tr w:rsidR="009E01F8" w:rsidRPr="00CD729C" w14:paraId="3D394E19" w14:textId="77777777" w:rsidTr="00E36D64">
        <w:trPr>
          <w:cantSplit/>
        </w:trPr>
        <w:tc>
          <w:tcPr>
            <w:tcW w:w="3099" w:type="dxa"/>
            <w:shd w:val="clear" w:color="auto" w:fill="auto"/>
          </w:tcPr>
          <w:p w14:paraId="3D394E16" w14:textId="77777777" w:rsidR="009E01F8" w:rsidRPr="00CD729C" w:rsidRDefault="009E01F8" w:rsidP="009B4BB6">
            <w:pPr>
              <w:keepNext/>
              <w:keepLines/>
              <w:widowControl w:val="0"/>
              <w:tabs>
                <w:tab w:val="clear" w:pos="567"/>
              </w:tabs>
              <w:spacing w:line="240" w:lineRule="auto"/>
              <w:ind w:left="284"/>
              <w:rPr>
                <w:rFonts w:eastAsia="MS Mincho"/>
                <w:szCs w:val="22"/>
              </w:rPr>
            </w:pPr>
            <w:r w:rsidRPr="00CD729C">
              <w:rPr>
                <w:rFonts w:eastAsia="MS Mincho"/>
                <w:szCs w:val="22"/>
              </w:rPr>
              <w:t>36</w:t>
            </w:r>
            <w:r w:rsidRPr="00CD729C">
              <w:rPr>
                <w:rFonts w:eastAsia="MS Mincho"/>
                <w:szCs w:val="22"/>
                <w:lang w:eastAsia="ja-JP"/>
              </w:rPr>
              <w:t> </w:t>
            </w:r>
            <w:r w:rsidRPr="00CD729C">
              <w:rPr>
                <w:rFonts w:eastAsia="MS Mincho"/>
                <w:szCs w:val="22"/>
              </w:rPr>
              <w:t>mēneši</w:t>
            </w:r>
          </w:p>
        </w:tc>
        <w:tc>
          <w:tcPr>
            <w:tcW w:w="3100" w:type="dxa"/>
            <w:shd w:val="clear" w:color="auto" w:fill="auto"/>
          </w:tcPr>
          <w:p w14:paraId="3D394E17" w14:textId="77777777" w:rsidR="009E01F8" w:rsidRPr="00CD729C" w:rsidRDefault="009E01F8" w:rsidP="009B4BB6">
            <w:pPr>
              <w:keepNext/>
              <w:keepLines/>
              <w:widowControl w:val="0"/>
              <w:tabs>
                <w:tab w:val="clear" w:pos="567"/>
                <w:tab w:val="left" w:pos="284"/>
              </w:tabs>
              <w:spacing w:line="240" w:lineRule="auto"/>
              <w:rPr>
                <w:rFonts w:eastAsia="MS Mincho"/>
                <w:szCs w:val="22"/>
              </w:rPr>
            </w:pPr>
            <w:r w:rsidRPr="00CD729C">
              <w:rPr>
                <w:rFonts w:eastAsia="MS Mincho"/>
                <w:szCs w:val="22"/>
              </w:rPr>
              <w:t>60,1 (52,5</w:t>
            </w:r>
            <w:r w:rsidRPr="00CD729C">
              <w:rPr>
                <w:rFonts w:eastAsia="MS Mincho"/>
                <w:szCs w:val="22"/>
              </w:rPr>
              <w:noBreakHyphen/>
              <w:t>66,9)</w:t>
            </w:r>
          </w:p>
        </w:tc>
        <w:tc>
          <w:tcPr>
            <w:tcW w:w="3100" w:type="dxa"/>
            <w:shd w:val="clear" w:color="auto" w:fill="auto"/>
          </w:tcPr>
          <w:p w14:paraId="3D394E18" w14:textId="77777777" w:rsidR="009E01F8" w:rsidRPr="00CD729C" w:rsidRDefault="009E01F8" w:rsidP="009B4BB6">
            <w:pPr>
              <w:keepNext/>
              <w:keepLines/>
              <w:widowControl w:val="0"/>
              <w:tabs>
                <w:tab w:val="clear" w:pos="567"/>
                <w:tab w:val="left" w:pos="284"/>
              </w:tabs>
              <w:spacing w:line="240" w:lineRule="auto"/>
              <w:rPr>
                <w:rFonts w:eastAsia="MS Mincho"/>
                <w:szCs w:val="22"/>
              </w:rPr>
            </w:pPr>
            <w:r w:rsidRPr="00CD729C">
              <w:rPr>
                <w:rFonts w:eastAsia="MS Mincho"/>
                <w:szCs w:val="22"/>
              </w:rPr>
              <w:t>86,6 (80,8</w:t>
            </w:r>
            <w:r w:rsidRPr="00CD729C">
              <w:rPr>
                <w:rFonts w:eastAsia="MS Mincho"/>
                <w:szCs w:val="22"/>
              </w:rPr>
              <w:noBreakHyphen/>
              <w:t>90,8)</w:t>
            </w:r>
          </w:p>
        </w:tc>
      </w:tr>
      <w:tr w:rsidR="009E01F8" w:rsidRPr="00CD729C" w14:paraId="3D394E1D" w14:textId="77777777" w:rsidTr="00E36D64">
        <w:trPr>
          <w:cantSplit/>
        </w:trPr>
        <w:tc>
          <w:tcPr>
            <w:tcW w:w="3099" w:type="dxa"/>
            <w:shd w:val="clear" w:color="auto" w:fill="auto"/>
          </w:tcPr>
          <w:p w14:paraId="3D394E1A" w14:textId="77777777" w:rsidR="009E01F8" w:rsidRPr="00CD729C" w:rsidRDefault="009E01F8" w:rsidP="009B4BB6">
            <w:pPr>
              <w:keepNext/>
              <w:keepLines/>
              <w:widowControl w:val="0"/>
              <w:tabs>
                <w:tab w:val="clear" w:pos="567"/>
              </w:tabs>
              <w:spacing w:line="240" w:lineRule="auto"/>
              <w:ind w:left="284"/>
              <w:rPr>
                <w:rFonts w:eastAsia="MS Mincho"/>
                <w:szCs w:val="22"/>
              </w:rPr>
            </w:pPr>
            <w:r w:rsidRPr="00CD729C">
              <w:rPr>
                <w:rFonts w:eastAsia="MS Mincho"/>
                <w:szCs w:val="22"/>
              </w:rPr>
              <w:t>48</w:t>
            </w:r>
            <w:r w:rsidRPr="00CD729C">
              <w:rPr>
                <w:rFonts w:eastAsia="MS Mincho"/>
                <w:szCs w:val="22"/>
                <w:lang w:eastAsia="ja-JP"/>
              </w:rPr>
              <w:t> </w:t>
            </w:r>
            <w:r w:rsidRPr="00CD729C">
              <w:rPr>
                <w:rFonts w:eastAsia="MS Mincho"/>
                <w:szCs w:val="22"/>
              </w:rPr>
              <w:t>mēneši</w:t>
            </w:r>
          </w:p>
        </w:tc>
        <w:tc>
          <w:tcPr>
            <w:tcW w:w="3100" w:type="dxa"/>
            <w:shd w:val="clear" w:color="auto" w:fill="auto"/>
          </w:tcPr>
          <w:p w14:paraId="3D394E1B" w14:textId="77777777" w:rsidR="009E01F8" w:rsidRPr="00CD729C" w:rsidRDefault="009E01F8" w:rsidP="009B4BB6">
            <w:pPr>
              <w:keepNext/>
              <w:keepLines/>
              <w:widowControl w:val="0"/>
              <w:tabs>
                <w:tab w:val="clear" w:pos="567"/>
                <w:tab w:val="left" w:pos="284"/>
              </w:tabs>
              <w:spacing w:line="240" w:lineRule="auto"/>
              <w:rPr>
                <w:rFonts w:eastAsia="MS Mincho"/>
                <w:szCs w:val="22"/>
              </w:rPr>
            </w:pPr>
            <w:r w:rsidRPr="00CD729C">
              <w:rPr>
                <w:rFonts w:eastAsia="MS Mincho"/>
                <w:szCs w:val="22"/>
              </w:rPr>
              <w:t>52,3 (44,0</w:t>
            </w:r>
            <w:r w:rsidRPr="00CD729C">
              <w:rPr>
                <w:rFonts w:eastAsia="MS Mincho"/>
                <w:szCs w:val="22"/>
              </w:rPr>
              <w:noBreakHyphen/>
              <w:t>59,8)</w:t>
            </w:r>
          </w:p>
        </w:tc>
        <w:tc>
          <w:tcPr>
            <w:tcW w:w="3100" w:type="dxa"/>
            <w:shd w:val="clear" w:color="auto" w:fill="auto"/>
          </w:tcPr>
          <w:p w14:paraId="3D394E1C" w14:textId="77777777" w:rsidR="009E01F8" w:rsidRPr="00CD729C" w:rsidRDefault="009E01F8" w:rsidP="009B4BB6">
            <w:pPr>
              <w:keepNext/>
              <w:keepLines/>
              <w:widowControl w:val="0"/>
              <w:tabs>
                <w:tab w:val="clear" w:pos="567"/>
                <w:tab w:val="left" w:pos="284"/>
              </w:tabs>
              <w:spacing w:line="240" w:lineRule="auto"/>
              <w:rPr>
                <w:rFonts w:eastAsia="MS Mincho"/>
                <w:szCs w:val="22"/>
              </w:rPr>
            </w:pPr>
            <w:r w:rsidRPr="00CD729C">
              <w:rPr>
                <w:rFonts w:eastAsia="MS Mincho"/>
                <w:szCs w:val="22"/>
              </w:rPr>
              <w:t>78,3 (70,8</w:t>
            </w:r>
            <w:r w:rsidRPr="00CD729C">
              <w:rPr>
                <w:rFonts w:eastAsia="MS Mincho"/>
                <w:szCs w:val="22"/>
              </w:rPr>
              <w:noBreakHyphen/>
              <w:t>84,1)</w:t>
            </w:r>
          </w:p>
        </w:tc>
      </w:tr>
      <w:tr w:rsidR="009E01F8" w:rsidRPr="00CD729C" w14:paraId="3D394E21" w14:textId="77777777" w:rsidTr="00E36D64">
        <w:trPr>
          <w:cantSplit/>
        </w:trPr>
        <w:tc>
          <w:tcPr>
            <w:tcW w:w="3099" w:type="dxa"/>
            <w:shd w:val="clear" w:color="auto" w:fill="auto"/>
          </w:tcPr>
          <w:p w14:paraId="3D394E1E" w14:textId="77777777" w:rsidR="009E01F8" w:rsidRPr="00CD729C" w:rsidRDefault="009E01F8" w:rsidP="009B4BB6">
            <w:pPr>
              <w:keepNext/>
              <w:keepLines/>
              <w:widowControl w:val="0"/>
              <w:tabs>
                <w:tab w:val="clear" w:pos="567"/>
              </w:tabs>
              <w:spacing w:line="240" w:lineRule="auto"/>
              <w:ind w:left="284"/>
              <w:rPr>
                <w:rFonts w:eastAsia="MS Mincho"/>
                <w:szCs w:val="22"/>
              </w:rPr>
            </w:pPr>
            <w:r w:rsidRPr="00CD729C">
              <w:rPr>
                <w:rFonts w:eastAsia="MS Mincho"/>
                <w:szCs w:val="22"/>
              </w:rPr>
              <w:t>60</w:t>
            </w:r>
            <w:r w:rsidRPr="00CD729C">
              <w:rPr>
                <w:rFonts w:eastAsia="MS Mincho"/>
                <w:szCs w:val="22"/>
                <w:lang w:eastAsia="ja-JP"/>
              </w:rPr>
              <w:t> </w:t>
            </w:r>
            <w:r w:rsidRPr="00CD729C">
              <w:rPr>
                <w:rFonts w:eastAsia="MS Mincho"/>
                <w:szCs w:val="22"/>
              </w:rPr>
              <w:t>mēneši</w:t>
            </w:r>
          </w:p>
        </w:tc>
        <w:tc>
          <w:tcPr>
            <w:tcW w:w="3100" w:type="dxa"/>
            <w:shd w:val="clear" w:color="auto" w:fill="auto"/>
          </w:tcPr>
          <w:p w14:paraId="3D394E1F" w14:textId="77777777" w:rsidR="009E01F8" w:rsidRPr="00CD729C" w:rsidRDefault="009E01F8" w:rsidP="009B4BB6">
            <w:pPr>
              <w:keepNext/>
              <w:keepLines/>
              <w:widowControl w:val="0"/>
              <w:tabs>
                <w:tab w:val="clear" w:pos="567"/>
                <w:tab w:val="left" w:pos="284"/>
              </w:tabs>
              <w:spacing w:line="240" w:lineRule="auto"/>
              <w:rPr>
                <w:rFonts w:eastAsia="MS Mincho"/>
                <w:szCs w:val="22"/>
              </w:rPr>
            </w:pPr>
            <w:r w:rsidRPr="00CD729C">
              <w:rPr>
                <w:rFonts w:eastAsia="MS Mincho"/>
                <w:szCs w:val="22"/>
              </w:rPr>
              <w:t>47,9 (39,0</w:t>
            </w:r>
            <w:r w:rsidRPr="00CD729C">
              <w:rPr>
                <w:rFonts w:eastAsia="MS Mincho"/>
                <w:szCs w:val="22"/>
              </w:rPr>
              <w:noBreakHyphen/>
              <w:t>56,3)</w:t>
            </w:r>
          </w:p>
        </w:tc>
        <w:tc>
          <w:tcPr>
            <w:tcW w:w="3100" w:type="dxa"/>
            <w:shd w:val="clear" w:color="auto" w:fill="auto"/>
          </w:tcPr>
          <w:p w14:paraId="3D394E20" w14:textId="77777777" w:rsidR="009E01F8" w:rsidRPr="00CD729C" w:rsidRDefault="009E01F8" w:rsidP="009B4BB6">
            <w:pPr>
              <w:keepNext/>
              <w:keepLines/>
              <w:widowControl w:val="0"/>
              <w:tabs>
                <w:tab w:val="clear" w:pos="567"/>
                <w:tab w:val="left" w:pos="284"/>
              </w:tabs>
              <w:spacing w:line="240" w:lineRule="auto"/>
              <w:rPr>
                <w:rFonts w:eastAsia="MS Mincho"/>
                <w:szCs w:val="22"/>
              </w:rPr>
            </w:pPr>
            <w:r w:rsidRPr="00CD729C">
              <w:rPr>
                <w:rFonts w:eastAsia="MS Mincho"/>
                <w:szCs w:val="22"/>
              </w:rPr>
              <w:t>65,6 (56,1</w:t>
            </w:r>
            <w:r w:rsidRPr="00CD729C">
              <w:rPr>
                <w:rFonts w:eastAsia="MS Mincho"/>
                <w:szCs w:val="22"/>
              </w:rPr>
              <w:noBreakHyphen/>
              <w:t>73,4)</w:t>
            </w:r>
          </w:p>
        </w:tc>
      </w:tr>
      <w:tr w:rsidR="009E01F8" w:rsidRPr="00CD729C" w14:paraId="3D394E25" w14:textId="77777777" w:rsidTr="00E36D64">
        <w:trPr>
          <w:cantSplit/>
        </w:trPr>
        <w:tc>
          <w:tcPr>
            <w:tcW w:w="3099" w:type="dxa"/>
            <w:shd w:val="clear" w:color="auto" w:fill="auto"/>
          </w:tcPr>
          <w:p w14:paraId="3D394E22" w14:textId="77777777" w:rsidR="009E01F8" w:rsidRPr="00CD729C" w:rsidRDefault="009E01F8" w:rsidP="009B4BB6">
            <w:pPr>
              <w:keepNext/>
              <w:keepLines/>
              <w:widowControl w:val="0"/>
              <w:tabs>
                <w:tab w:val="clear" w:pos="567"/>
                <w:tab w:val="left" w:pos="284"/>
              </w:tabs>
              <w:spacing w:line="240" w:lineRule="auto"/>
              <w:rPr>
                <w:rFonts w:eastAsia="MS Mincho"/>
                <w:b/>
                <w:szCs w:val="22"/>
              </w:rPr>
            </w:pPr>
            <w:r w:rsidRPr="00CD729C">
              <w:rPr>
                <w:rFonts w:eastAsia="MS Mincho"/>
                <w:b/>
                <w:szCs w:val="22"/>
              </w:rPr>
              <w:t>Dzīvildze</w:t>
            </w:r>
          </w:p>
        </w:tc>
        <w:tc>
          <w:tcPr>
            <w:tcW w:w="3100" w:type="dxa"/>
            <w:shd w:val="clear" w:color="auto" w:fill="auto"/>
          </w:tcPr>
          <w:p w14:paraId="3D394E23" w14:textId="77777777" w:rsidR="009E01F8" w:rsidRPr="00CD729C" w:rsidRDefault="009E01F8" w:rsidP="009B4BB6">
            <w:pPr>
              <w:keepNext/>
              <w:keepLines/>
              <w:widowControl w:val="0"/>
              <w:tabs>
                <w:tab w:val="clear" w:pos="567"/>
                <w:tab w:val="left" w:pos="284"/>
              </w:tabs>
              <w:spacing w:line="240" w:lineRule="auto"/>
              <w:rPr>
                <w:rFonts w:eastAsia="MS Mincho"/>
                <w:szCs w:val="22"/>
              </w:rPr>
            </w:pPr>
          </w:p>
        </w:tc>
        <w:tc>
          <w:tcPr>
            <w:tcW w:w="3100" w:type="dxa"/>
            <w:shd w:val="clear" w:color="auto" w:fill="auto"/>
          </w:tcPr>
          <w:p w14:paraId="3D394E24" w14:textId="77777777" w:rsidR="009E01F8" w:rsidRPr="00CD729C" w:rsidRDefault="009E01F8" w:rsidP="009B4BB6">
            <w:pPr>
              <w:keepNext/>
              <w:keepLines/>
              <w:widowControl w:val="0"/>
              <w:tabs>
                <w:tab w:val="clear" w:pos="567"/>
                <w:tab w:val="left" w:pos="284"/>
              </w:tabs>
              <w:spacing w:line="240" w:lineRule="auto"/>
              <w:rPr>
                <w:rFonts w:eastAsia="MS Mincho"/>
                <w:szCs w:val="22"/>
              </w:rPr>
            </w:pPr>
          </w:p>
        </w:tc>
      </w:tr>
      <w:tr w:rsidR="009E01F8" w:rsidRPr="00CD729C" w14:paraId="3D394E29" w14:textId="77777777" w:rsidTr="00E36D64">
        <w:trPr>
          <w:cantSplit/>
        </w:trPr>
        <w:tc>
          <w:tcPr>
            <w:tcW w:w="3099" w:type="dxa"/>
            <w:shd w:val="clear" w:color="auto" w:fill="auto"/>
          </w:tcPr>
          <w:p w14:paraId="3D394E26" w14:textId="77777777" w:rsidR="009E01F8" w:rsidRPr="00CD729C" w:rsidRDefault="009E01F8" w:rsidP="009B4BB6">
            <w:pPr>
              <w:keepNext/>
              <w:keepLines/>
              <w:widowControl w:val="0"/>
              <w:tabs>
                <w:tab w:val="clear" w:pos="567"/>
              </w:tabs>
              <w:spacing w:line="240" w:lineRule="auto"/>
              <w:ind w:left="284"/>
              <w:rPr>
                <w:rFonts w:eastAsia="MS Mincho"/>
                <w:szCs w:val="22"/>
              </w:rPr>
            </w:pPr>
            <w:r w:rsidRPr="00CD729C">
              <w:rPr>
                <w:rFonts w:eastAsia="MS Mincho"/>
                <w:szCs w:val="22"/>
              </w:rPr>
              <w:t>36</w:t>
            </w:r>
            <w:r w:rsidRPr="00CD729C">
              <w:rPr>
                <w:rFonts w:eastAsia="MS Mincho"/>
                <w:szCs w:val="22"/>
                <w:lang w:eastAsia="ja-JP"/>
              </w:rPr>
              <w:t> </w:t>
            </w:r>
            <w:r w:rsidRPr="00CD729C">
              <w:rPr>
                <w:rFonts w:eastAsia="MS Mincho"/>
                <w:szCs w:val="22"/>
              </w:rPr>
              <w:t>mēneši</w:t>
            </w:r>
          </w:p>
        </w:tc>
        <w:tc>
          <w:tcPr>
            <w:tcW w:w="3100" w:type="dxa"/>
            <w:shd w:val="clear" w:color="auto" w:fill="auto"/>
          </w:tcPr>
          <w:p w14:paraId="3D394E27" w14:textId="77777777" w:rsidR="009E01F8" w:rsidRPr="00CD729C" w:rsidRDefault="009E01F8" w:rsidP="009B4BB6">
            <w:pPr>
              <w:keepNext/>
              <w:keepLines/>
              <w:widowControl w:val="0"/>
              <w:tabs>
                <w:tab w:val="clear" w:pos="567"/>
                <w:tab w:val="left" w:pos="284"/>
              </w:tabs>
              <w:spacing w:line="240" w:lineRule="auto"/>
              <w:rPr>
                <w:rFonts w:eastAsia="MS Mincho"/>
                <w:szCs w:val="22"/>
              </w:rPr>
            </w:pPr>
            <w:r w:rsidRPr="00CD729C">
              <w:rPr>
                <w:rFonts w:eastAsia="MS Mincho"/>
                <w:szCs w:val="22"/>
              </w:rPr>
              <w:t>94,0 (89,5</w:t>
            </w:r>
            <w:r w:rsidRPr="00CD729C">
              <w:rPr>
                <w:rFonts w:eastAsia="MS Mincho"/>
                <w:szCs w:val="22"/>
              </w:rPr>
              <w:noBreakHyphen/>
              <w:t>96,7)</w:t>
            </w:r>
          </w:p>
        </w:tc>
        <w:tc>
          <w:tcPr>
            <w:tcW w:w="3100" w:type="dxa"/>
            <w:shd w:val="clear" w:color="auto" w:fill="auto"/>
          </w:tcPr>
          <w:p w14:paraId="3D394E28" w14:textId="77777777" w:rsidR="009E01F8" w:rsidRPr="00CD729C" w:rsidRDefault="009E01F8" w:rsidP="009B4BB6">
            <w:pPr>
              <w:keepNext/>
              <w:keepLines/>
              <w:widowControl w:val="0"/>
              <w:tabs>
                <w:tab w:val="clear" w:pos="567"/>
                <w:tab w:val="left" w:pos="284"/>
              </w:tabs>
              <w:spacing w:line="240" w:lineRule="auto"/>
              <w:rPr>
                <w:rFonts w:eastAsia="MS Mincho"/>
                <w:szCs w:val="22"/>
              </w:rPr>
            </w:pPr>
            <w:r w:rsidRPr="00CD729C">
              <w:rPr>
                <w:rFonts w:eastAsia="MS Mincho"/>
                <w:szCs w:val="22"/>
              </w:rPr>
              <w:t>96,3 (92,4</w:t>
            </w:r>
            <w:r w:rsidRPr="00CD729C">
              <w:rPr>
                <w:rFonts w:eastAsia="MS Mincho"/>
                <w:szCs w:val="22"/>
              </w:rPr>
              <w:noBreakHyphen/>
              <w:t>98,2)</w:t>
            </w:r>
          </w:p>
        </w:tc>
      </w:tr>
      <w:tr w:rsidR="009E01F8" w:rsidRPr="00CD729C" w14:paraId="3D394E2D" w14:textId="77777777" w:rsidTr="00E36D64">
        <w:trPr>
          <w:cantSplit/>
        </w:trPr>
        <w:tc>
          <w:tcPr>
            <w:tcW w:w="3099" w:type="dxa"/>
            <w:shd w:val="clear" w:color="auto" w:fill="auto"/>
          </w:tcPr>
          <w:p w14:paraId="3D394E2A" w14:textId="77777777" w:rsidR="009E01F8" w:rsidRPr="00CD729C" w:rsidRDefault="009E01F8" w:rsidP="009B4BB6">
            <w:pPr>
              <w:keepNext/>
              <w:keepLines/>
              <w:widowControl w:val="0"/>
              <w:tabs>
                <w:tab w:val="clear" w:pos="567"/>
              </w:tabs>
              <w:spacing w:line="240" w:lineRule="auto"/>
              <w:ind w:left="284"/>
              <w:rPr>
                <w:rFonts w:eastAsia="MS Mincho"/>
                <w:szCs w:val="22"/>
              </w:rPr>
            </w:pPr>
            <w:r w:rsidRPr="00CD729C">
              <w:rPr>
                <w:rFonts w:eastAsia="MS Mincho"/>
                <w:szCs w:val="22"/>
              </w:rPr>
              <w:t>48</w:t>
            </w:r>
            <w:r w:rsidRPr="00CD729C">
              <w:rPr>
                <w:rFonts w:eastAsia="MS Mincho"/>
                <w:szCs w:val="22"/>
                <w:lang w:eastAsia="ja-JP"/>
              </w:rPr>
              <w:t> </w:t>
            </w:r>
            <w:r w:rsidRPr="00CD729C">
              <w:rPr>
                <w:rFonts w:eastAsia="MS Mincho"/>
                <w:szCs w:val="22"/>
              </w:rPr>
              <w:t>mēneši</w:t>
            </w:r>
          </w:p>
        </w:tc>
        <w:tc>
          <w:tcPr>
            <w:tcW w:w="3100" w:type="dxa"/>
            <w:shd w:val="clear" w:color="auto" w:fill="auto"/>
          </w:tcPr>
          <w:p w14:paraId="3D394E2B" w14:textId="77777777" w:rsidR="009E01F8" w:rsidRPr="00CD729C" w:rsidRDefault="009E01F8" w:rsidP="009B4BB6">
            <w:pPr>
              <w:keepNext/>
              <w:keepLines/>
              <w:widowControl w:val="0"/>
              <w:tabs>
                <w:tab w:val="clear" w:pos="567"/>
                <w:tab w:val="left" w:pos="284"/>
              </w:tabs>
              <w:spacing w:line="240" w:lineRule="auto"/>
              <w:rPr>
                <w:rFonts w:eastAsia="MS Mincho"/>
                <w:szCs w:val="22"/>
              </w:rPr>
            </w:pPr>
            <w:r w:rsidRPr="00CD729C">
              <w:rPr>
                <w:rFonts w:eastAsia="MS Mincho"/>
                <w:szCs w:val="22"/>
              </w:rPr>
              <w:t>87,9 (81,1</w:t>
            </w:r>
            <w:r w:rsidRPr="00CD729C">
              <w:rPr>
                <w:rFonts w:eastAsia="MS Mincho"/>
                <w:szCs w:val="22"/>
              </w:rPr>
              <w:noBreakHyphen/>
              <w:t>92,3)</w:t>
            </w:r>
          </w:p>
        </w:tc>
        <w:tc>
          <w:tcPr>
            <w:tcW w:w="3100" w:type="dxa"/>
            <w:shd w:val="clear" w:color="auto" w:fill="auto"/>
          </w:tcPr>
          <w:p w14:paraId="3D394E2C" w14:textId="77777777" w:rsidR="009E01F8" w:rsidRPr="00CD729C" w:rsidRDefault="009E01F8" w:rsidP="009B4BB6">
            <w:pPr>
              <w:keepNext/>
              <w:keepLines/>
              <w:widowControl w:val="0"/>
              <w:tabs>
                <w:tab w:val="clear" w:pos="567"/>
                <w:tab w:val="left" w:pos="284"/>
              </w:tabs>
              <w:spacing w:line="240" w:lineRule="auto"/>
              <w:rPr>
                <w:rFonts w:eastAsia="MS Mincho"/>
                <w:szCs w:val="22"/>
              </w:rPr>
            </w:pPr>
            <w:r w:rsidRPr="00CD729C">
              <w:rPr>
                <w:rFonts w:eastAsia="MS Mincho"/>
                <w:szCs w:val="22"/>
              </w:rPr>
              <w:t>95,6 (91,2</w:t>
            </w:r>
            <w:r w:rsidRPr="00CD729C">
              <w:rPr>
                <w:rFonts w:eastAsia="MS Mincho"/>
                <w:szCs w:val="22"/>
              </w:rPr>
              <w:noBreakHyphen/>
              <w:t>97,8)</w:t>
            </w:r>
          </w:p>
        </w:tc>
      </w:tr>
      <w:tr w:rsidR="009E01F8" w:rsidRPr="00CD729C" w14:paraId="3D394E31" w14:textId="77777777" w:rsidTr="00E36D64">
        <w:trPr>
          <w:cantSplit/>
        </w:trPr>
        <w:tc>
          <w:tcPr>
            <w:tcW w:w="3099" w:type="dxa"/>
            <w:shd w:val="clear" w:color="auto" w:fill="auto"/>
          </w:tcPr>
          <w:p w14:paraId="3D394E2E" w14:textId="77777777" w:rsidR="009E01F8" w:rsidRPr="00CD729C" w:rsidRDefault="009E01F8" w:rsidP="009B4BB6">
            <w:pPr>
              <w:keepNext/>
              <w:keepLines/>
              <w:widowControl w:val="0"/>
              <w:tabs>
                <w:tab w:val="clear" w:pos="567"/>
              </w:tabs>
              <w:spacing w:line="240" w:lineRule="auto"/>
              <w:ind w:left="284"/>
              <w:rPr>
                <w:rFonts w:eastAsia="MS Mincho"/>
                <w:szCs w:val="22"/>
              </w:rPr>
            </w:pPr>
            <w:r w:rsidRPr="00CD729C">
              <w:rPr>
                <w:rFonts w:eastAsia="MS Mincho"/>
                <w:szCs w:val="22"/>
              </w:rPr>
              <w:t>60</w:t>
            </w:r>
            <w:r w:rsidRPr="00CD729C">
              <w:rPr>
                <w:rFonts w:eastAsia="MS Mincho"/>
                <w:szCs w:val="22"/>
                <w:lang w:eastAsia="ja-JP"/>
              </w:rPr>
              <w:t> </w:t>
            </w:r>
            <w:r w:rsidRPr="00CD729C">
              <w:rPr>
                <w:rFonts w:eastAsia="MS Mincho"/>
                <w:szCs w:val="22"/>
              </w:rPr>
              <w:t>mēneši</w:t>
            </w:r>
          </w:p>
        </w:tc>
        <w:tc>
          <w:tcPr>
            <w:tcW w:w="3100" w:type="dxa"/>
            <w:shd w:val="clear" w:color="auto" w:fill="auto"/>
          </w:tcPr>
          <w:p w14:paraId="3D394E2F" w14:textId="77777777" w:rsidR="009E01F8" w:rsidRPr="00CD729C" w:rsidRDefault="009E01F8" w:rsidP="009B4BB6">
            <w:pPr>
              <w:keepNext/>
              <w:keepLines/>
              <w:widowControl w:val="0"/>
              <w:tabs>
                <w:tab w:val="clear" w:pos="567"/>
                <w:tab w:val="left" w:pos="284"/>
              </w:tabs>
              <w:spacing w:line="240" w:lineRule="auto"/>
              <w:rPr>
                <w:rFonts w:eastAsia="MS Mincho"/>
                <w:szCs w:val="22"/>
              </w:rPr>
            </w:pPr>
            <w:r w:rsidRPr="00CD729C">
              <w:rPr>
                <w:rFonts w:eastAsia="MS Mincho"/>
                <w:szCs w:val="22"/>
              </w:rPr>
              <w:t>81,7 (73,0</w:t>
            </w:r>
            <w:r w:rsidRPr="00CD729C">
              <w:rPr>
                <w:rFonts w:eastAsia="MS Mincho"/>
                <w:szCs w:val="22"/>
              </w:rPr>
              <w:noBreakHyphen/>
              <w:t>87,8)</w:t>
            </w:r>
          </w:p>
        </w:tc>
        <w:tc>
          <w:tcPr>
            <w:tcW w:w="3100" w:type="dxa"/>
            <w:shd w:val="clear" w:color="auto" w:fill="auto"/>
          </w:tcPr>
          <w:p w14:paraId="3D394E30" w14:textId="77777777" w:rsidR="009E01F8" w:rsidRPr="00CD729C" w:rsidRDefault="009E01F8" w:rsidP="009B4BB6">
            <w:pPr>
              <w:keepNext/>
              <w:keepLines/>
              <w:widowControl w:val="0"/>
              <w:tabs>
                <w:tab w:val="clear" w:pos="567"/>
                <w:tab w:val="left" w:pos="284"/>
              </w:tabs>
              <w:spacing w:line="240" w:lineRule="auto"/>
              <w:rPr>
                <w:rFonts w:eastAsia="MS Mincho"/>
                <w:szCs w:val="22"/>
              </w:rPr>
            </w:pPr>
            <w:r w:rsidRPr="00CD729C">
              <w:rPr>
                <w:rFonts w:eastAsia="MS Mincho"/>
                <w:szCs w:val="22"/>
              </w:rPr>
              <w:t>92,0 (85,3</w:t>
            </w:r>
            <w:r w:rsidRPr="00CD729C">
              <w:rPr>
                <w:rFonts w:eastAsia="MS Mincho"/>
                <w:szCs w:val="22"/>
              </w:rPr>
              <w:noBreakHyphen/>
              <w:t>95,7)</w:t>
            </w:r>
          </w:p>
        </w:tc>
      </w:tr>
    </w:tbl>
    <w:p w14:paraId="3D394E32" w14:textId="77777777" w:rsidR="009E01F8" w:rsidRPr="00CD729C" w:rsidRDefault="009E01F8" w:rsidP="009B4BB6">
      <w:pPr>
        <w:widowControl w:val="0"/>
        <w:tabs>
          <w:tab w:val="clear" w:pos="567"/>
        </w:tabs>
        <w:spacing w:line="240" w:lineRule="auto"/>
        <w:rPr>
          <w:rFonts w:eastAsia="MS Mincho"/>
          <w:szCs w:val="22"/>
        </w:rPr>
      </w:pPr>
    </w:p>
    <w:p w14:paraId="3D394E33" w14:textId="77777777" w:rsidR="009E01F8" w:rsidRPr="00CD729C" w:rsidRDefault="00EB334D" w:rsidP="009B4BB6">
      <w:pPr>
        <w:keepNext/>
        <w:keepLines/>
        <w:widowControl w:val="0"/>
        <w:spacing w:line="240" w:lineRule="auto"/>
        <w:ind w:left="1134" w:hanging="1134"/>
        <w:outlineLvl w:val="6"/>
        <w:rPr>
          <w:rFonts w:eastAsia="MS Mincho"/>
          <w:b/>
          <w:szCs w:val="22"/>
        </w:rPr>
      </w:pPr>
      <w:r w:rsidRPr="00CD729C">
        <w:rPr>
          <w:noProof/>
          <w:lang w:val="en-GB" w:eastAsia="en-GB"/>
        </w:rPr>
        <mc:AlternateContent>
          <mc:Choice Requires="wps">
            <w:drawing>
              <wp:anchor distT="0" distB="0" distL="114300" distR="114300" simplePos="0" relativeHeight="251658240" behindDoc="0" locked="0" layoutInCell="1" allowOverlap="1" wp14:anchorId="3D395828" wp14:editId="3D395829">
                <wp:simplePos x="0" y="0"/>
                <wp:positionH relativeFrom="column">
                  <wp:posOffset>-226695</wp:posOffset>
                </wp:positionH>
                <wp:positionV relativeFrom="paragraph">
                  <wp:posOffset>111125</wp:posOffset>
                </wp:positionV>
                <wp:extent cx="335915" cy="26797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6797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95889" w14:textId="77777777" w:rsidR="00C23AAA" w:rsidRPr="00A33DBA" w:rsidRDefault="00C23AAA" w:rsidP="009E01F8">
                            <w:pPr>
                              <w:rPr>
                                <w:rFonts w:ascii="Arial" w:hAnsi="Arial" w:cs="Arial"/>
                                <w:sz w:val="20"/>
                              </w:rPr>
                            </w:pPr>
                            <w:r>
                              <w:rPr>
                                <w:rFonts w:ascii="Arial" w:hAnsi="Arial" w:cs="Arial"/>
                                <w:sz w:val="20"/>
                              </w:rPr>
                              <w:t>D</w:t>
                            </w:r>
                            <w:r w:rsidRPr="008E7CB7">
                              <w:rPr>
                                <w:rFonts w:ascii="Arial" w:hAnsi="Arial" w:cs="Arial"/>
                                <w:sz w:val="20"/>
                              </w:rPr>
                              <w:t>zīvildze</w:t>
                            </w:r>
                            <w:r>
                              <w:rPr>
                                <w:rFonts w:ascii="Arial" w:hAnsi="Arial" w:cs="Arial"/>
                                <w:sz w:val="20"/>
                              </w:rPr>
                              <w:t>s</w:t>
                            </w:r>
                            <w:r w:rsidRPr="008E7CB7">
                              <w:rPr>
                                <w:rFonts w:ascii="Arial" w:hAnsi="Arial" w:cs="Arial"/>
                                <w:sz w:val="20"/>
                              </w:rPr>
                              <w:t xml:space="preserve"> bez recidīva </w:t>
                            </w:r>
                            <w:r w:rsidRPr="000C1F7F">
                              <w:rPr>
                                <w:rFonts w:ascii="Arial" w:hAnsi="Arial" w:cs="Arial"/>
                                <w:sz w:val="20"/>
                              </w:rPr>
                              <w:t>varbūtība</w:t>
                            </w:r>
                          </w:p>
                          <w:p w14:paraId="3D39588A" w14:textId="77777777" w:rsidR="00C23AAA" w:rsidRPr="00A33DBA" w:rsidRDefault="00C23AAA" w:rsidP="009E01F8">
                            <w:pPr>
                              <w:rPr>
                                <w:rFonts w:ascii="Arial" w:hAnsi="Arial" w:cs="Arial"/>
                                <w:sz w:val="20"/>
                              </w:rPr>
                            </w:pP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95828" id="_x0000_s1032" type="#_x0000_t202" style="position:absolute;left:0;text-align:left;margin-left:-17.85pt;margin-top:8.75pt;width:26.45pt;height:2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" stroked="f">
                <v:fill opacity="0"/>
                <v:textbox style="layout-flow:vertical;mso-layout-flow-alt:bottom-to-top">
                  <w:txbxContent>
                    <w:p w14:paraId="3D395889" w14:textId="77777777" w:rsidR="00C23AAA" w:rsidRPr="00A33DBA" w:rsidRDefault="00C23AAA" w:rsidP="009E01F8">
                      <w:pPr>
                        <w:rPr>
                          <w:rFonts w:ascii="Arial" w:hAnsi="Arial" w:cs="Arial"/>
                          <w:sz w:val="20"/>
                        </w:rPr>
                      </w:pPr>
                      <w:r>
                        <w:rPr>
                          <w:rFonts w:ascii="Arial" w:hAnsi="Arial" w:cs="Arial"/>
                          <w:sz w:val="20"/>
                        </w:rPr>
                        <w:t>D</w:t>
                      </w:r>
                      <w:r w:rsidRPr="008E7CB7">
                        <w:rPr>
                          <w:rFonts w:ascii="Arial" w:hAnsi="Arial" w:cs="Arial"/>
                          <w:sz w:val="20"/>
                        </w:rPr>
                        <w:t>zīvildze</w:t>
                      </w:r>
                      <w:r>
                        <w:rPr>
                          <w:rFonts w:ascii="Arial" w:hAnsi="Arial" w:cs="Arial"/>
                          <w:sz w:val="20"/>
                        </w:rPr>
                        <w:t>s</w:t>
                      </w:r>
                      <w:r w:rsidRPr="008E7CB7">
                        <w:rPr>
                          <w:rFonts w:ascii="Arial" w:hAnsi="Arial" w:cs="Arial"/>
                          <w:sz w:val="20"/>
                        </w:rPr>
                        <w:t xml:space="preserve"> bez recidīva </w:t>
                      </w:r>
                      <w:r w:rsidRPr="000C1F7F">
                        <w:rPr>
                          <w:rFonts w:ascii="Arial" w:hAnsi="Arial" w:cs="Arial"/>
                          <w:sz w:val="20"/>
                        </w:rPr>
                        <w:t>varbūtība</w:t>
                      </w:r>
                    </w:p>
                    <w:p w14:paraId="3D39588A" w14:textId="77777777" w:rsidR="00C23AAA" w:rsidRPr="00A33DBA" w:rsidRDefault="00C23AAA" w:rsidP="009E01F8">
                      <w:pPr>
                        <w:rPr>
                          <w:rFonts w:ascii="Arial" w:hAnsi="Arial" w:cs="Arial"/>
                          <w:sz w:val="20"/>
                        </w:rPr>
                      </w:pPr>
                    </w:p>
                  </w:txbxContent>
                </v:textbox>
              </v:shape>
            </w:pict>
          </mc:Fallback>
        </mc:AlternateContent>
      </w:r>
      <w:r w:rsidR="009E01F8" w:rsidRPr="00CD729C">
        <w:rPr>
          <w:rFonts w:eastAsia="MS Mincho"/>
          <w:b/>
          <w:szCs w:val="22"/>
        </w:rPr>
        <w:t>1. attēls.</w:t>
      </w:r>
      <w:r w:rsidR="009E01F8" w:rsidRPr="00CD729C">
        <w:rPr>
          <w:rFonts w:eastAsia="MS Mincho"/>
          <w:b/>
          <w:szCs w:val="22"/>
        </w:rPr>
        <w:tab/>
      </w:r>
      <w:r w:rsidR="009E01F8" w:rsidRPr="00CD729C">
        <w:rPr>
          <w:rFonts w:eastAsia="MS Mincho"/>
          <w:b/>
          <w:i/>
          <w:szCs w:val="22"/>
        </w:rPr>
        <w:t>Kaplan-Meier</w:t>
      </w:r>
      <w:r w:rsidR="009E01F8" w:rsidRPr="00CD729C">
        <w:rPr>
          <w:rFonts w:eastAsia="MS Mincho"/>
          <w:b/>
          <w:szCs w:val="22"/>
        </w:rPr>
        <w:t xml:space="preserve"> novērtējums mērķa kritērijam - dzīvildzei bez recidīva (ITT grupa)</w:t>
      </w:r>
    </w:p>
    <w:p w14:paraId="3D394E34" w14:textId="77777777" w:rsidR="009E01F8" w:rsidRPr="00CD729C" w:rsidRDefault="009E01F8" w:rsidP="009B4BB6">
      <w:pPr>
        <w:keepNext/>
        <w:keepLines/>
        <w:widowControl w:val="0"/>
        <w:tabs>
          <w:tab w:val="clear" w:pos="567"/>
        </w:tabs>
        <w:spacing w:line="240" w:lineRule="auto"/>
        <w:rPr>
          <w:rFonts w:eastAsia="MS Mincho"/>
          <w:szCs w:val="22"/>
        </w:rPr>
      </w:pPr>
    </w:p>
    <w:p w14:paraId="3D394E35" w14:textId="77777777" w:rsidR="009E01F8" w:rsidRPr="00CD729C" w:rsidRDefault="00EB334D" w:rsidP="009B4BB6">
      <w:pPr>
        <w:keepNext/>
        <w:keepLines/>
        <w:widowControl w:val="0"/>
        <w:tabs>
          <w:tab w:val="clear" w:pos="567"/>
        </w:tabs>
        <w:spacing w:line="240" w:lineRule="auto"/>
        <w:rPr>
          <w:rFonts w:eastAsia="MS Mincho"/>
          <w:szCs w:val="22"/>
        </w:rPr>
      </w:pPr>
      <w:r w:rsidRPr="00CD729C">
        <w:rPr>
          <w:noProof/>
          <w:lang w:val="en-GB" w:eastAsia="en-GB"/>
        </w:rPr>
        <mc:AlternateContent>
          <mc:Choice Requires="wps">
            <w:drawing>
              <wp:anchor distT="0" distB="0" distL="114300" distR="114300" simplePos="0" relativeHeight="251659264" behindDoc="0" locked="0" layoutInCell="1" allowOverlap="1" wp14:anchorId="3D39582A" wp14:editId="3D39582B">
                <wp:simplePos x="0" y="0"/>
                <wp:positionH relativeFrom="column">
                  <wp:posOffset>350520</wp:posOffset>
                </wp:positionH>
                <wp:positionV relativeFrom="paragraph">
                  <wp:posOffset>1128395</wp:posOffset>
                </wp:positionV>
                <wp:extent cx="4585335" cy="133286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332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4A0" w:firstRow="1" w:lastRow="0" w:firstColumn="1" w:lastColumn="0" w:noHBand="0" w:noVBand="1"/>
                            </w:tblPr>
                            <w:tblGrid>
                              <w:gridCol w:w="817"/>
                              <w:gridCol w:w="2464"/>
                              <w:gridCol w:w="851"/>
                              <w:gridCol w:w="1017"/>
                              <w:gridCol w:w="950"/>
                            </w:tblGrid>
                            <w:tr w:rsidR="00C23AAA" w:rsidRPr="0055776F" w14:paraId="3D39588E" w14:textId="77777777">
                              <w:trPr>
                                <w:gridAfter w:val="3"/>
                                <w:wAfter w:w="2410" w:type="dxa"/>
                              </w:trPr>
                              <w:tc>
                                <w:tcPr>
                                  <w:tcW w:w="3281" w:type="dxa"/>
                                  <w:gridSpan w:val="2"/>
                                  <w:shd w:val="clear" w:color="auto" w:fill="auto"/>
                                </w:tcPr>
                                <w:p w14:paraId="3D39588B" w14:textId="77777777" w:rsidR="00C23AAA" w:rsidRPr="0055776F" w:rsidRDefault="00C23AAA" w:rsidP="004F02B8">
                                  <w:pPr>
                                    <w:rPr>
                                      <w:rFonts w:ascii="Arial" w:hAnsi="Arial" w:cs="Arial"/>
                                      <w:sz w:val="20"/>
                                    </w:rPr>
                                  </w:pPr>
                                  <w:r>
                                    <w:rPr>
                                      <w:rFonts w:ascii="Arial" w:hAnsi="Arial" w:cs="Arial"/>
                                      <w:sz w:val="20"/>
                                    </w:rPr>
                                    <w:t>P &lt; 0,0001</w:t>
                                  </w:r>
                                </w:p>
                                <w:p w14:paraId="3D39588C" w14:textId="77777777" w:rsidR="00C23AAA" w:rsidRPr="0055776F" w:rsidRDefault="00C23AAA" w:rsidP="004F02B8">
                                  <w:pPr>
                                    <w:rPr>
                                      <w:rFonts w:ascii="Arial" w:hAnsi="Arial" w:cs="Arial"/>
                                      <w:sz w:val="20"/>
                                    </w:rPr>
                                  </w:pPr>
                                  <w:r>
                                    <w:rPr>
                                      <w:rFonts w:ascii="Arial" w:hAnsi="Arial" w:cs="Arial"/>
                                      <w:sz w:val="20"/>
                                    </w:rPr>
                                    <w:t>Riska attiecība 0,</w:t>
                                  </w:r>
                                  <w:r w:rsidRPr="0055776F">
                                    <w:rPr>
                                      <w:rFonts w:ascii="Arial" w:hAnsi="Arial" w:cs="Arial"/>
                                      <w:sz w:val="20"/>
                                    </w:rPr>
                                    <w:t>4</w:t>
                                  </w:r>
                                  <w:r>
                                    <w:rPr>
                                      <w:rFonts w:ascii="Arial" w:hAnsi="Arial" w:cs="Arial"/>
                                      <w:sz w:val="20"/>
                                    </w:rPr>
                                    <w:t>6</w:t>
                                  </w:r>
                                </w:p>
                                <w:p w14:paraId="3D39588D" w14:textId="77777777" w:rsidR="00C23AAA" w:rsidRPr="0055776F" w:rsidRDefault="00C23AAA" w:rsidP="004F02B8">
                                  <w:pPr>
                                    <w:rPr>
                                      <w:rFonts w:ascii="Arial" w:hAnsi="Arial" w:cs="Arial"/>
                                      <w:sz w:val="20"/>
                                      <w:lang w:val="de-DE"/>
                                    </w:rPr>
                                  </w:pPr>
                                  <w:r>
                                    <w:rPr>
                                      <w:rFonts w:ascii="Arial" w:hAnsi="Arial" w:cs="Arial"/>
                                      <w:sz w:val="20"/>
                                    </w:rPr>
                                    <w:t>(95% Tl,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C23AAA" w:rsidRPr="000C1F7F" w14:paraId="3D395894" w14:textId="77777777">
                              <w:tc>
                                <w:tcPr>
                                  <w:tcW w:w="817" w:type="dxa"/>
                                  <w:shd w:val="clear" w:color="auto" w:fill="auto"/>
                                </w:tcPr>
                                <w:p w14:paraId="3D39588F" w14:textId="77777777" w:rsidR="00C23AAA" w:rsidRPr="0055776F" w:rsidRDefault="00C23AAA" w:rsidP="00BF34F9">
                                  <w:pPr>
                                    <w:rPr>
                                      <w:rFonts w:ascii="Arial" w:hAnsi="Arial" w:cs="Arial"/>
                                      <w:sz w:val="20"/>
                                    </w:rPr>
                                  </w:pPr>
                                </w:p>
                              </w:tc>
                              <w:tc>
                                <w:tcPr>
                                  <w:tcW w:w="2464" w:type="dxa"/>
                                  <w:shd w:val="clear" w:color="auto" w:fill="auto"/>
                                </w:tcPr>
                                <w:p w14:paraId="3D395890" w14:textId="77777777" w:rsidR="00C23AAA" w:rsidRPr="0055776F" w:rsidRDefault="00C23AAA" w:rsidP="00BF34F9">
                                  <w:pPr>
                                    <w:rPr>
                                      <w:rFonts w:ascii="Arial" w:hAnsi="Arial" w:cs="Arial"/>
                                      <w:sz w:val="20"/>
                                    </w:rPr>
                                  </w:pPr>
                                </w:p>
                              </w:tc>
                              <w:tc>
                                <w:tcPr>
                                  <w:tcW w:w="851" w:type="dxa"/>
                                  <w:tcBorders>
                                    <w:bottom w:val="single" w:sz="4" w:space="0" w:color="auto"/>
                                  </w:tcBorders>
                                  <w:shd w:val="clear" w:color="auto" w:fill="auto"/>
                                </w:tcPr>
                                <w:p w14:paraId="3D395891" w14:textId="77777777" w:rsidR="00C23AAA" w:rsidRPr="0055776F" w:rsidRDefault="00C23AAA" w:rsidP="00BF34F9">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3D395892" w14:textId="77777777" w:rsidR="00C23AAA" w:rsidRPr="000C1F7F" w:rsidRDefault="00C23AAA" w:rsidP="00527E66">
                                  <w:pPr>
                                    <w:rPr>
                                      <w:rFonts w:ascii="Arial" w:hAnsi="Arial" w:cs="Arial"/>
                                      <w:sz w:val="20"/>
                                    </w:rPr>
                                  </w:pPr>
                                  <w:r w:rsidRPr="000C1F7F">
                                    <w:rPr>
                                      <w:rFonts w:ascii="Arial" w:hAnsi="Arial" w:cs="Arial"/>
                                      <w:sz w:val="20"/>
                                    </w:rPr>
                                    <w:t>Gadījumi</w:t>
                                  </w:r>
                                </w:p>
                              </w:tc>
                              <w:tc>
                                <w:tcPr>
                                  <w:tcW w:w="850" w:type="dxa"/>
                                  <w:tcBorders>
                                    <w:bottom w:val="single" w:sz="4" w:space="0" w:color="auto"/>
                                  </w:tcBorders>
                                  <w:shd w:val="clear" w:color="auto" w:fill="auto"/>
                                </w:tcPr>
                                <w:p w14:paraId="3D395893" w14:textId="77777777" w:rsidR="00C23AAA" w:rsidRPr="000C1F7F" w:rsidRDefault="00C23AAA" w:rsidP="00BF34F9">
                                  <w:pPr>
                                    <w:rPr>
                                      <w:rFonts w:ascii="Arial" w:hAnsi="Arial" w:cs="Arial"/>
                                      <w:sz w:val="20"/>
                                    </w:rPr>
                                  </w:pPr>
                                  <w:r w:rsidRPr="000C1F7F">
                                    <w:rPr>
                                      <w:rFonts w:ascii="Arial" w:hAnsi="Arial" w:cs="Arial"/>
                                      <w:sz w:val="20"/>
                                    </w:rPr>
                                    <w:t>Izslēgtie</w:t>
                                  </w:r>
                                </w:p>
                              </w:tc>
                            </w:tr>
                            <w:tr w:rsidR="00C23AAA" w:rsidRPr="000C1F7F" w14:paraId="3D39589A" w14:textId="77777777">
                              <w:tc>
                                <w:tcPr>
                                  <w:tcW w:w="817" w:type="dxa"/>
                                  <w:shd w:val="clear" w:color="auto" w:fill="auto"/>
                                </w:tcPr>
                                <w:p w14:paraId="3D395895" w14:textId="77777777" w:rsidR="00C23AAA" w:rsidRPr="0055776F" w:rsidRDefault="00C23AAA" w:rsidP="00BF34F9">
                                  <w:pPr>
                                    <w:rPr>
                                      <w:rFonts w:ascii="Arial" w:hAnsi="Arial" w:cs="Arial"/>
                                      <w:sz w:val="20"/>
                                    </w:rPr>
                                  </w:pPr>
                                  <w:r w:rsidRPr="0055776F">
                                    <w:rPr>
                                      <w:rFonts w:ascii="Arial" w:hAnsi="Arial" w:cs="Arial"/>
                                      <w:b/>
                                      <w:sz w:val="20"/>
                                    </w:rPr>
                                    <w:t>——</w:t>
                                  </w:r>
                                </w:p>
                              </w:tc>
                              <w:tc>
                                <w:tcPr>
                                  <w:tcW w:w="2464" w:type="dxa"/>
                                  <w:shd w:val="clear" w:color="auto" w:fill="auto"/>
                                </w:tcPr>
                                <w:p w14:paraId="3D395896" w14:textId="77777777" w:rsidR="00C23AAA" w:rsidRPr="0055776F" w:rsidRDefault="00C23AAA" w:rsidP="00BF34F9">
                                  <w:pPr>
                                    <w:rPr>
                                      <w:rFonts w:ascii="Arial" w:hAnsi="Arial" w:cs="Arial"/>
                                      <w:sz w:val="20"/>
                                    </w:rPr>
                                  </w:pPr>
                                  <w:r w:rsidRPr="00A33DBA">
                                    <w:rPr>
                                      <w:rFonts w:ascii="Arial" w:hAnsi="Arial" w:cs="Arial"/>
                                      <w:sz w:val="20"/>
                                    </w:rPr>
                                    <w:t>(1) Imatinib</w:t>
                                  </w:r>
                                  <w:r>
                                    <w:rPr>
                                      <w:rFonts w:ascii="Arial" w:hAnsi="Arial" w:cs="Arial"/>
                                      <w:sz w:val="20"/>
                                    </w:rPr>
                                    <w:t>s 12 mēneši</w:t>
                                  </w:r>
                                  <w:r w:rsidRPr="00A33DBA">
                                    <w:rPr>
                                      <w:rFonts w:ascii="Arial" w:hAnsi="Arial" w:cs="Arial"/>
                                      <w:sz w:val="20"/>
                                    </w:rPr>
                                    <w:t>:</w:t>
                                  </w:r>
                                </w:p>
                              </w:tc>
                              <w:tc>
                                <w:tcPr>
                                  <w:tcW w:w="851" w:type="dxa"/>
                                  <w:tcBorders>
                                    <w:top w:val="single" w:sz="4" w:space="0" w:color="auto"/>
                                  </w:tcBorders>
                                  <w:shd w:val="clear" w:color="auto" w:fill="auto"/>
                                </w:tcPr>
                                <w:p w14:paraId="3D395897" w14:textId="77777777" w:rsidR="00C23AAA" w:rsidRPr="0055776F" w:rsidRDefault="00C23AAA" w:rsidP="00BF34F9">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3D395898" w14:textId="77777777" w:rsidR="00C23AAA" w:rsidRPr="000C1F7F" w:rsidRDefault="00C23AAA" w:rsidP="00BF34F9">
                                  <w:pPr>
                                    <w:rPr>
                                      <w:rFonts w:ascii="Arial" w:hAnsi="Arial" w:cs="Arial"/>
                                      <w:sz w:val="20"/>
                                    </w:rPr>
                                  </w:pPr>
                                  <w:r w:rsidRPr="000C1F7F">
                                    <w:rPr>
                                      <w:rFonts w:ascii="Arial" w:hAnsi="Arial" w:cs="Arial"/>
                                      <w:sz w:val="20"/>
                                    </w:rPr>
                                    <w:t>84</w:t>
                                  </w:r>
                                </w:p>
                              </w:tc>
                              <w:tc>
                                <w:tcPr>
                                  <w:tcW w:w="850" w:type="dxa"/>
                                  <w:tcBorders>
                                    <w:top w:val="single" w:sz="4" w:space="0" w:color="auto"/>
                                  </w:tcBorders>
                                  <w:shd w:val="clear" w:color="auto" w:fill="auto"/>
                                </w:tcPr>
                                <w:p w14:paraId="3D395899" w14:textId="77777777" w:rsidR="00C23AAA" w:rsidRPr="000C1F7F" w:rsidRDefault="00C23AAA" w:rsidP="00BF34F9">
                                  <w:pPr>
                                    <w:rPr>
                                      <w:rFonts w:ascii="Arial" w:hAnsi="Arial" w:cs="Arial"/>
                                      <w:sz w:val="20"/>
                                    </w:rPr>
                                  </w:pPr>
                                  <w:r w:rsidRPr="000C1F7F">
                                    <w:rPr>
                                      <w:rFonts w:ascii="Arial" w:hAnsi="Arial" w:cs="Arial"/>
                                      <w:sz w:val="20"/>
                                    </w:rPr>
                                    <w:t>115</w:t>
                                  </w:r>
                                </w:p>
                              </w:tc>
                            </w:tr>
                            <w:tr w:rsidR="00C23AAA" w:rsidRPr="000C1F7F" w14:paraId="3D3958A0" w14:textId="77777777">
                              <w:tc>
                                <w:tcPr>
                                  <w:tcW w:w="817" w:type="dxa"/>
                                  <w:shd w:val="clear" w:color="auto" w:fill="auto"/>
                                </w:tcPr>
                                <w:p w14:paraId="3D39589B" w14:textId="77777777" w:rsidR="00C23AAA" w:rsidRPr="0055776F" w:rsidRDefault="00C23AAA" w:rsidP="00BF34F9">
                                  <w:pPr>
                                    <w:rPr>
                                      <w:rFonts w:ascii="Arial" w:hAnsi="Arial" w:cs="Arial"/>
                                      <w:sz w:val="20"/>
                                    </w:rPr>
                                  </w:pPr>
                                  <w:r w:rsidRPr="0055776F">
                                    <w:rPr>
                                      <w:rFonts w:ascii="Arial" w:hAnsi="Arial" w:cs="Arial"/>
                                      <w:sz w:val="20"/>
                                    </w:rPr>
                                    <w:t>-----</w:t>
                                  </w:r>
                                </w:p>
                              </w:tc>
                              <w:tc>
                                <w:tcPr>
                                  <w:tcW w:w="2464" w:type="dxa"/>
                                  <w:shd w:val="clear" w:color="auto" w:fill="auto"/>
                                </w:tcPr>
                                <w:p w14:paraId="3D39589C" w14:textId="77777777" w:rsidR="00C23AAA" w:rsidRPr="0055776F" w:rsidRDefault="00C23AAA" w:rsidP="00BF34F9">
                                  <w:pPr>
                                    <w:rPr>
                                      <w:rFonts w:ascii="Arial" w:hAnsi="Arial" w:cs="Arial"/>
                                      <w:sz w:val="20"/>
                                    </w:rPr>
                                  </w:pPr>
                                  <w:r w:rsidRPr="00A33DBA">
                                    <w:rPr>
                                      <w:rFonts w:ascii="Arial" w:hAnsi="Arial" w:cs="Arial"/>
                                      <w:sz w:val="20"/>
                                    </w:rPr>
                                    <w:t>(2) Imatinib</w:t>
                                  </w:r>
                                  <w:r>
                                    <w:rPr>
                                      <w:rFonts w:ascii="Arial" w:hAnsi="Arial" w:cs="Arial"/>
                                      <w:sz w:val="20"/>
                                    </w:rPr>
                                    <w:t>s 36 mēneši</w:t>
                                  </w:r>
                                  <w:r w:rsidRPr="00A33DBA">
                                    <w:rPr>
                                      <w:rFonts w:ascii="Arial" w:hAnsi="Arial" w:cs="Arial"/>
                                      <w:sz w:val="20"/>
                                    </w:rPr>
                                    <w:t>:</w:t>
                                  </w:r>
                                </w:p>
                              </w:tc>
                              <w:tc>
                                <w:tcPr>
                                  <w:tcW w:w="851" w:type="dxa"/>
                                  <w:tcBorders>
                                    <w:bottom w:val="single" w:sz="4" w:space="0" w:color="auto"/>
                                  </w:tcBorders>
                                  <w:shd w:val="clear" w:color="auto" w:fill="auto"/>
                                </w:tcPr>
                                <w:p w14:paraId="3D39589D" w14:textId="77777777" w:rsidR="00C23AAA" w:rsidRPr="0055776F" w:rsidRDefault="00C23AAA" w:rsidP="00BF34F9">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3D39589E" w14:textId="77777777" w:rsidR="00C23AAA" w:rsidRPr="000C1F7F" w:rsidRDefault="00C23AAA" w:rsidP="00BF34F9">
                                  <w:pPr>
                                    <w:rPr>
                                      <w:rFonts w:ascii="Arial" w:hAnsi="Arial" w:cs="Arial"/>
                                      <w:sz w:val="20"/>
                                    </w:rPr>
                                  </w:pPr>
                                  <w:r w:rsidRPr="000C1F7F">
                                    <w:rPr>
                                      <w:rFonts w:ascii="Arial" w:hAnsi="Arial" w:cs="Arial"/>
                                      <w:sz w:val="20"/>
                                    </w:rPr>
                                    <w:t>50</w:t>
                                  </w:r>
                                </w:p>
                              </w:tc>
                              <w:tc>
                                <w:tcPr>
                                  <w:tcW w:w="850" w:type="dxa"/>
                                  <w:tcBorders>
                                    <w:bottom w:val="single" w:sz="4" w:space="0" w:color="auto"/>
                                  </w:tcBorders>
                                  <w:shd w:val="clear" w:color="auto" w:fill="auto"/>
                                </w:tcPr>
                                <w:p w14:paraId="3D39589F" w14:textId="77777777" w:rsidR="00C23AAA" w:rsidRPr="000C1F7F" w:rsidRDefault="00C23AAA" w:rsidP="00BF34F9">
                                  <w:pPr>
                                    <w:rPr>
                                      <w:rFonts w:ascii="Arial" w:hAnsi="Arial" w:cs="Arial"/>
                                      <w:sz w:val="20"/>
                                    </w:rPr>
                                  </w:pPr>
                                  <w:r w:rsidRPr="000C1F7F">
                                    <w:rPr>
                                      <w:rFonts w:ascii="Arial" w:hAnsi="Arial" w:cs="Arial"/>
                                      <w:sz w:val="20"/>
                                    </w:rPr>
                                    <w:t>148</w:t>
                                  </w:r>
                                </w:p>
                              </w:tc>
                            </w:tr>
                            <w:tr w:rsidR="00C23AAA" w:rsidRPr="0055776F" w14:paraId="3D3958A6" w14:textId="77777777">
                              <w:tc>
                                <w:tcPr>
                                  <w:tcW w:w="817" w:type="dxa"/>
                                  <w:shd w:val="clear" w:color="auto" w:fill="auto"/>
                                </w:tcPr>
                                <w:p w14:paraId="3D3958A1" w14:textId="77777777" w:rsidR="00C23AAA" w:rsidRPr="0055776F" w:rsidRDefault="00C23AAA" w:rsidP="00BF34F9">
                                  <w:pPr>
                                    <w:rPr>
                                      <w:rFonts w:ascii="Arial" w:hAnsi="Arial" w:cs="Arial"/>
                                      <w:sz w:val="20"/>
                                    </w:rPr>
                                  </w:pPr>
                                  <w:r w:rsidRPr="0055776F">
                                    <w:rPr>
                                      <w:rFonts w:ascii="Arial" w:hAnsi="Arial" w:cs="Arial"/>
                                      <w:sz w:val="20"/>
                                    </w:rPr>
                                    <w:t>│││</w:t>
                                  </w:r>
                                </w:p>
                              </w:tc>
                              <w:tc>
                                <w:tcPr>
                                  <w:tcW w:w="2464" w:type="dxa"/>
                                  <w:shd w:val="clear" w:color="auto" w:fill="auto"/>
                                </w:tcPr>
                                <w:p w14:paraId="3D3958A2" w14:textId="77777777" w:rsidR="00C23AAA" w:rsidRPr="0055776F" w:rsidRDefault="00C23AAA" w:rsidP="00BF34F9">
                                  <w:pPr>
                                    <w:rPr>
                                      <w:rFonts w:ascii="Arial" w:hAnsi="Arial" w:cs="Arial"/>
                                      <w:sz w:val="20"/>
                                    </w:rPr>
                                  </w:pPr>
                                  <w:r w:rsidRPr="008E7CB7">
                                    <w:rPr>
                                      <w:rFonts w:ascii="Arial" w:hAnsi="Arial" w:cs="Arial"/>
                                      <w:sz w:val="20"/>
                                    </w:rPr>
                                    <w:t>Izslēgtie novērojumi</w:t>
                                  </w:r>
                                </w:p>
                              </w:tc>
                              <w:tc>
                                <w:tcPr>
                                  <w:tcW w:w="851" w:type="dxa"/>
                                  <w:tcBorders>
                                    <w:top w:val="single" w:sz="4" w:space="0" w:color="auto"/>
                                  </w:tcBorders>
                                  <w:shd w:val="clear" w:color="auto" w:fill="auto"/>
                                </w:tcPr>
                                <w:p w14:paraId="3D3958A3" w14:textId="77777777" w:rsidR="00C23AAA" w:rsidRPr="0055776F" w:rsidRDefault="00C23AAA" w:rsidP="00BF34F9">
                                  <w:pPr>
                                    <w:rPr>
                                      <w:rFonts w:ascii="Arial" w:hAnsi="Arial" w:cs="Arial"/>
                                      <w:sz w:val="20"/>
                                    </w:rPr>
                                  </w:pPr>
                                </w:p>
                              </w:tc>
                              <w:tc>
                                <w:tcPr>
                                  <w:tcW w:w="709" w:type="dxa"/>
                                  <w:tcBorders>
                                    <w:top w:val="single" w:sz="4" w:space="0" w:color="auto"/>
                                  </w:tcBorders>
                                  <w:shd w:val="clear" w:color="auto" w:fill="auto"/>
                                </w:tcPr>
                                <w:p w14:paraId="3D3958A4" w14:textId="77777777" w:rsidR="00C23AAA" w:rsidRPr="0055776F" w:rsidRDefault="00C23AAA" w:rsidP="00BF34F9">
                                  <w:pPr>
                                    <w:rPr>
                                      <w:rFonts w:ascii="Arial" w:hAnsi="Arial" w:cs="Arial"/>
                                      <w:sz w:val="20"/>
                                    </w:rPr>
                                  </w:pPr>
                                </w:p>
                              </w:tc>
                              <w:tc>
                                <w:tcPr>
                                  <w:tcW w:w="850" w:type="dxa"/>
                                  <w:tcBorders>
                                    <w:top w:val="single" w:sz="4" w:space="0" w:color="auto"/>
                                  </w:tcBorders>
                                  <w:shd w:val="clear" w:color="auto" w:fill="auto"/>
                                </w:tcPr>
                                <w:p w14:paraId="3D3958A5" w14:textId="77777777" w:rsidR="00C23AAA" w:rsidRPr="0055776F" w:rsidRDefault="00C23AAA" w:rsidP="00BF34F9">
                                  <w:pPr>
                                    <w:rPr>
                                      <w:rFonts w:ascii="Arial" w:hAnsi="Arial" w:cs="Arial"/>
                                      <w:sz w:val="20"/>
                                    </w:rPr>
                                  </w:pPr>
                                </w:p>
                              </w:tc>
                            </w:tr>
                          </w:tbl>
                          <w:p w14:paraId="3D3958A7" w14:textId="77777777" w:rsidR="00C23AAA" w:rsidRPr="00A33DBA" w:rsidRDefault="00C23AAA" w:rsidP="009E01F8">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9582A" id="_x0000_s1033" type="#_x0000_t202" style="position:absolute;margin-left:27.6pt;margin-top:88.85pt;width:361.05pt;height:10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" filled="f" stroked="f">
                <v:textbox>
                  <w:txbxContent>
                    <w:tbl>
                      <w:tblPr>
                        <w:tblW w:w="0" w:type="auto"/>
                        <w:tblLook w:val="04A0" w:firstRow="1" w:lastRow="0" w:firstColumn="1" w:lastColumn="0" w:noHBand="0" w:noVBand="1"/>
                      </w:tblPr>
                      <w:tblGrid>
                        <w:gridCol w:w="817"/>
                        <w:gridCol w:w="2464"/>
                        <w:gridCol w:w="851"/>
                        <w:gridCol w:w="1017"/>
                        <w:gridCol w:w="950"/>
                      </w:tblGrid>
                      <w:tr w:rsidR="00C23AAA" w:rsidRPr="0055776F" w14:paraId="3D39588E" w14:textId="77777777">
                        <w:trPr>
                          <w:gridAfter w:val="3"/>
                          <w:wAfter w:w="2410" w:type="dxa"/>
                        </w:trPr>
                        <w:tc>
                          <w:tcPr>
                            <w:tcW w:w="3281" w:type="dxa"/>
                            <w:gridSpan w:val="2"/>
                            <w:shd w:val="clear" w:color="auto" w:fill="auto"/>
                          </w:tcPr>
                          <w:p w14:paraId="3D39588B" w14:textId="77777777" w:rsidR="00C23AAA" w:rsidRPr="0055776F" w:rsidRDefault="00C23AAA" w:rsidP="004F02B8">
                            <w:pPr>
                              <w:rPr>
                                <w:rFonts w:ascii="Arial" w:hAnsi="Arial" w:cs="Arial"/>
                                <w:sz w:val="20"/>
                              </w:rPr>
                            </w:pPr>
                            <w:r>
                              <w:rPr>
                                <w:rFonts w:ascii="Arial" w:hAnsi="Arial" w:cs="Arial"/>
                                <w:sz w:val="20"/>
                              </w:rPr>
                              <w:t>P &lt; 0,0001</w:t>
                            </w:r>
                          </w:p>
                          <w:p w14:paraId="3D39588C" w14:textId="77777777" w:rsidR="00C23AAA" w:rsidRPr="0055776F" w:rsidRDefault="00C23AAA" w:rsidP="004F02B8">
                            <w:pPr>
                              <w:rPr>
                                <w:rFonts w:ascii="Arial" w:hAnsi="Arial" w:cs="Arial"/>
                                <w:sz w:val="20"/>
                              </w:rPr>
                            </w:pPr>
                            <w:r>
                              <w:rPr>
                                <w:rFonts w:ascii="Arial" w:hAnsi="Arial" w:cs="Arial"/>
                                <w:sz w:val="20"/>
                              </w:rPr>
                              <w:t>Riska attiecība 0,</w:t>
                            </w:r>
                            <w:r w:rsidRPr="0055776F">
                              <w:rPr>
                                <w:rFonts w:ascii="Arial" w:hAnsi="Arial" w:cs="Arial"/>
                                <w:sz w:val="20"/>
                              </w:rPr>
                              <w:t>4</w:t>
                            </w:r>
                            <w:r>
                              <w:rPr>
                                <w:rFonts w:ascii="Arial" w:hAnsi="Arial" w:cs="Arial"/>
                                <w:sz w:val="20"/>
                              </w:rPr>
                              <w:t>6</w:t>
                            </w:r>
                          </w:p>
                          <w:p w14:paraId="3D39588D" w14:textId="77777777" w:rsidR="00C23AAA" w:rsidRPr="0055776F" w:rsidRDefault="00C23AAA" w:rsidP="004F02B8">
                            <w:pPr>
                              <w:rPr>
                                <w:rFonts w:ascii="Arial" w:hAnsi="Arial" w:cs="Arial"/>
                                <w:sz w:val="20"/>
                                <w:lang w:val="de-DE"/>
                              </w:rPr>
                            </w:pPr>
                            <w:r>
                              <w:rPr>
                                <w:rFonts w:ascii="Arial" w:hAnsi="Arial" w:cs="Arial"/>
                                <w:sz w:val="20"/>
                              </w:rPr>
                              <w:t>(95% Tl, 0,3</w:t>
                            </w:r>
                            <w:r w:rsidRPr="0055776F">
                              <w:rPr>
                                <w:rFonts w:ascii="Arial" w:hAnsi="Arial" w:cs="Arial"/>
                                <w:sz w:val="20"/>
                              </w:rPr>
                              <w:t>2</w:t>
                            </w:r>
                            <w:r>
                              <w:rPr>
                                <w:rFonts w:ascii="Arial" w:hAnsi="Arial" w:cs="Arial"/>
                                <w:sz w:val="20"/>
                              </w:rPr>
                              <w:noBreakHyphen/>
                              <w:t>0,65</w:t>
                            </w:r>
                            <w:r w:rsidRPr="0055776F">
                              <w:rPr>
                                <w:rFonts w:ascii="Arial" w:hAnsi="Arial" w:cs="Arial"/>
                                <w:sz w:val="20"/>
                              </w:rPr>
                              <w:t>)</w:t>
                            </w:r>
                          </w:p>
                        </w:tc>
                      </w:tr>
                      <w:tr w:rsidR="00C23AAA" w:rsidRPr="000C1F7F" w14:paraId="3D395894" w14:textId="77777777">
                        <w:tc>
                          <w:tcPr>
                            <w:tcW w:w="817" w:type="dxa"/>
                            <w:shd w:val="clear" w:color="auto" w:fill="auto"/>
                          </w:tcPr>
                          <w:p w14:paraId="3D39588F" w14:textId="77777777" w:rsidR="00C23AAA" w:rsidRPr="0055776F" w:rsidRDefault="00C23AAA" w:rsidP="00BF34F9">
                            <w:pPr>
                              <w:rPr>
                                <w:rFonts w:ascii="Arial" w:hAnsi="Arial" w:cs="Arial"/>
                                <w:sz w:val="20"/>
                              </w:rPr>
                            </w:pPr>
                          </w:p>
                        </w:tc>
                        <w:tc>
                          <w:tcPr>
                            <w:tcW w:w="2464" w:type="dxa"/>
                            <w:shd w:val="clear" w:color="auto" w:fill="auto"/>
                          </w:tcPr>
                          <w:p w14:paraId="3D395890" w14:textId="77777777" w:rsidR="00C23AAA" w:rsidRPr="0055776F" w:rsidRDefault="00C23AAA" w:rsidP="00BF34F9">
                            <w:pPr>
                              <w:rPr>
                                <w:rFonts w:ascii="Arial" w:hAnsi="Arial" w:cs="Arial"/>
                                <w:sz w:val="20"/>
                              </w:rPr>
                            </w:pPr>
                          </w:p>
                        </w:tc>
                        <w:tc>
                          <w:tcPr>
                            <w:tcW w:w="851" w:type="dxa"/>
                            <w:tcBorders>
                              <w:bottom w:val="single" w:sz="4" w:space="0" w:color="auto"/>
                            </w:tcBorders>
                            <w:shd w:val="clear" w:color="auto" w:fill="auto"/>
                          </w:tcPr>
                          <w:p w14:paraId="3D395891" w14:textId="77777777" w:rsidR="00C23AAA" w:rsidRPr="0055776F" w:rsidRDefault="00C23AAA" w:rsidP="00BF34F9">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3D395892" w14:textId="77777777" w:rsidR="00C23AAA" w:rsidRPr="000C1F7F" w:rsidRDefault="00C23AAA" w:rsidP="00527E66">
                            <w:pPr>
                              <w:rPr>
                                <w:rFonts w:ascii="Arial" w:hAnsi="Arial" w:cs="Arial"/>
                                <w:sz w:val="20"/>
                              </w:rPr>
                            </w:pPr>
                            <w:r w:rsidRPr="000C1F7F">
                              <w:rPr>
                                <w:rFonts w:ascii="Arial" w:hAnsi="Arial" w:cs="Arial"/>
                                <w:sz w:val="20"/>
                              </w:rPr>
                              <w:t>Gadījumi</w:t>
                            </w:r>
                          </w:p>
                        </w:tc>
                        <w:tc>
                          <w:tcPr>
                            <w:tcW w:w="850" w:type="dxa"/>
                            <w:tcBorders>
                              <w:bottom w:val="single" w:sz="4" w:space="0" w:color="auto"/>
                            </w:tcBorders>
                            <w:shd w:val="clear" w:color="auto" w:fill="auto"/>
                          </w:tcPr>
                          <w:p w14:paraId="3D395893" w14:textId="77777777" w:rsidR="00C23AAA" w:rsidRPr="000C1F7F" w:rsidRDefault="00C23AAA" w:rsidP="00BF34F9">
                            <w:pPr>
                              <w:rPr>
                                <w:rFonts w:ascii="Arial" w:hAnsi="Arial" w:cs="Arial"/>
                                <w:sz w:val="20"/>
                              </w:rPr>
                            </w:pPr>
                            <w:r w:rsidRPr="000C1F7F">
                              <w:rPr>
                                <w:rFonts w:ascii="Arial" w:hAnsi="Arial" w:cs="Arial"/>
                                <w:sz w:val="20"/>
                              </w:rPr>
                              <w:t>Izslēgtie</w:t>
                            </w:r>
                          </w:p>
                        </w:tc>
                      </w:tr>
                      <w:tr w:rsidR="00C23AAA" w:rsidRPr="000C1F7F" w14:paraId="3D39589A" w14:textId="77777777">
                        <w:tc>
                          <w:tcPr>
                            <w:tcW w:w="817" w:type="dxa"/>
                            <w:shd w:val="clear" w:color="auto" w:fill="auto"/>
                          </w:tcPr>
                          <w:p w14:paraId="3D395895" w14:textId="77777777" w:rsidR="00C23AAA" w:rsidRPr="0055776F" w:rsidRDefault="00C23AAA" w:rsidP="00BF34F9">
                            <w:pPr>
                              <w:rPr>
                                <w:rFonts w:ascii="Arial" w:hAnsi="Arial" w:cs="Arial"/>
                                <w:sz w:val="20"/>
                              </w:rPr>
                            </w:pPr>
                            <w:r w:rsidRPr="0055776F">
                              <w:rPr>
                                <w:rFonts w:ascii="Arial" w:hAnsi="Arial" w:cs="Arial"/>
                                <w:b/>
                                <w:sz w:val="20"/>
                              </w:rPr>
                              <w:t>——</w:t>
                            </w:r>
                          </w:p>
                        </w:tc>
                        <w:tc>
                          <w:tcPr>
                            <w:tcW w:w="2464" w:type="dxa"/>
                            <w:shd w:val="clear" w:color="auto" w:fill="auto"/>
                          </w:tcPr>
                          <w:p w14:paraId="3D395896" w14:textId="77777777" w:rsidR="00C23AAA" w:rsidRPr="0055776F" w:rsidRDefault="00C23AAA" w:rsidP="00BF34F9">
                            <w:pPr>
                              <w:rPr>
                                <w:rFonts w:ascii="Arial" w:hAnsi="Arial" w:cs="Arial"/>
                                <w:sz w:val="20"/>
                              </w:rPr>
                            </w:pPr>
                            <w:r w:rsidRPr="00A33DBA">
                              <w:rPr>
                                <w:rFonts w:ascii="Arial" w:hAnsi="Arial" w:cs="Arial"/>
                                <w:sz w:val="20"/>
                              </w:rPr>
                              <w:t>(1) Imatinib</w:t>
                            </w:r>
                            <w:r>
                              <w:rPr>
                                <w:rFonts w:ascii="Arial" w:hAnsi="Arial" w:cs="Arial"/>
                                <w:sz w:val="20"/>
                              </w:rPr>
                              <w:t>s 12 mēneši</w:t>
                            </w:r>
                            <w:r w:rsidRPr="00A33DBA">
                              <w:rPr>
                                <w:rFonts w:ascii="Arial" w:hAnsi="Arial" w:cs="Arial"/>
                                <w:sz w:val="20"/>
                              </w:rPr>
                              <w:t>:</w:t>
                            </w:r>
                          </w:p>
                        </w:tc>
                        <w:tc>
                          <w:tcPr>
                            <w:tcW w:w="851" w:type="dxa"/>
                            <w:tcBorders>
                              <w:top w:val="single" w:sz="4" w:space="0" w:color="auto"/>
                            </w:tcBorders>
                            <w:shd w:val="clear" w:color="auto" w:fill="auto"/>
                          </w:tcPr>
                          <w:p w14:paraId="3D395897" w14:textId="77777777" w:rsidR="00C23AAA" w:rsidRPr="0055776F" w:rsidRDefault="00C23AAA" w:rsidP="00BF34F9">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3D395898" w14:textId="77777777" w:rsidR="00C23AAA" w:rsidRPr="000C1F7F" w:rsidRDefault="00C23AAA" w:rsidP="00BF34F9">
                            <w:pPr>
                              <w:rPr>
                                <w:rFonts w:ascii="Arial" w:hAnsi="Arial" w:cs="Arial"/>
                                <w:sz w:val="20"/>
                              </w:rPr>
                            </w:pPr>
                            <w:r w:rsidRPr="000C1F7F">
                              <w:rPr>
                                <w:rFonts w:ascii="Arial" w:hAnsi="Arial" w:cs="Arial"/>
                                <w:sz w:val="20"/>
                              </w:rPr>
                              <w:t>84</w:t>
                            </w:r>
                          </w:p>
                        </w:tc>
                        <w:tc>
                          <w:tcPr>
                            <w:tcW w:w="850" w:type="dxa"/>
                            <w:tcBorders>
                              <w:top w:val="single" w:sz="4" w:space="0" w:color="auto"/>
                            </w:tcBorders>
                            <w:shd w:val="clear" w:color="auto" w:fill="auto"/>
                          </w:tcPr>
                          <w:p w14:paraId="3D395899" w14:textId="77777777" w:rsidR="00C23AAA" w:rsidRPr="000C1F7F" w:rsidRDefault="00C23AAA" w:rsidP="00BF34F9">
                            <w:pPr>
                              <w:rPr>
                                <w:rFonts w:ascii="Arial" w:hAnsi="Arial" w:cs="Arial"/>
                                <w:sz w:val="20"/>
                              </w:rPr>
                            </w:pPr>
                            <w:r w:rsidRPr="000C1F7F">
                              <w:rPr>
                                <w:rFonts w:ascii="Arial" w:hAnsi="Arial" w:cs="Arial"/>
                                <w:sz w:val="20"/>
                              </w:rPr>
                              <w:t>115</w:t>
                            </w:r>
                          </w:p>
                        </w:tc>
                      </w:tr>
                      <w:tr w:rsidR="00C23AAA" w:rsidRPr="000C1F7F" w14:paraId="3D3958A0" w14:textId="77777777">
                        <w:tc>
                          <w:tcPr>
                            <w:tcW w:w="817" w:type="dxa"/>
                            <w:shd w:val="clear" w:color="auto" w:fill="auto"/>
                          </w:tcPr>
                          <w:p w14:paraId="3D39589B" w14:textId="77777777" w:rsidR="00C23AAA" w:rsidRPr="0055776F" w:rsidRDefault="00C23AAA" w:rsidP="00BF34F9">
                            <w:pPr>
                              <w:rPr>
                                <w:rFonts w:ascii="Arial" w:hAnsi="Arial" w:cs="Arial"/>
                                <w:sz w:val="20"/>
                              </w:rPr>
                            </w:pPr>
                            <w:r w:rsidRPr="0055776F">
                              <w:rPr>
                                <w:rFonts w:ascii="Arial" w:hAnsi="Arial" w:cs="Arial"/>
                                <w:sz w:val="20"/>
                              </w:rPr>
                              <w:t>-----</w:t>
                            </w:r>
                          </w:p>
                        </w:tc>
                        <w:tc>
                          <w:tcPr>
                            <w:tcW w:w="2464" w:type="dxa"/>
                            <w:shd w:val="clear" w:color="auto" w:fill="auto"/>
                          </w:tcPr>
                          <w:p w14:paraId="3D39589C" w14:textId="77777777" w:rsidR="00C23AAA" w:rsidRPr="0055776F" w:rsidRDefault="00C23AAA" w:rsidP="00BF34F9">
                            <w:pPr>
                              <w:rPr>
                                <w:rFonts w:ascii="Arial" w:hAnsi="Arial" w:cs="Arial"/>
                                <w:sz w:val="20"/>
                              </w:rPr>
                            </w:pPr>
                            <w:r w:rsidRPr="00A33DBA">
                              <w:rPr>
                                <w:rFonts w:ascii="Arial" w:hAnsi="Arial" w:cs="Arial"/>
                                <w:sz w:val="20"/>
                              </w:rPr>
                              <w:t>(2) Imatinib</w:t>
                            </w:r>
                            <w:r>
                              <w:rPr>
                                <w:rFonts w:ascii="Arial" w:hAnsi="Arial" w:cs="Arial"/>
                                <w:sz w:val="20"/>
                              </w:rPr>
                              <w:t>s 36 mēneši</w:t>
                            </w:r>
                            <w:r w:rsidRPr="00A33DBA">
                              <w:rPr>
                                <w:rFonts w:ascii="Arial" w:hAnsi="Arial" w:cs="Arial"/>
                                <w:sz w:val="20"/>
                              </w:rPr>
                              <w:t>:</w:t>
                            </w:r>
                          </w:p>
                        </w:tc>
                        <w:tc>
                          <w:tcPr>
                            <w:tcW w:w="851" w:type="dxa"/>
                            <w:tcBorders>
                              <w:bottom w:val="single" w:sz="4" w:space="0" w:color="auto"/>
                            </w:tcBorders>
                            <w:shd w:val="clear" w:color="auto" w:fill="auto"/>
                          </w:tcPr>
                          <w:p w14:paraId="3D39589D" w14:textId="77777777" w:rsidR="00C23AAA" w:rsidRPr="0055776F" w:rsidRDefault="00C23AAA" w:rsidP="00BF34F9">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3D39589E" w14:textId="77777777" w:rsidR="00C23AAA" w:rsidRPr="000C1F7F" w:rsidRDefault="00C23AAA" w:rsidP="00BF34F9">
                            <w:pPr>
                              <w:rPr>
                                <w:rFonts w:ascii="Arial" w:hAnsi="Arial" w:cs="Arial"/>
                                <w:sz w:val="20"/>
                              </w:rPr>
                            </w:pPr>
                            <w:r w:rsidRPr="000C1F7F">
                              <w:rPr>
                                <w:rFonts w:ascii="Arial" w:hAnsi="Arial" w:cs="Arial"/>
                                <w:sz w:val="20"/>
                              </w:rPr>
                              <w:t>50</w:t>
                            </w:r>
                          </w:p>
                        </w:tc>
                        <w:tc>
                          <w:tcPr>
                            <w:tcW w:w="850" w:type="dxa"/>
                            <w:tcBorders>
                              <w:bottom w:val="single" w:sz="4" w:space="0" w:color="auto"/>
                            </w:tcBorders>
                            <w:shd w:val="clear" w:color="auto" w:fill="auto"/>
                          </w:tcPr>
                          <w:p w14:paraId="3D39589F" w14:textId="77777777" w:rsidR="00C23AAA" w:rsidRPr="000C1F7F" w:rsidRDefault="00C23AAA" w:rsidP="00BF34F9">
                            <w:pPr>
                              <w:rPr>
                                <w:rFonts w:ascii="Arial" w:hAnsi="Arial" w:cs="Arial"/>
                                <w:sz w:val="20"/>
                              </w:rPr>
                            </w:pPr>
                            <w:r w:rsidRPr="000C1F7F">
                              <w:rPr>
                                <w:rFonts w:ascii="Arial" w:hAnsi="Arial" w:cs="Arial"/>
                                <w:sz w:val="20"/>
                              </w:rPr>
                              <w:t>148</w:t>
                            </w:r>
                          </w:p>
                        </w:tc>
                      </w:tr>
                      <w:tr w:rsidR="00C23AAA" w:rsidRPr="0055776F" w14:paraId="3D3958A6" w14:textId="77777777">
                        <w:tc>
                          <w:tcPr>
                            <w:tcW w:w="817" w:type="dxa"/>
                            <w:shd w:val="clear" w:color="auto" w:fill="auto"/>
                          </w:tcPr>
                          <w:p w14:paraId="3D3958A1" w14:textId="77777777" w:rsidR="00C23AAA" w:rsidRPr="0055776F" w:rsidRDefault="00C23AAA" w:rsidP="00BF34F9">
                            <w:pPr>
                              <w:rPr>
                                <w:rFonts w:ascii="Arial" w:hAnsi="Arial" w:cs="Arial"/>
                                <w:sz w:val="20"/>
                              </w:rPr>
                            </w:pPr>
                            <w:r w:rsidRPr="0055776F">
                              <w:rPr>
                                <w:rFonts w:ascii="Arial" w:hAnsi="Arial" w:cs="Arial"/>
                                <w:sz w:val="20"/>
                              </w:rPr>
                              <w:t>│││</w:t>
                            </w:r>
                          </w:p>
                        </w:tc>
                        <w:tc>
                          <w:tcPr>
                            <w:tcW w:w="2464" w:type="dxa"/>
                            <w:shd w:val="clear" w:color="auto" w:fill="auto"/>
                          </w:tcPr>
                          <w:p w14:paraId="3D3958A2" w14:textId="77777777" w:rsidR="00C23AAA" w:rsidRPr="0055776F" w:rsidRDefault="00C23AAA" w:rsidP="00BF34F9">
                            <w:pPr>
                              <w:rPr>
                                <w:rFonts w:ascii="Arial" w:hAnsi="Arial" w:cs="Arial"/>
                                <w:sz w:val="20"/>
                              </w:rPr>
                            </w:pPr>
                            <w:r w:rsidRPr="008E7CB7">
                              <w:rPr>
                                <w:rFonts w:ascii="Arial" w:hAnsi="Arial" w:cs="Arial"/>
                                <w:sz w:val="20"/>
                              </w:rPr>
                              <w:t>Izslēgtie novērojumi</w:t>
                            </w:r>
                          </w:p>
                        </w:tc>
                        <w:tc>
                          <w:tcPr>
                            <w:tcW w:w="851" w:type="dxa"/>
                            <w:tcBorders>
                              <w:top w:val="single" w:sz="4" w:space="0" w:color="auto"/>
                            </w:tcBorders>
                            <w:shd w:val="clear" w:color="auto" w:fill="auto"/>
                          </w:tcPr>
                          <w:p w14:paraId="3D3958A3" w14:textId="77777777" w:rsidR="00C23AAA" w:rsidRPr="0055776F" w:rsidRDefault="00C23AAA" w:rsidP="00BF34F9">
                            <w:pPr>
                              <w:rPr>
                                <w:rFonts w:ascii="Arial" w:hAnsi="Arial" w:cs="Arial"/>
                                <w:sz w:val="20"/>
                              </w:rPr>
                            </w:pPr>
                          </w:p>
                        </w:tc>
                        <w:tc>
                          <w:tcPr>
                            <w:tcW w:w="709" w:type="dxa"/>
                            <w:tcBorders>
                              <w:top w:val="single" w:sz="4" w:space="0" w:color="auto"/>
                            </w:tcBorders>
                            <w:shd w:val="clear" w:color="auto" w:fill="auto"/>
                          </w:tcPr>
                          <w:p w14:paraId="3D3958A4" w14:textId="77777777" w:rsidR="00C23AAA" w:rsidRPr="0055776F" w:rsidRDefault="00C23AAA" w:rsidP="00BF34F9">
                            <w:pPr>
                              <w:rPr>
                                <w:rFonts w:ascii="Arial" w:hAnsi="Arial" w:cs="Arial"/>
                                <w:sz w:val="20"/>
                              </w:rPr>
                            </w:pPr>
                          </w:p>
                        </w:tc>
                        <w:tc>
                          <w:tcPr>
                            <w:tcW w:w="850" w:type="dxa"/>
                            <w:tcBorders>
                              <w:top w:val="single" w:sz="4" w:space="0" w:color="auto"/>
                            </w:tcBorders>
                            <w:shd w:val="clear" w:color="auto" w:fill="auto"/>
                          </w:tcPr>
                          <w:p w14:paraId="3D3958A5" w14:textId="77777777" w:rsidR="00C23AAA" w:rsidRPr="0055776F" w:rsidRDefault="00C23AAA" w:rsidP="00BF34F9">
                            <w:pPr>
                              <w:rPr>
                                <w:rFonts w:ascii="Arial" w:hAnsi="Arial" w:cs="Arial"/>
                                <w:sz w:val="20"/>
                              </w:rPr>
                            </w:pPr>
                          </w:p>
                        </w:tc>
                      </w:tr>
                    </w:tbl>
                    <w:p w14:paraId="3D3958A7" w14:textId="77777777" w:rsidR="00C23AAA" w:rsidRPr="00A33DBA" w:rsidRDefault="00C23AAA" w:rsidP="009E01F8">
                      <w:pPr>
                        <w:rPr>
                          <w:rFonts w:ascii="Arial" w:hAnsi="Arial" w:cs="Arial"/>
                          <w:sz w:val="20"/>
                        </w:rPr>
                      </w:pPr>
                    </w:p>
                  </w:txbxContent>
                </v:textbox>
              </v:shape>
            </w:pict>
          </mc:Fallback>
        </mc:AlternateContent>
      </w:r>
      <w:r w:rsidRPr="00CD729C">
        <w:rPr>
          <w:rFonts w:eastAsia="MS Mincho"/>
          <w:noProof/>
          <w:szCs w:val="22"/>
          <w:lang w:val="en-GB" w:eastAsia="en-GB"/>
        </w:rPr>
        <mc:AlternateContent>
          <mc:Choice Requires="wps">
            <w:drawing>
              <wp:anchor distT="0" distB="0" distL="114300" distR="114300" simplePos="0" relativeHeight="251660288" behindDoc="0" locked="0" layoutInCell="1" allowOverlap="1" wp14:anchorId="3D39582C" wp14:editId="3D39582D">
                <wp:simplePos x="0" y="0"/>
                <wp:positionH relativeFrom="column">
                  <wp:posOffset>2339340</wp:posOffset>
                </wp:positionH>
                <wp:positionV relativeFrom="paragraph">
                  <wp:posOffset>2671445</wp:posOffset>
                </wp:positionV>
                <wp:extent cx="1540510" cy="31432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314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958A8" w14:textId="77777777" w:rsidR="00C23AAA" w:rsidRPr="00A33DBA" w:rsidRDefault="00C23AAA" w:rsidP="009E01F8">
                            <w:pPr>
                              <w:rPr>
                                <w:rFonts w:ascii="Arial" w:hAnsi="Arial" w:cs="Arial"/>
                                <w:sz w:val="20"/>
                              </w:rPr>
                            </w:pPr>
                            <w:r>
                              <w:rPr>
                                <w:rFonts w:ascii="Arial" w:hAnsi="Arial" w:cs="Arial"/>
                                <w:sz w:val="20"/>
                                <w:lang w:val="de-DE"/>
                              </w:rPr>
                              <w:t>Dzīvildze (mēneši)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9582C" id="_x0000_s1034" type="#_x0000_t202" style="position:absolute;margin-left:184.2pt;margin-top:210.35pt;width:121.3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" stroked="f">
                <v:fill opacity="0"/>
                <v:textbox>
                  <w:txbxContent>
                    <w:p w14:paraId="3D3958A8" w14:textId="77777777" w:rsidR="00C23AAA" w:rsidRPr="00A33DBA" w:rsidRDefault="00C23AAA" w:rsidP="009E01F8">
                      <w:pPr>
                        <w:rPr>
                          <w:rFonts w:ascii="Arial" w:hAnsi="Arial" w:cs="Arial"/>
                          <w:sz w:val="20"/>
                        </w:rPr>
                      </w:pPr>
                      <w:r>
                        <w:rPr>
                          <w:rFonts w:ascii="Arial" w:hAnsi="Arial" w:cs="Arial"/>
                          <w:sz w:val="20"/>
                          <w:lang w:val="de-DE"/>
                        </w:rPr>
                        <w:t>Dzīvildze (mēneši)</w:t>
                      </w:r>
                    </w:p>
                  </w:txbxContent>
                </v:textbox>
              </v:shape>
            </w:pict>
          </mc:Fallback>
        </mc:AlternateContent>
      </w:r>
      <w:r w:rsidRPr="00CD729C">
        <w:rPr>
          <w:noProof/>
          <w:lang w:val="en-GB" w:eastAsia="en-GB"/>
        </w:rPr>
        <w:drawing>
          <wp:inline distT="0" distB="0" distL="0" distR="0" wp14:anchorId="3D39582E" wp14:editId="3D39582F">
            <wp:extent cx="5938520" cy="268224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8520" cy="2682240"/>
                    </a:xfrm>
                    <a:prstGeom prst="rect">
                      <a:avLst/>
                    </a:prstGeom>
                    <a:noFill/>
                    <a:ln>
                      <a:noFill/>
                    </a:ln>
                  </pic:spPr>
                </pic:pic>
              </a:graphicData>
            </a:graphic>
          </wp:inline>
        </w:drawing>
      </w:r>
    </w:p>
    <w:p w14:paraId="3D394E36" w14:textId="77777777" w:rsidR="009E01F8" w:rsidRPr="00CD729C" w:rsidRDefault="009E01F8" w:rsidP="009B4BB6">
      <w:pPr>
        <w:keepNext/>
        <w:keepLines/>
        <w:widowControl w:val="0"/>
        <w:tabs>
          <w:tab w:val="clear" w:pos="567"/>
        </w:tabs>
        <w:spacing w:line="240" w:lineRule="auto"/>
        <w:rPr>
          <w:rFonts w:eastAsia="MS Mincho"/>
          <w:szCs w:val="22"/>
        </w:rPr>
      </w:pPr>
    </w:p>
    <w:p w14:paraId="3D394E37" w14:textId="77777777" w:rsidR="009E01F8" w:rsidRPr="00CD729C" w:rsidRDefault="009E01F8" w:rsidP="009B4BB6">
      <w:pPr>
        <w:keepNext/>
        <w:keepLines/>
        <w:widowControl w:val="0"/>
        <w:spacing w:line="240" w:lineRule="auto"/>
      </w:pPr>
    </w:p>
    <w:tbl>
      <w:tblPr>
        <w:tblW w:w="10599" w:type="dxa"/>
        <w:tblInd w:w="-318" w:type="dxa"/>
        <w:tblLook w:val="04A0" w:firstRow="1" w:lastRow="0" w:firstColumn="1" w:lastColumn="0" w:noHBand="0" w:noVBand="1"/>
      </w:tblPr>
      <w:tblGrid>
        <w:gridCol w:w="450"/>
        <w:gridCol w:w="646"/>
        <w:gridCol w:w="645"/>
        <w:gridCol w:w="745"/>
        <w:gridCol w:w="745"/>
        <w:gridCol w:w="745"/>
        <w:gridCol w:w="752"/>
        <w:gridCol w:w="745"/>
        <w:gridCol w:w="745"/>
        <w:gridCol w:w="652"/>
        <w:gridCol w:w="652"/>
        <w:gridCol w:w="649"/>
        <w:gridCol w:w="660"/>
        <w:gridCol w:w="649"/>
        <w:gridCol w:w="564"/>
        <w:gridCol w:w="555"/>
      </w:tblGrid>
      <w:tr w:rsidR="009E01F8" w:rsidRPr="00CD729C" w14:paraId="3D394E39" w14:textId="77777777" w:rsidTr="00516207">
        <w:tc>
          <w:tcPr>
            <w:tcW w:w="10599" w:type="dxa"/>
            <w:gridSpan w:val="16"/>
            <w:shd w:val="clear" w:color="auto" w:fill="auto"/>
          </w:tcPr>
          <w:p w14:paraId="3D394E38" w14:textId="77777777" w:rsidR="009E01F8" w:rsidRPr="00CD729C" w:rsidRDefault="009E01F8" w:rsidP="009B4BB6">
            <w:pPr>
              <w:keepNext/>
              <w:keepLines/>
              <w:widowControl w:val="0"/>
              <w:spacing w:line="240" w:lineRule="auto"/>
              <w:ind w:left="-27"/>
              <w:rPr>
                <w:rFonts w:ascii="Arial" w:hAnsi="Arial" w:cs="Arial"/>
                <w:sz w:val="16"/>
                <w:szCs w:val="16"/>
              </w:rPr>
            </w:pPr>
            <w:r w:rsidRPr="00CD729C">
              <w:rPr>
                <w:rFonts w:ascii="Arial" w:hAnsi="Arial" w:cs="Arial"/>
                <w:sz w:val="20"/>
              </w:rPr>
              <w:t>Riska grupa: gadījumi</w:t>
            </w:r>
          </w:p>
        </w:tc>
      </w:tr>
      <w:tr w:rsidR="009E01F8" w:rsidRPr="00CD729C" w14:paraId="3D394E4A" w14:textId="77777777" w:rsidTr="00516207">
        <w:tc>
          <w:tcPr>
            <w:tcW w:w="450" w:type="dxa"/>
            <w:shd w:val="clear" w:color="auto" w:fill="auto"/>
          </w:tcPr>
          <w:p w14:paraId="3D394E3A" w14:textId="77777777" w:rsidR="009E01F8" w:rsidRPr="00CD729C" w:rsidRDefault="009E01F8" w:rsidP="009B4BB6">
            <w:pPr>
              <w:keepNext/>
              <w:keepLines/>
              <w:widowControl w:val="0"/>
              <w:spacing w:line="240" w:lineRule="auto"/>
              <w:rPr>
                <w:sz w:val="18"/>
                <w:szCs w:val="18"/>
              </w:rPr>
            </w:pPr>
            <w:r w:rsidRPr="00CD729C">
              <w:rPr>
                <w:sz w:val="18"/>
                <w:szCs w:val="18"/>
              </w:rPr>
              <w:t>(1)</w:t>
            </w:r>
          </w:p>
        </w:tc>
        <w:tc>
          <w:tcPr>
            <w:tcW w:w="646" w:type="dxa"/>
            <w:shd w:val="clear" w:color="auto" w:fill="auto"/>
          </w:tcPr>
          <w:p w14:paraId="3D394E3B" w14:textId="77777777" w:rsidR="009E01F8" w:rsidRPr="00CD729C" w:rsidRDefault="009E01F8" w:rsidP="009B4BB6">
            <w:pPr>
              <w:keepNext/>
              <w:keepLines/>
              <w:widowControl w:val="0"/>
              <w:spacing w:line="240" w:lineRule="auto"/>
              <w:ind w:left="-27"/>
              <w:rPr>
                <w:sz w:val="18"/>
                <w:szCs w:val="18"/>
              </w:rPr>
            </w:pPr>
            <w:r w:rsidRPr="00CD729C">
              <w:rPr>
                <w:sz w:val="18"/>
                <w:szCs w:val="18"/>
              </w:rPr>
              <w:t>199:0</w:t>
            </w:r>
          </w:p>
        </w:tc>
        <w:tc>
          <w:tcPr>
            <w:tcW w:w="645" w:type="dxa"/>
            <w:shd w:val="clear" w:color="auto" w:fill="auto"/>
          </w:tcPr>
          <w:p w14:paraId="3D394E3C" w14:textId="77777777" w:rsidR="009E01F8" w:rsidRPr="00CD729C" w:rsidRDefault="009E01F8" w:rsidP="009B4BB6">
            <w:pPr>
              <w:keepNext/>
              <w:keepLines/>
              <w:widowControl w:val="0"/>
              <w:spacing w:line="240" w:lineRule="auto"/>
              <w:ind w:left="-27"/>
              <w:rPr>
                <w:sz w:val="18"/>
                <w:szCs w:val="18"/>
              </w:rPr>
            </w:pPr>
            <w:r w:rsidRPr="00CD729C">
              <w:rPr>
                <w:sz w:val="18"/>
                <w:szCs w:val="18"/>
              </w:rPr>
              <w:t>182:8</w:t>
            </w:r>
          </w:p>
        </w:tc>
        <w:tc>
          <w:tcPr>
            <w:tcW w:w="745" w:type="dxa"/>
            <w:shd w:val="clear" w:color="auto" w:fill="auto"/>
          </w:tcPr>
          <w:p w14:paraId="3D394E3D" w14:textId="77777777" w:rsidR="009E01F8" w:rsidRPr="00CD729C" w:rsidRDefault="009E01F8" w:rsidP="009B4BB6">
            <w:pPr>
              <w:keepNext/>
              <w:keepLines/>
              <w:widowControl w:val="0"/>
              <w:spacing w:line="240" w:lineRule="auto"/>
              <w:ind w:left="-27"/>
              <w:rPr>
                <w:sz w:val="18"/>
                <w:szCs w:val="18"/>
              </w:rPr>
            </w:pPr>
            <w:r w:rsidRPr="00CD729C">
              <w:rPr>
                <w:sz w:val="18"/>
                <w:szCs w:val="18"/>
              </w:rPr>
              <w:t>177:12</w:t>
            </w:r>
          </w:p>
        </w:tc>
        <w:tc>
          <w:tcPr>
            <w:tcW w:w="745" w:type="dxa"/>
            <w:shd w:val="clear" w:color="auto" w:fill="auto"/>
          </w:tcPr>
          <w:p w14:paraId="3D394E3E" w14:textId="77777777" w:rsidR="009E01F8" w:rsidRPr="00CD729C" w:rsidRDefault="009E01F8" w:rsidP="009B4BB6">
            <w:pPr>
              <w:keepNext/>
              <w:keepLines/>
              <w:widowControl w:val="0"/>
              <w:spacing w:line="240" w:lineRule="auto"/>
              <w:ind w:left="-27"/>
              <w:rPr>
                <w:sz w:val="18"/>
                <w:szCs w:val="18"/>
              </w:rPr>
            </w:pPr>
            <w:r w:rsidRPr="00CD729C">
              <w:rPr>
                <w:sz w:val="18"/>
                <w:szCs w:val="18"/>
              </w:rPr>
              <w:t>163:25</w:t>
            </w:r>
          </w:p>
        </w:tc>
        <w:tc>
          <w:tcPr>
            <w:tcW w:w="745" w:type="dxa"/>
            <w:shd w:val="clear" w:color="auto" w:fill="auto"/>
          </w:tcPr>
          <w:p w14:paraId="3D394E3F" w14:textId="77777777" w:rsidR="009E01F8" w:rsidRPr="00CD729C" w:rsidRDefault="009E01F8" w:rsidP="009B4BB6">
            <w:pPr>
              <w:keepNext/>
              <w:keepLines/>
              <w:widowControl w:val="0"/>
              <w:spacing w:line="240" w:lineRule="auto"/>
              <w:ind w:left="-27"/>
              <w:rPr>
                <w:sz w:val="18"/>
                <w:szCs w:val="18"/>
              </w:rPr>
            </w:pPr>
            <w:r w:rsidRPr="00CD729C">
              <w:rPr>
                <w:sz w:val="18"/>
                <w:szCs w:val="18"/>
              </w:rPr>
              <w:t>137:46</w:t>
            </w:r>
          </w:p>
        </w:tc>
        <w:tc>
          <w:tcPr>
            <w:tcW w:w="752" w:type="dxa"/>
            <w:shd w:val="clear" w:color="auto" w:fill="auto"/>
          </w:tcPr>
          <w:p w14:paraId="3D394E40" w14:textId="77777777" w:rsidR="009E01F8" w:rsidRPr="00CD729C" w:rsidRDefault="009E01F8" w:rsidP="009B4BB6">
            <w:pPr>
              <w:keepNext/>
              <w:keepLines/>
              <w:widowControl w:val="0"/>
              <w:spacing w:line="240" w:lineRule="auto"/>
              <w:ind w:left="-27"/>
              <w:rPr>
                <w:sz w:val="18"/>
                <w:szCs w:val="18"/>
              </w:rPr>
            </w:pPr>
            <w:r w:rsidRPr="00CD729C">
              <w:rPr>
                <w:sz w:val="18"/>
                <w:szCs w:val="18"/>
              </w:rPr>
              <w:t>105:65</w:t>
            </w:r>
          </w:p>
        </w:tc>
        <w:tc>
          <w:tcPr>
            <w:tcW w:w="745" w:type="dxa"/>
            <w:shd w:val="clear" w:color="auto" w:fill="auto"/>
          </w:tcPr>
          <w:p w14:paraId="3D394E41" w14:textId="77777777" w:rsidR="009E01F8" w:rsidRPr="00CD729C" w:rsidRDefault="009E01F8" w:rsidP="009B4BB6">
            <w:pPr>
              <w:keepNext/>
              <w:keepLines/>
              <w:widowControl w:val="0"/>
              <w:spacing w:line="240" w:lineRule="auto"/>
              <w:ind w:left="-27"/>
              <w:rPr>
                <w:sz w:val="18"/>
                <w:szCs w:val="18"/>
              </w:rPr>
            </w:pPr>
            <w:r w:rsidRPr="00CD729C">
              <w:rPr>
                <w:sz w:val="18"/>
                <w:szCs w:val="18"/>
              </w:rPr>
              <w:t>88:72</w:t>
            </w:r>
          </w:p>
        </w:tc>
        <w:tc>
          <w:tcPr>
            <w:tcW w:w="745" w:type="dxa"/>
            <w:shd w:val="clear" w:color="auto" w:fill="auto"/>
          </w:tcPr>
          <w:p w14:paraId="3D394E42" w14:textId="77777777" w:rsidR="009E01F8" w:rsidRPr="00CD729C" w:rsidRDefault="009E01F8" w:rsidP="009B4BB6">
            <w:pPr>
              <w:keepNext/>
              <w:keepLines/>
              <w:widowControl w:val="0"/>
              <w:spacing w:line="240" w:lineRule="auto"/>
              <w:ind w:left="-27"/>
              <w:rPr>
                <w:sz w:val="18"/>
                <w:szCs w:val="18"/>
              </w:rPr>
            </w:pPr>
            <w:r w:rsidRPr="00CD729C">
              <w:rPr>
                <w:sz w:val="18"/>
                <w:szCs w:val="18"/>
              </w:rPr>
              <w:t>61:77</w:t>
            </w:r>
          </w:p>
        </w:tc>
        <w:tc>
          <w:tcPr>
            <w:tcW w:w="652" w:type="dxa"/>
            <w:shd w:val="clear" w:color="auto" w:fill="auto"/>
          </w:tcPr>
          <w:p w14:paraId="3D394E43" w14:textId="77777777" w:rsidR="009E01F8" w:rsidRPr="00CD729C" w:rsidRDefault="009E01F8" w:rsidP="009B4BB6">
            <w:pPr>
              <w:keepNext/>
              <w:keepLines/>
              <w:widowControl w:val="0"/>
              <w:spacing w:line="240" w:lineRule="auto"/>
              <w:ind w:left="-27"/>
              <w:rPr>
                <w:sz w:val="18"/>
                <w:szCs w:val="18"/>
              </w:rPr>
            </w:pPr>
            <w:r w:rsidRPr="00CD729C">
              <w:rPr>
                <w:sz w:val="18"/>
                <w:szCs w:val="18"/>
              </w:rPr>
              <w:t>49:81</w:t>
            </w:r>
          </w:p>
        </w:tc>
        <w:tc>
          <w:tcPr>
            <w:tcW w:w="652" w:type="dxa"/>
            <w:shd w:val="clear" w:color="auto" w:fill="auto"/>
          </w:tcPr>
          <w:p w14:paraId="3D394E44" w14:textId="77777777" w:rsidR="009E01F8" w:rsidRPr="00CD729C" w:rsidRDefault="009E01F8" w:rsidP="009B4BB6">
            <w:pPr>
              <w:keepNext/>
              <w:keepLines/>
              <w:widowControl w:val="0"/>
              <w:spacing w:line="240" w:lineRule="auto"/>
              <w:ind w:left="-27"/>
              <w:rPr>
                <w:sz w:val="18"/>
                <w:szCs w:val="18"/>
              </w:rPr>
            </w:pPr>
            <w:r w:rsidRPr="00CD729C">
              <w:rPr>
                <w:sz w:val="18"/>
                <w:szCs w:val="18"/>
              </w:rPr>
              <w:t>36:83</w:t>
            </w:r>
          </w:p>
        </w:tc>
        <w:tc>
          <w:tcPr>
            <w:tcW w:w="649" w:type="dxa"/>
            <w:shd w:val="clear" w:color="auto" w:fill="auto"/>
          </w:tcPr>
          <w:p w14:paraId="3D394E45" w14:textId="77777777" w:rsidR="009E01F8" w:rsidRPr="00CD729C" w:rsidRDefault="009E01F8" w:rsidP="009B4BB6">
            <w:pPr>
              <w:keepNext/>
              <w:keepLines/>
              <w:widowControl w:val="0"/>
              <w:spacing w:line="240" w:lineRule="auto"/>
              <w:ind w:left="-27"/>
              <w:rPr>
                <w:sz w:val="18"/>
                <w:szCs w:val="18"/>
              </w:rPr>
            </w:pPr>
            <w:r w:rsidRPr="00CD729C">
              <w:rPr>
                <w:sz w:val="18"/>
                <w:szCs w:val="18"/>
              </w:rPr>
              <w:t>27:84</w:t>
            </w:r>
          </w:p>
        </w:tc>
        <w:tc>
          <w:tcPr>
            <w:tcW w:w="660" w:type="dxa"/>
            <w:shd w:val="clear" w:color="auto" w:fill="auto"/>
          </w:tcPr>
          <w:p w14:paraId="3D394E46" w14:textId="77777777" w:rsidR="009E01F8" w:rsidRPr="00CD729C" w:rsidRDefault="009E01F8" w:rsidP="009B4BB6">
            <w:pPr>
              <w:keepNext/>
              <w:keepLines/>
              <w:widowControl w:val="0"/>
              <w:spacing w:line="240" w:lineRule="auto"/>
              <w:ind w:left="-27"/>
              <w:rPr>
                <w:sz w:val="18"/>
                <w:szCs w:val="18"/>
              </w:rPr>
            </w:pPr>
            <w:r w:rsidRPr="00CD729C">
              <w:rPr>
                <w:sz w:val="18"/>
                <w:szCs w:val="18"/>
              </w:rPr>
              <w:t>14:84</w:t>
            </w:r>
          </w:p>
        </w:tc>
        <w:tc>
          <w:tcPr>
            <w:tcW w:w="649" w:type="dxa"/>
            <w:shd w:val="clear" w:color="auto" w:fill="auto"/>
          </w:tcPr>
          <w:p w14:paraId="3D394E47" w14:textId="77777777" w:rsidR="009E01F8" w:rsidRPr="00CD729C" w:rsidRDefault="009E01F8" w:rsidP="009B4BB6">
            <w:pPr>
              <w:keepNext/>
              <w:keepLines/>
              <w:widowControl w:val="0"/>
              <w:spacing w:line="240" w:lineRule="auto"/>
              <w:ind w:left="-27"/>
              <w:rPr>
                <w:sz w:val="18"/>
                <w:szCs w:val="18"/>
              </w:rPr>
            </w:pPr>
            <w:r w:rsidRPr="00CD729C">
              <w:rPr>
                <w:sz w:val="18"/>
                <w:szCs w:val="18"/>
              </w:rPr>
              <w:t>10:84</w:t>
            </w:r>
          </w:p>
        </w:tc>
        <w:tc>
          <w:tcPr>
            <w:tcW w:w="564" w:type="dxa"/>
            <w:shd w:val="clear" w:color="auto" w:fill="auto"/>
          </w:tcPr>
          <w:p w14:paraId="3D394E48" w14:textId="77777777" w:rsidR="009E01F8" w:rsidRPr="00CD729C" w:rsidRDefault="009E01F8" w:rsidP="009B4BB6">
            <w:pPr>
              <w:keepNext/>
              <w:keepLines/>
              <w:widowControl w:val="0"/>
              <w:spacing w:line="240" w:lineRule="auto"/>
              <w:ind w:left="-27"/>
              <w:rPr>
                <w:sz w:val="18"/>
                <w:szCs w:val="18"/>
              </w:rPr>
            </w:pPr>
            <w:r w:rsidRPr="00CD729C">
              <w:rPr>
                <w:sz w:val="18"/>
                <w:szCs w:val="18"/>
              </w:rPr>
              <w:t>2:84</w:t>
            </w:r>
          </w:p>
        </w:tc>
        <w:tc>
          <w:tcPr>
            <w:tcW w:w="555" w:type="dxa"/>
            <w:shd w:val="clear" w:color="auto" w:fill="auto"/>
          </w:tcPr>
          <w:p w14:paraId="3D394E49" w14:textId="77777777" w:rsidR="009E01F8" w:rsidRPr="00CD729C" w:rsidRDefault="009E01F8" w:rsidP="009B4BB6">
            <w:pPr>
              <w:keepNext/>
              <w:keepLines/>
              <w:widowControl w:val="0"/>
              <w:spacing w:line="240" w:lineRule="auto"/>
              <w:ind w:left="-27"/>
              <w:rPr>
                <w:sz w:val="18"/>
                <w:szCs w:val="18"/>
              </w:rPr>
            </w:pPr>
            <w:r w:rsidRPr="00CD729C">
              <w:rPr>
                <w:sz w:val="18"/>
                <w:szCs w:val="18"/>
              </w:rPr>
              <w:t>0:84</w:t>
            </w:r>
          </w:p>
        </w:tc>
      </w:tr>
      <w:tr w:rsidR="009E01F8" w:rsidRPr="00CD729C" w14:paraId="3D394E5B" w14:textId="77777777" w:rsidTr="00516207">
        <w:tc>
          <w:tcPr>
            <w:tcW w:w="450" w:type="dxa"/>
            <w:shd w:val="clear" w:color="auto" w:fill="auto"/>
          </w:tcPr>
          <w:p w14:paraId="3D394E4B" w14:textId="77777777" w:rsidR="009E01F8" w:rsidRPr="00CD729C" w:rsidRDefault="009E01F8" w:rsidP="009B4BB6">
            <w:pPr>
              <w:keepNext/>
              <w:keepLines/>
              <w:widowControl w:val="0"/>
              <w:spacing w:line="240" w:lineRule="auto"/>
              <w:rPr>
                <w:sz w:val="18"/>
                <w:szCs w:val="18"/>
              </w:rPr>
            </w:pPr>
            <w:r w:rsidRPr="00CD729C">
              <w:rPr>
                <w:sz w:val="18"/>
                <w:szCs w:val="18"/>
              </w:rPr>
              <w:t>(2)</w:t>
            </w:r>
          </w:p>
        </w:tc>
        <w:tc>
          <w:tcPr>
            <w:tcW w:w="646" w:type="dxa"/>
            <w:shd w:val="clear" w:color="auto" w:fill="auto"/>
          </w:tcPr>
          <w:p w14:paraId="3D394E4C" w14:textId="77777777" w:rsidR="009E01F8" w:rsidRPr="00CD729C" w:rsidRDefault="009E01F8" w:rsidP="009B4BB6">
            <w:pPr>
              <w:keepNext/>
              <w:keepLines/>
              <w:widowControl w:val="0"/>
              <w:spacing w:line="240" w:lineRule="auto"/>
              <w:ind w:left="-27"/>
              <w:rPr>
                <w:sz w:val="18"/>
                <w:szCs w:val="18"/>
              </w:rPr>
            </w:pPr>
            <w:r w:rsidRPr="00CD729C">
              <w:rPr>
                <w:sz w:val="18"/>
                <w:szCs w:val="18"/>
              </w:rPr>
              <w:t>198:0</w:t>
            </w:r>
          </w:p>
        </w:tc>
        <w:tc>
          <w:tcPr>
            <w:tcW w:w="645" w:type="dxa"/>
            <w:shd w:val="clear" w:color="auto" w:fill="auto"/>
          </w:tcPr>
          <w:p w14:paraId="3D394E4D" w14:textId="77777777" w:rsidR="009E01F8" w:rsidRPr="00CD729C" w:rsidRDefault="009E01F8" w:rsidP="009B4BB6">
            <w:pPr>
              <w:keepNext/>
              <w:keepLines/>
              <w:widowControl w:val="0"/>
              <w:spacing w:line="240" w:lineRule="auto"/>
              <w:ind w:left="-27"/>
              <w:rPr>
                <w:sz w:val="18"/>
                <w:szCs w:val="18"/>
              </w:rPr>
            </w:pPr>
            <w:r w:rsidRPr="00CD729C">
              <w:rPr>
                <w:sz w:val="18"/>
                <w:szCs w:val="18"/>
              </w:rPr>
              <w:t>189:5</w:t>
            </w:r>
          </w:p>
        </w:tc>
        <w:tc>
          <w:tcPr>
            <w:tcW w:w="745" w:type="dxa"/>
            <w:shd w:val="clear" w:color="auto" w:fill="auto"/>
          </w:tcPr>
          <w:p w14:paraId="3D394E4E" w14:textId="77777777" w:rsidR="009E01F8" w:rsidRPr="00CD729C" w:rsidRDefault="009E01F8" w:rsidP="009B4BB6">
            <w:pPr>
              <w:keepNext/>
              <w:keepLines/>
              <w:widowControl w:val="0"/>
              <w:spacing w:line="240" w:lineRule="auto"/>
              <w:ind w:left="-27"/>
              <w:rPr>
                <w:sz w:val="18"/>
                <w:szCs w:val="18"/>
              </w:rPr>
            </w:pPr>
            <w:r w:rsidRPr="00CD729C">
              <w:rPr>
                <w:sz w:val="18"/>
                <w:szCs w:val="18"/>
              </w:rPr>
              <w:t>184:8</w:t>
            </w:r>
          </w:p>
        </w:tc>
        <w:tc>
          <w:tcPr>
            <w:tcW w:w="745" w:type="dxa"/>
            <w:shd w:val="clear" w:color="auto" w:fill="auto"/>
          </w:tcPr>
          <w:p w14:paraId="3D394E4F" w14:textId="77777777" w:rsidR="009E01F8" w:rsidRPr="00CD729C" w:rsidRDefault="009E01F8" w:rsidP="009B4BB6">
            <w:pPr>
              <w:keepNext/>
              <w:keepLines/>
              <w:widowControl w:val="0"/>
              <w:spacing w:line="240" w:lineRule="auto"/>
              <w:ind w:left="-27"/>
              <w:rPr>
                <w:sz w:val="18"/>
                <w:szCs w:val="18"/>
              </w:rPr>
            </w:pPr>
            <w:r w:rsidRPr="00CD729C">
              <w:rPr>
                <w:sz w:val="18"/>
                <w:szCs w:val="18"/>
              </w:rPr>
              <w:t>181:11</w:t>
            </w:r>
          </w:p>
        </w:tc>
        <w:tc>
          <w:tcPr>
            <w:tcW w:w="745" w:type="dxa"/>
            <w:shd w:val="clear" w:color="auto" w:fill="auto"/>
          </w:tcPr>
          <w:p w14:paraId="3D394E50" w14:textId="77777777" w:rsidR="009E01F8" w:rsidRPr="00CD729C" w:rsidRDefault="009E01F8" w:rsidP="009B4BB6">
            <w:pPr>
              <w:keepNext/>
              <w:keepLines/>
              <w:widowControl w:val="0"/>
              <w:spacing w:line="240" w:lineRule="auto"/>
              <w:ind w:left="-27"/>
              <w:rPr>
                <w:sz w:val="18"/>
                <w:szCs w:val="18"/>
              </w:rPr>
            </w:pPr>
            <w:r w:rsidRPr="00CD729C">
              <w:rPr>
                <w:sz w:val="18"/>
                <w:szCs w:val="18"/>
              </w:rPr>
              <w:t>173:18</w:t>
            </w:r>
          </w:p>
        </w:tc>
        <w:tc>
          <w:tcPr>
            <w:tcW w:w="752" w:type="dxa"/>
            <w:shd w:val="clear" w:color="auto" w:fill="auto"/>
          </w:tcPr>
          <w:p w14:paraId="3D394E51" w14:textId="77777777" w:rsidR="009E01F8" w:rsidRPr="00CD729C" w:rsidRDefault="009E01F8" w:rsidP="009B4BB6">
            <w:pPr>
              <w:keepNext/>
              <w:keepLines/>
              <w:widowControl w:val="0"/>
              <w:spacing w:line="240" w:lineRule="auto"/>
              <w:ind w:left="-27"/>
              <w:rPr>
                <w:sz w:val="18"/>
                <w:szCs w:val="18"/>
              </w:rPr>
            </w:pPr>
            <w:r w:rsidRPr="00CD729C">
              <w:rPr>
                <w:sz w:val="18"/>
                <w:szCs w:val="18"/>
              </w:rPr>
              <w:t>152:22</w:t>
            </w:r>
          </w:p>
        </w:tc>
        <w:tc>
          <w:tcPr>
            <w:tcW w:w="745" w:type="dxa"/>
            <w:shd w:val="clear" w:color="auto" w:fill="auto"/>
          </w:tcPr>
          <w:p w14:paraId="3D394E52" w14:textId="77777777" w:rsidR="009E01F8" w:rsidRPr="00CD729C" w:rsidRDefault="009E01F8" w:rsidP="009B4BB6">
            <w:pPr>
              <w:keepNext/>
              <w:keepLines/>
              <w:widowControl w:val="0"/>
              <w:spacing w:line="240" w:lineRule="auto"/>
              <w:ind w:left="-27"/>
              <w:rPr>
                <w:sz w:val="18"/>
                <w:szCs w:val="18"/>
              </w:rPr>
            </w:pPr>
            <w:r w:rsidRPr="00CD729C">
              <w:rPr>
                <w:sz w:val="18"/>
                <w:szCs w:val="18"/>
              </w:rPr>
              <w:t>133:25</w:t>
            </w:r>
          </w:p>
        </w:tc>
        <w:tc>
          <w:tcPr>
            <w:tcW w:w="745" w:type="dxa"/>
            <w:shd w:val="clear" w:color="auto" w:fill="auto"/>
          </w:tcPr>
          <w:p w14:paraId="3D394E53" w14:textId="77777777" w:rsidR="009E01F8" w:rsidRPr="00CD729C" w:rsidRDefault="009E01F8" w:rsidP="009B4BB6">
            <w:pPr>
              <w:keepNext/>
              <w:keepLines/>
              <w:widowControl w:val="0"/>
              <w:spacing w:line="240" w:lineRule="auto"/>
              <w:ind w:left="-27"/>
              <w:rPr>
                <w:sz w:val="18"/>
                <w:szCs w:val="18"/>
              </w:rPr>
            </w:pPr>
            <w:r w:rsidRPr="00CD729C">
              <w:rPr>
                <w:sz w:val="18"/>
                <w:szCs w:val="18"/>
              </w:rPr>
              <w:t>102:29</w:t>
            </w:r>
          </w:p>
        </w:tc>
        <w:tc>
          <w:tcPr>
            <w:tcW w:w="652" w:type="dxa"/>
            <w:shd w:val="clear" w:color="auto" w:fill="auto"/>
          </w:tcPr>
          <w:p w14:paraId="3D394E54" w14:textId="77777777" w:rsidR="009E01F8" w:rsidRPr="00CD729C" w:rsidRDefault="009E01F8" w:rsidP="009B4BB6">
            <w:pPr>
              <w:keepNext/>
              <w:keepLines/>
              <w:widowControl w:val="0"/>
              <w:spacing w:line="240" w:lineRule="auto"/>
              <w:ind w:left="-27"/>
              <w:rPr>
                <w:sz w:val="18"/>
                <w:szCs w:val="18"/>
              </w:rPr>
            </w:pPr>
            <w:r w:rsidRPr="00CD729C">
              <w:rPr>
                <w:sz w:val="18"/>
                <w:szCs w:val="18"/>
              </w:rPr>
              <w:t>82:35</w:t>
            </w:r>
          </w:p>
        </w:tc>
        <w:tc>
          <w:tcPr>
            <w:tcW w:w="652" w:type="dxa"/>
            <w:shd w:val="clear" w:color="auto" w:fill="auto"/>
          </w:tcPr>
          <w:p w14:paraId="3D394E55" w14:textId="77777777" w:rsidR="009E01F8" w:rsidRPr="00CD729C" w:rsidRDefault="009E01F8" w:rsidP="009B4BB6">
            <w:pPr>
              <w:keepNext/>
              <w:keepLines/>
              <w:widowControl w:val="0"/>
              <w:spacing w:line="240" w:lineRule="auto"/>
              <w:ind w:left="-27"/>
              <w:rPr>
                <w:sz w:val="18"/>
                <w:szCs w:val="18"/>
              </w:rPr>
            </w:pPr>
            <w:r w:rsidRPr="00CD729C">
              <w:rPr>
                <w:sz w:val="18"/>
                <w:szCs w:val="18"/>
              </w:rPr>
              <w:t>54:46</w:t>
            </w:r>
          </w:p>
        </w:tc>
        <w:tc>
          <w:tcPr>
            <w:tcW w:w="649" w:type="dxa"/>
            <w:shd w:val="clear" w:color="auto" w:fill="auto"/>
          </w:tcPr>
          <w:p w14:paraId="3D394E56" w14:textId="77777777" w:rsidR="009E01F8" w:rsidRPr="00CD729C" w:rsidRDefault="009E01F8" w:rsidP="009B4BB6">
            <w:pPr>
              <w:keepNext/>
              <w:keepLines/>
              <w:widowControl w:val="0"/>
              <w:spacing w:line="240" w:lineRule="auto"/>
              <w:ind w:left="-27"/>
              <w:rPr>
                <w:sz w:val="18"/>
                <w:szCs w:val="18"/>
              </w:rPr>
            </w:pPr>
            <w:r w:rsidRPr="00CD729C">
              <w:rPr>
                <w:sz w:val="18"/>
                <w:szCs w:val="18"/>
              </w:rPr>
              <w:t>39:47</w:t>
            </w:r>
          </w:p>
        </w:tc>
        <w:tc>
          <w:tcPr>
            <w:tcW w:w="660" w:type="dxa"/>
            <w:shd w:val="clear" w:color="auto" w:fill="auto"/>
          </w:tcPr>
          <w:p w14:paraId="3D394E57" w14:textId="77777777" w:rsidR="009E01F8" w:rsidRPr="00CD729C" w:rsidRDefault="009E01F8" w:rsidP="009B4BB6">
            <w:pPr>
              <w:keepNext/>
              <w:keepLines/>
              <w:widowControl w:val="0"/>
              <w:spacing w:line="240" w:lineRule="auto"/>
              <w:ind w:left="-27"/>
              <w:rPr>
                <w:sz w:val="18"/>
                <w:szCs w:val="18"/>
              </w:rPr>
            </w:pPr>
            <w:r w:rsidRPr="00CD729C">
              <w:rPr>
                <w:sz w:val="18"/>
                <w:szCs w:val="18"/>
              </w:rPr>
              <w:t>21:49</w:t>
            </w:r>
          </w:p>
        </w:tc>
        <w:tc>
          <w:tcPr>
            <w:tcW w:w="649" w:type="dxa"/>
            <w:shd w:val="clear" w:color="auto" w:fill="auto"/>
          </w:tcPr>
          <w:p w14:paraId="3D394E58" w14:textId="77777777" w:rsidR="009E01F8" w:rsidRPr="00CD729C" w:rsidRDefault="009E01F8" w:rsidP="009B4BB6">
            <w:pPr>
              <w:keepNext/>
              <w:keepLines/>
              <w:widowControl w:val="0"/>
              <w:spacing w:line="240" w:lineRule="auto"/>
              <w:ind w:left="-27"/>
              <w:rPr>
                <w:sz w:val="18"/>
                <w:szCs w:val="18"/>
              </w:rPr>
            </w:pPr>
            <w:r w:rsidRPr="00CD729C">
              <w:rPr>
                <w:sz w:val="18"/>
                <w:szCs w:val="18"/>
              </w:rPr>
              <w:t>8:50</w:t>
            </w:r>
          </w:p>
        </w:tc>
        <w:tc>
          <w:tcPr>
            <w:tcW w:w="564" w:type="dxa"/>
            <w:shd w:val="clear" w:color="auto" w:fill="auto"/>
          </w:tcPr>
          <w:p w14:paraId="3D394E59" w14:textId="77777777" w:rsidR="009E01F8" w:rsidRPr="00CD729C" w:rsidRDefault="009E01F8" w:rsidP="009B4BB6">
            <w:pPr>
              <w:keepNext/>
              <w:keepLines/>
              <w:widowControl w:val="0"/>
              <w:spacing w:line="240" w:lineRule="auto"/>
              <w:ind w:left="-27"/>
              <w:rPr>
                <w:sz w:val="18"/>
                <w:szCs w:val="18"/>
              </w:rPr>
            </w:pPr>
            <w:r w:rsidRPr="00CD729C">
              <w:rPr>
                <w:sz w:val="18"/>
                <w:szCs w:val="18"/>
              </w:rPr>
              <w:t>0:50</w:t>
            </w:r>
          </w:p>
        </w:tc>
        <w:tc>
          <w:tcPr>
            <w:tcW w:w="555" w:type="dxa"/>
            <w:shd w:val="clear" w:color="auto" w:fill="auto"/>
          </w:tcPr>
          <w:p w14:paraId="3D394E5A" w14:textId="77777777" w:rsidR="009E01F8" w:rsidRPr="00CD729C" w:rsidRDefault="009E01F8" w:rsidP="009B4BB6">
            <w:pPr>
              <w:keepNext/>
              <w:keepLines/>
              <w:widowControl w:val="0"/>
              <w:spacing w:line="240" w:lineRule="auto"/>
              <w:ind w:left="-27"/>
              <w:rPr>
                <w:sz w:val="18"/>
                <w:szCs w:val="18"/>
              </w:rPr>
            </w:pPr>
          </w:p>
        </w:tc>
      </w:tr>
    </w:tbl>
    <w:p w14:paraId="3D394E5C" w14:textId="77777777" w:rsidR="009E01F8" w:rsidRPr="00CD729C" w:rsidRDefault="009E01F8" w:rsidP="009B4BB6">
      <w:pPr>
        <w:keepLines/>
        <w:widowControl w:val="0"/>
        <w:tabs>
          <w:tab w:val="clear" w:pos="567"/>
        </w:tabs>
        <w:spacing w:line="240" w:lineRule="auto"/>
        <w:rPr>
          <w:rFonts w:eastAsia="MS Mincho"/>
          <w:szCs w:val="22"/>
        </w:rPr>
      </w:pPr>
    </w:p>
    <w:p w14:paraId="3D394E5D" w14:textId="77777777" w:rsidR="009E01F8" w:rsidRPr="00CD729C" w:rsidRDefault="009E01F8" w:rsidP="009B4BB6">
      <w:pPr>
        <w:keepNext/>
        <w:keepLines/>
        <w:widowControl w:val="0"/>
        <w:spacing w:line="240" w:lineRule="auto"/>
        <w:ind w:left="1134" w:hanging="1134"/>
        <w:outlineLvl w:val="6"/>
        <w:rPr>
          <w:rFonts w:eastAsia="MS Mincho"/>
          <w:b/>
          <w:szCs w:val="22"/>
        </w:rPr>
      </w:pPr>
      <w:r w:rsidRPr="00CD729C">
        <w:rPr>
          <w:rFonts w:eastAsia="MS Mincho"/>
          <w:b/>
          <w:szCs w:val="22"/>
        </w:rPr>
        <w:t>2. attēls</w:t>
      </w:r>
      <w:r w:rsidRPr="00CD729C">
        <w:rPr>
          <w:rFonts w:eastAsia="MS Mincho"/>
          <w:b/>
          <w:szCs w:val="22"/>
        </w:rPr>
        <w:tab/>
      </w:r>
      <w:r w:rsidRPr="00CD729C">
        <w:rPr>
          <w:rFonts w:eastAsia="MS Mincho"/>
          <w:b/>
          <w:i/>
          <w:szCs w:val="22"/>
        </w:rPr>
        <w:t>Kaplan-Meier</w:t>
      </w:r>
      <w:r w:rsidRPr="00CD729C">
        <w:rPr>
          <w:rFonts w:eastAsia="MS Mincho"/>
          <w:b/>
          <w:szCs w:val="22"/>
        </w:rPr>
        <w:t xml:space="preserve"> kopējās dzīvildzes novērtējums (ITT grupa)</w:t>
      </w:r>
    </w:p>
    <w:p w14:paraId="3D394E5E" w14:textId="77777777" w:rsidR="009E01F8" w:rsidRPr="00CD729C" w:rsidRDefault="009E01F8" w:rsidP="009B4BB6">
      <w:pPr>
        <w:keepNext/>
        <w:keepLines/>
        <w:widowControl w:val="0"/>
        <w:tabs>
          <w:tab w:val="clear" w:pos="567"/>
        </w:tabs>
        <w:spacing w:line="240" w:lineRule="auto"/>
        <w:rPr>
          <w:rFonts w:eastAsia="MS Mincho"/>
          <w:szCs w:val="22"/>
        </w:rPr>
      </w:pPr>
    </w:p>
    <w:p w14:paraId="3D394E5F" w14:textId="77777777" w:rsidR="009E01F8" w:rsidRPr="00CD729C" w:rsidRDefault="00EB334D" w:rsidP="009B4BB6">
      <w:pPr>
        <w:keepNext/>
        <w:keepLines/>
        <w:widowControl w:val="0"/>
        <w:tabs>
          <w:tab w:val="clear" w:pos="567"/>
        </w:tabs>
        <w:spacing w:line="240" w:lineRule="auto"/>
        <w:rPr>
          <w:rFonts w:eastAsia="MS Mincho"/>
          <w:szCs w:val="22"/>
        </w:rPr>
      </w:pPr>
      <w:r w:rsidRPr="00CD729C">
        <w:rPr>
          <w:rFonts w:eastAsia="MS Mincho"/>
          <w:noProof/>
          <w:szCs w:val="22"/>
          <w:lang w:val="en-GB" w:eastAsia="en-GB"/>
        </w:rPr>
        <mc:AlternateContent>
          <mc:Choice Requires="wps">
            <w:drawing>
              <wp:anchor distT="0" distB="0" distL="114300" distR="114300" simplePos="0" relativeHeight="251663360" behindDoc="0" locked="0" layoutInCell="1" allowOverlap="1" wp14:anchorId="3D395830" wp14:editId="3D395831">
                <wp:simplePos x="0" y="0"/>
                <wp:positionH relativeFrom="column">
                  <wp:posOffset>2339340</wp:posOffset>
                </wp:positionH>
                <wp:positionV relativeFrom="paragraph">
                  <wp:posOffset>2666365</wp:posOffset>
                </wp:positionV>
                <wp:extent cx="1619250" cy="29591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2959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958A9" w14:textId="77777777" w:rsidR="00C23AAA" w:rsidRPr="00A33DBA" w:rsidRDefault="00C23AAA" w:rsidP="009E01F8">
                            <w:pPr>
                              <w:rPr>
                                <w:rFonts w:ascii="Arial" w:hAnsi="Arial" w:cs="Arial"/>
                                <w:sz w:val="20"/>
                              </w:rPr>
                            </w:pPr>
                            <w:r w:rsidRPr="008E7CB7">
                              <w:rPr>
                                <w:rFonts w:ascii="Arial" w:hAnsi="Arial" w:cs="Arial"/>
                                <w:sz w:val="20"/>
                                <w:lang w:val="de-DE"/>
                              </w:rPr>
                              <w:t>Dzīvildze (mēneši)</w:t>
                            </w:r>
                          </w:p>
                          <w:p w14:paraId="3D3958AA" w14:textId="77777777" w:rsidR="00C23AAA" w:rsidRPr="00A33DBA" w:rsidRDefault="00C23AAA" w:rsidP="009E01F8">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95830" id="_x0000_s1035" type="#_x0000_t202" style="position:absolute;margin-left:184.2pt;margin-top:209.95pt;width:127.5pt;height:2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" stroked="f">
                <v:fill opacity="0"/>
                <v:textbox>
                  <w:txbxContent>
                    <w:p w14:paraId="3D3958A9" w14:textId="77777777" w:rsidR="00C23AAA" w:rsidRPr="00A33DBA" w:rsidRDefault="00C23AAA" w:rsidP="009E01F8">
                      <w:pPr>
                        <w:rPr>
                          <w:rFonts w:ascii="Arial" w:hAnsi="Arial" w:cs="Arial"/>
                          <w:sz w:val="20"/>
                        </w:rPr>
                      </w:pPr>
                      <w:r w:rsidRPr="008E7CB7">
                        <w:rPr>
                          <w:rFonts w:ascii="Arial" w:hAnsi="Arial" w:cs="Arial"/>
                          <w:sz w:val="20"/>
                          <w:lang w:val="de-DE"/>
                        </w:rPr>
                        <w:t>Dzīvildze (mēneši)</w:t>
                      </w:r>
                    </w:p>
                    <w:p w14:paraId="3D3958AA" w14:textId="77777777" w:rsidR="00C23AAA" w:rsidRPr="00A33DBA" w:rsidRDefault="00C23AAA" w:rsidP="009E01F8">
                      <w:pPr>
                        <w:rPr>
                          <w:rFonts w:ascii="Arial" w:hAnsi="Arial" w:cs="Arial"/>
                          <w:sz w:val="20"/>
                        </w:rPr>
                      </w:pPr>
                    </w:p>
                  </w:txbxContent>
                </v:textbox>
              </v:shape>
            </w:pict>
          </mc:Fallback>
        </mc:AlternateContent>
      </w:r>
      <w:r w:rsidRPr="00CD729C">
        <w:rPr>
          <w:noProof/>
          <w:lang w:val="en-GB" w:eastAsia="en-GB"/>
        </w:rPr>
        <mc:AlternateContent>
          <mc:Choice Requires="wps">
            <w:drawing>
              <wp:anchor distT="0" distB="0" distL="114300" distR="114300" simplePos="0" relativeHeight="251662336" behindDoc="0" locked="0" layoutInCell="1" allowOverlap="1" wp14:anchorId="3D395832" wp14:editId="3D395833">
                <wp:simplePos x="0" y="0"/>
                <wp:positionH relativeFrom="column">
                  <wp:posOffset>350520</wp:posOffset>
                </wp:positionH>
                <wp:positionV relativeFrom="paragraph">
                  <wp:posOffset>932815</wp:posOffset>
                </wp:positionV>
                <wp:extent cx="4585335" cy="14287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5335" cy="142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958AB" w14:textId="77777777" w:rsidR="00C23AAA" w:rsidRDefault="00C23AAA" w:rsidP="009E01F8">
                            <w:pPr>
                              <w:rPr>
                                <w:rFonts w:ascii="Arial" w:hAnsi="Arial" w:cs="Arial"/>
                                <w:sz w:val="20"/>
                              </w:rPr>
                            </w:pPr>
                          </w:p>
                          <w:tbl>
                            <w:tblPr>
                              <w:tblW w:w="0" w:type="auto"/>
                              <w:tblLook w:val="04A0" w:firstRow="1" w:lastRow="0" w:firstColumn="1" w:lastColumn="0" w:noHBand="0" w:noVBand="1"/>
                            </w:tblPr>
                            <w:tblGrid>
                              <w:gridCol w:w="817"/>
                              <w:gridCol w:w="2464"/>
                              <w:gridCol w:w="851"/>
                              <w:gridCol w:w="1017"/>
                              <w:gridCol w:w="950"/>
                            </w:tblGrid>
                            <w:tr w:rsidR="00C23AAA" w:rsidRPr="0055776F" w14:paraId="3D3958AF" w14:textId="77777777">
                              <w:tc>
                                <w:tcPr>
                                  <w:tcW w:w="5691" w:type="dxa"/>
                                  <w:gridSpan w:val="5"/>
                                  <w:shd w:val="clear" w:color="auto" w:fill="auto"/>
                                </w:tcPr>
                                <w:p w14:paraId="3D3958AC" w14:textId="77777777" w:rsidR="00C23AAA" w:rsidRPr="00A33DBA" w:rsidRDefault="00C23AAA" w:rsidP="00407F0E">
                                  <w:pPr>
                                    <w:rPr>
                                      <w:rFonts w:ascii="Arial" w:hAnsi="Arial" w:cs="Arial"/>
                                      <w:sz w:val="20"/>
                                    </w:rPr>
                                  </w:pPr>
                                  <w:r>
                                    <w:rPr>
                                      <w:rFonts w:ascii="Arial" w:hAnsi="Arial" w:cs="Arial"/>
                                      <w:sz w:val="20"/>
                                    </w:rPr>
                                    <w:t>P =</w:t>
                                  </w:r>
                                  <w:r w:rsidRPr="00A33DBA">
                                    <w:rPr>
                                      <w:rFonts w:ascii="Arial" w:hAnsi="Arial" w:cs="Arial"/>
                                      <w:sz w:val="20"/>
                                    </w:rPr>
                                    <w:t xml:space="preserve"> 0</w:t>
                                  </w:r>
                                  <w:r>
                                    <w:rPr>
                                      <w:rFonts w:ascii="Arial" w:hAnsi="Arial" w:cs="Arial"/>
                                      <w:sz w:val="20"/>
                                    </w:rPr>
                                    <w:t>,0</w:t>
                                  </w:r>
                                  <w:r w:rsidRPr="00A33DBA">
                                    <w:rPr>
                                      <w:rFonts w:ascii="Arial" w:hAnsi="Arial" w:cs="Arial"/>
                                      <w:sz w:val="20"/>
                                    </w:rPr>
                                    <w:t>19</w:t>
                                  </w:r>
                                </w:p>
                                <w:p w14:paraId="3D3958AD" w14:textId="77777777" w:rsidR="00C23AAA" w:rsidRPr="00A33DBA" w:rsidRDefault="00C23AAA" w:rsidP="00407F0E">
                                  <w:pPr>
                                    <w:rPr>
                                      <w:rFonts w:ascii="Arial" w:hAnsi="Arial" w:cs="Arial"/>
                                      <w:sz w:val="20"/>
                                    </w:rPr>
                                  </w:pPr>
                                  <w:r>
                                    <w:rPr>
                                      <w:rFonts w:ascii="Arial" w:hAnsi="Arial" w:cs="Arial"/>
                                      <w:sz w:val="20"/>
                                    </w:rPr>
                                    <w:t>Riska attiecība</w:t>
                                  </w:r>
                                  <w:r w:rsidRPr="00A33DBA">
                                    <w:rPr>
                                      <w:rFonts w:ascii="Arial" w:hAnsi="Arial" w:cs="Arial"/>
                                      <w:sz w:val="20"/>
                                    </w:rPr>
                                    <w:t xml:space="preserve"> 0</w:t>
                                  </w:r>
                                  <w:r>
                                    <w:rPr>
                                      <w:rFonts w:ascii="Arial" w:hAnsi="Arial" w:cs="Arial"/>
                                      <w:sz w:val="20"/>
                                    </w:rPr>
                                    <w:t>,</w:t>
                                  </w:r>
                                  <w:r w:rsidRPr="00A33DBA">
                                    <w:rPr>
                                      <w:rFonts w:ascii="Arial" w:hAnsi="Arial" w:cs="Arial"/>
                                      <w:sz w:val="20"/>
                                    </w:rPr>
                                    <w:t>45</w:t>
                                  </w:r>
                                </w:p>
                                <w:p w14:paraId="3D3958AE" w14:textId="77777777" w:rsidR="00C23AAA" w:rsidRPr="0055776F" w:rsidRDefault="00C23AAA" w:rsidP="004D7123">
                                  <w:pPr>
                                    <w:rPr>
                                      <w:rFonts w:ascii="Arial" w:hAnsi="Arial" w:cs="Arial"/>
                                      <w:sz w:val="20"/>
                                      <w:lang w:val="de-DE"/>
                                    </w:rPr>
                                  </w:pPr>
                                  <w:r w:rsidRPr="00A33DBA">
                                    <w:rPr>
                                      <w:rFonts w:ascii="Arial" w:hAnsi="Arial" w:cs="Arial"/>
                                      <w:sz w:val="20"/>
                                    </w:rPr>
                                    <w:t xml:space="preserve">(95% </w:t>
                                  </w:r>
                                  <w:r>
                                    <w:rPr>
                                      <w:rFonts w:ascii="Arial" w:hAnsi="Arial" w:cs="Arial"/>
                                      <w:sz w:val="20"/>
                                    </w:rPr>
                                    <w:t>T</w:t>
                                  </w:r>
                                  <w:r w:rsidRPr="00A33DBA">
                                    <w:rPr>
                                      <w:rFonts w:ascii="Arial" w:hAnsi="Arial" w:cs="Arial"/>
                                      <w:sz w:val="20"/>
                                    </w:rPr>
                                    <w:t>l, 0</w:t>
                                  </w:r>
                                  <w:r>
                                    <w:rPr>
                                      <w:rFonts w:ascii="Arial" w:hAnsi="Arial" w:cs="Arial"/>
                                      <w:sz w:val="20"/>
                                    </w:rPr>
                                    <w:t>,</w:t>
                                  </w:r>
                                  <w:r w:rsidRPr="00A33DBA">
                                    <w:rPr>
                                      <w:rFonts w:ascii="Arial" w:hAnsi="Arial" w:cs="Arial"/>
                                      <w:sz w:val="20"/>
                                    </w:rPr>
                                    <w:t>22</w:t>
                                  </w:r>
                                  <w:r>
                                    <w:rPr>
                                      <w:rFonts w:ascii="Arial" w:hAnsi="Arial" w:cs="Arial"/>
                                      <w:sz w:val="20"/>
                                    </w:rPr>
                                    <w:noBreakHyphen/>
                                  </w:r>
                                  <w:r w:rsidRPr="00A33DBA">
                                    <w:rPr>
                                      <w:rFonts w:ascii="Arial" w:hAnsi="Arial" w:cs="Arial"/>
                                      <w:sz w:val="20"/>
                                    </w:rPr>
                                    <w:t>0</w:t>
                                  </w:r>
                                  <w:r>
                                    <w:rPr>
                                      <w:rFonts w:ascii="Arial" w:hAnsi="Arial" w:cs="Arial"/>
                                      <w:sz w:val="20"/>
                                    </w:rPr>
                                    <w:t>,</w:t>
                                  </w:r>
                                  <w:r w:rsidRPr="00A33DBA">
                                    <w:rPr>
                                      <w:rFonts w:ascii="Arial" w:hAnsi="Arial" w:cs="Arial"/>
                                      <w:sz w:val="20"/>
                                    </w:rPr>
                                    <w:t>89)</w:t>
                                  </w:r>
                                </w:p>
                              </w:tc>
                            </w:tr>
                            <w:tr w:rsidR="00C23AAA" w:rsidRPr="0055776F" w14:paraId="3D3958B5" w14:textId="77777777">
                              <w:tc>
                                <w:tcPr>
                                  <w:tcW w:w="817" w:type="dxa"/>
                                  <w:shd w:val="clear" w:color="auto" w:fill="auto"/>
                                </w:tcPr>
                                <w:p w14:paraId="3D3958B0" w14:textId="77777777" w:rsidR="00C23AAA" w:rsidRPr="0055776F" w:rsidRDefault="00C23AAA" w:rsidP="00BF34F9">
                                  <w:pPr>
                                    <w:rPr>
                                      <w:rFonts w:ascii="Arial" w:hAnsi="Arial" w:cs="Arial"/>
                                      <w:sz w:val="20"/>
                                    </w:rPr>
                                  </w:pPr>
                                </w:p>
                              </w:tc>
                              <w:tc>
                                <w:tcPr>
                                  <w:tcW w:w="2464" w:type="dxa"/>
                                  <w:shd w:val="clear" w:color="auto" w:fill="auto"/>
                                </w:tcPr>
                                <w:p w14:paraId="3D3958B1" w14:textId="77777777" w:rsidR="00C23AAA" w:rsidRPr="0055776F" w:rsidRDefault="00C23AAA" w:rsidP="00BF34F9">
                                  <w:pPr>
                                    <w:rPr>
                                      <w:rFonts w:ascii="Arial" w:hAnsi="Arial" w:cs="Arial"/>
                                      <w:sz w:val="20"/>
                                    </w:rPr>
                                  </w:pPr>
                                </w:p>
                              </w:tc>
                              <w:tc>
                                <w:tcPr>
                                  <w:tcW w:w="851" w:type="dxa"/>
                                  <w:tcBorders>
                                    <w:bottom w:val="single" w:sz="4" w:space="0" w:color="auto"/>
                                  </w:tcBorders>
                                  <w:shd w:val="clear" w:color="auto" w:fill="auto"/>
                                </w:tcPr>
                                <w:p w14:paraId="3D3958B2" w14:textId="77777777" w:rsidR="00C23AAA" w:rsidRPr="0055776F" w:rsidRDefault="00C23AAA" w:rsidP="00BF34F9">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3D3958B3" w14:textId="77777777" w:rsidR="00C23AAA" w:rsidRPr="0055776F" w:rsidRDefault="00C23AAA" w:rsidP="00BF34F9">
                                  <w:pPr>
                                    <w:rPr>
                                      <w:rFonts w:ascii="Arial" w:hAnsi="Arial" w:cs="Arial"/>
                                      <w:sz w:val="20"/>
                                    </w:rPr>
                                  </w:pPr>
                                  <w:r w:rsidRPr="00527E66">
                                    <w:rPr>
                                      <w:rFonts w:ascii="Arial" w:hAnsi="Arial" w:cs="Arial"/>
                                      <w:sz w:val="20"/>
                                    </w:rPr>
                                    <w:t>Gadījumi</w:t>
                                  </w:r>
                                </w:p>
                              </w:tc>
                              <w:tc>
                                <w:tcPr>
                                  <w:tcW w:w="850" w:type="dxa"/>
                                  <w:tcBorders>
                                    <w:bottom w:val="single" w:sz="4" w:space="0" w:color="auto"/>
                                  </w:tcBorders>
                                  <w:shd w:val="clear" w:color="auto" w:fill="auto"/>
                                </w:tcPr>
                                <w:p w14:paraId="3D3958B4" w14:textId="77777777" w:rsidR="00C23AAA" w:rsidRPr="0055776F" w:rsidRDefault="00C23AAA" w:rsidP="00BF34F9">
                                  <w:pPr>
                                    <w:rPr>
                                      <w:rFonts w:ascii="Arial" w:hAnsi="Arial" w:cs="Arial"/>
                                      <w:sz w:val="20"/>
                                    </w:rPr>
                                  </w:pPr>
                                  <w:r w:rsidRPr="00527E66">
                                    <w:rPr>
                                      <w:rFonts w:ascii="Arial" w:hAnsi="Arial" w:cs="Arial"/>
                                      <w:sz w:val="20"/>
                                    </w:rPr>
                                    <w:t>Izslēgtie</w:t>
                                  </w:r>
                                </w:p>
                              </w:tc>
                            </w:tr>
                            <w:tr w:rsidR="00C23AAA" w:rsidRPr="0055776F" w14:paraId="3D3958BB" w14:textId="77777777">
                              <w:tc>
                                <w:tcPr>
                                  <w:tcW w:w="817" w:type="dxa"/>
                                  <w:shd w:val="clear" w:color="auto" w:fill="auto"/>
                                </w:tcPr>
                                <w:p w14:paraId="3D3958B6" w14:textId="77777777" w:rsidR="00C23AAA" w:rsidRPr="0055776F" w:rsidRDefault="00C23AAA" w:rsidP="00BF34F9">
                                  <w:pPr>
                                    <w:rPr>
                                      <w:rFonts w:ascii="Arial" w:hAnsi="Arial" w:cs="Arial"/>
                                      <w:sz w:val="20"/>
                                    </w:rPr>
                                  </w:pPr>
                                  <w:r w:rsidRPr="0055776F">
                                    <w:rPr>
                                      <w:rFonts w:ascii="Arial" w:hAnsi="Arial" w:cs="Arial"/>
                                      <w:b/>
                                      <w:sz w:val="20"/>
                                    </w:rPr>
                                    <w:t>——</w:t>
                                  </w:r>
                                </w:p>
                              </w:tc>
                              <w:tc>
                                <w:tcPr>
                                  <w:tcW w:w="2464" w:type="dxa"/>
                                  <w:shd w:val="clear" w:color="auto" w:fill="auto"/>
                                </w:tcPr>
                                <w:p w14:paraId="3D3958B7" w14:textId="77777777" w:rsidR="00C23AAA" w:rsidRPr="0055776F" w:rsidRDefault="00C23AAA" w:rsidP="00BF34F9">
                                  <w:pPr>
                                    <w:rPr>
                                      <w:rFonts w:ascii="Arial" w:hAnsi="Arial" w:cs="Arial"/>
                                      <w:sz w:val="20"/>
                                    </w:rPr>
                                  </w:pPr>
                                  <w:r w:rsidRPr="00A33DBA">
                                    <w:rPr>
                                      <w:rFonts w:ascii="Arial" w:hAnsi="Arial" w:cs="Arial"/>
                                      <w:sz w:val="20"/>
                                    </w:rPr>
                                    <w:t>(1) Imatinib</w:t>
                                  </w:r>
                                  <w:r>
                                    <w:rPr>
                                      <w:rFonts w:ascii="Arial" w:hAnsi="Arial" w:cs="Arial"/>
                                      <w:sz w:val="20"/>
                                    </w:rPr>
                                    <w:t>s 12 mēneši</w:t>
                                  </w:r>
                                  <w:r w:rsidRPr="00A33DBA">
                                    <w:rPr>
                                      <w:rFonts w:ascii="Arial" w:hAnsi="Arial" w:cs="Arial"/>
                                      <w:sz w:val="20"/>
                                    </w:rPr>
                                    <w:t>:</w:t>
                                  </w:r>
                                </w:p>
                              </w:tc>
                              <w:tc>
                                <w:tcPr>
                                  <w:tcW w:w="851" w:type="dxa"/>
                                  <w:tcBorders>
                                    <w:top w:val="single" w:sz="4" w:space="0" w:color="auto"/>
                                  </w:tcBorders>
                                  <w:shd w:val="clear" w:color="auto" w:fill="auto"/>
                                </w:tcPr>
                                <w:p w14:paraId="3D3958B8" w14:textId="77777777" w:rsidR="00C23AAA" w:rsidRPr="0055776F" w:rsidRDefault="00C23AAA" w:rsidP="00BF34F9">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3D3958B9" w14:textId="77777777" w:rsidR="00C23AAA" w:rsidRPr="0055776F" w:rsidRDefault="00C23AAA" w:rsidP="00BF34F9">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3D3958BA" w14:textId="77777777" w:rsidR="00C23AAA" w:rsidRPr="0055776F" w:rsidRDefault="00C23AAA" w:rsidP="00BF34F9">
                                  <w:pPr>
                                    <w:rPr>
                                      <w:rFonts w:ascii="Arial" w:hAnsi="Arial" w:cs="Arial"/>
                                      <w:sz w:val="20"/>
                                    </w:rPr>
                                  </w:pPr>
                                  <w:r w:rsidRPr="0055776F">
                                    <w:rPr>
                                      <w:rFonts w:ascii="Arial" w:hAnsi="Arial" w:cs="Arial"/>
                                      <w:sz w:val="20"/>
                                    </w:rPr>
                                    <w:t>174</w:t>
                                  </w:r>
                                </w:p>
                              </w:tc>
                            </w:tr>
                            <w:tr w:rsidR="00C23AAA" w:rsidRPr="0055776F" w14:paraId="3D3958C1" w14:textId="77777777">
                              <w:tc>
                                <w:tcPr>
                                  <w:tcW w:w="817" w:type="dxa"/>
                                  <w:shd w:val="clear" w:color="auto" w:fill="auto"/>
                                </w:tcPr>
                                <w:p w14:paraId="3D3958BC" w14:textId="77777777" w:rsidR="00C23AAA" w:rsidRPr="0055776F" w:rsidRDefault="00C23AAA" w:rsidP="00BF34F9">
                                  <w:pPr>
                                    <w:rPr>
                                      <w:rFonts w:ascii="Arial" w:hAnsi="Arial" w:cs="Arial"/>
                                      <w:sz w:val="20"/>
                                    </w:rPr>
                                  </w:pPr>
                                  <w:r w:rsidRPr="0055776F">
                                    <w:rPr>
                                      <w:rFonts w:ascii="Arial" w:hAnsi="Arial" w:cs="Arial"/>
                                      <w:sz w:val="20"/>
                                    </w:rPr>
                                    <w:t>-----</w:t>
                                  </w:r>
                                </w:p>
                              </w:tc>
                              <w:tc>
                                <w:tcPr>
                                  <w:tcW w:w="2464" w:type="dxa"/>
                                  <w:shd w:val="clear" w:color="auto" w:fill="auto"/>
                                </w:tcPr>
                                <w:p w14:paraId="3D3958BD" w14:textId="77777777" w:rsidR="00C23AAA" w:rsidRPr="0055776F" w:rsidRDefault="00C23AAA" w:rsidP="00BF34F9">
                                  <w:pPr>
                                    <w:rPr>
                                      <w:rFonts w:ascii="Arial" w:hAnsi="Arial" w:cs="Arial"/>
                                      <w:sz w:val="20"/>
                                    </w:rPr>
                                  </w:pPr>
                                  <w:r w:rsidRPr="00A33DBA">
                                    <w:rPr>
                                      <w:rFonts w:ascii="Arial" w:hAnsi="Arial" w:cs="Arial"/>
                                      <w:sz w:val="20"/>
                                    </w:rPr>
                                    <w:t>(2) Imatinib</w:t>
                                  </w:r>
                                  <w:r>
                                    <w:rPr>
                                      <w:rFonts w:ascii="Arial" w:hAnsi="Arial" w:cs="Arial"/>
                                      <w:sz w:val="20"/>
                                    </w:rPr>
                                    <w:t>s 36 mēneši</w:t>
                                  </w:r>
                                  <w:r w:rsidRPr="00A33DBA">
                                    <w:rPr>
                                      <w:rFonts w:ascii="Arial" w:hAnsi="Arial" w:cs="Arial"/>
                                      <w:sz w:val="20"/>
                                    </w:rPr>
                                    <w:t>:</w:t>
                                  </w:r>
                                </w:p>
                              </w:tc>
                              <w:tc>
                                <w:tcPr>
                                  <w:tcW w:w="851" w:type="dxa"/>
                                  <w:tcBorders>
                                    <w:bottom w:val="single" w:sz="4" w:space="0" w:color="auto"/>
                                  </w:tcBorders>
                                  <w:shd w:val="clear" w:color="auto" w:fill="auto"/>
                                </w:tcPr>
                                <w:p w14:paraId="3D3958BE" w14:textId="77777777" w:rsidR="00C23AAA" w:rsidRPr="0055776F" w:rsidRDefault="00C23AAA" w:rsidP="00BF34F9">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3D3958BF" w14:textId="77777777" w:rsidR="00C23AAA" w:rsidRPr="0055776F" w:rsidRDefault="00C23AAA" w:rsidP="00BF34F9">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3D3958C0" w14:textId="77777777" w:rsidR="00C23AAA" w:rsidRPr="0055776F" w:rsidRDefault="00C23AAA" w:rsidP="00BF34F9">
                                  <w:pPr>
                                    <w:rPr>
                                      <w:rFonts w:ascii="Arial" w:hAnsi="Arial" w:cs="Arial"/>
                                      <w:sz w:val="20"/>
                                    </w:rPr>
                                  </w:pPr>
                                  <w:r w:rsidRPr="0055776F">
                                    <w:rPr>
                                      <w:rFonts w:ascii="Arial" w:hAnsi="Arial" w:cs="Arial"/>
                                      <w:sz w:val="20"/>
                                    </w:rPr>
                                    <w:t>186</w:t>
                                  </w:r>
                                </w:p>
                              </w:tc>
                            </w:tr>
                            <w:tr w:rsidR="00C23AAA" w:rsidRPr="0055776F" w14:paraId="3D3958C7" w14:textId="77777777">
                              <w:tc>
                                <w:tcPr>
                                  <w:tcW w:w="817" w:type="dxa"/>
                                  <w:shd w:val="clear" w:color="auto" w:fill="auto"/>
                                </w:tcPr>
                                <w:p w14:paraId="3D3958C2" w14:textId="77777777" w:rsidR="00C23AAA" w:rsidRPr="0055776F" w:rsidRDefault="00C23AAA" w:rsidP="00BF34F9">
                                  <w:pPr>
                                    <w:rPr>
                                      <w:rFonts w:ascii="Arial" w:hAnsi="Arial" w:cs="Arial"/>
                                      <w:sz w:val="20"/>
                                    </w:rPr>
                                  </w:pPr>
                                  <w:r w:rsidRPr="0055776F">
                                    <w:rPr>
                                      <w:rFonts w:ascii="Arial" w:hAnsi="Arial" w:cs="Arial"/>
                                      <w:sz w:val="20"/>
                                    </w:rPr>
                                    <w:t>│││</w:t>
                                  </w:r>
                                </w:p>
                              </w:tc>
                              <w:tc>
                                <w:tcPr>
                                  <w:tcW w:w="2464" w:type="dxa"/>
                                  <w:shd w:val="clear" w:color="auto" w:fill="auto"/>
                                </w:tcPr>
                                <w:p w14:paraId="3D3958C3" w14:textId="77777777" w:rsidR="00C23AAA" w:rsidRPr="0055776F" w:rsidRDefault="00C23AAA" w:rsidP="00BF34F9">
                                  <w:pPr>
                                    <w:rPr>
                                      <w:rFonts w:ascii="Arial" w:hAnsi="Arial" w:cs="Arial"/>
                                      <w:sz w:val="20"/>
                                    </w:rPr>
                                  </w:pPr>
                                  <w:r w:rsidRPr="008E7CB7">
                                    <w:rPr>
                                      <w:rFonts w:ascii="Arial" w:hAnsi="Arial" w:cs="Arial"/>
                                      <w:sz w:val="20"/>
                                    </w:rPr>
                                    <w:t>Izslēgtie novērojumi</w:t>
                                  </w:r>
                                </w:p>
                              </w:tc>
                              <w:tc>
                                <w:tcPr>
                                  <w:tcW w:w="851" w:type="dxa"/>
                                  <w:tcBorders>
                                    <w:top w:val="single" w:sz="4" w:space="0" w:color="auto"/>
                                  </w:tcBorders>
                                  <w:shd w:val="clear" w:color="auto" w:fill="auto"/>
                                </w:tcPr>
                                <w:p w14:paraId="3D3958C4" w14:textId="77777777" w:rsidR="00C23AAA" w:rsidRPr="0055776F" w:rsidRDefault="00C23AAA" w:rsidP="00BF34F9">
                                  <w:pPr>
                                    <w:rPr>
                                      <w:rFonts w:ascii="Arial" w:hAnsi="Arial" w:cs="Arial"/>
                                      <w:sz w:val="20"/>
                                    </w:rPr>
                                  </w:pPr>
                                </w:p>
                              </w:tc>
                              <w:tc>
                                <w:tcPr>
                                  <w:tcW w:w="709" w:type="dxa"/>
                                  <w:tcBorders>
                                    <w:top w:val="single" w:sz="4" w:space="0" w:color="auto"/>
                                  </w:tcBorders>
                                  <w:shd w:val="clear" w:color="auto" w:fill="auto"/>
                                </w:tcPr>
                                <w:p w14:paraId="3D3958C5" w14:textId="77777777" w:rsidR="00C23AAA" w:rsidRPr="0055776F" w:rsidRDefault="00C23AAA" w:rsidP="00BF34F9">
                                  <w:pPr>
                                    <w:rPr>
                                      <w:rFonts w:ascii="Arial" w:hAnsi="Arial" w:cs="Arial"/>
                                      <w:sz w:val="20"/>
                                    </w:rPr>
                                  </w:pPr>
                                </w:p>
                              </w:tc>
                              <w:tc>
                                <w:tcPr>
                                  <w:tcW w:w="850" w:type="dxa"/>
                                  <w:tcBorders>
                                    <w:top w:val="single" w:sz="4" w:space="0" w:color="auto"/>
                                  </w:tcBorders>
                                  <w:shd w:val="clear" w:color="auto" w:fill="auto"/>
                                </w:tcPr>
                                <w:p w14:paraId="3D3958C6" w14:textId="77777777" w:rsidR="00C23AAA" w:rsidRPr="0055776F" w:rsidRDefault="00C23AAA" w:rsidP="00BF34F9">
                                  <w:pPr>
                                    <w:rPr>
                                      <w:rFonts w:ascii="Arial" w:hAnsi="Arial" w:cs="Arial"/>
                                      <w:sz w:val="20"/>
                                    </w:rPr>
                                  </w:pPr>
                                </w:p>
                              </w:tc>
                            </w:tr>
                          </w:tbl>
                          <w:p w14:paraId="3D3958C8" w14:textId="77777777" w:rsidR="00C23AAA" w:rsidRPr="00A33DBA" w:rsidRDefault="00C23AAA" w:rsidP="009E01F8">
                            <w:pPr>
                              <w:rPr>
                                <w:rFonts w:ascii="Arial" w:hAnsi="Arial" w:cs="Arial"/>
                                <w:sz w:val="20"/>
                              </w:rPr>
                            </w:pPr>
                          </w:p>
                          <w:p w14:paraId="3D3958C9" w14:textId="77777777" w:rsidR="00C23AAA" w:rsidRPr="00A33DBA" w:rsidRDefault="00C23AAA" w:rsidP="009E01F8">
                            <w:pPr>
                              <w:rPr>
                                <w:rFonts w:ascii="Arial" w:hAnsi="Arial" w:cs="Arial"/>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95832" id="_x0000_s1036" type="#_x0000_t202" style="position:absolute;margin-left:27.6pt;margin-top:73.45pt;width:361.0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" filled="f" stroked="f">
                <v:textbox>
                  <w:txbxContent>
                    <w:p w14:paraId="3D3958AB" w14:textId="77777777" w:rsidR="00C23AAA" w:rsidRDefault="00C23AAA" w:rsidP="009E01F8">
                      <w:pPr>
                        <w:rPr>
                          <w:rFonts w:ascii="Arial" w:hAnsi="Arial" w:cs="Arial"/>
                          <w:sz w:val="20"/>
                        </w:rPr>
                      </w:pPr>
                    </w:p>
                    <w:tbl>
                      <w:tblPr>
                        <w:tblW w:w="0" w:type="auto"/>
                        <w:tblLook w:val="04A0" w:firstRow="1" w:lastRow="0" w:firstColumn="1" w:lastColumn="0" w:noHBand="0" w:noVBand="1"/>
                      </w:tblPr>
                      <w:tblGrid>
                        <w:gridCol w:w="817"/>
                        <w:gridCol w:w="2464"/>
                        <w:gridCol w:w="851"/>
                        <w:gridCol w:w="1017"/>
                        <w:gridCol w:w="950"/>
                      </w:tblGrid>
                      <w:tr w:rsidR="00C23AAA" w:rsidRPr="0055776F" w14:paraId="3D3958AF" w14:textId="77777777">
                        <w:tc>
                          <w:tcPr>
                            <w:tcW w:w="5691" w:type="dxa"/>
                            <w:gridSpan w:val="5"/>
                            <w:shd w:val="clear" w:color="auto" w:fill="auto"/>
                          </w:tcPr>
                          <w:p w14:paraId="3D3958AC" w14:textId="77777777" w:rsidR="00C23AAA" w:rsidRPr="00A33DBA" w:rsidRDefault="00C23AAA" w:rsidP="00407F0E">
                            <w:pPr>
                              <w:rPr>
                                <w:rFonts w:ascii="Arial" w:hAnsi="Arial" w:cs="Arial"/>
                                <w:sz w:val="20"/>
                              </w:rPr>
                            </w:pPr>
                            <w:r>
                              <w:rPr>
                                <w:rFonts w:ascii="Arial" w:hAnsi="Arial" w:cs="Arial"/>
                                <w:sz w:val="20"/>
                              </w:rPr>
                              <w:t>P =</w:t>
                            </w:r>
                            <w:r w:rsidRPr="00A33DBA">
                              <w:rPr>
                                <w:rFonts w:ascii="Arial" w:hAnsi="Arial" w:cs="Arial"/>
                                <w:sz w:val="20"/>
                              </w:rPr>
                              <w:t xml:space="preserve"> 0</w:t>
                            </w:r>
                            <w:r>
                              <w:rPr>
                                <w:rFonts w:ascii="Arial" w:hAnsi="Arial" w:cs="Arial"/>
                                <w:sz w:val="20"/>
                              </w:rPr>
                              <w:t>,0</w:t>
                            </w:r>
                            <w:r w:rsidRPr="00A33DBA">
                              <w:rPr>
                                <w:rFonts w:ascii="Arial" w:hAnsi="Arial" w:cs="Arial"/>
                                <w:sz w:val="20"/>
                              </w:rPr>
                              <w:t>19</w:t>
                            </w:r>
                          </w:p>
                          <w:p w14:paraId="3D3958AD" w14:textId="77777777" w:rsidR="00C23AAA" w:rsidRPr="00A33DBA" w:rsidRDefault="00C23AAA" w:rsidP="00407F0E">
                            <w:pPr>
                              <w:rPr>
                                <w:rFonts w:ascii="Arial" w:hAnsi="Arial" w:cs="Arial"/>
                                <w:sz w:val="20"/>
                              </w:rPr>
                            </w:pPr>
                            <w:r>
                              <w:rPr>
                                <w:rFonts w:ascii="Arial" w:hAnsi="Arial" w:cs="Arial"/>
                                <w:sz w:val="20"/>
                              </w:rPr>
                              <w:t>Riska attiecība</w:t>
                            </w:r>
                            <w:r w:rsidRPr="00A33DBA">
                              <w:rPr>
                                <w:rFonts w:ascii="Arial" w:hAnsi="Arial" w:cs="Arial"/>
                                <w:sz w:val="20"/>
                              </w:rPr>
                              <w:t xml:space="preserve"> 0</w:t>
                            </w:r>
                            <w:r>
                              <w:rPr>
                                <w:rFonts w:ascii="Arial" w:hAnsi="Arial" w:cs="Arial"/>
                                <w:sz w:val="20"/>
                              </w:rPr>
                              <w:t>,</w:t>
                            </w:r>
                            <w:r w:rsidRPr="00A33DBA">
                              <w:rPr>
                                <w:rFonts w:ascii="Arial" w:hAnsi="Arial" w:cs="Arial"/>
                                <w:sz w:val="20"/>
                              </w:rPr>
                              <w:t>45</w:t>
                            </w:r>
                          </w:p>
                          <w:p w14:paraId="3D3958AE" w14:textId="77777777" w:rsidR="00C23AAA" w:rsidRPr="0055776F" w:rsidRDefault="00C23AAA" w:rsidP="004D7123">
                            <w:pPr>
                              <w:rPr>
                                <w:rFonts w:ascii="Arial" w:hAnsi="Arial" w:cs="Arial"/>
                                <w:sz w:val="20"/>
                                <w:lang w:val="de-DE"/>
                              </w:rPr>
                            </w:pPr>
                            <w:r w:rsidRPr="00A33DBA">
                              <w:rPr>
                                <w:rFonts w:ascii="Arial" w:hAnsi="Arial" w:cs="Arial"/>
                                <w:sz w:val="20"/>
                              </w:rPr>
                              <w:t xml:space="preserve">(95% </w:t>
                            </w:r>
                            <w:r>
                              <w:rPr>
                                <w:rFonts w:ascii="Arial" w:hAnsi="Arial" w:cs="Arial"/>
                                <w:sz w:val="20"/>
                              </w:rPr>
                              <w:t>T</w:t>
                            </w:r>
                            <w:r w:rsidRPr="00A33DBA">
                              <w:rPr>
                                <w:rFonts w:ascii="Arial" w:hAnsi="Arial" w:cs="Arial"/>
                                <w:sz w:val="20"/>
                              </w:rPr>
                              <w:t>l, 0</w:t>
                            </w:r>
                            <w:r>
                              <w:rPr>
                                <w:rFonts w:ascii="Arial" w:hAnsi="Arial" w:cs="Arial"/>
                                <w:sz w:val="20"/>
                              </w:rPr>
                              <w:t>,</w:t>
                            </w:r>
                            <w:r w:rsidRPr="00A33DBA">
                              <w:rPr>
                                <w:rFonts w:ascii="Arial" w:hAnsi="Arial" w:cs="Arial"/>
                                <w:sz w:val="20"/>
                              </w:rPr>
                              <w:t>22</w:t>
                            </w:r>
                            <w:r>
                              <w:rPr>
                                <w:rFonts w:ascii="Arial" w:hAnsi="Arial" w:cs="Arial"/>
                                <w:sz w:val="20"/>
                              </w:rPr>
                              <w:noBreakHyphen/>
                            </w:r>
                            <w:r w:rsidRPr="00A33DBA">
                              <w:rPr>
                                <w:rFonts w:ascii="Arial" w:hAnsi="Arial" w:cs="Arial"/>
                                <w:sz w:val="20"/>
                              </w:rPr>
                              <w:t>0</w:t>
                            </w:r>
                            <w:r>
                              <w:rPr>
                                <w:rFonts w:ascii="Arial" w:hAnsi="Arial" w:cs="Arial"/>
                                <w:sz w:val="20"/>
                              </w:rPr>
                              <w:t>,</w:t>
                            </w:r>
                            <w:r w:rsidRPr="00A33DBA">
                              <w:rPr>
                                <w:rFonts w:ascii="Arial" w:hAnsi="Arial" w:cs="Arial"/>
                                <w:sz w:val="20"/>
                              </w:rPr>
                              <w:t>89)</w:t>
                            </w:r>
                          </w:p>
                        </w:tc>
                      </w:tr>
                      <w:tr w:rsidR="00C23AAA" w:rsidRPr="0055776F" w14:paraId="3D3958B5" w14:textId="77777777">
                        <w:tc>
                          <w:tcPr>
                            <w:tcW w:w="817" w:type="dxa"/>
                            <w:shd w:val="clear" w:color="auto" w:fill="auto"/>
                          </w:tcPr>
                          <w:p w14:paraId="3D3958B0" w14:textId="77777777" w:rsidR="00C23AAA" w:rsidRPr="0055776F" w:rsidRDefault="00C23AAA" w:rsidP="00BF34F9">
                            <w:pPr>
                              <w:rPr>
                                <w:rFonts w:ascii="Arial" w:hAnsi="Arial" w:cs="Arial"/>
                                <w:sz w:val="20"/>
                              </w:rPr>
                            </w:pPr>
                          </w:p>
                        </w:tc>
                        <w:tc>
                          <w:tcPr>
                            <w:tcW w:w="2464" w:type="dxa"/>
                            <w:shd w:val="clear" w:color="auto" w:fill="auto"/>
                          </w:tcPr>
                          <w:p w14:paraId="3D3958B1" w14:textId="77777777" w:rsidR="00C23AAA" w:rsidRPr="0055776F" w:rsidRDefault="00C23AAA" w:rsidP="00BF34F9">
                            <w:pPr>
                              <w:rPr>
                                <w:rFonts w:ascii="Arial" w:hAnsi="Arial" w:cs="Arial"/>
                                <w:sz w:val="20"/>
                              </w:rPr>
                            </w:pPr>
                          </w:p>
                        </w:tc>
                        <w:tc>
                          <w:tcPr>
                            <w:tcW w:w="851" w:type="dxa"/>
                            <w:tcBorders>
                              <w:bottom w:val="single" w:sz="4" w:space="0" w:color="auto"/>
                            </w:tcBorders>
                            <w:shd w:val="clear" w:color="auto" w:fill="auto"/>
                          </w:tcPr>
                          <w:p w14:paraId="3D3958B2" w14:textId="77777777" w:rsidR="00C23AAA" w:rsidRPr="0055776F" w:rsidRDefault="00C23AAA" w:rsidP="00BF34F9">
                            <w:pPr>
                              <w:rPr>
                                <w:rFonts w:ascii="Arial" w:hAnsi="Arial" w:cs="Arial"/>
                                <w:sz w:val="20"/>
                              </w:rPr>
                            </w:pPr>
                            <w:r w:rsidRPr="0055776F">
                              <w:rPr>
                                <w:rFonts w:ascii="Arial" w:hAnsi="Arial" w:cs="Arial"/>
                                <w:sz w:val="20"/>
                                <w:lang w:val="de-DE"/>
                              </w:rPr>
                              <w:t>N</w:t>
                            </w:r>
                          </w:p>
                        </w:tc>
                        <w:tc>
                          <w:tcPr>
                            <w:tcW w:w="709" w:type="dxa"/>
                            <w:tcBorders>
                              <w:bottom w:val="single" w:sz="4" w:space="0" w:color="auto"/>
                            </w:tcBorders>
                            <w:shd w:val="clear" w:color="auto" w:fill="auto"/>
                          </w:tcPr>
                          <w:p w14:paraId="3D3958B3" w14:textId="77777777" w:rsidR="00C23AAA" w:rsidRPr="0055776F" w:rsidRDefault="00C23AAA" w:rsidP="00BF34F9">
                            <w:pPr>
                              <w:rPr>
                                <w:rFonts w:ascii="Arial" w:hAnsi="Arial" w:cs="Arial"/>
                                <w:sz w:val="20"/>
                              </w:rPr>
                            </w:pPr>
                            <w:r w:rsidRPr="00527E66">
                              <w:rPr>
                                <w:rFonts w:ascii="Arial" w:hAnsi="Arial" w:cs="Arial"/>
                                <w:sz w:val="20"/>
                              </w:rPr>
                              <w:t>Gadījumi</w:t>
                            </w:r>
                          </w:p>
                        </w:tc>
                        <w:tc>
                          <w:tcPr>
                            <w:tcW w:w="850" w:type="dxa"/>
                            <w:tcBorders>
                              <w:bottom w:val="single" w:sz="4" w:space="0" w:color="auto"/>
                            </w:tcBorders>
                            <w:shd w:val="clear" w:color="auto" w:fill="auto"/>
                          </w:tcPr>
                          <w:p w14:paraId="3D3958B4" w14:textId="77777777" w:rsidR="00C23AAA" w:rsidRPr="0055776F" w:rsidRDefault="00C23AAA" w:rsidP="00BF34F9">
                            <w:pPr>
                              <w:rPr>
                                <w:rFonts w:ascii="Arial" w:hAnsi="Arial" w:cs="Arial"/>
                                <w:sz w:val="20"/>
                              </w:rPr>
                            </w:pPr>
                            <w:r w:rsidRPr="00527E66">
                              <w:rPr>
                                <w:rFonts w:ascii="Arial" w:hAnsi="Arial" w:cs="Arial"/>
                                <w:sz w:val="20"/>
                              </w:rPr>
                              <w:t>Izslēgtie</w:t>
                            </w:r>
                          </w:p>
                        </w:tc>
                      </w:tr>
                      <w:tr w:rsidR="00C23AAA" w:rsidRPr="0055776F" w14:paraId="3D3958BB" w14:textId="77777777">
                        <w:tc>
                          <w:tcPr>
                            <w:tcW w:w="817" w:type="dxa"/>
                            <w:shd w:val="clear" w:color="auto" w:fill="auto"/>
                          </w:tcPr>
                          <w:p w14:paraId="3D3958B6" w14:textId="77777777" w:rsidR="00C23AAA" w:rsidRPr="0055776F" w:rsidRDefault="00C23AAA" w:rsidP="00BF34F9">
                            <w:pPr>
                              <w:rPr>
                                <w:rFonts w:ascii="Arial" w:hAnsi="Arial" w:cs="Arial"/>
                                <w:sz w:val="20"/>
                              </w:rPr>
                            </w:pPr>
                            <w:r w:rsidRPr="0055776F">
                              <w:rPr>
                                <w:rFonts w:ascii="Arial" w:hAnsi="Arial" w:cs="Arial"/>
                                <w:b/>
                                <w:sz w:val="20"/>
                              </w:rPr>
                              <w:t>——</w:t>
                            </w:r>
                          </w:p>
                        </w:tc>
                        <w:tc>
                          <w:tcPr>
                            <w:tcW w:w="2464" w:type="dxa"/>
                            <w:shd w:val="clear" w:color="auto" w:fill="auto"/>
                          </w:tcPr>
                          <w:p w14:paraId="3D3958B7" w14:textId="77777777" w:rsidR="00C23AAA" w:rsidRPr="0055776F" w:rsidRDefault="00C23AAA" w:rsidP="00BF34F9">
                            <w:pPr>
                              <w:rPr>
                                <w:rFonts w:ascii="Arial" w:hAnsi="Arial" w:cs="Arial"/>
                                <w:sz w:val="20"/>
                              </w:rPr>
                            </w:pPr>
                            <w:r w:rsidRPr="00A33DBA">
                              <w:rPr>
                                <w:rFonts w:ascii="Arial" w:hAnsi="Arial" w:cs="Arial"/>
                                <w:sz w:val="20"/>
                              </w:rPr>
                              <w:t>(1) Imatinib</w:t>
                            </w:r>
                            <w:r>
                              <w:rPr>
                                <w:rFonts w:ascii="Arial" w:hAnsi="Arial" w:cs="Arial"/>
                                <w:sz w:val="20"/>
                              </w:rPr>
                              <w:t>s 12 mēneši</w:t>
                            </w:r>
                            <w:r w:rsidRPr="00A33DBA">
                              <w:rPr>
                                <w:rFonts w:ascii="Arial" w:hAnsi="Arial" w:cs="Arial"/>
                                <w:sz w:val="20"/>
                              </w:rPr>
                              <w:t>:</w:t>
                            </w:r>
                          </w:p>
                        </w:tc>
                        <w:tc>
                          <w:tcPr>
                            <w:tcW w:w="851" w:type="dxa"/>
                            <w:tcBorders>
                              <w:top w:val="single" w:sz="4" w:space="0" w:color="auto"/>
                            </w:tcBorders>
                            <w:shd w:val="clear" w:color="auto" w:fill="auto"/>
                          </w:tcPr>
                          <w:p w14:paraId="3D3958B8" w14:textId="77777777" w:rsidR="00C23AAA" w:rsidRPr="0055776F" w:rsidRDefault="00C23AAA" w:rsidP="00BF34F9">
                            <w:pPr>
                              <w:rPr>
                                <w:rFonts w:ascii="Arial" w:hAnsi="Arial" w:cs="Arial"/>
                                <w:sz w:val="20"/>
                              </w:rPr>
                            </w:pPr>
                            <w:r w:rsidRPr="0055776F">
                              <w:rPr>
                                <w:rFonts w:ascii="Arial" w:hAnsi="Arial" w:cs="Arial"/>
                                <w:sz w:val="20"/>
                              </w:rPr>
                              <w:t>199</w:t>
                            </w:r>
                          </w:p>
                        </w:tc>
                        <w:tc>
                          <w:tcPr>
                            <w:tcW w:w="709" w:type="dxa"/>
                            <w:tcBorders>
                              <w:top w:val="single" w:sz="4" w:space="0" w:color="auto"/>
                            </w:tcBorders>
                            <w:shd w:val="clear" w:color="auto" w:fill="auto"/>
                          </w:tcPr>
                          <w:p w14:paraId="3D3958B9" w14:textId="77777777" w:rsidR="00C23AAA" w:rsidRPr="0055776F" w:rsidRDefault="00C23AAA" w:rsidP="00BF34F9">
                            <w:pPr>
                              <w:rPr>
                                <w:rFonts w:ascii="Arial" w:hAnsi="Arial" w:cs="Arial"/>
                                <w:sz w:val="20"/>
                              </w:rPr>
                            </w:pPr>
                            <w:r w:rsidRPr="0055776F">
                              <w:rPr>
                                <w:rFonts w:ascii="Arial" w:hAnsi="Arial" w:cs="Arial"/>
                                <w:sz w:val="20"/>
                              </w:rPr>
                              <w:t>25</w:t>
                            </w:r>
                          </w:p>
                        </w:tc>
                        <w:tc>
                          <w:tcPr>
                            <w:tcW w:w="850" w:type="dxa"/>
                            <w:tcBorders>
                              <w:top w:val="single" w:sz="4" w:space="0" w:color="auto"/>
                            </w:tcBorders>
                            <w:shd w:val="clear" w:color="auto" w:fill="auto"/>
                          </w:tcPr>
                          <w:p w14:paraId="3D3958BA" w14:textId="77777777" w:rsidR="00C23AAA" w:rsidRPr="0055776F" w:rsidRDefault="00C23AAA" w:rsidP="00BF34F9">
                            <w:pPr>
                              <w:rPr>
                                <w:rFonts w:ascii="Arial" w:hAnsi="Arial" w:cs="Arial"/>
                                <w:sz w:val="20"/>
                              </w:rPr>
                            </w:pPr>
                            <w:r w:rsidRPr="0055776F">
                              <w:rPr>
                                <w:rFonts w:ascii="Arial" w:hAnsi="Arial" w:cs="Arial"/>
                                <w:sz w:val="20"/>
                              </w:rPr>
                              <w:t>174</w:t>
                            </w:r>
                          </w:p>
                        </w:tc>
                      </w:tr>
                      <w:tr w:rsidR="00C23AAA" w:rsidRPr="0055776F" w14:paraId="3D3958C1" w14:textId="77777777">
                        <w:tc>
                          <w:tcPr>
                            <w:tcW w:w="817" w:type="dxa"/>
                            <w:shd w:val="clear" w:color="auto" w:fill="auto"/>
                          </w:tcPr>
                          <w:p w14:paraId="3D3958BC" w14:textId="77777777" w:rsidR="00C23AAA" w:rsidRPr="0055776F" w:rsidRDefault="00C23AAA" w:rsidP="00BF34F9">
                            <w:pPr>
                              <w:rPr>
                                <w:rFonts w:ascii="Arial" w:hAnsi="Arial" w:cs="Arial"/>
                                <w:sz w:val="20"/>
                              </w:rPr>
                            </w:pPr>
                            <w:r w:rsidRPr="0055776F">
                              <w:rPr>
                                <w:rFonts w:ascii="Arial" w:hAnsi="Arial" w:cs="Arial"/>
                                <w:sz w:val="20"/>
                              </w:rPr>
                              <w:t>-----</w:t>
                            </w:r>
                          </w:p>
                        </w:tc>
                        <w:tc>
                          <w:tcPr>
                            <w:tcW w:w="2464" w:type="dxa"/>
                            <w:shd w:val="clear" w:color="auto" w:fill="auto"/>
                          </w:tcPr>
                          <w:p w14:paraId="3D3958BD" w14:textId="77777777" w:rsidR="00C23AAA" w:rsidRPr="0055776F" w:rsidRDefault="00C23AAA" w:rsidP="00BF34F9">
                            <w:pPr>
                              <w:rPr>
                                <w:rFonts w:ascii="Arial" w:hAnsi="Arial" w:cs="Arial"/>
                                <w:sz w:val="20"/>
                              </w:rPr>
                            </w:pPr>
                            <w:r w:rsidRPr="00A33DBA">
                              <w:rPr>
                                <w:rFonts w:ascii="Arial" w:hAnsi="Arial" w:cs="Arial"/>
                                <w:sz w:val="20"/>
                              </w:rPr>
                              <w:t>(2) Imatinib</w:t>
                            </w:r>
                            <w:r>
                              <w:rPr>
                                <w:rFonts w:ascii="Arial" w:hAnsi="Arial" w:cs="Arial"/>
                                <w:sz w:val="20"/>
                              </w:rPr>
                              <w:t>s 36 mēneši</w:t>
                            </w:r>
                            <w:r w:rsidRPr="00A33DBA">
                              <w:rPr>
                                <w:rFonts w:ascii="Arial" w:hAnsi="Arial" w:cs="Arial"/>
                                <w:sz w:val="20"/>
                              </w:rPr>
                              <w:t>:</w:t>
                            </w:r>
                          </w:p>
                        </w:tc>
                        <w:tc>
                          <w:tcPr>
                            <w:tcW w:w="851" w:type="dxa"/>
                            <w:tcBorders>
                              <w:bottom w:val="single" w:sz="4" w:space="0" w:color="auto"/>
                            </w:tcBorders>
                            <w:shd w:val="clear" w:color="auto" w:fill="auto"/>
                          </w:tcPr>
                          <w:p w14:paraId="3D3958BE" w14:textId="77777777" w:rsidR="00C23AAA" w:rsidRPr="0055776F" w:rsidRDefault="00C23AAA" w:rsidP="00BF34F9">
                            <w:pPr>
                              <w:rPr>
                                <w:rFonts w:ascii="Arial" w:hAnsi="Arial" w:cs="Arial"/>
                                <w:sz w:val="20"/>
                              </w:rPr>
                            </w:pPr>
                            <w:r w:rsidRPr="0055776F">
                              <w:rPr>
                                <w:rFonts w:ascii="Arial" w:hAnsi="Arial" w:cs="Arial"/>
                                <w:sz w:val="20"/>
                              </w:rPr>
                              <w:t>198</w:t>
                            </w:r>
                          </w:p>
                        </w:tc>
                        <w:tc>
                          <w:tcPr>
                            <w:tcW w:w="709" w:type="dxa"/>
                            <w:tcBorders>
                              <w:bottom w:val="single" w:sz="4" w:space="0" w:color="auto"/>
                            </w:tcBorders>
                            <w:shd w:val="clear" w:color="auto" w:fill="auto"/>
                          </w:tcPr>
                          <w:p w14:paraId="3D3958BF" w14:textId="77777777" w:rsidR="00C23AAA" w:rsidRPr="0055776F" w:rsidRDefault="00C23AAA" w:rsidP="00BF34F9">
                            <w:pPr>
                              <w:rPr>
                                <w:rFonts w:ascii="Arial" w:hAnsi="Arial" w:cs="Arial"/>
                                <w:sz w:val="20"/>
                              </w:rPr>
                            </w:pPr>
                            <w:r w:rsidRPr="0055776F">
                              <w:rPr>
                                <w:rFonts w:ascii="Arial" w:hAnsi="Arial" w:cs="Arial"/>
                                <w:sz w:val="20"/>
                              </w:rPr>
                              <w:t>12</w:t>
                            </w:r>
                          </w:p>
                        </w:tc>
                        <w:tc>
                          <w:tcPr>
                            <w:tcW w:w="850" w:type="dxa"/>
                            <w:tcBorders>
                              <w:bottom w:val="single" w:sz="4" w:space="0" w:color="auto"/>
                            </w:tcBorders>
                            <w:shd w:val="clear" w:color="auto" w:fill="auto"/>
                          </w:tcPr>
                          <w:p w14:paraId="3D3958C0" w14:textId="77777777" w:rsidR="00C23AAA" w:rsidRPr="0055776F" w:rsidRDefault="00C23AAA" w:rsidP="00BF34F9">
                            <w:pPr>
                              <w:rPr>
                                <w:rFonts w:ascii="Arial" w:hAnsi="Arial" w:cs="Arial"/>
                                <w:sz w:val="20"/>
                              </w:rPr>
                            </w:pPr>
                            <w:r w:rsidRPr="0055776F">
                              <w:rPr>
                                <w:rFonts w:ascii="Arial" w:hAnsi="Arial" w:cs="Arial"/>
                                <w:sz w:val="20"/>
                              </w:rPr>
                              <w:t>186</w:t>
                            </w:r>
                          </w:p>
                        </w:tc>
                      </w:tr>
                      <w:tr w:rsidR="00C23AAA" w:rsidRPr="0055776F" w14:paraId="3D3958C7" w14:textId="77777777">
                        <w:tc>
                          <w:tcPr>
                            <w:tcW w:w="817" w:type="dxa"/>
                            <w:shd w:val="clear" w:color="auto" w:fill="auto"/>
                          </w:tcPr>
                          <w:p w14:paraId="3D3958C2" w14:textId="77777777" w:rsidR="00C23AAA" w:rsidRPr="0055776F" w:rsidRDefault="00C23AAA" w:rsidP="00BF34F9">
                            <w:pPr>
                              <w:rPr>
                                <w:rFonts w:ascii="Arial" w:hAnsi="Arial" w:cs="Arial"/>
                                <w:sz w:val="20"/>
                              </w:rPr>
                            </w:pPr>
                            <w:r w:rsidRPr="0055776F">
                              <w:rPr>
                                <w:rFonts w:ascii="Arial" w:hAnsi="Arial" w:cs="Arial"/>
                                <w:sz w:val="20"/>
                              </w:rPr>
                              <w:t>│││</w:t>
                            </w:r>
                          </w:p>
                        </w:tc>
                        <w:tc>
                          <w:tcPr>
                            <w:tcW w:w="2464" w:type="dxa"/>
                            <w:shd w:val="clear" w:color="auto" w:fill="auto"/>
                          </w:tcPr>
                          <w:p w14:paraId="3D3958C3" w14:textId="77777777" w:rsidR="00C23AAA" w:rsidRPr="0055776F" w:rsidRDefault="00C23AAA" w:rsidP="00BF34F9">
                            <w:pPr>
                              <w:rPr>
                                <w:rFonts w:ascii="Arial" w:hAnsi="Arial" w:cs="Arial"/>
                                <w:sz w:val="20"/>
                              </w:rPr>
                            </w:pPr>
                            <w:r w:rsidRPr="008E7CB7">
                              <w:rPr>
                                <w:rFonts w:ascii="Arial" w:hAnsi="Arial" w:cs="Arial"/>
                                <w:sz w:val="20"/>
                              </w:rPr>
                              <w:t>Izslēgtie novērojumi</w:t>
                            </w:r>
                          </w:p>
                        </w:tc>
                        <w:tc>
                          <w:tcPr>
                            <w:tcW w:w="851" w:type="dxa"/>
                            <w:tcBorders>
                              <w:top w:val="single" w:sz="4" w:space="0" w:color="auto"/>
                            </w:tcBorders>
                            <w:shd w:val="clear" w:color="auto" w:fill="auto"/>
                          </w:tcPr>
                          <w:p w14:paraId="3D3958C4" w14:textId="77777777" w:rsidR="00C23AAA" w:rsidRPr="0055776F" w:rsidRDefault="00C23AAA" w:rsidP="00BF34F9">
                            <w:pPr>
                              <w:rPr>
                                <w:rFonts w:ascii="Arial" w:hAnsi="Arial" w:cs="Arial"/>
                                <w:sz w:val="20"/>
                              </w:rPr>
                            </w:pPr>
                          </w:p>
                        </w:tc>
                        <w:tc>
                          <w:tcPr>
                            <w:tcW w:w="709" w:type="dxa"/>
                            <w:tcBorders>
                              <w:top w:val="single" w:sz="4" w:space="0" w:color="auto"/>
                            </w:tcBorders>
                            <w:shd w:val="clear" w:color="auto" w:fill="auto"/>
                          </w:tcPr>
                          <w:p w14:paraId="3D3958C5" w14:textId="77777777" w:rsidR="00C23AAA" w:rsidRPr="0055776F" w:rsidRDefault="00C23AAA" w:rsidP="00BF34F9">
                            <w:pPr>
                              <w:rPr>
                                <w:rFonts w:ascii="Arial" w:hAnsi="Arial" w:cs="Arial"/>
                                <w:sz w:val="20"/>
                              </w:rPr>
                            </w:pPr>
                          </w:p>
                        </w:tc>
                        <w:tc>
                          <w:tcPr>
                            <w:tcW w:w="850" w:type="dxa"/>
                            <w:tcBorders>
                              <w:top w:val="single" w:sz="4" w:space="0" w:color="auto"/>
                            </w:tcBorders>
                            <w:shd w:val="clear" w:color="auto" w:fill="auto"/>
                          </w:tcPr>
                          <w:p w14:paraId="3D3958C6" w14:textId="77777777" w:rsidR="00C23AAA" w:rsidRPr="0055776F" w:rsidRDefault="00C23AAA" w:rsidP="00BF34F9">
                            <w:pPr>
                              <w:rPr>
                                <w:rFonts w:ascii="Arial" w:hAnsi="Arial" w:cs="Arial"/>
                                <w:sz w:val="20"/>
                              </w:rPr>
                            </w:pPr>
                          </w:p>
                        </w:tc>
                      </w:tr>
                    </w:tbl>
                    <w:p w14:paraId="3D3958C8" w14:textId="77777777" w:rsidR="00C23AAA" w:rsidRPr="00A33DBA" w:rsidRDefault="00C23AAA" w:rsidP="009E01F8">
                      <w:pPr>
                        <w:rPr>
                          <w:rFonts w:ascii="Arial" w:hAnsi="Arial" w:cs="Arial"/>
                          <w:sz w:val="20"/>
                        </w:rPr>
                      </w:pPr>
                    </w:p>
                    <w:p w14:paraId="3D3958C9" w14:textId="77777777" w:rsidR="00C23AAA" w:rsidRPr="00A33DBA" w:rsidRDefault="00C23AAA" w:rsidP="009E01F8">
                      <w:pPr>
                        <w:rPr>
                          <w:rFonts w:ascii="Arial" w:hAnsi="Arial" w:cs="Arial"/>
                          <w:sz w:val="20"/>
                        </w:rPr>
                      </w:pPr>
                    </w:p>
                  </w:txbxContent>
                </v:textbox>
              </v:shape>
            </w:pict>
          </mc:Fallback>
        </mc:AlternateContent>
      </w:r>
      <w:r w:rsidRPr="00CD729C">
        <w:rPr>
          <w:noProof/>
          <w:lang w:val="en-GB" w:eastAsia="en-GB"/>
        </w:rPr>
        <mc:AlternateContent>
          <mc:Choice Requires="wps">
            <w:drawing>
              <wp:anchor distT="0" distB="0" distL="114300" distR="114300" simplePos="0" relativeHeight="251661312" behindDoc="0" locked="0" layoutInCell="1" allowOverlap="1" wp14:anchorId="3D395834" wp14:editId="3D395835">
                <wp:simplePos x="0" y="0"/>
                <wp:positionH relativeFrom="column">
                  <wp:posOffset>-226695</wp:posOffset>
                </wp:positionH>
                <wp:positionV relativeFrom="paragraph">
                  <wp:posOffset>75565</wp:posOffset>
                </wp:positionV>
                <wp:extent cx="335915" cy="223266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23266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958CA" w14:textId="77777777" w:rsidR="00C23AAA" w:rsidRPr="00A33DBA" w:rsidRDefault="00C23AAA" w:rsidP="009E01F8">
                            <w:pPr>
                              <w:rPr>
                                <w:rFonts w:ascii="Arial" w:hAnsi="Arial" w:cs="Arial"/>
                                <w:sz w:val="20"/>
                              </w:rPr>
                            </w:pPr>
                            <w:r>
                              <w:rPr>
                                <w:rFonts w:ascii="Arial" w:hAnsi="Arial" w:cs="Arial"/>
                                <w:sz w:val="20"/>
                              </w:rPr>
                              <w:t xml:space="preserve">Kopējās </w:t>
                            </w:r>
                            <w:r w:rsidRPr="000C1F7F">
                              <w:rPr>
                                <w:rFonts w:ascii="Arial" w:hAnsi="Arial" w:cs="Arial"/>
                                <w:sz w:val="20"/>
                              </w:rPr>
                              <w:t>dzīvildzes varbūtība</w:t>
                            </w:r>
                          </w:p>
                        </w:txbxContent>
                      </wps:txbx>
                      <wps:bodyPr rot="0" vert="vert270"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395834" id="_x0000_s1037" type="#_x0000_t202" style="position:absolute;margin-left:-17.85pt;margin-top:5.95pt;width:26.45pt;height:17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" stroked="f">
                <v:fill opacity="0"/>
                <v:textbox style="layout-flow:vertical;mso-layout-flow-alt:bottom-to-top">
                  <w:txbxContent>
                    <w:p w14:paraId="3D3958CA" w14:textId="77777777" w:rsidR="00C23AAA" w:rsidRPr="00A33DBA" w:rsidRDefault="00C23AAA" w:rsidP="009E01F8">
                      <w:pPr>
                        <w:rPr>
                          <w:rFonts w:ascii="Arial" w:hAnsi="Arial" w:cs="Arial"/>
                          <w:sz w:val="20"/>
                        </w:rPr>
                      </w:pPr>
                      <w:r>
                        <w:rPr>
                          <w:rFonts w:ascii="Arial" w:hAnsi="Arial" w:cs="Arial"/>
                          <w:sz w:val="20"/>
                        </w:rPr>
                        <w:t xml:space="preserve">Kopējās </w:t>
                      </w:r>
                      <w:r w:rsidRPr="000C1F7F">
                        <w:rPr>
                          <w:rFonts w:ascii="Arial" w:hAnsi="Arial" w:cs="Arial"/>
                          <w:sz w:val="20"/>
                        </w:rPr>
                        <w:t>dzīvildzes varbūtība</w:t>
                      </w:r>
                    </w:p>
                  </w:txbxContent>
                </v:textbox>
              </v:shape>
            </w:pict>
          </mc:Fallback>
        </mc:AlternateContent>
      </w:r>
      <w:r w:rsidRPr="00CD729C">
        <w:rPr>
          <w:noProof/>
          <w:lang w:val="en-GB" w:eastAsia="en-GB"/>
        </w:rPr>
        <w:drawing>
          <wp:inline distT="0" distB="0" distL="0" distR="0" wp14:anchorId="3D395836" wp14:editId="3D395837">
            <wp:extent cx="5948680" cy="263652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8680" cy="2636520"/>
                    </a:xfrm>
                    <a:prstGeom prst="rect">
                      <a:avLst/>
                    </a:prstGeom>
                    <a:noFill/>
                    <a:ln>
                      <a:noFill/>
                    </a:ln>
                  </pic:spPr>
                </pic:pic>
              </a:graphicData>
            </a:graphic>
          </wp:inline>
        </w:drawing>
      </w:r>
    </w:p>
    <w:p w14:paraId="3D394E60" w14:textId="77777777" w:rsidR="009E01F8" w:rsidRPr="00CD729C" w:rsidRDefault="009E01F8" w:rsidP="009B4BB6">
      <w:pPr>
        <w:keepNext/>
        <w:keepLines/>
        <w:widowControl w:val="0"/>
        <w:tabs>
          <w:tab w:val="clear" w:pos="567"/>
        </w:tabs>
        <w:spacing w:line="240" w:lineRule="auto"/>
        <w:rPr>
          <w:rFonts w:eastAsia="MS Mincho"/>
          <w:szCs w:val="22"/>
        </w:rPr>
      </w:pPr>
    </w:p>
    <w:p w14:paraId="3D394E61" w14:textId="77777777" w:rsidR="009E01F8" w:rsidRPr="00CD729C" w:rsidRDefault="009E01F8" w:rsidP="009B4BB6">
      <w:pPr>
        <w:keepNext/>
        <w:keepLines/>
        <w:widowControl w:val="0"/>
        <w:spacing w:line="240" w:lineRule="auto"/>
      </w:pPr>
    </w:p>
    <w:tbl>
      <w:tblPr>
        <w:tblW w:w="10632" w:type="dxa"/>
        <w:tblInd w:w="-318" w:type="dxa"/>
        <w:tblLook w:val="04A0" w:firstRow="1" w:lastRow="0" w:firstColumn="1" w:lastColumn="0" w:noHBand="0" w:noVBand="1"/>
      </w:tblPr>
      <w:tblGrid>
        <w:gridCol w:w="450"/>
        <w:gridCol w:w="687"/>
        <w:gridCol w:w="670"/>
        <w:gridCol w:w="710"/>
        <w:gridCol w:w="717"/>
        <w:gridCol w:w="691"/>
        <w:gridCol w:w="770"/>
        <w:gridCol w:w="779"/>
        <w:gridCol w:w="794"/>
        <w:gridCol w:w="653"/>
        <w:gridCol w:w="630"/>
        <w:gridCol w:w="643"/>
        <w:gridCol w:w="670"/>
        <w:gridCol w:w="683"/>
        <w:gridCol w:w="558"/>
        <w:gridCol w:w="527"/>
      </w:tblGrid>
      <w:tr w:rsidR="009E01F8" w:rsidRPr="00CD729C" w14:paraId="3D394E63" w14:textId="77777777" w:rsidTr="00516207">
        <w:tc>
          <w:tcPr>
            <w:tcW w:w="10632" w:type="dxa"/>
            <w:gridSpan w:val="16"/>
            <w:shd w:val="clear" w:color="auto" w:fill="auto"/>
          </w:tcPr>
          <w:p w14:paraId="3D394E62" w14:textId="77777777" w:rsidR="009E01F8" w:rsidRPr="00CD729C" w:rsidRDefault="009E01F8" w:rsidP="009B4BB6">
            <w:pPr>
              <w:keepNext/>
              <w:keepLines/>
              <w:widowControl w:val="0"/>
              <w:spacing w:line="240" w:lineRule="auto"/>
              <w:ind w:left="-27"/>
              <w:rPr>
                <w:rFonts w:ascii="Arial" w:hAnsi="Arial" w:cs="Arial"/>
                <w:sz w:val="16"/>
                <w:szCs w:val="16"/>
              </w:rPr>
            </w:pPr>
            <w:r w:rsidRPr="00CD729C">
              <w:rPr>
                <w:rFonts w:ascii="Arial" w:hAnsi="Arial" w:cs="Arial"/>
                <w:sz w:val="20"/>
              </w:rPr>
              <w:t>Riska grupa: gadījumi</w:t>
            </w:r>
          </w:p>
        </w:tc>
      </w:tr>
      <w:tr w:rsidR="009E01F8" w:rsidRPr="00CD729C" w14:paraId="3D394E74" w14:textId="77777777" w:rsidTr="00516207">
        <w:tc>
          <w:tcPr>
            <w:tcW w:w="450" w:type="dxa"/>
            <w:shd w:val="clear" w:color="auto" w:fill="auto"/>
          </w:tcPr>
          <w:p w14:paraId="3D394E64" w14:textId="77777777" w:rsidR="009E01F8" w:rsidRPr="00CD729C" w:rsidRDefault="009E01F8" w:rsidP="009B4BB6">
            <w:pPr>
              <w:keepNext/>
              <w:keepLines/>
              <w:widowControl w:val="0"/>
              <w:spacing w:line="240" w:lineRule="auto"/>
              <w:rPr>
                <w:sz w:val="20"/>
              </w:rPr>
            </w:pPr>
            <w:r w:rsidRPr="00CD729C">
              <w:rPr>
                <w:sz w:val="20"/>
              </w:rPr>
              <w:t>(1)</w:t>
            </w:r>
          </w:p>
        </w:tc>
        <w:tc>
          <w:tcPr>
            <w:tcW w:w="687" w:type="dxa"/>
            <w:shd w:val="clear" w:color="auto" w:fill="auto"/>
          </w:tcPr>
          <w:p w14:paraId="3D394E65" w14:textId="77777777" w:rsidR="009E01F8" w:rsidRPr="00CD729C" w:rsidRDefault="009E01F8" w:rsidP="009B4BB6">
            <w:pPr>
              <w:keepNext/>
              <w:keepLines/>
              <w:widowControl w:val="0"/>
              <w:spacing w:line="240" w:lineRule="auto"/>
              <w:ind w:left="-45"/>
              <w:rPr>
                <w:sz w:val="20"/>
              </w:rPr>
            </w:pPr>
            <w:r w:rsidRPr="00CD729C">
              <w:rPr>
                <w:sz w:val="20"/>
              </w:rPr>
              <w:t>199:0</w:t>
            </w:r>
          </w:p>
        </w:tc>
        <w:tc>
          <w:tcPr>
            <w:tcW w:w="670" w:type="dxa"/>
            <w:shd w:val="clear" w:color="auto" w:fill="auto"/>
          </w:tcPr>
          <w:p w14:paraId="3D394E66" w14:textId="77777777" w:rsidR="009E01F8" w:rsidRPr="00CD729C" w:rsidRDefault="009E01F8" w:rsidP="009B4BB6">
            <w:pPr>
              <w:keepNext/>
              <w:keepLines/>
              <w:widowControl w:val="0"/>
              <w:spacing w:line="240" w:lineRule="auto"/>
              <w:ind w:left="-45"/>
              <w:rPr>
                <w:sz w:val="20"/>
              </w:rPr>
            </w:pPr>
            <w:r w:rsidRPr="00CD729C">
              <w:rPr>
                <w:sz w:val="20"/>
              </w:rPr>
              <w:t>190:2</w:t>
            </w:r>
          </w:p>
        </w:tc>
        <w:tc>
          <w:tcPr>
            <w:tcW w:w="710" w:type="dxa"/>
            <w:shd w:val="clear" w:color="auto" w:fill="auto"/>
          </w:tcPr>
          <w:p w14:paraId="3D394E67" w14:textId="77777777" w:rsidR="009E01F8" w:rsidRPr="00CD729C" w:rsidRDefault="009E01F8" w:rsidP="009B4BB6">
            <w:pPr>
              <w:keepNext/>
              <w:keepLines/>
              <w:widowControl w:val="0"/>
              <w:spacing w:line="240" w:lineRule="auto"/>
              <w:ind w:left="-45"/>
              <w:rPr>
                <w:sz w:val="20"/>
              </w:rPr>
            </w:pPr>
            <w:r w:rsidRPr="00CD729C">
              <w:rPr>
                <w:sz w:val="20"/>
              </w:rPr>
              <w:t>188:2</w:t>
            </w:r>
          </w:p>
        </w:tc>
        <w:tc>
          <w:tcPr>
            <w:tcW w:w="717" w:type="dxa"/>
            <w:shd w:val="clear" w:color="auto" w:fill="auto"/>
          </w:tcPr>
          <w:p w14:paraId="3D394E68" w14:textId="77777777" w:rsidR="009E01F8" w:rsidRPr="00CD729C" w:rsidRDefault="009E01F8" w:rsidP="009B4BB6">
            <w:pPr>
              <w:keepNext/>
              <w:keepLines/>
              <w:widowControl w:val="0"/>
              <w:spacing w:line="240" w:lineRule="auto"/>
              <w:ind w:left="-45"/>
              <w:rPr>
                <w:sz w:val="20"/>
              </w:rPr>
            </w:pPr>
            <w:r w:rsidRPr="00CD729C">
              <w:rPr>
                <w:sz w:val="20"/>
              </w:rPr>
              <w:t>183:6</w:t>
            </w:r>
          </w:p>
        </w:tc>
        <w:tc>
          <w:tcPr>
            <w:tcW w:w="691" w:type="dxa"/>
            <w:shd w:val="clear" w:color="auto" w:fill="auto"/>
          </w:tcPr>
          <w:p w14:paraId="3D394E69" w14:textId="77777777" w:rsidR="009E01F8" w:rsidRPr="00CD729C" w:rsidRDefault="009E01F8" w:rsidP="009B4BB6">
            <w:pPr>
              <w:keepNext/>
              <w:keepLines/>
              <w:widowControl w:val="0"/>
              <w:spacing w:line="240" w:lineRule="auto"/>
              <w:ind w:left="-45"/>
              <w:rPr>
                <w:sz w:val="20"/>
              </w:rPr>
            </w:pPr>
            <w:r w:rsidRPr="00CD729C">
              <w:rPr>
                <w:sz w:val="20"/>
              </w:rPr>
              <w:t>176:8</w:t>
            </w:r>
          </w:p>
        </w:tc>
        <w:tc>
          <w:tcPr>
            <w:tcW w:w="770" w:type="dxa"/>
            <w:shd w:val="clear" w:color="auto" w:fill="auto"/>
          </w:tcPr>
          <w:p w14:paraId="3D394E6A" w14:textId="77777777" w:rsidR="009E01F8" w:rsidRPr="00CD729C" w:rsidRDefault="009E01F8" w:rsidP="009B4BB6">
            <w:pPr>
              <w:keepNext/>
              <w:keepLines/>
              <w:widowControl w:val="0"/>
              <w:spacing w:line="240" w:lineRule="auto"/>
              <w:ind w:left="-45"/>
              <w:rPr>
                <w:sz w:val="20"/>
              </w:rPr>
            </w:pPr>
            <w:r w:rsidRPr="00CD729C">
              <w:rPr>
                <w:sz w:val="20"/>
              </w:rPr>
              <w:t>156:10</w:t>
            </w:r>
          </w:p>
        </w:tc>
        <w:tc>
          <w:tcPr>
            <w:tcW w:w="779" w:type="dxa"/>
            <w:shd w:val="clear" w:color="auto" w:fill="auto"/>
          </w:tcPr>
          <w:p w14:paraId="3D394E6B" w14:textId="77777777" w:rsidR="009E01F8" w:rsidRPr="00CD729C" w:rsidRDefault="009E01F8" w:rsidP="009B4BB6">
            <w:pPr>
              <w:keepNext/>
              <w:keepLines/>
              <w:widowControl w:val="0"/>
              <w:spacing w:line="240" w:lineRule="auto"/>
              <w:ind w:left="-45"/>
              <w:rPr>
                <w:sz w:val="20"/>
              </w:rPr>
            </w:pPr>
            <w:r w:rsidRPr="00CD729C">
              <w:rPr>
                <w:sz w:val="20"/>
              </w:rPr>
              <w:t>140:11</w:t>
            </w:r>
          </w:p>
        </w:tc>
        <w:tc>
          <w:tcPr>
            <w:tcW w:w="794" w:type="dxa"/>
            <w:shd w:val="clear" w:color="auto" w:fill="auto"/>
          </w:tcPr>
          <w:p w14:paraId="3D394E6C" w14:textId="77777777" w:rsidR="009E01F8" w:rsidRPr="00CD729C" w:rsidRDefault="009E01F8" w:rsidP="009B4BB6">
            <w:pPr>
              <w:keepNext/>
              <w:keepLines/>
              <w:widowControl w:val="0"/>
              <w:spacing w:line="240" w:lineRule="auto"/>
              <w:ind w:left="-45"/>
              <w:rPr>
                <w:sz w:val="20"/>
              </w:rPr>
            </w:pPr>
            <w:r w:rsidRPr="00CD729C">
              <w:rPr>
                <w:sz w:val="20"/>
              </w:rPr>
              <w:t>105:14</w:t>
            </w:r>
          </w:p>
        </w:tc>
        <w:tc>
          <w:tcPr>
            <w:tcW w:w="653" w:type="dxa"/>
            <w:shd w:val="clear" w:color="auto" w:fill="auto"/>
          </w:tcPr>
          <w:p w14:paraId="3D394E6D" w14:textId="77777777" w:rsidR="009E01F8" w:rsidRPr="00CD729C" w:rsidRDefault="009E01F8" w:rsidP="009B4BB6">
            <w:pPr>
              <w:keepNext/>
              <w:keepLines/>
              <w:widowControl w:val="0"/>
              <w:spacing w:line="240" w:lineRule="auto"/>
              <w:ind w:left="-45"/>
              <w:rPr>
                <w:sz w:val="20"/>
              </w:rPr>
            </w:pPr>
            <w:r w:rsidRPr="00CD729C">
              <w:rPr>
                <w:sz w:val="20"/>
              </w:rPr>
              <w:t>87:18</w:t>
            </w:r>
          </w:p>
        </w:tc>
        <w:tc>
          <w:tcPr>
            <w:tcW w:w="630" w:type="dxa"/>
            <w:shd w:val="clear" w:color="auto" w:fill="auto"/>
          </w:tcPr>
          <w:p w14:paraId="3D394E6E" w14:textId="77777777" w:rsidR="009E01F8" w:rsidRPr="00CD729C" w:rsidRDefault="009E01F8" w:rsidP="009B4BB6">
            <w:pPr>
              <w:keepNext/>
              <w:keepLines/>
              <w:widowControl w:val="0"/>
              <w:spacing w:line="240" w:lineRule="auto"/>
              <w:ind w:left="-45"/>
              <w:rPr>
                <w:sz w:val="20"/>
              </w:rPr>
            </w:pPr>
            <w:r w:rsidRPr="00CD729C">
              <w:rPr>
                <w:sz w:val="20"/>
              </w:rPr>
              <w:t>64:22</w:t>
            </w:r>
          </w:p>
        </w:tc>
        <w:tc>
          <w:tcPr>
            <w:tcW w:w="643" w:type="dxa"/>
            <w:shd w:val="clear" w:color="auto" w:fill="auto"/>
          </w:tcPr>
          <w:p w14:paraId="3D394E6F" w14:textId="77777777" w:rsidR="009E01F8" w:rsidRPr="00CD729C" w:rsidRDefault="009E01F8" w:rsidP="009B4BB6">
            <w:pPr>
              <w:keepNext/>
              <w:keepLines/>
              <w:widowControl w:val="0"/>
              <w:spacing w:line="240" w:lineRule="auto"/>
              <w:ind w:left="-45"/>
              <w:rPr>
                <w:sz w:val="20"/>
              </w:rPr>
            </w:pPr>
            <w:r w:rsidRPr="00CD729C">
              <w:rPr>
                <w:sz w:val="20"/>
              </w:rPr>
              <w:t>46:23</w:t>
            </w:r>
          </w:p>
        </w:tc>
        <w:tc>
          <w:tcPr>
            <w:tcW w:w="670" w:type="dxa"/>
            <w:shd w:val="clear" w:color="auto" w:fill="auto"/>
          </w:tcPr>
          <w:p w14:paraId="3D394E70" w14:textId="77777777" w:rsidR="009E01F8" w:rsidRPr="00CD729C" w:rsidRDefault="009E01F8" w:rsidP="009B4BB6">
            <w:pPr>
              <w:keepNext/>
              <w:keepLines/>
              <w:widowControl w:val="0"/>
              <w:spacing w:line="240" w:lineRule="auto"/>
              <w:ind w:left="-45"/>
              <w:rPr>
                <w:sz w:val="20"/>
              </w:rPr>
            </w:pPr>
            <w:r w:rsidRPr="00CD729C">
              <w:rPr>
                <w:sz w:val="20"/>
              </w:rPr>
              <w:t>27:25</w:t>
            </w:r>
          </w:p>
        </w:tc>
        <w:tc>
          <w:tcPr>
            <w:tcW w:w="683" w:type="dxa"/>
            <w:shd w:val="clear" w:color="auto" w:fill="auto"/>
          </w:tcPr>
          <w:p w14:paraId="3D394E71" w14:textId="77777777" w:rsidR="009E01F8" w:rsidRPr="00CD729C" w:rsidRDefault="009E01F8" w:rsidP="009B4BB6">
            <w:pPr>
              <w:keepNext/>
              <w:keepLines/>
              <w:widowControl w:val="0"/>
              <w:spacing w:line="240" w:lineRule="auto"/>
              <w:ind w:left="-45"/>
              <w:rPr>
                <w:sz w:val="20"/>
              </w:rPr>
            </w:pPr>
            <w:r w:rsidRPr="00CD729C">
              <w:rPr>
                <w:sz w:val="20"/>
              </w:rPr>
              <w:t>20:25</w:t>
            </w:r>
          </w:p>
        </w:tc>
        <w:tc>
          <w:tcPr>
            <w:tcW w:w="558" w:type="dxa"/>
            <w:shd w:val="clear" w:color="auto" w:fill="auto"/>
          </w:tcPr>
          <w:p w14:paraId="3D394E72" w14:textId="77777777" w:rsidR="009E01F8" w:rsidRPr="00CD729C" w:rsidRDefault="009E01F8" w:rsidP="009B4BB6">
            <w:pPr>
              <w:keepNext/>
              <w:keepLines/>
              <w:widowControl w:val="0"/>
              <w:spacing w:line="240" w:lineRule="auto"/>
              <w:ind w:left="-45"/>
              <w:rPr>
                <w:sz w:val="20"/>
              </w:rPr>
            </w:pPr>
            <w:r w:rsidRPr="00CD729C">
              <w:rPr>
                <w:sz w:val="20"/>
              </w:rPr>
              <w:t>2:25</w:t>
            </w:r>
          </w:p>
        </w:tc>
        <w:tc>
          <w:tcPr>
            <w:tcW w:w="527" w:type="dxa"/>
            <w:shd w:val="clear" w:color="auto" w:fill="auto"/>
          </w:tcPr>
          <w:p w14:paraId="3D394E73" w14:textId="77777777" w:rsidR="009E01F8" w:rsidRPr="00CD729C" w:rsidRDefault="009E01F8" w:rsidP="009B4BB6">
            <w:pPr>
              <w:keepNext/>
              <w:keepLines/>
              <w:widowControl w:val="0"/>
              <w:spacing w:line="240" w:lineRule="auto"/>
              <w:ind w:left="-45"/>
              <w:rPr>
                <w:sz w:val="20"/>
              </w:rPr>
            </w:pPr>
            <w:r w:rsidRPr="00CD729C">
              <w:rPr>
                <w:sz w:val="20"/>
              </w:rPr>
              <w:t>0:25</w:t>
            </w:r>
          </w:p>
        </w:tc>
      </w:tr>
      <w:tr w:rsidR="009E01F8" w:rsidRPr="00CD729C" w14:paraId="3D394E85" w14:textId="77777777" w:rsidTr="00516207">
        <w:tc>
          <w:tcPr>
            <w:tcW w:w="450" w:type="dxa"/>
            <w:shd w:val="clear" w:color="auto" w:fill="auto"/>
          </w:tcPr>
          <w:p w14:paraId="3D394E75" w14:textId="77777777" w:rsidR="009E01F8" w:rsidRPr="00CD729C" w:rsidRDefault="009E01F8" w:rsidP="009B4BB6">
            <w:pPr>
              <w:keepNext/>
              <w:keepLines/>
              <w:widowControl w:val="0"/>
              <w:spacing w:line="240" w:lineRule="auto"/>
              <w:rPr>
                <w:sz w:val="20"/>
              </w:rPr>
            </w:pPr>
            <w:r w:rsidRPr="00CD729C">
              <w:rPr>
                <w:sz w:val="20"/>
              </w:rPr>
              <w:t>(2)</w:t>
            </w:r>
          </w:p>
        </w:tc>
        <w:tc>
          <w:tcPr>
            <w:tcW w:w="687" w:type="dxa"/>
            <w:shd w:val="clear" w:color="auto" w:fill="auto"/>
          </w:tcPr>
          <w:p w14:paraId="3D394E76" w14:textId="77777777" w:rsidR="009E01F8" w:rsidRPr="00CD729C" w:rsidRDefault="009E01F8" w:rsidP="009B4BB6">
            <w:pPr>
              <w:keepNext/>
              <w:keepLines/>
              <w:widowControl w:val="0"/>
              <w:spacing w:line="240" w:lineRule="auto"/>
              <w:ind w:left="-45"/>
              <w:rPr>
                <w:sz w:val="20"/>
              </w:rPr>
            </w:pPr>
            <w:r w:rsidRPr="00CD729C">
              <w:rPr>
                <w:sz w:val="20"/>
              </w:rPr>
              <w:t>198:0</w:t>
            </w:r>
          </w:p>
        </w:tc>
        <w:tc>
          <w:tcPr>
            <w:tcW w:w="670" w:type="dxa"/>
            <w:shd w:val="clear" w:color="auto" w:fill="auto"/>
          </w:tcPr>
          <w:p w14:paraId="3D394E77" w14:textId="77777777" w:rsidR="009E01F8" w:rsidRPr="00CD729C" w:rsidRDefault="009E01F8" w:rsidP="009B4BB6">
            <w:pPr>
              <w:keepNext/>
              <w:keepLines/>
              <w:widowControl w:val="0"/>
              <w:spacing w:line="240" w:lineRule="auto"/>
              <w:ind w:left="-45"/>
              <w:rPr>
                <w:sz w:val="20"/>
              </w:rPr>
            </w:pPr>
            <w:r w:rsidRPr="00CD729C">
              <w:rPr>
                <w:sz w:val="20"/>
              </w:rPr>
              <w:t>196:0</w:t>
            </w:r>
          </w:p>
        </w:tc>
        <w:tc>
          <w:tcPr>
            <w:tcW w:w="710" w:type="dxa"/>
            <w:shd w:val="clear" w:color="auto" w:fill="auto"/>
          </w:tcPr>
          <w:p w14:paraId="3D394E78" w14:textId="77777777" w:rsidR="009E01F8" w:rsidRPr="00CD729C" w:rsidRDefault="009E01F8" w:rsidP="009B4BB6">
            <w:pPr>
              <w:keepNext/>
              <w:keepLines/>
              <w:widowControl w:val="0"/>
              <w:spacing w:line="240" w:lineRule="auto"/>
              <w:ind w:left="-45"/>
              <w:rPr>
                <w:sz w:val="20"/>
              </w:rPr>
            </w:pPr>
            <w:r w:rsidRPr="00CD729C">
              <w:rPr>
                <w:sz w:val="20"/>
              </w:rPr>
              <w:t>192:0</w:t>
            </w:r>
          </w:p>
        </w:tc>
        <w:tc>
          <w:tcPr>
            <w:tcW w:w="717" w:type="dxa"/>
            <w:shd w:val="clear" w:color="auto" w:fill="auto"/>
          </w:tcPr>
          <w:p w14:paraId="3D394E79" w14:textId="77777777" w:rsidR="009E01F8" w:rsidRPr="00CD729C" w:rsidRDefault="009E01F8" w:rsidP="009B4BB6">
            <w:pPr>
              <w:keepNext/>
              <w:keepLines/>
              <w:widowControl w:val="0"/>
              <w:spacing w:line="240" w:lineRule="auto"/>
              <w:ind w:left="-45"/>
              <w:rPr>
                <w:sz w:val="20"/>
              </w:rPr>
            </w:pPr>
            <w:r w:rsidRPr="00CD729C">
              <w:rPr>
                <w:sz w:val="20"/>
              </w:rPr>
              <w:t>187:4</w:t>
            </w:r>
          </w:p>
        </w:tc>
        <w:tc>
          <w:tcPr>
            <w:tcW w:w="691" w:type="dxa"/>
            <w:shd w:val="clear" w:color="auto" w:fill="auto"/>
          </w:tcPr>
          <w:p w14:paraId="3D394E7A" w14:textId="77777777" w:rsidR="009E01F8" w:rsidRPr="00CD729C" w:rsidRDefault="009E01F8" w:rsidP="009B4BB6">
            <w:pPr>
              <w:keepNext/>
              <w:keepLines/>
              <w:widowControl w:val="0"/>
              <w:spacing w:line="240" w:lineRule="auto"/>
              <w:ind w:left="-45"/>
              <w:rPr>
                <w:sz w:val="20"/>
              </w:rPr>
            </w:pPr>
            <w:r w:rsidRPr="00CD729C">
              <w:rPr>
                <w:sz w:val="20"/>
              </w:rPr>
              <w:t>184:5</w:t>
            </w:r>
          </w:p>
        </w:tc>
        <w:tc>
          <w:tcPr>
            <w:tcW w:w="770" w:type="dxa"/>
            <w:shd w:val="clear" w:color="auto" w:fill="auto"/>
          </w:tcPr>
          <w:p w14:paraId="3D394E7B" w14:textId="77777777" w:rsidR="009E01F8" w:rsidRPr="00CD729C" w:rsidRDefault="009E01F8" w:rsidP="009B4BB6">
            <w:pPr>
              <w:keepNext/>
              <w:keepLines/>
              <w:widowControl w:val="0"/>
              <w:spacing w:line="240" w:lineRule="auto"/>
              <w:ind w:left="-45"/>
              <w:rPr>
                <w:sz w:val="20"/>
              </w:rPr>
            </w:pPr>
            <w:r w:rsidRPr="00CD729C">
              <w:rPr>
                <w:sz w:val="20"/>
              </w:rPr>
              <w:t>164:7</w:t>
            </w:r>
          </w:p>
        </w:tc>
        <w:tc>
          <w:tcPr>
            <w:tcW w:w="779" w:type="dxa"/>
            <w:shd w:val="clear" w:color="auto" w:fill="auto"/>
          </w:tcPr>
          <w:p w14:paraId="3D394E7C" w14:textId="77777777" w:rsidR="009E01F8" w:rsidRPr="00CD729C" w:rsidRDefault="009E01F8" w:rsidP="009B4BB6">
            <w:pPr>
              <w:keepNext/>
              <w:keepLines/>
              <w:widowControl w:val="0"/>
              <w:spacing w:line="240" w:lineRule="auto"/>
              <w:ind w:left="-45"/>
              <w:rPr>
                <w:sz w:val="20"/>
              </w:rPr>
            </w:pPr>
            <w:r w:rsidRPr="00CD729C">
              <w:rPr>
                <w:sz w:val="20"/>
              </w:rPr>
              <w:t>152:7</w:t>
            </w:r>
          </w:p>
        </w:tc>
        <w:tc>
          <w:tcPr>
            <w:tcW w:w="794" w:type="dxa"/>
            <w:shd w:val="clear" w:color="auto" w:fill="auto"/>
          </w:tcPr>
          <w:p w14:paraId="3D394E7D" w14:textId="77777777" w:rsidR="009E01F8" w:rsidRPr="00CD729C" w:rsidRDefault="009E01F8" w:rsidP="009B4BB6">
            <w:pPr>
              <w:keepNext/>
              <w:keepLines/>
              <w:widowControl w:val="0"/>
              <w:spacing w:line="240" w:lineRule="auto"/>
              <w:ind w:left="-45"/>
              <w:rPr>
                <w:sz w:val="20"/>
              </w:rPr>
            </w:pPr>
            <w:r w:rsidRPr="00CD729C">
              <w:rPr>
                <w:sz w:val="20"/>
              </w:rPr>
              <w:t>119:8</w:t>
            </w:r>
          </w:p>
        </w:tc>
        <w:tc>
          <w:tcPr>
            <w:tcW w:w="653" w:type="dxa"/>
            <w:shd w:val="clear" w:color="auto" w:fill="auto"/>
          </w:tcPr>
          <w:p w14:paraId="3D394E7E" w14:textId="77777777" w:rsidR="009E01F8" w:rsidRPr="00CD729C" w:rsidRDefault="009E01F8" w:rsidP="009B4BB6">
            <w:pPr>
              <w:keepNext/>
              <w:keepLines/>
              <w:widowControl w:val="0"/>
              <w:spacing w:line="240" w:lineRule="auto"/>
              <w:ind w:left="-45"/>
              <w:rPr>
                <w:sz w:val="20"/>
              </w:rPr>
            </w:pPr>
            <w:r w:rsidRPr="00CD729C">
              <w:rPr>
                <w:sz w:val="20"/>
              </w:rPr>
              <w:t>100:8</w:t>
            </w:r>
          </w:p>
        </w:tc>
        <w:tc>
          <w:tcPr>
            <w:tcW w:w="630" w:type="dxa"/>
            <w:shd w:val="clear" w:color="auto" w:fill="auto"/>
          </w:tcPr>
          <w:p w14:paraId="3D394E7F" w14:textId="77777777" w:rsidR="009E01F8" w:rsidRPr="00CD729C" w:rsidRDefault="009E01F8" w:rsidP="009B4BB6">
            <w:pPr>
              <w:keepNext/>
              <w:keepLines/>
              <w:widowControl w:val="0"/>
              <w:spacing w:line="240" w:lineRule="auto"/>
              <w:ind w:left="-45"/>
              <w:rPr>
                <w:sz w:val="20"/>
              </w:rPr>
            </w:pPr>
            <w:r w:rsidRPr="00CD729C">
              <w:rPr>
                <w:sz w:val="20"/>
              </w:rPr>
              <w:t>76:10</w:t>
            </w:r>
          </w:p>
        </w:tc>
        <w:tc>
          <w:tcPr>
            <w:tcW w:w="643" w:type="dxa"/>
            <w:shd w:val="clear" w:color="auto" w:fill="auto"/>
          </w:tcPr>
          <w:p w14:paraId="3D394E80" w14:textId="77777777" w:rsidR="009E01F8" w:rsidRPr="00CD729C" w:rsidRDefault="009E01F8" w:rsidP="009B4BB6">
            <w:pPr>
              <w:keepNext/>
              <w:keepLines/>
              <w:widowControl w:val="0"/>
              <w:spacing w:line="240" w:lineRule="auto"/>
              <w:ind w:left="-45"/>
              <w:rPr>
                <w:sz w:val="20"/>
              </w:rPr>
            </w:pPr>
            <w:r w:rsidRPr="00CD729C">
              <w:rPr>
                <w:sz w:val="20"/>
              </w:rPr>
              <w:t>56:11</w:t>
            </w:r>
          </w:p>
        </w:tc>
        <w:tc>
          <w:tcPr>
            <w:tcW w:w="670" w:type="dxa"/>
            <w:shd w:val="clear" w:color="auto" w:fill="auto"/>
          </w:tcPr>
          <w:p w14:paraId="3D394E81" w14:textId="77777777" w:rsidR="009E01F8" w:rsidRPr="00CD729C" w:rsidRDefault="009E01F8" w:rsidP="009B4BB6">
            <w:pPr>
              <w:keepNext/>
              <w:keepLines/>
              <w:widowControl w:val="0"/>
              <w:spacing w:line="240" w:lineRule="auto"/>
              <w:ind w:left="-45"/>
              <w:rPr>
                <w:sz w:val="20"/>
              </w:rPr>
            </w:pPr>
            <w:r w:rsidRPr="00CD729C">
              <w:rPr>
                <w:sz w:val="20"/>
              </w:rPr>
              <w:t>31:11</w:t>
            </w:r>
          </w:p>
        </w:tc>
        <w:tc>
          <w:tcPr>
            <w:tcW w:w="683" w:type="dxa"/>
            <w:shd w:val="clear" w:color="auto" w:fill="auto"/>
          </w:tcPr>
          <w:p w14:paraId="3D394E82" w14:textId="77777777" w:rsidR="009E01F8" w:rsidRPr="00CD729C" w:rsidRDefault="009E01F8" w:rsidP="009B4BB6">
            <w:pPr>
              <w:keepNext/>
              <w:keepLines/>
              <w:widowControl w:val="0"/>
              <w:spacing w:line="240" w:lineRule="auto"/>
              <w:ind w:left="-45"/>
              <w:rPr>
                <w:sz w:val="20"/>
              </w:rPr>
            </w:pPr>
            <w:r w:rsidRPr="00CD729C">
              <w:rPr>
                <w:sz w:val="20"/>
              </w:rPr>
              <w:t>13:12</w:t>
            </w:r>
          </w:p>
        </w:tc>
        <w:tc>
          <w:tcPr>
            <w:tcW w:w="558" w:type="dxa"/>
            <w:shd w:val="clear" w:color="auto" w:fill="auto"/>
          </w:tcPr>
          <w:p w14:paraId="3D394E83" w14:textId="77777777" w:rsidR="009E01F8" w:rsidRPr="00CD729C" w:rsidRDefault="009E01F8" w:rsidP="009B4BB6">
            <w:pPr>
              <w:keepNext/>
              <w:keepLines/>
              <w:widowControl w:val="0"/>
              <w:spacing w:line="240" w:lineRule="auto"/>
              <w:ind w:left="-45"/>
              <w:rPr>
                <w:sz w:val="20"/>
              </w:rPr>
            </w:pPr>
            <w:r w:rsidRPr="00CD729C">
              <w:rPr>
                <w:sz w:val="20"/>
              </w:rPr>
              <w:t>0:12</w:t>
            </w:r>
          </w:p>
        </w:tc>
        <w:tc>
          <w:tcPr>
            <w:tcW w:w="527" w:type="dxa"/>
            <w:shd w:val="clear" w:color="auto" w:fill="auto"/>
          </w:tcPr>
          <w:p w14:paraId="3D394E84" w14:textId="77777777" w:rsidR="009E01F8" w:rsidRPr="00CD729C" w:rsidRDefault="009E01F8" w:rsidP="009B4BB6">
            <w:pPr>
              <w:keepNext/>
              <w:keepLines/>
              <w:widowControl w:val="0"/>
              <w:spacing w:line="240" w:lineRule="auto"/>
              <w:ind w:left="-45"/>
              <w:rPr>
                <w:sz w:val="20"/>
              </w:rPr>
            </w:pPr>
          </w:p>
        </w:tc>
      </w:tr>
    </w:tbl>
    <w:p w14:paraId="3D394E86" w14:textId="77777777" w:rsidR="009E01F8" w:rsidRPr="00CD729C" w:rsidRDefault="009E01F8" w:rsidP="009B4BB6">
      <w:pPr>
        <w:keepLines/>
        <w:widowControl w:val="0"/>
        <w:spacing w:line="240" w:lineRule="auto"/>
        <w:rPr>
          <w:color w:val="000000"/>
          <w:szCs w:val="22"/>
        </w:rPr>
      </w:pPr>
    </w:p>
    <w:p w14:paraId="3D394E87"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Kontrolēti klīniskie pētījumi pediatrijas pacientiem ar c-Kit pozitīvu GIST nav veikti. 7 publikācijās ziņots par septiņpadsmit (17) pacientiem ar GIST (ar vai bez Kit un PDGFR mutācijām)</w:t>
      </w:r>
      <w:r w:rsidRPr="00CD729C">
        <w:rPr>
          <w:rFonts w:eastAsia="MS Mincho"/>
          <w:color w:val="000000"/>
          <w:lang w:eastAsia="ja-JP"/>
        </w:rPr>
        <w:t xml:space="preserve">. Šo pacientu vecums bija robežās no 8 līdz 18 gadiem, un adjuvantās terapijas un metastātiskas slimības terapijā izmantoto imatiniba devu robežas bija no </w:t>
      </w:r>
      <w:r w:rsidRPr="00CD729C">
        <w:rPr>
          <w:color w:val="000000"/>
          <w:szCs w:val="22"/>
        </w:rPr>
        <w:t>300 līdz 800 mg dienā. Lielākajai daļai pediatrisko pacientu, kuriem ārstēja GIST, trūka c-kit vai PDGFR mutāciju apstiprinošu datu, kas savukārt varēja izraisīt atšķirības klīniskajos rezultātos</w:t>
      </w:r>
      <w:r w:rsidRPr="00CD729C">
        <w:rPr>
          <w:rFonts w:eastAsia="MS Mincho"/>
          <w:color w:val="000000"/>
          <w:lang w:eastAsia="ja-JP"/>
        </w:rPr>
        <w:t>.</w:t>
      </w:r>
    </w:p>
    <w:p w14:paraId="3D394E88" w14:textId="77777777" w:rsidR="009E01F8" w:rsidRPr="00CD729C" w:rsidRDefault="009E01F8" w:rsidP="009B4BB6">
      <w:pPr>
        <w:widowControl w:val="0"/>
        <w:spacing w:line="240" w:lineRule="auto"/>
        <w:rPr>
          <w:color w:val="000000"/>
          <w:szCs w:val="22"/>
        </w:rPr>
      </w:pPr>
    </w:p>
    <w:p w14:paraId="3D394E89" w14:textId="77777777" w:rsidR="009E01F8" w:rsidRPr="00CD729C" w:rsidRDefault="009E01F8" w:rsidP="009B4BB6">
      <w:pPr>
        <w:pStyle w:val="Nottoc-headings"/>
        <w:widowControl w:val="0"/>
        <w:spacing w:before="0" w:after="0"/>
        <w:rPr>
          <w:rFonts w:ascii="Times New Roman" w:eastAsia="MS Mincho" w:hAnsi="Times New Roman"/>
          <w:b w:val="0"/>
          <w:color w:val="000000"/>
          <w:sz w:val="22"/>
          <w:szCs w:val="22"/>
          <w:u w:val="single"/>
          <w:lang w:val="lv-LV" w:eastAsia="ja-JP"/>
        </w:rPr>
      </w:pPr>
      <w:r w:rsidRPr="00CD729C">
        <w:rPr>
          <w:rFonts w:ascii="Times New Roman" w:eastAsia="MS Mincho" w:hAnsi="Times New Roman"/>
          <w:b w:val="0"/>
          <w:color w:val="000000"/>
          <w:sz w:val="22"/>
          <w:szCs w:val="22"/>
          <w:u w:val="single"/>
          <w:lang w:val="lv-LV" w:eastAsia="ja-JP"/>
        </w:rPr>
        <w:t>DFSP klīniskie pētījumi</w:t>
      </w:r>
    </w:p>
    <w:p w14:paraId="3D394E8A" w14:textId="77777777" w:rsidR="009E01F8" w:rsidRPr="00CD729C" w:rsidRDefault="009E01F8" w:rsidP="009B4BB6">
      <w:pPr>
        <w:pStyle w:val="Text"/>
        <w:widowControl w:val="0"/>
        <w:spacing w:before="0"/>
        <w:jc w:val="left"/>
        <w:rPr>
          <w:color w:val="000000"/>
          <w:sz w:val="22"/>
          <w:szCs w:val="22"/>
          <w:lang w:val="lv-LV" w:eastAsia="ja-JP"/>
        </w:rPr>
      </w:pPr>
      <w:r w:rsidRPr="00CD729C">
        <w:rPr>
          <w:rFonts w:eastAsia="MS Mincho"/>
          <w:color w:val="000000"/>
          <w:sz w:val="22"/>
          <w:szCs w:val="22"/>
          <w:lang w:val="lv-LV" w:eastAsia="ja-JP"/>
        </w:rPr>
        <w:t xml:space="preserve">Tika veikts viens atklāts, daudzcentru, II fāzes klīniskais pētījums (pētījums B2225), kurā piedalījās 12 pacienti ar DFSP un kuri tika ārstēti ar Glivec devu 800 mg dienā. DFSP pacientu vecums svārstījās no 23 līdz 75 gadiem; DFSP bija metastazējošs, lokāli recidivējošs pēc sākotnējās rezektīvās ķirurģiskās ārstēšanas un iekļaušanas brīdī pētījumā netika uzskatīts par piemērotu turpmākai rezektīvai ķirurģiskai ārstēšanai. Primārie efektivitātes pierādījumi pacientiem pamatojās uz objektīviem atbildes reakcijas raksturlielumiem. No klīniskajā pētījumā iekļautajiem 12 pacientiem, 9 pacienti sasniedza atbildes reakciju, 1 pacients pilnīgu atbildes reakciju un 8 pacienti daļēju atbildes reakciju. Trīs pacientiem no tiem, kuri sasniedza daļēju atbildes reakciju, sekojoši tika veikta ķirurģiska slimības izārstēšana. Vidējais ārstēšanas laiks pētījumā B2225 bija 6,2 mēneši, maksimālais ilgums bija 24,3 mēneši. Vēl par 6 DFSP pacientiem, vecumā no 18 mēnešiem līdz 49 gadiem, kas ārstēti ar Glivec, ziņots 5 publicētos gadījumu aprakstos. Pieaugušie pacienti, par kuriem ziņots publicētajā literatūrā, tika ārstēti ar vai nu 400 mg (4 gadījumi) vai 800 mg (1 gadījums) Glivec devu dienā. Pieci (5) pacienti sasniedza atbildes reakciju, 3 pacienti pilnīgu atbildes reakciju un 2 pacienti daļēju atbildes reakciju. Vidējais ārstēšanas laiks publicētajā literatūrā svārstās no 4 nedēļām līdz pat vairāk nekā 20 mēnešiem. Gandrīz visiem Glivec lietotājiem, kuriem novēroja atbildes reakciju, tika novērota translokācija </w:t>
      </w:r>
      <w:r w:rsidRPr="00CD729C">
        <w:rPr>
          <w:color w:val="000000"/>
          <w:sz w:val="22"/>
          <w:szCs w:val="22"/>
          <w:lang w:val="lv-LV" w:eastAsia="ja-JP"/>
        </w:rPr>
        <w:t>t(17:22)[(q22:q13)] vai tā gēna produkts.</w:t>
      </w:r>
    </w:p>
    <w:p w14:paraId="3D394E8B" w14:textId="77777777" w:rsidR="009E01F8" w:rsidRPr="00CD729C" w:rsidRDefault="009E01F8" w:rsidP="009B4BB6">
      <w:pPr>
        <w:widowControl w:val="0"/>
        <w:tabs>
          <w:tab w:val="clear" w:pos="567"/>
        </w:tabs>
        <w:spacing w:line="240" w:lineRule="auto"/>
        <w:rPr>
          <w:color w:val="000000"/>
        </w:rPr>
      </w:pPr>
    </w:p>
    <w:p w14:paraId="3D394E8C"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Kontrolēti klīniskie pētījumi pediatrijas pacientiem ar DFSP nav veikti. 3 publikācijās ziņots par pieciem (5) pacientiem</w:t>
      </w:r>
      <w:r w:rsidRPr="00CD729C">
        <w:rPr>
          <w:rFonts w:eastAsia="MS Mincho"/>
          <w:color w:val="000000"/>
          <w:lang w:eastAsia="ja-JP"/>
        </w:rPr>
        <w:t xml:space="preserve"> ar </w:t>
      </w:r>
      <w:r w:rsidRPr="00CD729C">
        <w:rPr>
          <w:color w:val="000000"/>
          <w:szCs w:val="22"/>
        </w:rPr>
        <w:t xml:space="preserve">DFSP un </w:t>
      </w:r>
      <w:r w:rsidRPr="00CD729C">
        <w:rPr>
          <w:rFonts w:eastAsia="MS Mincho"/>
          <w:color w:val="000000"/>
          <w:lang w:eastAsia="ja-JP"/>
        </w:rPr>
        <w:t xml:space="preserve">PDGFR gēnu pārkārtošanos. Šo pacientu vecums bija robežās no jaundzimušā līdz 14 gadiem, un izmantotā imatiniba deva bija </w:t>
      </w:r>
      <w:r w:rsidRPr="00CD729C">
        <w:rPr>
          <w:color w:val="000000"/>
          <w:szCs w:val="22"/>
        </w:rPr>
        <w:t xml:space="preserve">50 mg dienā vai </w:t>
      </w:r>
      <w:r w:rsidRPr="00CD729C">
        <w:rPr>
          <w:rFonts w:eastAsia="MS Mincho"/>
          <w:color w:val="000000"/>
          <w:lang w:eastAsia="ja-JP"/>
        </w:rPr>
        <w:t xml:space="preserve">robežās no </w:t>
      </w:r>
      <w:r w:rsidRPr="00CD729C">
        <w:rPr>
          <w:color w:val="000000"/>
          <w:szCs w:val="22"/>
        </w:rPr>
        <w:t>400 līdz 520 mg/m</w:t>
      </w:r>
      <w:r w:rsidRPr="00CD729C">
        <w:rPr>
          <w:color w:val="000000"/>
          <w:szCs w:val="22"/>
          <w:vertAlign w:val="superscript"/>
        </w:rPr>
        <w:t>2</w:t>
      </w:r>
      <w:r w:rsidRPr="00CD729C">
        <w:rPr>
          <w:color w:val="000000"/>
          <w:szCs w:val="22"/>
        </w:rPr>
        <w:t xml:space="preserve"> dienā. Visi pacienti sasniedza daļēju un/vai </w:t>
      </w:r>
      <w:r w:rsidRPr="00CD729C">
        <w:rPr>
          <w:rFonts w:eastAsia="MS Mincho"/>
          <w:color w:val="000000"/>
          <w:lang w:eastAsia="ja-JP"/>
        </w:rPr>
        <w:t>pilnīgu atbildes reakciju.</w:t>
      </w:r>
    </w:p>
    <w:p w14:paraId="3D394E8D" w14:textId="77777777" w:rsidR="009E01F8" w:rsidRPr="00CD729C" w:rsidRDefault="009E01F8" w:rsidP="009B4BB6">
      <w:pPr>
        <w:widowControl w:val="0"/>
        <w:tabs>
          <w:tab w:val="clear" w:pos="567"/>
        </w:tabs>
        <w:spacing w:line="240" w:lineRule="auto"/>
        <w:rPr>
          <w:color w:val="000000"/>
        </w:rPr>
      </w:pPr>
    </w:p>
    <w:p w14:paraId="3D394E8E" w14:textId="77777777" w:rsidR="00412E40" w:rsidRPr="00CD729C" w:rsidRDefault="00412E40" w:rsidP="009B4BB6">
      <w:pPr>
        <w:keepNext/>
        <w:widowControl w:val="0"/>
        <w:tabs>
          <w:tab w:val="clear" w:pos="567"/>
        </w:tabs>
        <w:spacing w:line="240" w:lineRule="auto"/>
        <w:ind w:left="567" w:hanging="567"/>
        <w:rPr>
          <w:color w:val="000000"/>
          <w:szCs w:val="22"/>
        </w:rPr>
      </w:pPr>
      <w:r w:rsidRPr="00CD729C">
        <w:rPr>
          <w:b/>
          <w:color w:val="000000"/>
          <w:szCs w:val="22"/>
        </w:rPr>
        <w:t>5.2</w:t>
      </w:r>
      <w:r w:rsidR="00FC12F5" w:rsidRPr="00CD729C">
        <w:rPr>
          <w:b/>
          <w:color w:val="000000"/>
          <w:szCs w:val="22"/>
        </w:rPr>
        <w:t>.</w:t>
      </w:r>
      <w:r w:rsidRPr="00CD729C">
        <w:rPr>
          <w:b/>
          <w:color w:val="000000"/>
          <w:szCs w:val="22"/>
        </w:rPr>
        <w:tab/>
        <w:t>Farmakokinētiskās īpašības</w:t>
      </w:r>
    </w:p>
    <w:p w14:paraId="3D394E8F" w14:textId="77777777" w:rsidR="00412E40" w:rsidRPr="00CD729C" w:rsidRDefault="00412E40" w:rsidP="009B4BB6">
      <w:pPr>
        <w:keepNext/>
        <w:widowControl w:val="0"/>
        <w:spacing w:line="240" w:lineRule="auto"/>
        <w:ind w:left="567" w:hanging="567"/>
        <w:rPr>
          <w:color w:val="000000"/>
          <w:szCs w:val="22"/>
        </w:rPr>
      </w:pPr>
    </w:p>
    <w:p w14:paraId="3D394E90" w14:textId="77777777" w:rsidR="00412E40" w:rsidRPr="00CD729C" w:rsidRDefault="00412E40" w:rsidP="009B4BB6">
      <w:pPr>
        <w:keepNext/>
        <w:widowControl w:val="0"/>
        <w:spacing w:line="240" w:lineRule="auto"/>
        <w:ind w:left="567" w:hanging="567"/>
        <w:rPr>
          <w:color w:val="000000"/>
          <w:szCs w:val="22"/>
          <w:u w:val="single"/>
        </w:rPr>
      </w:pPr>
      <w:r w:rsidRPr="00CD729C">
        <w:rPr>
          <w:color w:val="000000"/>
          <w:szCs w:val="22"/>
          <w:u w:val="single"/>
        </w:rPr>
        <w:t>Glivec farmakokinētika</w:t>
      </w:r>
    </w:p>
    <w:p w14:paraId="3D394E91" w14:textId="77777777" w:rsidR="00412E40" w:rsidRPr="00CD729C" w:rsidRDefault="00412E40" w:rsidP="009B4BB6">
      <w:pPr>
        <w:widowControl w:val="0"/>
        <w:spacing w:line="240" w:lineRule="auto"/>
        <w:rPr>
          <w:color w:val="000000"/>
          <w:szCs w:val="22"/>
        </w:rPr>
      </w:pPr>
      <w:r w:rsidRPr="00CD729C">
        <w:rPr>
          <w:color w:val="000000"/>
          <w:szCs w:val="22"/>
        </w:rPr>
        <w:t>Glivec farmakokinētika ir vērtēta devu robežās no 25 mg līdz 100 mg. Preparāta farmakokinētiskais profils plazmā ir analizēts pirmajā dienā un vai nu 7, vai 28 dienā, kad preparāta koncentrācija plazmā ir sasniegusi stabilu lielumu.</w:t>
      </w:r>
    </w:p>
    <w:p w14:paraId="3D394E92" w14:textId="77777777" w:rsidR="00412E40" w:rsidRPr="00CD729C" w:rsidRDefault="00412E40" w:rsidP="009B4BB6">
      <w:pPr>
        <w:widowControl w:val="0"/>
        <w:spacing w:line="240" w:lineRule="auto"/>
        <w:rPr>
          <w:color w:val="000000"/>
          <w:szCs w:val="22"/>
        </w:rPr>
      </w:pPr>
    </w:p>
    <w:p w14:paraId="3D394E93" w14:textId="77777777" w:rsidR="005117C7" w:rsidRPr="00CD729C" w:rsidRDefault="00566A0A" w:rsidP="009B4BB6">
      <w:pPr>
        <w:keepNext/>
        <w:widowControl w:val="0"/>
        <w:spacing w:line="240" w:lineRule="auto"/>
        <w:ind w:left="567" w:hanging="567"/>
        <w:rPr>
          <w:color w:val="000000"/>
          <w:szCs w:val="22"/>
          <w:u w:val="single"/>
        </w:rPr>
      </w:pPr>
      <w:r w:rsidRPr="00CD729C">
        <w:rPr>
          <w:color w:val="000000"/>
          <w:szCs w:val="22"/>
          <w:u w:val="single"/>
        </w:rPr>
        <w:t>Uzsūkšanās</w:t>
      </w:r>
    </w:p>
    <w:p w14:paraId="3D394E94" w14:textId="77777777" w:rsidR="005117C7" w:rsidRPr="00CD729C" w:rsidRDefault="005117C7" w:rsidP="009B4BB6">
      <w:pPr>
        <w:widowControl w:val="0"/>
        <w:spacing w:line="240" w:lineRule="auto"/>
        <w:rPr>
          <w:color w:val="000000"/>
          <w:szCs w:val="22"/>
        </w:rPr>
      </w:pPr>
      <w:r w:rsidRPr="00CD729C">
        <w:rPr>
          <w:color w:val="000000"/>
          <w:szCs w:val="22"/>
        </w:rPr>
        <w:t>Vidējā absolūtā imatiniba biopieejamība ir 98%. Imatiniba</w:t>
      </w:r>
      <w:r w:rsidRPr="00CD729C">
        <w:rPr>
          <w:i/>
          <w:color w:val="000000"/>
          <w:szCs w:val="22"/>
        </w:rPr>
        <w:t xml:space="preserve"> </w:t>
      </w:r>
      <w:r w:rsidRPr="00CD729C">
        <w:rPr>
          <w:color w:val="000000"/>
          <w:szCs w:val="22"/>
        </w:rPr>
        <w:t xml:space="preserve">plazmas </w:t>
      </w:r>
      <w:r w:rsidRPr="00CD729C">
        <w:rPr>
          <w:i/>
          <w:color w:val="000000"/>
          <w:szCs w:val="22"/>
        </w:rPr>
        <w:t>AUC</w:t>
      </w:r>
      <w:r w:rsidRPr="00CD729C">
        <w:rPr>
          <w:color w:val="000000"/>
          <w:szCs w:val="22"/>
        </w:rPr>
        <w:t xml:space="preserve"> izmaiņu koeficients starp dažādiem pacientiem ir robežās no 40–60% pēc devas perorālas ievadīšanas. To lietojot kopā ar maltīti, kas satur daudz tauku, imatiniba</w:t>
      </w:r>
      <w:r w:rsidRPr="00CD729C">
        <w:rPr>
          <w:i/>
          <w:color w:val="000000"/>
          <w:szCs w:val="22"/>
        </w:rPr>
        <w:t xml:space="preserve"> </w:t>
      </w:r>
      <w:r w:rsidRPr="00CD729C">
        <w:rPr>
          <w:color w:val="000000"/>
          <w:szCs w:val="22"/>
        </w:rPr>
        <w:t>absorbcijas ātrums samazinājās nedaudz (C</w:t>
      </w:r>
      <w:r w:rsidRPr="00CD729C">
        <w:rPr>
          <w:color w:val="000000"/>
          <w:szCs w:val="22"/>
          <w:vertAlign w:val="subscript"/>
        </w:rPr>
        <w:t>max</w:t>
      </w:r>
      <w:r w:rsidRPr="00CD729C">
        <w:rPr>
          <w:color w:val="000000"/>
          <w:szCs w:val="22"/>
        </w:rPr>
        <w:t xml:space="preserve"> samazinājās par 11% un t</w:t>
      </w:r>
      <w:r w:rsidRPr="00CD729C">
        <w:rPr>
          <w:color w:val="000000"/>
          <w:szCs w:val="22"/>
          <w:vertAlign w:val="subscript"/>
        </w:rPr>
        <w:t>max</w:t>
      </w:r>
      <w:r w:rsidRPr="00CD729C">
        <w:rPr>
          <w:color w:val="000000"/>
          <w:szCs w:val="22"/>
        </w:rPr>
        <w:t xml:space="preserve"> pagarinājās par 1,5 st.), ar nelielu </w:t>
      </w:r>
      <w:r w:rsidRPr="00CD729C">
        <w:rPr>
          <w:i/>
          <w:color w:val="000000"/>
          <w:szCs w:val="22"/>
        </w:rPr>
        <w:t>AUC</w:t>
      </w:r>
      <w:r w:rsidRPr="00CD729C">
        <w:rPr>
          <w:color w:val="000000"/>
          <w:szCs w:val="22"/>
        </w:rPr>
        <w:t xml:space="preserve"> samazināšanos (7,4%), salīdzinot ar preparāta lietošanu tukšā dūšā. Iepriekšējas gastrointestinālas operācijas ietekme uz preparāta absorbciju nav pētīta.</w:t>
      </w:r>
    </w:p>
    <w:p w14:paraId="3D394E95" w14:textId="77777777" w:rsidR="005117C7" w:rsidRPr="00CD729C" w:rsidRDefault="005117C7" w:rsidP="009B4BB6">
      <w:pPr>
        <w:widowControl w:val="0"/>
        <w:spacing w:line="240" w:lineRule="auto"/>
        <w:rPr>
          <w:color w:val="000000"/>
          <w:szCs w:val="22"/>
        </w:rPr>
      </w:pPr>
    </w:p>
    <w:p w14:paraId="3D394E96" w14:textId="77777777" w:rsidR="00412E40" w:rsidRPr="00CD729C" w:rsidRDefault="00FC12F5" w:rsidP="009B4BB6">
      <w:pPr>
        <w:keepNext/>
        <w:widowControl w:val="0"/>
        <w:spacing w:line="240" w:lineRule="auto"/>
        <w:ind w:left="567" w:hanging="567"/>
        <w:rPr>
          <w:color w:val="000000"/>
          <w:szCs w:val="22"/>
          <w:u w:val="single"/>
        </w:rPr>
      </w:pPr>
      <w:r w:rsidRPr="00CD729C">
        <w:rPr>
          <w:szCs w:val="22"/>
          <w:u w:val="single"/>
        </w:rPr>
        <w:t>Izkliede</w:t>
      </w:r>
    </w:p>
    <w:p w14:paraId="3D394E97" w14:textId="77777777" w:rsidR="00412E40" w:rsidRPr="00CD729C" w:rsidRDefault="00412E40" w:rsidP="009B4BB6">
      <w:pPr>
        <w:widowControl w:val="0"/>
        <w:spacing w:line="240" w:lineRule="auto"/>
        <w:rPr>
          <w:color w:val="000000"/>
          <w:szCs w:val="22"/>
        </w:rPr>
      </w:pPr>
      <w:r w:rsidRPr="00CD729C">
        <w:rPr>
          <w:color w:val="000000"/>
          <w:szCs w:val="22"/>
        </w:rPr>
        <w:t xml:space="preserve">Pamatojoties uz eksperimentiem </w:t>
      </w:r>
      <w:r w:rsidRPr="00CD729C">
        <w:rPr>
          <w:i/>
          <w:color w:val="000000"/>
          <w:szCs w:val="22"/>
        </w:rPr>
        <w:t>in vitro</w:t>
      </w:r>
      <w:r w:rsidRPr="00CD729C">
        <w:rPr>
          <w:color w:val="000000"/>
          <w:szCs w:val="22"/>
        </w:rPr>
        <w:t>, klīniski nozīmīgas imatiniba</w:t>
      </w:r>
      <w:r w:rsidRPr="00CD729C">
        <w:rPr>
          <w:i/>
          <w:color w:val="000000"/>
          <w:szCs w:val="22"/>
        </w:rPr>
        <w:t xml:space="preserve"> </w:t>
      </w:r>
      <w:r w:rsidRPr="00CD729C">
        <w:rPr>
          <w:color w:val="000000"/>
          <w:szCs w:val="22"/>
        </w:rPr>
        <w:t>koncentrācijas, kas saistās ar plazmas proteīniem, galvenokārt ar albumīniem un alfa-skābajiem glikoproteīniem, bija aptuveni 95%, nelielā mērā novērota saistība ar lipoproteīniem.</w:t>
      </w:r>
    </w:p>
    <w:p w14:paraId="3D394E98" w14:textId="77777777" w:rsidR="00412E40" w:rsidRPr="00CD729C" w:rsidRDefault="00412E40" w:rsidP="009B4BB6">
      <w:pPr>
        <w:widowControl w:val="0"/>
        <w:spacing w:line="240" w:lineRule="auto"/>
        <w:rPr>
          <w:color w:val="000000"/>
          <w:szCs w:val="22"/>
        </w:rPr>
      </w:pPr>
    </w:p>
    <w:p w14:paraId="3D394E99" w14:textId="77777777" w:rsidR="00412E40" w:rsidRPr="00CD729C" w:rsidRDefault="00566A0A" w:rsidP="009B4BB6">
      <w:pPr>
        <w:keepNext/>
        <w:widowControl w:val="0"/>
        <w:spacing w:line="240" w:lineRule="auto"/>
        <w:rPr>
          <w:color w:val="000000"/>
          <w:szCs w:val="22"/>
          <w:u w:val="single"/>
        </w:rPr>
      </w:pPr>
      <w:r w:rsidRPr="00CD729C">
        <w:rPr>
          <w:color w:val="000000"/>
          <w:szCs w:val="22"/>
          <w:u w:val="single"/>
        </w:rPr>
        <w:t>Biotransformācija</w:t>
      </w:r>
    </w:p>
    <w:p w14:paraId="3D394E9A" w14:textId="77777777" w:rsidR="00412E40" w:rsidRPr="00CD729C" w:rsidRDefault="00412E40" w:rsidP="009B4BB6">
      <w:pPr>
        <w:widowControl w:val="0"/>
        <w:spacing w:line="240" w:lineRule="auto"/>
        <w:rPr>
          <w:color w:val="000000"/>
          <w:szCs w:val="22"/>
        </w:rPr>
      </w:pPr>
      <w:r w:rsidRPr="00CD729C">
        <w:rPr>
          <w:color w:val="000000"/>
          <w:szCs w:val="22"/>
        </w:rPr>
        <w:t xml:space="preserve">Galvenais cilvēka organismā cirkulējošais vielmaiņas produkts ir N-demetilēts piperazīna atvasinājums, kura aktivitāte </w:t>
      </w:r>
      <w:r w:rsidRPr="00CD729C">
        <w:rPr>
          <w:i/>
          <w:color w:val="000000"/>
          <w:szCs w:val="22"/>
        </w:rPr>
        <w:t xml:space="preserve">in vitro </w:t>
      </w:r>
      <w:r w:rsidRPr="00CD729C">
        <w:rPr>
          <w:color w:val="000000"/>
          <w:szCs w:val="22"/>
        </w:rPr>
        <w:t>ir līdzīga cilmjvielas aktivitātei. Šī vielmaiņas produkta AUC plazmā ir tikai 16% no imatiniba AUC lieluma. N-demetilētā metabolīta saistīšanās ar plazmas olbaltumiem ir līdzīga kā pamatsavienojumam.</w:t>
      </w:r>
    </w:p>
    <w:p w14:paraId="3D394E9B" w14:textId="77777777" w:rsidR="00412E40" w:rsidRPr="00CD729C" w:rsidRDefault="00412E40" w:rsidP="009B4BB6">
      <w:pPr>
        <w:widowControl w:val="0"/>
        <w:spacing w:line="240" w:lineRule="auto"/>
        <w:rPr>
          <w:color w:val="000000"/>
          <w:szCs w:val="22"/>
        </w:rPr>
      </w:pPr>
    </w:p>
    <w:p w14:paraId="3D394E9C" w14:textId="77777777" w:rsidR="00412E40" w:rsidRPr="00CD729C" w:rsidRDefault="00412E40" w:rsidP="009B4BB6">
      <w:pPr>
        <w:widowControl w:val="0"/>
        <w:spacing w:line="240" w:lineRule="auto"/>
        <w:rPr>
          <w:color w:val="000000"/>
          <w:szCs w:val="22"/>
        </w:rPr>
      </w:pPr>
      <w:r w:rsidRPr="00CD729C">
        <w:rPr>
          <w:color w:val="000000"/>
          <w:szCs w:val="22"/>
        </w:rPr>
        <w:t>Imatiniba un tā N-demetilētais vielmaiņas produkts kopā nodrošina aptuveni 65% cirkulējošo radioaktīvo savienojumu (AUC</w:t>
      </w:r>
      <w:r w:rsidRPr="00CD729C">
        <w:rPr>
          <w:color w:val="000000"/>
          <w:szCs w:val="22"/>
          <w:vertAlign w:val="subscript"/>
        </w:rPr>
        <w:t>(0–48st)</w:t>
      </w:r>
      <w:r w:rsidRPr="00CD729C">
        <w:rPr>
          <w:color w:val="000000"/>
          <w:szCs w:val="22"/>
        </w:rPr>
        <w:t>). Atlikušo cirkulējošo radioaktīvo savienojumu daudzumu nodrošina daudzi mazākā daudzumā konstatējami metabolīti.</w:t>
      </w:r>
    </w:p>
    <w:p w14:paraId="3D394E9D" w14:textId="77777777" w:rsidR="00412E40" w:rsidRPr="00CD729C" w:rsidRDefault="00412E40" w:rsidP="009B4BB6">
      <w:pPr>
        <w:widowControl w:val="0"/>
        <w:spacing w:line="240" w:lineRule="auto"/>
        <w:rPr>
          <w:color w:val="000000"/>
          <w:szCs w:val="22"/>
        </w:rPr>
      </w:pPr>
    </w:p>
    <w:p w14:paraId="3D394E9E" w14:textId="77777777" w:rsidR="00412E40" w:rsidRPr="00CD729C" w:rsidRDefault="00412E40" w:rsidP="009B4BB6">
      <w:pPr>
        <w:widowControl w:val="0"/>
        <w:spacing w:line="240" w:lineRule="auto"/>
        <w:rPr>
          <w:color w:val="000000"/>
          <w:szCs w:val="22"/>
        </w:rPr>
      </w:pPr>
      <w:r w:rsidRPr="00CD729C">
        <w:rPr>
          <w:i/>
          <w:color w:val="000000"/>
          <w:szCs w:val="22"/>
        </w:rPr>
        <w:t xml:space="preserve">In vitro </w:t>
      </w:r>
      <w:r w:rsidRPr="00CD729C">
        <w:rPr>
          <w:color w:val="000000"/>
          <w:szCs w:val="22"/>
        </w:rPr>
        <w:t>pētījumu rezultāti pierāda, ka CYP3A4 ir galvenais P450 ferments, kas cilvēka organismā katalizē imatiniba biotransformāciju. No daudzām zālēm (acetaminofēns, aciklovīrs, allopurinols, amfotericīns, citarabīns, eritromicīns, flukonazols, hidroksiurīnviela, norfloksacīns, penicilīns V), kas varētu tikt lietotas vienlaicīgi (ar imatinibu), tikai eritromicīns (IC</w:t>
      </w:r>
      <w:r w:rsidRPr="00CD729C">
        <w:rPr>
          <w:color w:val="000000"/>
          <w:szCs w:val="22"/>
          <w:vertAlign w:val="subscript"/>
        </w:rPr>
        <w:t>50</w:t>
      </w:r>
      <w:r w:rsidRPr="00CD729C">
        <w:rPr>
          <w:color w:val="000000"/>
          <w:szCs w:val="22"/>
        </w:rPr>
        <w:t xml:space="preserve"> 50 </w:t>
      </w:r>
      <w:r w:rsidRPr="00CD729C">
        <w:rPr>
          <w:color w:val="000000"/>
          <w:szCs w:val="22"/>
        </w:rPr>
        <w:sym w:font="Symbol" w:char="F06D"/>
      </w:r>
      <w:r w:rsidRPr="00CD729C">
        <w:rPr>
          <w:color w:val="000000"/>
          <w:szCs w:val="22"/>
        </w:rPr>
        <w:t>M) un flukonazols (IC</w:t>
      </w:r>
      <w:r w:rsidRPr="00CD729C">
        <w:rPr>
          <w:color w:val="000000"/>
          <w:szCs w:val="22"/>
          <w:vertAlign w:val="subscript"/>
        </w:rPr>
        <w:t>50</w:t>
      </w:r>
      <w:r w:rsidRPr="00CD729C">
        <w:rPr>
          <w:color w:val="000000"/>
          <w:szCs w:val="22"/>
        </w:rPr>
        <w:t xml:space="preserve"> 118 </w:t>
      </w:r>
      <w:r w:rsidRPr="00CD729C">
        <w:rPr>
          <w:color w:val="000000"/>
          <w:szCs w:val="22"/>
        </w:rPr>
        <w:sym w:font="Symbol" w:char="F06D"/>
      </w:r>
      <w:r w:rsidRPr="00CD729C">
        <w:rPr>
          <w:color w:val="000000"/>
          <w:szCs w:val="22"/>
        </w:rPr>
        <w:t>M) uzrāda spēju inhibēt imatiniba vielmaiņas procesus tā, ka tam ir klīniska nozīme.</w:t>
      </w:r>
    </w:p>
    <w:p w14:paraId="3D394E9F" w14:textId="77777777" w:rsidR="00412E40" w:rsidRPr="00CD729C" w:rsidRDefault="00412E40" w:rsidP="009B4BB6">
      <w:pPr>
        <w:widowControl w:val="0"/>
        <w:spacing w:line="240" w:lineRule="auto"/>
        <w:rPr>
          <w:color w:val="000000"/>
          <w:szCs w:val="22"/>
        </w:rPr>
      </w:pPr>
    </w:p>
    <w:p w14:paraId="3D394EA0" w14:textId="77777777" w:rsidR="00412E40" w:rsidRPr="00CD729C" w:rsidRDefault="00412E40" w:rsidP="009B4BB6">
      <w:pPr>
        <w:widowControl w:val="0"/>
        <w:spacing w:line="240" w:lineRule="auto"/>
        <w:rPr>
          <w:color w:val="000000"/>
          <w:szCs w:val="22"/>
        </w:rPr>
      </w:pPr>
      <w:r w:rsidRPr="00CD729C">
        <w:rPr>
          <w:color w:val="000000"/>
          <w:szCs w:val="22"/>
        </w:rPr>
        <w:t xml:space="preserve">Ir pierādīts, ka </w:t>
      </w:r>
      <w:r w:rsidRPr="00CD729C">
        <w:rPr>
          <w:i/>
          <w:color w:val="000000"/>
          <w:szCs w:val="22"/>
        </w:rPr>
        <w:t xml:space="preserve">in vitro </w:t>
      </w:r>
      <w:r w:rsidRPr="00CD729C">
        <w:rPr>
          <w:color w:val="000000"/>
          <w:szCs w:val="22"/>
        </w:rPr>
        <w:t>imatinibs ir konkurējošs CYP2C9, CYP2D6 un CYP3A4/5 substrātu – marķieru inhibitors. Cilvēka aknu mikrosomās attiecīgās K</w:t>
      </w:r>
      <w:r w:rsidRPr="00CD729C">
        <w:rPr>
          <w:color w:val="000000"/>
          <w:szCs w:val="22"/>
          <w:vertAlign w:val="subscript"/>
        </w:rPr>
        <w:t xml:space="preserve">i </w:t>
      </w:r>
      <w:r w:rsidRPr="00CD729C">
        <w:rPr>
          <w:color w:val="000000"/>
          <w:szCs w:val="22"/>
        </w:rPr>
        <w:t>vērtības ir attiecīgi 27, 7,5 un 7,9 </w:t>
      </w:r>
      <w:r w:rsidRPr="00CD729C">
        <w:rPr>
          <w:color w:val="000000"/>
          <w:szCs w:val="22"/>
        </w:rPr>
        <w:sym w:font="Symbol" w:char="F06D"/>
      </w:r>
      <w:r w:rsidRPr="00CD729C">
        <w:rPr>
          <w:color w:val="000000"/>
          <w:szCs w:val="22"/>
        </w:rPr>
        <w:t>mol/l.</w:t>
      </w:r>
    </w:p>
    <w:p w14:paraId="3D394EA1" w14:textId="77777777" w:rsidR="00412E40" w:rsidRPr="00CD729C" w:rsidRDefault="00412E40" w:rsidP="009B4BB6">
      <w:pPr>
        <w:widowControl w:val="0"/>
        <w:spacing w:line="240" w:lineRule="auto"/>
        <w:rPr>
          <w:color w:val="000000"/>
          <w:szCs w:val="22"/>
        </w:rPr>
      </w:pPr>
      <w:r w:rsidRPr="00CD729C">
        <w:rPr>
          <w:color w:val="000000"/>
          <w:szCs w:val="22"/>
        </w:rPr>
        <w:t>Maksimālā imatiniba koncentrācija pacientu plazmā ir 2 </w:t>
      </w:r>
      <w:r w:rsidRPr="00CD729C">
        <w:rPr>
          <w:color w:val="000000"/>
          <w:szCs w:val="22"/>
        </w:rPr>
        <w:sym w:font="Symbol" w:char="F06D"/>
      </w:r>
      <w:r w:rsidRPr="00CD729C">
        <w:rPr>
          <w:color w:val="000000"/>
          <w:szCs w:val="22"/>
        </w:rPr>
        <w:t>ml/l līdz 4 </w:t>
      </w:r>
      <w:r w:rsidRPr="00CD729C">
        <w:rPr>
          <w:color w:val="000000"/>
          <w:szCs w:val="22"/>
        </w:rPr>
        <w:sym w:font="Symbol" w:char="F06D"/>
      </w:r>
      <w:r w:rsidRPr="00CD729C">
        <w:rPr>
          <w:color w:val="000000"/>
          <w:szCs w:val="22"/>
        </w:rPr>
        <w:t>ml/l, tātad ir iespējama vienlaicīgi lietotu zāļu vielmaiņas procesu, kuru mediatori ir CYP2D6 un CYP3A4/5, inhibīcija. Imatinibs nekavē 5-fluoruracila biotransformāciju, bet, konkurējošas CYP2C8 inhibīcijas rezultātā (K</w:t>
      </w:r>
      <w:r w:rsidRPr="00CD729C">
        <w:rPr>
          <w:color w:val="000000"/>
          <w:szCs w:val="22"/>
          <w:vertAlign w:val="subscript"/>
        </w:rPr>
        <w:t>i</w:t>
      </w:r>
      <w:r w:rsidRPr="00CD729C">
        <w:rPr>
          <w:color w:val="000000"/>
          <w:szCs w:val="22"/>
        </w:rPr>
        <w:t xml:space="preserve"> = 34,7 </w:t>
      </w:r>
      <w:r w:rsidRPr="00CD729C">
        <w:rPr>
          <w:color w:val="000000"/>
          <w:szCs w:val="22"/>
        </w:rPr>
        <w:sym w:font="Symbol" w:char="F06D"/>
      </w:r>
      <w:r w:rsidRPr="00CD729C">
        <w:rPr>
          <w:color w:val="000000"/>
          <w:szCs w:val="22"/>
        </w:rPr>
        <w:t>M), inhibē paklitaksela vielmaiņas procesus. Šī K</w:t>
      </w:r>
      <w:r w:rsidRPr="00CD729C">
        <w:rPr>
          <w:color w:val="000000"/>
          <w:szCs w:val="22"/>
          <w:vertAlign w:val="subscript"/>
        </w:rPr>
        <w:t>i</w:t>
      </w:r>
      <w:r w:rsidRPr="00CD729C">
        <w:rPr>
          <w:color w:val="000000"/>
          <w:szCs w:val="22"/>
        </w:rPr>
        <w:t xml:space="preserve"> vērtība ir daudz augstāka kā gaidāmā imatiniba koncentrācija pacientu plazmā, tātad, vienlaicīgi lietojot 5-fluoruracilu vai paklitakselu, mijiedarbība nav gaidāma.</w:t>
      </w:r>
    </w:p>
    <w:p w14:paraId="3D394EA2" w14:textId="77777777" w:rsidR="00412E40" w:rsidRPr="00CD729C" w:rsidRDefault="00412E40" w:rsidP="009B4BB6">
      <w:pPr>
        <w:widowControl w:val="0"/>
        <w:spacing w:line="240" w:lineRule="auto"/>
        <w:rPr>
          <w:color w:val="000000"/>
          <w:szCs w:val="22"/>
        </w:rPr>
      </w:pPr>
    </w:p>
    <w:p w14:paraId="3D394EA3" w14:textId="77777777" w:rsidR="00412E40" w:rsidRPr="00CD729C" w:rsidRDefault="00FC12F5" w:rsidP="009B4BB6">
      <w:pPr>
        <w:keepNext/>
        <w:widowControl w:val="0"/>
        <w:spacing w:line="240" w:lineRule="auto"/>
        <w:rPr>
          <w:color w:val="000000"/>
          <w:szCs w:val="22"/>
          <w:u w:val="single"/>
        </w:rPr>
      </w:pPr>
      <w:r w:rsidRPr="00CD729C">
        <w:rPr>
          <w:u w:val="single"/>
        </w:rPr>
        <w:t>Eliminācija</w:t>
      </w:r>
    </w:p>
    <w:p w14:paraId="3D394EA4" w14:textId="77777777" w:rsidR="00412E40" w:rsidRPr="00CD729C" w:rsidRDefault="00412E40" w:rsidP="009B4BB6">
      <w:pPr>
        <w:widowControl w:val="0"/>
        <w:spacing w:line="240" w:lineRule="auto"/>
        <w:rPr>
          <w:color w:val="000000"/>
          <w:szCs w:val="22"/>
        </w:rPr>
      </w:pPr>
      <w:r w:rsidRPr="00CD729C">
        <w:rPr>
          <w:color w:val="000000"/>
          <w:szCs w:val="22"/>
        </w:rPr>
        <w:t xml:space="preserve">Ievērojot atgūto vielu daudzumu pēc perorālas ar </w:t>
      </w:r>
      <w:r w:rsidRPr="00CD729C">
        <w:rPr>
          <w:color w:val="000000"/>
          <w:szCs w:val="22"/>
          <w:vertAlign w:val="superscript"/>
        </w:rPr>
        <w:t>14</w:t>
      </w:r>
      <w:r w:rsidRPr="00CD729C">
        <w:rPr>
          <w:color w:val="000000"/>
          <w:szCs w:val="22"/>
        </w:rPr>
        <w:t>C iezīmēta imatiniba devas, aptuveni 81% devas 7 dienu laikā ir atgūts no fēcēm (68% devas) un urīna (13% devas). Neizmainīts imatinibs tiek izdalīts daudzumā, kas atbilst 25% devas (5% urīnā, 20% – fēcēs). Devas atlikums izdalās metabolītu veidā.</w:t>
      </w:r>
    </w:p>
    <w:p w14:paraId="3D394EA5" w14:textId="77777777" w:rsidR="00412E40" w:rsidRPr="00CD729C" w:rsidRDefault="00412E40" w:rsidP="009B4BB6">
      <w:pPr>
        <w:widowControl w:val="0"/>
        <w:spacing w:line="240" w:lineRule="auto"/>
        <w:rPr>
          <w:color w:val="000000"/>
          <w:szCs w:val="22"/>
        </w:rPr>
      </w:pPr>
    </w:p>
    <w:p w14:paraId="3D394EA6" w14:textId="77777777" w:rsidR="00412E40" w:rsidRPr="00CD729C" w:rsidRDefault="00412E40" w:rsidP="009B4BB6">
      <w:pPr>
        <w:keepNext/>
        <w:widowControl w:val="0"/>
        <w:spacing w:line="240" w:lineRule="auto"/>
        <w:rPr>
          <w:color w:val="000000"/>
          <w:szCs w:val="22"/>
          <w:u w:val="single"/>
        </w:rPr>
      </w:pPr>
      <w:r w:rsidRPr="00CD729C">
        <w:rPr>
          <w:color w:val="000000"/>
          <w:szCs w:val="22"/>
          <w:u w:val="single"/>
        </w:rPr>
        <w:t>Farmakokinētika plazmā</w:t>
      </w:r>
    </w:p>
    <w:p w14:paraId="3D394EA7" w14:textId="77777777" w:rsidR="00412E40" w:rsidRPr="00CD729C" w:rsidRDefault="00412E40" w:rsidP="009B4BB6">
      <w:pPr>
        <w:widowControl w:val="0"/>
        <w:spacing w:line="240" w:lineRule="auto"/>
        <w:rPr>
          <w:color w:val="000000"/>
          <w:szCs w:val="22"/>
        </w:rPr>
      </w:pPr>
      <w:r w:rsidRPr="00CD729C">
        <w:rPr>
          <w:color w:val="000000"/>
          <w:szCs w:val="22"/>
        </w:rPr>
        <w:t>Veseliem brīvprātīgajiem pēc iekšķīgi lietotas devas, t</w:t>
      </w:r>
      <w:r w:rsidRPr="00CD729C">
        <w:rPr>
          <w:color w:val="000000"/>
          <w:szCs w:val="22"/>
          <w:vertAlign w:val="subscript"/>
        </w:rPr>
        <w:t>1/2</w:t>
      </w:r>
      <w:r w:rsidRPr="00CD729C">
        <w:rPr>
          <w:color w:val="000000"/>
          <w:szCs w:val="22"/>
        </w:rPr>
        <w:t xml:space="preserve"> ir aptuveni 18 stundas. Tas liecina, ka, preparātu ir iespējams lietot reizi dienā. Lietojot perorāli un palielinot devu robežās no 25 mg līdz 1 000 mg, vidējā AUC pieaugums ir lineārs un proporcionāls devas lielumam. Devas atkārtojot, imatiniba (farmako)kinētika nemainās. Ja preparātu lieto reizi dienā, līdzsvara koncentrācijas apstākļos preparāts kumulē 1,5 līdz 2,5 reizes.</w:t>
      </w:r>
    </w:p>
    <w:p w14:paraId="3D394EA8" w14:textId="77777777" w:rsidR="00412E40" w:rsidRPr="00CD729C" w:rsidRDefault="00412E40" w:rsidP="009B4BB6">
      <w:pPr>
        <w:widowControl w:val="0"/>
        <w:spacing w:line="240" w:lineRule="auto"/>
        <w:rPr>
          <w:color w:val="000000"/>
          <w:szCs w:val="22"/>
        </w:rPr>
      </w:pPr>
    </w:p>
    <w:p w14:paraId="3D394EA9" w14:textId="77777777" w:rsidR="00412E40" w:rsidRPr="00CD729C" w:rsidRDefault="00412E40" w:rsidP="009B4BB6">
      <w:pPr>
        <w:keepNext/>
        <w:widowControl w:val="0"/>
        <w:spacing w:line="240" w:lineRule="auto"/>
        <w:rPr>
          <w:color w:val="000000"/>
          <w:szCs w:val="22"/>
        </w:rPr>
      </w:pPr>
      <w:r w:rsidRPr="00CD729C">
        <w:rPr>
          <w:color w:val="000000"/>
          <w:szCs w:val="22"/>
          <w:u w:val="single"/>
        </w:rPr>
        <w:t>Farmakokinētika GIST slimniekiem</w:t>
      </w:r>
    </w:p>
    <w:p w14:paraId="3D394EAA" w14:textId="77777777" w:rsidR="00412E40" w:rsidRPr="00CD729C" w:rsidRDefault="00412E40" w:rsidP="009B4BB6">
      <w:pPr>
        <w:widowControl w:val="0"/>
        <w:spacing w:line="240" w:lineRule="auto"/>
        <w:rPr>
          <w:color w:val="000000"/>
          <w:szCs w:val="22"/>
        </w:rPr>
      </w:pPr>
      <w:r w:rsidRPr="00CD729C">
        <w:rPr>
          <w:color w:val="000000"/>
          <w:szCs w:val="22"/>
        </w:rPr>
        <w:t>GIST slimniekiem preparāta iedarbība līdzsvara koncentrācijas apstākļos, lietojot vienādu preparāta devu (400 mg dienā), ir 1,5 reizes spēcīgāka kā tā, ko novēro CML slimniekiem. Ievērojot iepriekšēju pacientu grupu farmakokinētikas analīzi GIST slimniekiem, ir trīs mainīgu faktoru lielumi (albumīnu, WBC un bilirubīna koncentrācija), kam ir konstatēta statistiski nozīmīga saistība ar imatiniba farmakokinētiku. Samazināts albumīnu vai palielināts WBC daudzums samazina (imatiniba) (CL/f). Tomēr šīs sakarības nav pietiekami izteiktas, lai būtu iespējams sniegt ieteikumus, kā būtu jākoriģē preparāta devas lielums. Šajā pacientu grupā metastāzes aknās potenciāli var izraisīt aknu mazspēju, kā rezultātā tiek vājināti vielas vielmaiņas procesi.</w:t>
      </w:r>
    </w:p>
    <w:p w14:paraId="3D394EAB" w14:textId="77777777" w:rsidR="00412E40" w:rsidRPr="00CD729C" w:rsidRDefault="00412E40" w:rsidP="009B4BB6">
      <w:pPr>
        <w:widowControl w:val="0"/>
        <w:spacing w:line="240" w:lineRule="auto"/>
        <w:rPr>
          <w:color w:val="000000"/>
          <w:szCs w:val="22"/>
        </w:rPr>
      </w:pPr>
    </w:p>
    <w:p w14:paraId="3D394EAC" w14:textId="77777777" w:rsidR="00412E40" w:rsidRPr="00CD729C" w:rsidRDefault="00412E40" w:rsidP="009B4BB6">
      <w:pPr>
        <w:keepNext/>
        <w:widowControl w:val="0"/>
        <w:spacing w:line="240" w:lineRule="auto"/>
        <w:rPr>
          <w:color w:val="000000"/>
          <w:szCs w:val="22"/>
          <w:u w:val="single"/>
        </w:rPr>
      </w:pPr>
      <w:r w:rsidRPr="00CD729C">
        <w:rPr>
          <w:color w:val="000000"/>
          <w:szCs w:val="22"/>
          <w:u w:val="single"/>
        </w:rPr>
        <w:t>Farmakokinētika atšķirīgās pacientu grupās</w:t>
      </w:r>
    </w:p>
    <w:p w14:paraId="3D394EAD" w14:textId="77777777" w:rsidR="00412E40" w:rsidRPr="00CD729C" w:rsidRDefault="00412E40" w:rsidP="009B4BB6">
      <w:pPr>
        <w:widowControl w:val="0"/>
        <w:spacing w:line="240" w:lineRule="auto"/>
        <w:rPr>
          <w:color w:val="000000"/>
          <w:szCs w:val="22"/>
        </w:rPr>
      </w:pPr>
      <w:r w:rsidRPr="00CD729C">
        <w:rPr>
          <w:color w:val="000000"/>
          <w:szCs w:val="22"/>
        </w:rPr>
        <w:t>Ievērojot datus, kas iegūti, analizējot preparāta farmakokinētiku atšķirīgās AML slimnieku grupās, ir ievērota neliela pacienta vecuma ietekme uz vielas izkliedes tilpumu (pacientiem, kuru vecums pārsniedz 65 gadus, tas pieaug par 12%). Nešķiet, ka šādām izmaiņām būtu klīniska nozīme. Pacienta ķermeņa masas ietekme uz imatiniba klīrensu var izpausties tādējādi, ka pacientam, kura ķermeņa masa ir 50 kg, vidējais gaidāmais vielas klīrenss ir 8,5 l/st, kamēr pacientam, kura ķermeņa masa ir 100 kg, klīrenss var pieaugt līdz 11,8 l/st. Uzskata, ka šīs (klīrensa) izmaiņas nav pietiekami lielas, lai devas korekciju būtu iespējams pamatot ar pacienta ķermeņa masu. Pacienta dzimums imatiniba (farmako)kinētiku neietekmē.</w:t>
      </w:r>
    </w:p>
    <w:p w14:paraId="3D394EAE" w14:textId="77777777" w:rsidR="00412E40" w:rsidRPr="00CD729C" w:rsidRDefault="00412E40" w:rsidP="009B4BB6">
      <w:pPr>
        <w:widowControl w:val="0"/>
        <w:spacing w:line="240" w:lineRule="auto"/>
        <w:rPr>
          <w:color w:val="000000"/>
          <w:szCs w:val="22"/>
        </w:rPr>
      </w:pPr>
    </w:p>
    <w:p w14:paraId="3D394EAF" w14:textId="77777777" w:rsidR="00412E40" w:rsidRPr="00CD729C" w:rsidRDefault="00412E40" w:rsidP="009B4BB6">
      <w:pPr>
        <w:keepNext/>
        <w:widowControl w:val="0"/>
        <w:spacing w:line="240" w:lineRule="auto"/>
        <w:rPr>
          <w:color w:val="000000"/>
          <w:szCs w:val="22"/>
          <w:u w:val="single"/>
        </w:rPr>
      </w:pPr>
      <w:r w:rsidRPr="00CD729C">
        <w:rPr>
          <w:color w:val="000000"/>
          <w:szCs w:val="22"/>
          <w:u w:val="single"/>
        </w:rPr>
        <w:t>Farmakokinētika bērniem</w:t>
      </w:r>
    </w:p>
    <w:p w14:paraId="3D394EB0" w14:textId="77777777" w:rsidR="00412E40" w:rsidRPr="00CD729C" w:rsidRDefault="00412E40" w:rsidP="009B4BB6">
      <w:pPr>
        <w:widowControl w:val="0"/>
        <w:spacing w:line="240" w:lineRule="auto"/>
        <w:rPr>
          <w:color w:val="000000"/>
          <w:szCs w:val="22"/>
        </w:rPr>
      </w:pPr>
      <w:r w:rsidRPr="00CD729C">
        <w:rPr>
          <w:color w:val="000000"/>
          <w:szCs w:val="22"/>
        </w:rPr>
        <w:t>Gan I fāzes, gan II fāzes pētījumu laikā perorāla imatiniba deva pediatriskiem pacientiem uzsūcās ātri. Bērniem lietotās 260 mg/m</w:t>
      </w:r>
      <w:r w:rsidRPr="00CD729C">
        <w:rPr>
          <w:color w:val="000000"/>
          <w:szCs w:val="22"/>
          <w:vertAlign w:val="superscript"/>
        </w:rPr>
        <w:t>2</w:t>
      </w:r>
      <w:r w:rsidRPr="00CD729C">
        <w:rPr>
          <w:color w:val="000000"/>
          <w:szCs w:val="22"/>
        </w:rPr>
        <w:t xml:space="preserve"> un 340 mg/m</w:t>
      </w:r>
      <w:r w:rsidRPr="00CD729C">
        <w:rPr>
          <w:color w:val="000000"/>
          <w:szCs w:val="22"/>
          <w:vertAlign w:val="superscript"/>
        </w:rPr>
        <w:t>2</w:t>
      </w:r>
      <w:r w:rsidRPr="00CD729C">
        <w:rPr>
          <w:color w:val="000000"/>
          <w:szCs w:val="22"/>
        </w:rPr>
        <w:t xml:space="preserve"> dienas devas nodrošināja preparāta iedarbību, kas atbilst 400 mg un 600 mg lielām imatiniba devām, ko izmanto pieaugušu pacientu ārstēšanai. Salīdzinot AUC</w:t>
      </w:r>
      <w:r w:rsidRPr="00CD729C">
        <w:rPr>
          <w:color w:val="000000"/>
          <w:szCs w:val="22"/>
          <w:vertAlign w:val="subscript"/>
        </w:rPr>
        <w:t>(0–24)</w:t>
      </w:r>
      <w:r w:rsidRPr="00CD729C">
        <w:rPr>
          <w:color w:val="000000"/>
          <w:szCs w:val="22"/>
        </w:rPr>
        <w:t xml:space="preserve"> astotajā un pirmajā dienā gadījumā, kad izmantotas 340 mg/m</w:t>
      </w:r>
      <w:r w:rsidRPr="00CD729C">
        <w:rPr>
          <w:color w:val="000000"/>
          <w:szCs w:val="22"/>
          <w:vertAlign w:val="superscript"/>
        </w:rPr>
        <w:t>2</w:t>
      </w:r>
      <w:r w:rsidRPr="00CD729C">
        <w:rPr>
          <w:color w:val="000000"/>
          <w:szCs w:val="22"/>
        </w:rPr>
        <w:t xml:space="preserve"> lielas dienas devas, pēc atkārtotām devām, kas lietotas reizi dienā, ir konstatēta 1,7 – kārtēja devas kumulācija.</w:t>
      </w:r>
    </w:p>
    <w:p w14:paraId="3D394EB1" w14:textId="77777777" w:rsidR="001F434B" w:rsidRPr="00CD729C" w:rsidRDefault="001F434B" w:rsidP="009B4BB6">
      <w:pPr>
        <w:pStyle w:val="EndnoteText"/>
        <w:widowControl w:val="0"/>
        <w:rPr>
          <w:color w:val="000000"/>
          <w:szCs w:val="22"/>
        </w:rPr>
      </w:pPr>
    </w:p>
    <w:p w14:paraId="3D394EB2" w14:textId="77777777" w:rsidR="001F434B" w:rsidRPr="00CD729C" w:rsidRDefault="001F434B" w:rsidP="009B4BB6">
      <w:pPr>
        <w:pStyle w:val="EndnoteText"/>
        <w:widowControl w:val="0"/>
        <w:rPr>
          <w:color w:val="000000"/>
          <w:szCs w:val="22"/>
        </w:rPr>
      </w:pPr>
      <w:r w:rsidRPr="00CD729C">
        <w:rPr>
          <w:color w:val="000000"/>
          <w:szCs w:val="22"/>
        </w:rPr>
        <w:t>Pamatojoties uz apvienoto farmakokinētisko datu analīzi pediatrijas pacientiem ar hematoloģiskiem traucējumiem (CML, Ph+ALL, vai citiem hematoloģiskiem traucējumiem, ko ārstē ar imatinibu), imatiniba klīrenss palielinās palielinoties ķermeņa virsmas laukumam (</w:t>
      </w:r>
      <w:r w:rsidRPr="00CD729C">
        <w:rPr>
          <w:i/>
          <w:color w:val="000000"/>
          <w:szCs w:val="22"/>
        </w:rPr>
        <w:t>body surface area</w:t>
      </w:r>
      <w:r w:rsidRPr="00CD729C">
        <w:rPr>
          <w:color w:val="000000"/>
          <w:szCs w:val="22"/>
        </w:rPr>
        <w:t xml:space="preserve"> - BSA). Veicot korekciju pēc BSA, citiem demogrāfiskajiem rādītājiem, tādiem kā vecums, ķermeņa masa un ķermeņa masas indekss, nebija klīniski nozīmīgas ietekmes uz imatiniba iedarbību. Analīze apstiprināja, ka imatiniba iedarbība pediatrijas pacientiem, kuri saņēma 260 mg/m</w:t>
      </w:r>
      <w:r w:rsidRPr="00CD729C">
        <w:rPr>
          <w:color w:val="000000"/>
          <w:szCs w:val="22"/>
          <w:vertAlign w:val="superscript"/>
        </w:rPr>
        <w:t>2</w:t>
      </w:r>
      <w:r w:rsidRPr="00CD729C">
        <w:rPr>
          <w:color w:val="000000"/>
          <w:szCs w:val="22"/>
        </w:rPr>
        <w:t xml:space="preserve"> reizi dienā (nepārsniedzot kopējo devu 400 mg reizi dienā) vai 340 mg/m</w:t>
      </w:r>
      <w:r w:rsidRPr="00CD729C">
        <w:rPr>
          <w:color w:val="000000"/>
          <w:szCs w:val="22"/>
          <w:vertAlign w:val="superscript"/>
        </w:rPr>
        <w:t>2</w:t>
      </w:r>
      <w:r w:rsidRPr="00CD729C">
        <w:rPr>
          <w:color w:val="000000"/>
          <w:szCs w:val="22"/>
        </w:rPr>
        <w:t xml:space="preserve"> reizi dienā (nepārsniedzot kopējo devu 600 mg reizi dienā) bija līdzīga iedarbībai, ko novēroja pieaugušiem pacientiem, kuri saņēma imatinibu 400 mg vai 600 mg reizi dienā.</w:t>
      </w:r>
    </w:p>
    <w:p w14:paraId="3D394EB3" w14:textId="77777777" w:rsidR="00412E40" w:rsidRPr="00CD729C" w:rsidRDefault="00412E40" w:rsidP="009B4BB6">
      <w:pPr>
        <w:widowControl w:val="0"/>
        <w:spacing w:line="240" w:lineRule="auto"/>
        <w:rPr>
          <w:color w:val="000000"/>
          <w:szCs w:val="22"/>
        </w:rPr>
      </w:pPr>
    </w:p>
    <w:p w14:paraId="3D394EB4" w14:textId="77777777" w:rsidR="00412E40" w:rsidRPr="00CD729C" w:rsidRDefault="00412E40" w:rsidP="009B4BB6">
      <w:pPr>
        <w:keepNext/>
        <w:widowControl w:val="0"/>
        <w:spacing w:line="240" w:lineRule="auto"/>
        <w:rPr>
          <w:color w:val="000000"/>
          <w:szCs w:val="22"/>
          <w:u w:val="single"/>
        </w:rPr>
      </w:pPr>
      <w:r w:rsidRPr="00CD729C">
        <w:rPr>
          <w:color w:val="000000"/>
          <w:szCs w:val="22"/>
          <w:u w:val="single"/>
        </w:rPr>
        <w:t>Orgānu darbības traucējumi</w:t>
      </w:r>
    </w:p>
    <w:p w14:paraId="3D394EB5" w14:textId="77777777" w:rsidR="00412E40" w:rsidRPr="00CD729C" w:rsidRDefault="00412E40" w:rsidP="009B4BB6">
      <w:pPr>
        <w:widowControl w:val="0"/>
        <w:spacing w:line="240" w:lineRule="auto"/>
        <w:rPr>
          <w:color w:val="000000"/>
          <w:szCs w:val="22"/>
        </w:rPr>
      </w:pPr>
      <w:r w:rsidRPr="00CD729C">
        <w:rPr>
          <w:color w:val="000000"/>
          <w:szCs w:val="22"/>
        </w:rPr>
        <w:t>Imatinibs un tā metabolīti caur nierēm ievērojamā daudzumā neizdalās. Pacientiem ar viegliem līdz vidēji smagiem nieru darbības traucējumiem koncentrācija plazmā ir lielāka nekā pacientiem ar normālu nieru darbību. Šī palielināšanās ir aptuveni 1,5</w:t>
      </w:r>
      <w:r w:rsidRPr="00CD729C">
        <w:rPr>
          <w:color w:val="000000"/>
          <w:szCs w:val="22"/>
        </w:rPr>
        <w:noBreakHyphen/>
        <w:t>2 reizes, kas atbilst par 1,5 reizēm palielinātam plazmas AGP, pie kā imatinibs cieši saistās. Iespējams, ka imatiniba nesaistītās formas klīrenss ir līdzīgs pacientiem ar nieru darbības traucējumiem un pacientiem ar normālu nieru darbību, jo izdalīšanās caur nierēm ir tikai neliels imatiniba eliminācijas ceļš (skatīt 4.2</w:t>
      </w:r>
      <w:r w:rsidR="00133942" w:rsidRPr="00CD729C">
        <w:rPr>
          <w:color w:val="000000"/>
          <w:szCs w:val="22"/>
        </w:rPr>
        <w:t>.</w:t>
      </w:r>
      <w:r w:rsidRPr="00CD729C">
        <w:rPr>
          <w:color w:val="000000"/>
          <w:szCs w:val="22"/>
        </w:rPr>
        <w:t xml:space="preserve"> un 4.4</w:t>
      </w:r>
      <w:r w:rsidR="00133942" w:rsidRPr="00CD729C">
        <w:rPr>
          <w:color w:val="000000"/>
          <w:szCs w:val="22"/>
        </w:rPr>
        <w:t>.</w:t>
      </w:r>
      <w:r w:rsidR="00203C0B" w:rsidRPr="00CD729C">
        <w:rPr>
          <w:color w:val="000000"/>
          <w:szCs w:val="22"/>
        </w:rPr>
        <w:t> apakšpunktu</w:t>
      </w:r>
      <w:r w:rsidRPr="00CD729C">
        <w:rPr>
          <w:color w:val="000000"/>
          <w:szCs w:val="22"/>
        </w:rPr>
        <w:t>).</w:t>
      </w:r>
    </w:p>
    <w:p w14:paraId="3D394EB6" w14:textId="77777777" w:rsidR="00412E40" w:rsidRPr="00CD729C" w:rsidRDefault="00412E40" w:rsidP="009B4BB6">
      <w:pPr>
        <w:widowControl w:val="0"/>
        <w:spacing w:line="240" w:lineRule="auto"/>
        <w:rPr>
          <w:color w:val="000000"/>
          <w:szCs w:val="22"/>
        </w:rPr>
      </w:pPr>
    </w:p>
    <w:p w14:paraId="3D394EB7" w14:textId="77777777" w:rsidR="00412E40" w:rsidRPr="00CD729C" w:rsidRDefault="00412E40" w:rsidP="009B4BB6">
      <w:pPr>
        <w:widowControl w:val="0"/>
        <w:spacing w:line="240" w:lineRule="auto"/>
        <w:rPr>
          <w:color w:val="000000"/>
          <w:szCs w:val="22"/>
        </w:rPr>
      </w:pPr>
      <w:r w:rsidRPr="00CD729C">
        <w:rPr>
          <w:color w:val="000000"/>
          <w:szCs w:val="22"/>
        </w:rPr>
        <w:t>Lai gan farmakokinētiskās analīzes rezultāti liecināja, ka pastāv nozīmīgas atšķirības cilvēku vidū, imatiniba vidējā iedarbība pacientiem ar dažādas pakāpes aknu darbības traucējumiem nepalielinājās, salīdzinot ar pacientiem, kam ir normāla nieru darbība (skatīt 4.2</w:t>
      </w:r>
      <w:r w:rsidR="00133942" w:rsidRPr="00CD729C">
        <w:rPr>
          <w:color w:val="000000"/>
          <w:szCs w:val="22"/>
        </w:rPr>
        <w:t>.</w:t>
      </w:r>
      <w:r w:rsidRPr="00CD729C">
        <w:rPr>
          <w:color w:val="000000"/>
          <w:szCs w:val="22"/>
        </w:rPr>
        <w:t>, 4.4</w:t>
      </w:r>
      <w:r w:rsidR="00133942" w:rsidRPr="00CD729C">
        <w:rPr>
          <w:color w:val="000000"/>
          <w:szCs w:val="22"/>
        </w:rPr>
        <w:t>.</w:t>
      </w:r>
      <w:r w:rsidRPr="00CD729C">
        <w:rPr>
          <w:color w:val="000000"/>
          <w:szCs w:val="22"/>
        </w:rPr>
        <w:t xml:space="preserve"> un 4.8</w:t>
      </w:r>
      <w:r w:rsidR="00133942" w:rsidRPr="00CD729C">
        <w:rPr>
          <w:color w:val="000000"/>
          <w:szCs w:val="22"/>
        </w:rPr>
        <w:t>.</w:t>
      </w:r>
      <w:r w:rsidR="00203C0B" w:rsidRPr="00CD729C">
        <w:rPr>
          <w:color w:val="000000"/>
          <w:szCs w:val="22"/>
        </w:rPr>
        <w:t> apakšpunktu</w:t>
      </w:r>
      <w:r w:rsidRPr="00CD729C">
        <w:rPr>
          <w:color w:val="000000"/>
          <w:szCs w:val="22"/>
        </w:rPr>
        <w:t>).</w:t>
      </w:r>
    </w:p>
    <w:p w14:paraId="3D394EB8" w14:textId="77777777" w:rsidR="00412E40" w:rsidRPr="00CD729C" w:rsidRDefault="00412E40" w:rsidP="009B4BB6">
      <w:pPr>
        <w:pStyle w:val="EndnoteText"/>
        <w:widowControl w:val="0"/>
        <w:rPr>
          <w:color w:val="000000"/>
          <w:szCs w:val="22"/>
        </w:rPr>
      </w:pPr>
    </w:p>
    <w:p w14:paraId="3D394EB9" w14:textId="77777777" w:rsidR="00412E40" w:rsidRPr="00CD729C" w:rsidRDefault="00412E40" w:rsidP="009B4BB6">
      <w:pPr>
        <w:keepNext/>
        <w:widowControl w:val="0"/>
        <w:tabs>
          <w:tab w:val="clear" w:pos="567"/>
        </w:tabs>
        <w:spacing w:line="240" w:lineRule="auto"/>
        <w:rPr>
          <w:color w:val="000000"/>
          <w:szCs w:val="22"/>
        </w:rPr>
      </w:pPr>
      <w:r w:rsidRPr="00CD729C">
        <w:rPr>
          <w:b/>
          <w:color w:val="000000"/>
          <w:szCs w:val="22"/>
        </w:rPr>
        <w:t>5.3</w:t>
      </w:r>
      <w:r w:rsidR="00133942" w:rsidRPr="00CD729C">
        <w:rPr>
          <w:b/>
          <w:color w:val="000000"/>
          <w:szCs w:val="22"/>
        </w:rPr>
        <w:t>.</w:t>
      </w:r>
      <w:r w:rsidRPr="00CD729C">
        <w:rPr>
          <w:b/>
          <w:color w:val="000000"/>
          <w:szCs w:val="22"/>
        </w:rPr>
        <w:tab/>
        <w:t>Preklīniskie dati par droš</w:t>
      </w:r>
      <w:r w:rsidR="00566A0A" w:rsidRPr="00CD729C">
        <w:rPr>
          <w:b/>
          <w:color w:val="000000"/>
          <w:szCs w:val="22"/>
        </w:rPr>
        <w:t>umu</w:t>
      </w:r>
    </w:p>
    <w:p w14:paraId="3D394EBA" w14:textId="77777777" w:rsidR="00412E40" w:rsidRPr="00CD729C" w:rsidRDefault="00412E40" w:rsidP="009B4BB6">
      <w:pPr>
        <w:keepNext/>
        <w:widowControl w:val="0"/>
        <w:tabs>
          <w:tab w:val="clear" w:pos="567"/>
        </w:tabs>
        <w:spacing w:line="240" w:lineRule="auto"/>
        <w:ind w:left="567" w:hanging="567"/>
        <w:rPr>
          <w:color w:val="000000"/>
          <w:szCs w:val="22"/>
        </w:rPr>
      </w:pPr>
    </w:p>
    <w:p w14:paraId="3D394EBB"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Imatiniba (lietošanas) preklīniskais droš</w:t>
      </w:r>
      <w:r w:rsidR="00743B0B">
        <w:rPr>
          <w:color w:val="000000"/>
          <w:szCs w:val="22"/>
        </w:rPr>
        <w:t>uma</w:t>
      </w:r>
      <w:r w:rsidRPr="00CD729C">
        <w:rPr>
          <w:color w:val="000000"/>
          <w:szCs w:val="22"/>
        </w:rPr>
        <w:t xml:space="preserve"> profils ir vērtēts, izmantojot žurkas, suņus, pērtiķus un trušus.</w:t>
      </w:r>
    </w:p>
    <w:p w14:paraId="3D394EBC" w14:textId="77777777" w:rsidR="00412E40" w:rsidRPr="00CD729C" w:rsidRDefault="00412E40" w:rsidP="009B4BB6">
      <w:pPr>
        <w:widowControl w:val="0"/>
        <w:tabs>
          <w:tab w:val="clear" w:pos="567"/>
        </w:tabs>
        <w:spacing w:line="240" w:lineRule="auto"/>
        <w:rPr>
          <w:color w:val="000000"/>
          <w:szCs w:val="22"/>
        </w:rPr>
      </w:pPr>
    </w:p>
    <w:p w14:paraId="3D394EBD"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Preklīniskajos pētījumos no žurkām, suņiem un pērtiķiem iegūtie dati par atkārtotu devu toksicitāti liecina par nelielām vai vidēja smaguma hematoloģisko parametru izmaiņām. Žurkām un suņiem novēro arī kaulu smadzeņu izmaiņas.</w:t>
      </w:r>
    </w:p>
    <w:p w14:paraId="3D394EBE" w14:textId="77777777" w:rsidR="00412E40" w:rsidRPr="00CD729C" w:rsidRDefault="00412E40" w:rsidP="009B4BB6">
      <w:pPr>
        <w:widowControl w:val="0"/>
        <w:tabs>
          <w:tab w:val="clear" w:pos="567"/>
        </w:tabs>
        <w:spacing w:line="240" w:lineRule="auto"/>
        <w:rPr>
          <w:color w:val="000000"/>
          <w:szCs w:val="22"/>
        </w:rPr>
      </w:pPr>
    </w:p>
    <w:p w14:paraId="3D394EBF"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Žurkām un suņiem mērķa orgāns bija aknas. Abām dzīvnieku sugām novēroja nelielu vai vidēja smaguma transamināžu daudzuma pieaugumu un nelielu holesterīna, triglicerīdu, kopējā olbaltumvielu un albumīnu koncentrācijas samazinājumu. Žurku aknās histopatoloģiska rakstura izmaiņas nav konstatētas. Suņiem, kas preparātu saņēma 2 nedēļas, novēroja spēcīgu toksisku ietekmi uz aknām, kas izpaudās kā aknu fermentu daudzuma pieaugums, aknu šūnu un žults ceļu nekroze, kā arī žults ceļu hiperplāzija.</w:t>
      </w:r>
    </w:p>
    <w:p w14:paraId="3D394EC0" w14:textId="77777777" w:rsidR="00412E40" w:rsidRPr="00CD729C" w:rsidRDefault="00412E40" w:rsidP="009B4BB6">
      <w:pPr>
        <w:widowControl w:val="0"/>
        <w:tabs>
          <w:tab w:val="clear" w:pos="567"/>
        </w:tabs>
        <w:spacing w:line="240" w:lineRule="auto"/>
        <w:rPr>
          <w:color w:val="000000"/>
          <w:szCs w:val="22"/>
        </w:rPr>
      </w:pPr>
    </w:p>
    <w:p w14:paraId="3D394EC1"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 xml:space="preserve">Pērtiķiem, kas preparātu saņēma 2 nedēļas, novēroja toksisku ietekmi uz nierēm, kas izpaudās kā fokālā mineralizācija, kā arī nieru tubulu paplašināšanās un tubulāra nefroze. Dažiem no šiem dzīvniekiem novēroja asins atlieku slāpekļa BUN un kreatinīna koncentrācijas pieaugumu. Žurkām 13 nedēļas ilga pētījuma laikā, lietojot </w:t>
      </w:r>
      <w:r w:rsidRPr="00CD729C">
        <w:rPr>
          <w:color w:val="000000"/>
          <w:szCs w:val="22"/>
        </w:rPr>
        <w:sym w:font="Symbol" w:char="F0B3"/>
      </w:r>
      <w:r w:rsidRPr="00CD729C">
        <w:rPr>
          <w:color w:val="000000"/>
          <w:szCs w:val="22"/>
        </w:rPr>
        <w:t>6 mg/kg lielas preparāta devas, novēroja nieru papillas un urīnpūšļa epitēlija pārejoša hiperplāzija bez pārmaiņām serumā vai urīna parametros. Ilgstošas imatiniba terapijas rezultātā tika novērots palielināts oportūnistisko infekciju biežums.</w:t>
      </w:r>
    </w:p>
    <w:p w14:paraId="3D394EC2" w14:textId="77777777" w:rsidR="00412E40" w:rsidRPr="00CD729C" w:rsidRDefault="00412E40" w:rsidP="009B4BB6">
      <w:pPr>
        <w:widowControl w:val="0"/>
        <w:tabs>
          <w:tab w:val="clear" w:pos="567"/>
        </w:tabs>
        <w:spacing w:line="240" w:lineRule="auto"/>
        <w:rPr>
          <w:color w:val="000000"/>
          <w:szCs w:val="22"/>
        </w:rPr>
      </w:pPr>
    </w:p>
    <w:p w14:paraId="3D394EC3"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39 nedēļas ilga pētījuma laikā, izmantojot pērtiķus un lietojot zemāko preparāta devu – 15 mg/kg, kas ir aptuveni viena trešā daļa no maksimālās cilvēkam paredzētās devas (800 mg), kas ir aprēķināta, ievērojot ķermeņa virsmas laukumu – deva, pie kuras</w:t>
      </w:r>
      <w:r w:rsidRPr="00CD729C" w:rsidDel="00B5603E">
        <w:rPr>
          <w:color w:val="000000"/>
          <w:szCs w:val="22"/>
        </w:rPr>
        <w:t xml:space="preserve"> </w:t>
      </w:r>
      <w:r w:rsidRPr="00CD729C">
        <w:rPr>
          <w:color w:val="000000"/>
          <w:szCs w:val="22"/>
        </w:rPr>
        <w:t xml:space="preserve">nenovēro blakusparādības </w:t>
      </w:r>
      <w:r w:rsidRPr="00CD729C">
        <w:rPr>
          <w:i/>
          <w:color w:val="000000"/>
          <w:szCs w:val="22"/>
        </w:rPr>
        <w:t>(NOAEL - no observed adverse effect level)</w:t>
      </w:r>
      <w:r w:rsidRPr="00CD729C">
        <w:rPr>
          <w:color w:val="000000"/>
          <w:szCs w:val="22"/>
        </w:rPr>
        <w:t xml:space="preserve"> nav noteikta. Terapijas sekas bija parastos apstākļos nomākto malārijas infekciju saasinājums.</w:t>
      </w:r>
    </w:p>
    <w:p w14:paraId="3D394EC4" w14:textId="77777777" w:rsidR="00412E40" w:rsidRPr="00CD729C" w:rsidRDefault="00412E40" w:rsidP="009B4BB6">
      <w:pPr>
        <w:widowControl w:val="0"/>
        <w:tabs>
          <w:tab w:val="clear" w:pos="567"/>
        </w:tabs>
        <w:spacing w:line="240" w:lineRule="auto"/>
        <w:rPr>
          <w:color w:val="000000"/>
          <w:szCs w:val="22"/>
        </w:rPr>
      </w:pPr>
    </w:p>
    <w:p w14:paraId="3D394EC5"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 xml:space="preserve">Pārbaudot </w:t>
      </w:r>
      <w:r w:rsidRPr="00CD729C">
        <w:rPr>
          <w:i/>
          <w:color w:val="000000"/>
          <w:szCs w:val="22"/>
        </w:rPr>
        <w:t>in vitro</w:t>
      </w:r>
      <w:r w:rsidRPr="00CD729C">
        <w:rPr>
          <w:color w:val="000000"/>
          <w:szCs w:val="22"/>
        </w:rPr>
        <w:t>, izmantojot baktēriju šūnu analīzi (</w:t>
      </w:r>
      <w:r w:rsidRPr="00CD729C">
        <w:rPr>
          <w:i/>
          <w:color w:val="000000"/>
          <w:szCs w:val="22"/>
        </w:rPr>
        <w:t xml:space="preserve">Ames </w:t>
      </w:r>
      <w:r w:rsidRPr="00CD729C">
        <w:rPr>
          <w:color w:val="000000"/>
          <w:szCs w:val="22"/>
        </w:rPr>
        <w:t xml:space="preserve">tests), zīdītāju šūnu analīzi (peļu limfomas tests), kā arī </w:t>
      </w:r>
      <w:r w:rsidRPr="00CD729C">
        <w:rPr>
          <w:i/>
          <w:color w:val="000000"/>
          <w:szCs w:val="22"/>
        </w:rPr>
        <w:t>in vivo</w:t>
      </w:r>
      <w:r w:rsidRPr="00CD729C">
        <w:rPr>
          <w:color w:val="000000"/>
          <w:szCs w:val="22"/>
        </w:rPr>
        <w:t xml:space="preserve">, izmantojot žurku audu kodoliņu testu, ir atzīts, ka imatinibam genotoksiskas ietekmes nav. Pozitīvi imatiniba genotoksicitātes rezultāti </w:t>
      </w:r>
      <w:r w:rsidRPr="00CD729C">
        <w:rPr>
          <w:i/>
          <w:color w:val="000000"/>
          <w:szCs w:val="22"/>
        </w:rPr>
        <w:t xml:space="preserve">in vitro </w:t>
      </w:r>
      <w:r w:rsidRPr="00CD729C">
        <w:rPr>
          <w:color w:val="000000"/>
          <w:szCs w:val="22"/>
        </w:rPr>
        <w:t xml:space="preserve">ir iegūti zīdītāju šūnu testā ar Ķīnas kāmju olnīcu audiem, pētot klastogenitāti (hromosomu aberācijas tests) metaboliskas aktivācijas apstākļos. Divi ražošanas procesā iegūtie starpprodukti, kas atrodas arī gatavajā preparātā, ir mutagēni (pēc </w:t>
      </w:r>
      <w:r w:rsidRPr="00CD729C">
        <w:rPr>
          <w:i/>
          <w:color w:val="000000"/>
          <w:szCs w:val="22"/>
        </w:rPr>
        <w:t xml:space="preserve">Ames </w:t>
      </w:r>
      <w:r w:rsidRPr="00CD729C">
        <w:rPr>
          <w:color w:val="000000"/>
          <w:szCs w:val="22"/>
        </w:rPr>
        <w:t>testa rezultātiem). Viens no šiem starpproduktiem pozitīvu mutagenitāti uzrāda arī peļu limfomas testā.</w:t>
      </w:r>
    </w:p>
    <w:p w14:paraId="3D394EC6" w14:textId="77777777" w:rsidR="00412E40" w:rsidRPr="00CD729C" w:rsidRDefault="00412E40" w:rsidP="009B4BB6">
      <w:pPr>
        <w:widowControl w:val="0"/>
        <w:tabs>
          <w:tab w:val="clear" w:pos="567"/>
        </w:tabs>
        <w:spacing w:line="240" w:lineRule="auto"/>
        <w:rPr>
          <w:color w:val="000000"/>
          <w:szCs w:val="22"/>
        </w:rPr>
      </w:pPr>
    </w:p>
    <w:p w14:paraId="3D394EC7"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 xml:space="preserve">Reprodukcijas spējas pētījumā žurku tēviņiem, kuri pirms pārošanās 70 dienas saņēma 60 mg/kg imatiniba, devu, kas atbilst maksimālajai klīniskajā praksē izmantojamajai devai (800 mg) un kas ir aprēķināta, ievērojot ķermeņa virsmas laukumu, samazinājās sēklinieku un to piedēkļu masa, kā arī kustīgo spermatozoīdu daudzums. Lietojot devu ≤20 mg/kg, parādību nenovēroja. Arī suņiem, perorāli lietojot </w:t>
      </w:r>
      <w:r w:rsidRPr="00CD729C">
        <w:rPr>
          <w:color w:val="000000"/>
          <w:szCs w:val="22"/>
        </w:rPr>
        <w:sym w:font="Symbol" w:char="F0B3"/>
      </w:r>
      <w:r w:rsidRPr="00CD729C">
        <w:rPr>
          <w:color w:val="000000"/>
          <w:szCs w:val="22"/>
        </w:rPr>
        <w:t>30 mg/kg imatiniba devas, novēroja vieglu vai vidēju spermatoģenēzes samazinājumu. Ja preparātu 14 dienas pirms pārošanās un 6 dienas pēc grūsnības iestāšanas deva žurku mātītēm, ietekmi uz pārošanos vai grūsno žurku skaitu nenovēroja. Lietojot 60 mg/kg lielu preparāta devu, žurku mātītēm ievērojamu pēcimplantācijas augļa bojāeju un dzīvo augļu skaita samazinājumu. Lietojot devu ≤20 mg/kg, šo parādību nenovēroja.</w:t>
      </w:r>
    </w:p>
    <w:p w14:paraId="3D394EC8" w14:textId="77777777" w:rsidR="00412E40" w:rsidRPr="00CD729C" w:rsidRDefault="00412E40" w:rsidP="009B4BB6">
      <w:pPr>
        <w:widowControl w:val="0"/>
        <w:tabs>
          <w:tab w:val="clear" w:pos="567"/>
        </w:tabs>
        <w:spacing w:line="240" w:lineRule="auto"/>
        <w:ind w:left="567" w:hanging="567"/>
        <w:rPr>
          <w:color w:val="000000"/>
          <w:szCs w:val="22"/>
        </w:rPr>
      </w:pPr>
    </w:p>
    <w:p w14:paraId="3D394EC9" w14:textId="77777777" w:rsidR="00412E40" w:rsidRPr="00CD729C" w:rsidRDefault="00412E40" w:rsidP="009B4BB6">
      <w:pPr>
        <w:widowControl w:val="0"/>
        <w:spacing w:line="240" w:lineRule="auto"/>
        <w:rPr>
          <w:color w:val="000000"/>
          <w:szCs w:val="22"/>
        </w:rPr>
      </w:pPr>
      <w:r w:rsidRPr="00CD729C">
        <w:rPr>
          <w:color w:val="000000"/>
          <w:szCs w:val="22"/>
        </w:rPr>
        <w:t>Prenatālās un postnatālās attīstības pētījumos, izmantojot žurkas, kas saņēma perorālas preparāta devas, dzīvnieku grupā, kas saņēma 45 mg/kg preparāta dienā, grūsnības 14 vai 15 dienā novēroja sarkanus izdalījumus no maksts. Šīs devas lietošanas gadījumā pieauga arī nedzīvi dzimušu mazuļu, kā arī 0 vai 4 pēcdzemdību dienā mirušo mazuļu skaits. F</w:t>
      </w:r>
      <w:r w:rsidRPr="00CD729C">
        <w:rPr>
          <w:color w:val="000000"/>
          <w:szCs w:val="22"/>
          <w:vertAlign w:val="subscript"/>
        </w:rPr>
        <w:t>1</w:t>
      </w:r>
      <w:r w:rsidRPr="00CD729C">
        <w:rPr>
          <w:color w:val="000000"/>
          <w:szCs w:val="22"/>
        </w:rPr>
        <w:t xml:space="preserve"> paaudzē, lietojot minēto devu, no dzimšanas līdz dzīvnieku nonāvēšanai to ķermeņa masa bija mazāka, kā arī, sasniedzot prepūcija separācijas kritērijus, nedaudz samazinājās atnešanās skaits. F</w:t>
      </w:r>
      <w:r w:rsidRPr="00CD729C">
        <w:rPr>
          <w:color w:val="000000"/>
          <w:szCs w:val="22"/>
          <w:vertAlign w:val="subscript"/>
        </w:rPr>
        <w:t>1</w:t>
      </w:r>
      <w:r w:rsidRPr="00CD729C">
        <w:rPr>
          <w:color w:val="000000"/>
          <w:szCs w:val="22"/>
        </w:rPr>
        <w:t xml:space="preserve"> paaudzē dzīvnieku fertilitāte traucēta nav, tomēr, lietojot 45 mg/kg preparāta dienā, paaugstinājās (augļa) resorbcijas biežums un samazinājās dzīvo augļu skaits. Deva, kas neietekmē </w:t>
      </w:r>
      <w:r w:rsidRPr="00CD729C">
        <w:rPr>
          <w:i/>
          <w:color w:val="000000"/>
          <w:szCs w:val="22"/>
        </w:rPr>
        <w:t>(NOEL- no observed effect level)</w:t>
      </w:r>
      <w:r w:rsidRPr="00CD729C">
        <w:rPr>
          <w:color w:val="000000"/>
          <w:szCs w:val="22"/>
        </w:rPr>
        <w:t xml:space="preserve"> šādā veidā dzīvnieku mātītes un F</w:t>
      </w:r>
      <w:r w:rsidRPr="00CD729C">
        <w:rPr>
          <w:color w:val="000000"/>
          <w:szCs w:val="22"/>
          <w:vertAlign w:val="subscript"/>
        </w:rPr>
        <w:t>1</w:t>
      </w:r>
      <w:r w:rsidRPr="00CD729C">
        <w:rPr>
          <w:color w:val="000000"/>
          <w:szCs w:val="22"/>
        </w:rPr>
        <w:t xml:space="preserve"> paaudzes pēcnācējus, ir 15 mg/kg preparāta dienā (atbilst ceturtajai daļai maksimālās cilvēkam paredzētās devas 800 mg).</w:t>
      </w:r>
    </w:p>
    <w:p w14:paraId="3D394ECA" w14:textId="77777777" w:rsidR="00412E40" w:rsidRPr="00CD729C" w:rsidRDefault="00412E40" w:rsidP="009B4BB6">
      <w:pPr>
        <w:widowControl w:val="0"/>
        <w:tabs>
          <w:tab w:val="clear" w:pos="567"/>
        </w:tabs>
        <w:spacing w:line="240" w:lineRule="auto"/>
        <w:rPr>
          <w:color w:val="000000"/>
          <w:szCs w:val="22"/>
        </w:rPr>
      </w:pPr>
    </w:p>
    <w:p w14:paraId="3D394ECB" w14:textId="77777777" w:rsidR="00412E40" w:rsidRPr="00CD729C" w:rsidRDefault="00412E40" w:rsidP="009B4BB6">
      <w:pPr>
        <w:widowControl w:val="0"/>
        <w:tabs>
          <w:tab w:val="clear" w:pos="567"/>
        </w:tabs>
        <w:spacing w:line="240" w:lineRule="auto"/>
        <w:rPr>
          <w:color w:val="000000"/>
          <w:szCs w:val="22"/>
        </w:rPr>
      </w:pPr>
      <w:r w:rsidRPr="00CD729C">
        <w:rPr>
          <w:color w:val="000000"/>
          <w:szCs w:val="22"/>
        </w:rPr>
        <w:t>Žurkām, organoģenēzes periodā ievadot preparātu ≥100 mg/kg, kas aptuveni atbilst maksimālajai cilvēkam paredzētajai devai 800 mg/dienā, kas aprēķināta pēc ķermeņa virsmas laukuma, imatinibs ir teratogēns. Teratogenitātes izpausmes ir eksencefālija vai galvas smadzeņu trūce, iztrūkstoši/samazināti frontālie un iztrūkstoši parietālie kauli. Lietojot devu ≤30 mg/kg, parādību nenovēroja.</w:t>
      </w:r>
    </w:p>
    <w:p w14:paraId="3D394ECC" w14:textId="77777777" w:rsidR="003239C1" w:rsidRPr="00CD729C" w:rsidRDefault="003239C1" w:rsidP="009B4BB6">
      <w:pPr>
        <w:widowControl w:val="0"/>
        <w:tabs>
          <w:tab w:val="clear" w:pos="567"/>
        </w:tabs>
        <w:spacing w:line="240" w:lineRule="auto"/>
        <w:rPr>
          <w:color w:val="000000"/>
          <w:szCs w:val="22"/>
        </w:rPr>
      </w:pPr>
    </w:p>
    <w:p w14:paraId="3D394ECD" w14:textId="77777777" w:rsidR="003239C1" w:rsidRPr="00CD729C" w:rsidRDefault="003239C1" w:rsidP="009B4BB6">
      <w:pPr>
        <w:widowControl w:val="0"/>
        <w:tabs>
          <w:tab w:val="clear" w:pos="567"/>
        </w:tabs>
        <w:spacing w:line="240" w:lineRule="auto"/>
        <w:rPr>
          <w:rStyle w:val="hps"/>
        </w:rPr>
      </w:pPr>
      <w:r w:rsidRPr="00CD729C">
        <w:rPr>
          <w:rStyle w:val="hps"/>
        </w:rPr>
        <w:t>Žurku</w:t>
      </w:r>
      <w:r w:rsidRPr="00CD729C">
        <w:t xml:space="preserve"> </w:t>
      </w:r>
      <w:r w:rsidRPr="00CD729C">
        <w:rPr>
          <w:rStyle w:val="hps"/>
        </w:rPr>
        <w:t>mazuļu</w:t>
      </w:r>
      <w:r w:rsidRPr="00CD729C">
        <w:t xml:space="preserve"> </w:t>
      </w:r>
      <w:r w:rsidRPr="00CD729C">
        <w:rPr>
          <w:rStyle w:val="hps"/>
        </w:rPr>
        <w:t>attīstības</w:t>
      </w:r>
      <w:r w:rsidRPr="00CD729C">
        <w:t xml:space="preserve"> </w:t>
      </w:r>
      <w:r w:rsidRPr="00CD729C">
        <w:rPr>
          <w:rStyle w:val="hps"/>
        </w:rPr>
        <w:t>toksikoloģijas pētījumā</w:t>
      </w:r>
      <w:r w:rsidRPr="00CD729C">
        <w:t xml:space="preserve"> </w:t>
      </w:r>
      <w:r w:rsidRPr="00CD729C">
        <w:rPr>
          <w:rStyle w:val="hps"/>
        </w:rPr>
        <w:t>(10 līdz 70</w:t>
      </w:r>
      <w:r w:rsidRPr="00CD729C">
        <w:t xml:space="preserve"> dienu </w:t>
      </w:r>
      <w:r w:rsidRPr="00CD729C">
        <w:rPr>
          <w:rStyle w:val="hps"/>
        </w:rPr>
        <w:t>pēc atnešanās</w:t>
      </w:r>
      <w:r w:rsidRPr="00CD729C">
        <w:t xml:space="preserve">) </w:t>
      </w:r>
      <w:r w:rsidRPr="00CD729C">
        <w:rPr>
          <w:rStyle w:val="hps"/>
        </w:rPr>
        <w:t>jauni</w:t>
      </w:r>
      <w:r w:rsidRPr="00CD729C">
        <w:t xml:space="preserve"> </w:t>
      </w:r>
      <w:r w:rsidRPr="00CD729C">
        <w:rPr>
          <w:rStyle w:val="hps"/>
        </w:rPr>
        <w:t>mērķa</w:t>
      </w:r>
      <w:r w:rsidRPr="00CD729C">
        <w:t xml:space="preserve"> </w:t>
      </w:r>
      <w:r w:rsidRPr="00CD729C">
        <w:rPr>
          <w:rStyle w:val="hps"/>
        </w:rPr>
        <w:t>orgāni</w:t>
      </w:r>
      <w:r w:rsidRPr="00CD729C">
        <w:t xml:space="preserve"> ne</w:t>
      </w:r>
      <w:r w:rsidRPr="00CD729C">
        <w:rPr>
          <w:rStyle w:val="hps"/>
        </w:rPr>
        <w:t>tika</w:t>
      </w:r>
      <w:r w:rsidRPr="00CD729C">
        <w:t xml:space="preserve"> </w:t>
      </w:r>
      <w:r w:rsidRPr="00CD729C">
        <w:rPr>
          <w:rStyle w:val="hps"/>
        </w:rPr>
        <w:t>identificēti</w:t>
      </w:r>
      <w:r w:rsidRPr="00CD729C">
        <w:t xml:space="preserve"> </w:t>
      </w:r>
      <w:r w:rsidRPr="00CD729C">
        <w:rPr>
          <w:rStyle w:val="hps"/>
        </w:rPr>
        <w:t>attiecībā</w:t>
      </w:r>
      <w:r w:rsidRPr="00CD729C">
        <w:t xml:space="preserve"> </w:t>
      </w:r>
      <w:r w:rsidRPr="00CD729C">
        <w:rPr>
          <w:rStyle w:val="hps"/>
        </w:rPr>
        <w:t>pret</w:t>
      </w:r>
      <w:r w:rsidRPr="00CD729C">
        <w:t xml:space="preserve"> </w:t>
      </w:r>
      <w:r w:rsidRPr="00CD729C">
        <w:rPr>
          <w:rStyle w:val="hps"/>
        </w:rPr>
        <w:t>zināmajiem</w:t>
      </w:r>
      <w:r w:rsidRPr="00CD729C">
        <w:t xml:space="preserve"> </w:t>
      </w:r>
      <w:r w:rsidRPr="00CD729C">
        <w:rPr>
          <w:rStyle w:val="hps"/>
        </w:rPr>
        <w:t>mērķa</w:t>
      </w:r>
      <w:r w:rsidRPr="00CD729C">
        <w:t xml:space="preserve"> </w:t>
      </w:r>
      <w:r w:rsidRPr="00CD729C">
        <w:rPr>
          <w:rStyle w:val="hps"/>
        </w:rPr>
        <w:t>orgāniem</w:t>
      </w:r>
      <w:r w:rsidRPr="00CD729C">
        <w:t xml:space="preserve"> </w:t>
      </w:r>
      <w:r w:rsidRPr="00CD729C">
        <w:rPr>
          <w:rStyle w:val="hps"/>
        </w:rPr>
        <w:t>pieaugušām žurkām</w:t>
      </w:r>
      <w:r w:rsidRPr="00CD729C">
        <w:t xml:space="preserve">. </w:t>
      </w:r>
      <w:r w:rsidRPr="00CD729C">
        <w:rPr>
          <w:rStyle w:val="hps"/>
        </w:rPr>
        <w:t>Juvenīlajā</w:t>
      </w:r>
      <w:r w:rsidRPr="00CD729C">
        <w:t xml:space="preserve"> </w:t>
      </w:r>
      <w:r w:rsidRPr="00CD729C">
        <w:rPr>
          <w:rStyle w:val="hps"/>
        </w:rPr>
        <w:t>toksikoloģijas pētījumā</w:t>
      </w:r>
      <w:r w:rsidRPr="00CD729C">
        <w:t xml:space="preserve"> </w:t>
      </w:r>
      <w:r w:rsidRPr="00CD729C">
        <w:rPr>
          <w:rStyle w:val="hps"/>
        </w:rPr>
        <w:t>ietekmi uz</w:t>
      </w:r>
      <w:r w:rsidRPr="00CD729C">
        <w:t xml:space="preserve"> </w:t>
      </w:r>
      <w:r w:rsidRPr="00CD729C">
        <w:rPr>
          <w:rStyle w:val="hps"/>
        </w:rPr>
        <w:t>augšanu,</w:t>
      </w:r>
      <w:r w:rsidRPr="00CD729C">
        <w:t xml:space="preserve"> </w:t>
      </w:r>
      <w:r w:rsidRPr="00CD729C">
        <w:rPr>
          <w:rStyle w:val="hps"/>
        </w:rPr>
        <w:t>vagīnas atvēršanās</w:t>
      </w:r>
      <w:r w:rsidRPr="00CD729C">
        <w:t xml:space="preserve"> </w:t>
      </w:r>
      <w:r w:rsidRPr="00CD729C">
        <w:rPr>
          <w:rStyle w:val="hps"/>
        </w:rPr>
        <w:t>kavēšanos un prepūcija</w:t>
      </w:r>
      <w:r w:rsidRPr="00CD729C">
        <w:t xml:space="preserve"> </w:t>
      </w:r>
      <w:r w:rsidRPr="00CD729C">
        <w:rPr>
          <w:rStyle w:val="hps"/>
        </w:rPr>
        <w:t>atdalīšanos</w:t>
      </w:r>
      <w:r w:rsidRPr="00CD729C">
        <w:t xml:space="preserve"> </w:t>
      </w:r>
      <w:r w:rsidRPr="00CD729C">
        <w:rPr>
          <w:rStyle w:val="hps"/>
        </w:rPr>
        <w:t>novēroja</w:t>
      </w:r>
      <w:r w:rsidRPr="00CD729C">
        <w:t xml:space="preserve"> </w:t>
      </w:r>
      <w:r w:rsidRPr="00CD729C">
        <w:rPr>
          <w:rStyle w:val="hps"/>
        </w:rPr>
        <w:t>aptuveni 0,3</w:t>
      </w:r>
      <w:r w:rsidRPr="00CD729C">
        <w:t xml:space="preserve"> </w:t>
      </w:r>
      <w:r w:rsidRPr="00CD729C">
        <w:rPr>
          <w:rStyle w:val="hps"/>
        </w:rPr>
        <w:t>līdz 2 reizes biežāk nekā vidēji</w:t>
      </w:r>
      <w:r w:rsidRPr="00CD729C">
        <w:t xml:space="preserve"> </w:t>
      </w:r>
      <w:r w:rsidRPr="00CD729C">
        <w:rPr>
          <w:rStyle w:val="hps"/>
        </w:rPr>
        <w:t>pediatriskajā populācijā, lietojot</w:t>
      </w:r>
      <w:r w:rsidRPr="00CD729C">
        <w:t xml:space="preserve"> </w:t>
      </w:r>
      <w:r w:rsidRPr="00CD729C">
        <w:rPr>
          <w:rStyle w:val="hps"/>
        </w:rPr>
        <w:t>augstāko ieteikto</w:t>
      </w:r>
      <w:r w:rsidRPr="00CD729C">
        <w:t xml:space="preserve"> </w:t>
      </w:r>
      <w:r w:rsidRPr="00CD729C">
        <w:rPr>
          <w:rStyle w:val="hps"/>
        </w:rPr>
        <w:t>devu</w:t>
      </w:r>
      <w:r w:rsidRPr="00CD729C">
        <w:t xml:space="preserve"> - 340 mg/m</w:t>
      </w:r>
      <w:r w:rsidRPr="00CD729C">
        <w:rPr>
          <w:vertAlign w:val="superscript"/>
        </w:rPr>
        <w:t>2</w:t>
      </w:r>
      <w:r w:rsidRPr="00CD729C">
        <w:rPr>
          <w:rStyle w:val="hps"/>
        </w:rPr>
        <w:t>. Turklāt</w:t>
      </w:r>
      <w:r w:rsidRPr="00CD729C">
        <w:t xml:space="preserve">, </w:t>
      </w:r>
      <w:r w:rsidRPr="00CD729C">
        <w:rPr>
          <w:rStyle w:val="hps"/>
        </w:rPr>
        <w:t>mirstība,</w:t>
      </w:r>
      <w:r w:rsidRPr="00CD729C">
        <w:t xml:space="preserve"> kas </w:t>
      </w:r>
      <w:r w:rsidRPr="00CD729C">
        <w:rPr>
          <w:rStyle w:val="hps"/>
        </w:rPr>
        <w:t>tika novērota</w:t>
      </w:r>
      <w:r w:rsidRPr="00CD729C">
        <w:t xml:space="preserve"> </w:t>
      </w:r>
      <w:r w:rsidRPr="00CD729C">
        <w:rPr>
          <w:rStyle w:val="hps"/>
        </w:rPr>
        <w:t>juvenīlajiem dzīvniekiem</w:t>
      </w:r>
      <w:r w:rsidRPr="00CD729C">
        <w:t xml:space="preserve"> </w:t>
      </w:r>
      <w:r w:rsidRPr="00CD729C">
        <w:rPr>
          <w:rStyle w:val="hps"/>
        </w:rPr>
        <w:t>(aptuveni</w:t>
      </w:r>
      <w:r w:rsidRPr="00CD729C">
        <w:t xml:space="preserve"> </w:t>
      </w:r>
      <w:r w:rsidRPr="00CD729C">
        <w:rPr>
          <w:rStyle w:val="hps"/>
        </w:rPr>
        <w:t>atšķiršanas</w:t>
      </w:r>
      <w:r w:rsidRPr="00CD729C">
        <w:t xml:space="preserve"> </w:t>
      </w:r>
      <w:r w:rsidRPr="00CD729C">
        <w:rPr>
          <w:rStyle w:val="hps"/>
        </w:rPr>
        <w:t>laikā</w:t>
      </w:r>
      <w:r w:rsidRPr="00CD729C">
        <w:t xml:space="preserve">), aptuveni </w:t>
      </w:r>
      <w:r w:rsidRPr="00CD729C">
        <w:rPr>
          <w:rStyle w:val="hps"/>
        </w:rPr>
        <w:t>2</w:t>
      </w:r>
      <w:r w:rsidRPr="00CD729C">
        <w:t xml:space="preserve"> </w:t>
      </w:r>
      <w:r w:rsidRPr="00CD729C">
        <w:rPr>
          <w:rStyle w:val="hps"/>
        </w:rPr>
        <w:t>reizes</w:t>
      </w:r>
      <w:r w:rsidRPr="00CD729C">
        <w:t xml:space="preserve"> pārsniedza </w:t>
      </w:r>
      <w:r w:rsidRPr="00CD729C">
        <w:rPr>
          <w:rStyle w:val="hps"/>
        </w:rPr>
        <w:t>vidējo rādītāju</w:t>
      </w:r>
      <w:r w:rsidRPr="00CD729C">
        <w:t xml:space="preserve"> </w:t>
      </w:r>
      <w:r w:rsidRPr="00CD729C">
        <w:rPr>
          <w:rStyle w:val="hps"/>
        </w:rPr>
        <w:t>pediatriskajā populācijā,</w:t>
      </w:r>
      <w:r w:rsidRPr="00CD729C">
        <w:t xml:space="preserve"> </w:t>
      </w:r>
      <w:r w:rsidRPr="00CD729C">
        <w:rPr>
          <w:rStyle w:val="hps"/>
        </w:rPr>
        <w:t>lietojot</w:t>
      </w:r>
      <w:r w:rsidRPr="00CD729C">
        <w:t xml:space="preserve"> </w:t>
      </w:r>
      <w:r w:rsidRPr="00CD729C">
        <w:rPr>
          <w:rStyle w:val="hps"/>
        </w:rPr>
        <w:t>augstāko ieteikto</w:t>
      </w:r>
      <w:r w:rsidRPr="00CD729C">
        <w:t xml:space="preserve"> </w:t>
      </w:r>
      <w:r w:rsidRPr="00CD729C">
        <w:rPr>
          <w:rStyle w:val="hps"/>
        </w:rPr>
        <w:t>devu</w:t>
      </w:r>
      <w:r w:rsidRPr="00CD729C">
        <w:t xml:space="preserve"> - 340 mg/m</w:t>
      </w:r>
      <w:r w:rsidRPr="00CD729C">
        <w:rPr>
          <w:vertAlign w:val="superscript"/>
        </w:rPr>
        <w:t>2</w:t>
      </w:r>
      <w:r w:rsidRPr="00CD729C">
        <w:rPr>
          <w:rStyle w:val="hps"/>
        </w:rPr>
        <w:t>.</w:t>
      </w:r>
    </w:p>
    <w:p w14:paraId="3D394ECE" w14:textId="77777777" w:rsidR="00412E40" w:rsidRPr="00CD729C" w:rsidRDefault="00412E40" w:rsidP="009B4BB6">
      <w:pPr>
        <w:widowControl w:val="0"/>
        <w:tabs>
          <w:tab w:val="clear" w:pos="567"/>
        </w:tabs>
        <w:spacing w:line="240" w:lineRule="auto"/>
        <w:rPr>
          <w:color w:val="000000"/>
          <w:szCs w:val="22"/>
        </w:rPr>
      </w:pPr>
    </w:p>
    <w:p w14:paraId="3D394ECF" w14:textId="77777777" w:rsidR="00412E40" w:rsidRPr="00CD729C" w:rsidRDefault="00412E40" w:rsidP="009B4BB6">
      <w:pPr>
        <w:widowControl w:val="0"/>
        <w:spacing w:line="240" w:lineRule="auto"/>
        <w:rPr>
          <w:bCs/>
          <w:color w:val="000000"/>
          <w:szCs w:val="22"/>
        </w:rPr>
      </w:pPr>
      <w:r w:rsidRPr="00CD729C">
        <w:rPr>
          <w:bCs/>
          <w:color w:val="000000"/>
          <w:szCs w:val="22"/>
        </w:rPr>
        <w:t>2 gadu karcinogenitātes pētījums ar žurkām, kuras saņēma 15, 30 un 60 mg/kg/dienā imatiniba devas, parādīja statistiski ievērojamu dzīvildzes samazinājumu, tēviņiem saņemot 60 mg/kg/dienā un mātītēm saņemot ≥30 mg/kg/dienā. Mirušo histopatoloģiskā izmeklēšanā kā galvenie nāves iemesli tika konstatēti kardiomiopātija (abiem dzimumiem), hroniska progresējoša nefropātija (sieviešu dzimuma indivīdiem) un prepūcija dziedzera papillomu veidošanās. Neoplastisko izmaiņu mērķa orgāni bija nieres, urīnpūslis, urīnizvadkanāls, prepūcija un klitora dziedzeris, tievā zarna, epitēlijķermenīši, virsnieres un kuņģa daļās ar atrofētiem dziedzeriem.</w:t>
      </w:r>
    </w:p>
    <w:p w14:paraId="3D394ED0" w14:textId="77777777" w:rsidR="00412E40" w:rsidRPr="00CD729C" w:rsidRDefault="00412E40" w:rsidP="009B4BB6">
      <w:pPr>
        <w:widowControl w:val="0"/>
        <w:spacing w:line="240" w:lineRule="auto"/>
        <w:rPr>
          <w:bCs/>
          <w:color w:val="000000"/>
          <w:szCs w:val="22"/>
        </w:rPr>
      </w:pPr>
    </w:p>
    <w:p w14:paraId="3D394ED1" w14:textId="77777777" w:rsidR="00412E40" w:rsidRPr="00CD729C" w:rsidRDefault="00412E40" w:rsidP="009B4BB6">
      <w:pPr>
        <w:widowControl w:val="0"/>
        <w:spacing w:line="240" w:lineRule="auto"/>
        <w:rPr>
          <w:bCs/>
          <w:color w:val="000000"/>
          <w:szCs w:val="22"/>
        </w:rPr>
      </w:pPr>
      <w:r w:rsidRPr="00CD729C">
        <w:rPr>
          <w:bCs/>
          <w:color w:val="000000"/>
          <w:szCs w:val="22"/>
        </w:rPr>
        <w:t>Prepūcija/klitora dziedzera papilloma/karcinoma tika novērota, lietojot vairāk nekā 30 mg/kg/dienā devu, kas aptuveni 0,5 vai 0,3 reizes pārsniedz cilvēka dienas devu (pēc AUC) 400 mg/dienā vai 800 mg/dienā, un attiecīgi 0,4 reizes pārsniedz bērna dienas devu (pēc AUC) 340 mg/</w:t>
      </w:r>
      <w:r w:rsidRPr="00CD729C">
        <w:rPr>
          <w:bCs/>
          <w:color w:val="000000"/>
        </w:rPr>
        <w:t>m</w:t>
      </w:r>
      <w:r w:rsidRPr="00CD729C">
        <w:rPr>
          <w:bCs/>
          <w:color w:val="000000"/>
          <w:szCs w:val="22"/>
          <w:vertAlign w:val="superscript"/>
        </w:rPr>
        <w:t>2</w:t>
      </w:r>
      <w:r w:rsidRPr="00CD729C">
        <w:rPr>
          <w:bCs/>
          <w:color w:val="000000"/>
          <w:szCs w:val="22"/>
        </w:rPr>
        <w:t xml:space="preserve">/dienā. Deva, kas neradīja novērojamu iedarbību </w:t>
      </w:r>
      <w:r w:rsidRPr="00CD729C">
        <w:rPr>
          <w:i/>
          <w:color w:val="000000"/>
          <w:szCs w:val="22"/>
        </w:rPr>
        <w:t>(NOEL - no observed effect level)</w:t>
      </w:r>
      <w:r w:rsidRPr="00CD729C">
        <w:rPr>
          <w:color w:val="000000"/>
          <w:szCs w:val="22"/>
        </w:rPr>
        <w:t xml:space="preserve"> </w:t>
      </w:r>
      <w:r w:rsidRPr="00CD729C">
        <w:rPr>
          <w:bCs/>
          <w:color w:val="000000"/>
          <w:szCs w:val="22"/>
        </w:rPr>
        <w:t>bija 15 mg/kg/dienā. Nieru adenomu/karcinomu, urīnpūšļa un urīnizvadkanāla papillomu, tievās zarnas adenokarcinomu, epitēlijķermenīšu adenomu, virsnieru serdes labdabīgu un ļaundabīgu audzēju un kuņģa daļu ar atrofētiem dziedzeriem papillomu/karcinomu veidošanās tika novērota lietojot 60 mg/kg/dienā devu, kas aptuveni 1,7 vai 1 reizi pārsniedz cilvēka dienas devu (pēc AUC) 400 mg/dienā vai 800 mg/dienā, un attiecīgi 1,2 reizes pārsniedz bērna dienas devu (pēc AUC) 340 mg/</w:t>
      </w:r>
      <w:r w:rsidRPr="00CD729C">
        <w:rPr>
          <w:bCs/>
          <w:color w:val="000000"/>
        </w:rPr>
        <w:t>m</w:t>
      </w:r>
      <w:r w:rsidRPr="00CD729C">
        <w:rPr>
          <w:bCs/>
          <w:color w:val="000000"/>
          <w:szCs w:val="22"/>
          <w:vertAlign w:val="superscript"/>
        </w:rPr>
        <w:t>2</w:t>
      </w:r>
      <w:r w:rsidRPr="00CD729C">
        <w:rPr>
          <w:bCs/>
          <w:color w:val="000000"/>
          <w:szCs w:val="22"/>
        </w:rPr>
        <w:t xml:space="preserve">/dienā. Deva, kas neradīja novērojamu iedarbību </w:t>
      </w:r>
      <w:r w:rsidRPr="00CD729C">
        <w:rPr>
          <w:bCs/>
          <w:i/>
          <w:color w:val="000000"/>
          <w:szCs w:val="22"/>
        </w:rPr>
        <w:t>(NOEL - no observed effect level)</w:t>
      </w:r>
      <w:r w:rsidRPr="00CD729C">
        <w:rPr>
          <w:bCs/>
          <w:color w:val="000000"/>
          <w:szCs w:val="22"/>
        </w:rPr>
        <w:t xml:space="preserve"> bija 30 mg/kg/dienā.</w:t>
      </w:r>
    </w:p>
    <w:p w14:paraId="3D394ED2" w14:textId="77777777" w:rsidR="00412E40" w:rsidRPr="00CD729C" w:rsidRDefault="00412E40" w:rsidP="009B4BB6">
      <w:pPr>
        <w:widowControl w:val="0"/>
        <w:spacing w:line="240" w:lineRule="auto"/>
        <w:rPr>
          <w:bCs/>
          <w:color w:val="000000"/>
          <w:szCs w:val="22"/>
        </w:rPr>
      </w:pPr>
    </w:p>
    <w:p w14:paraId="3D394ED3" w14:textId="77777777" w:rsidR="00412E40" w:rsidRPr="00CD729C" w:rsidRDefault="00412E40" w:rsidP="009B4BB6">
      <w:pPr>
        <w:widowControl w:val="0"/>
        <w:spacing w:line="240" w:lineRule="auto"/>
        <w:rPr>
          <w:bCs/>
          <w:color w:val="000000"/>
          <w:szCs w:val="22"/>
        </w:rPr>
      </w:pPr>
      <w:r w:rsidRPr="00CD729C">
        <w:rPr>
          <w:bCs/>
          <w:color w:val="000000"/>
          <w:szCs w:val="22"/>
        </w:rPr>
        <w:t>Šo novērojumu mehānisms un saistība starp karcinogenitātes pētījumu žurkām un cilvēkiem pagaidām nav zināma.</w:t>
      </w:r>
    </w:p>
    <w:p w14:paraId="3D394ED4" w14:textId="77777777" w:rsidR="00412E40" w:rsidRPr="00CD729C" w:rsidRDefault="00412E40" w:rsidP="009B4BB6">
      <w:pPr>
        <w:widowControl w:val="0"/>
        <w:spacing w:line="240" w:lineRule="auto"/>
        <w:rPr>
          <w:bCs/>
          <w:color w:val="000000"/>
          <w:szCs w:val="22"/>
        </w:rPr>
      </w:pPr>
    </w:p>
    <w:p w14:paraId="3D394ED5" w14:textId="77777777" w:rsidR="00412E40" w:rsidRPr="00CD729C" w:rsidRDefault="00412E40" w:rsidP="009B4BB6">
      <w:pPr>
        <w:widowControl w:val="0"/>
        <w:spacing w:line="240" w:lineRule="auto"/>
        <w:rPr>
          <w:bCs/>
          <w:color w:val="000000"/>
          <w:szCs w:val="22"/>
        </w:rPr>
      </w:pPr>
      <w:r w:rsidRPr="00CD729C">
        <w:rPr>
          <w:bCs/>
          <w:color w:val="000000"/>
          <w:szCs w:val="22"/>
        </w:rPr>
        <w:t>Ne-neoplastiski bojājumi, kas iepriekšējos preklīniskajos pētījumos netika novēroti, saistīti ar sirds-asinsvadu sistēmu, aizkuņģa dziedzeri, endokrīnās sistēmas orgāniem un zobiem. Vissvarīgākās izmaiņas bija saistītas ar sirds hipertrofiju un dilatāciju, kas dažiem dzīvniekiem izraisīja sirds mazspējas pazīmes.</w:t>
      </w:r>
    </w:p>
    <w:p w14:paraId="3D394ED6" w14:textId="77777777" w:rsidR="001F434B" w:rsidRPr="00CD729C" w:rsidRDefault="001F434B" w:rsidP="009B4BB6">
      <w:pPr>
        <w:widowControl w:val="0"/>
        <w:tabs>
          <w:tab w:val="clear" w:pos="567"/>
        </w:tabs>
        <w:spacing w:line="240" w:lineRule="auto"/>
        <w:ind w:left="567" w:hanging="567"/>
        <w:rPr>
          <w:color w:val="000000"/>
          <w:szCs w:val="22"/>
        </w:rPr>
      </w:pPr>
    </w:p>
    <w:p w14:paraId="3D394ED7" w14:textId="77777777" w:rsidR="001F434B" w:rsidRPr="00CD729C" w:rsidRDefault="001F434B" w:rsidP="009B4BB6">
      <w:pPr>
        <w:widowControl w:val="0"/>
        <w:tabs>
          <w:tab w:val="clear" w:pos="567"/>
        </w:tabs>
        <w:spacing w:line="240" w:lineRule="auto"/>
        <w:ind w:left="567" w:hanging="567"/>
        <w:rPr>
          <w:color w:val="000000"/>
          <w:szCs w:val="22"/>
        </w:rPr>
      </w:pPr>
      <w:r w:rsidRPr="00CD729C">
        <w:rPr>
          <w:color w:val="000000"/>
          <w:szCs w:val="22"/>
        </w:rPr>
        <w:t>Aktīvajai vielai imatinibam piemīt risks apkārtējai videi uzkrāties organismos.</w:t>
      </w:r>
    </w:p>
    <w:p w14:paraId="3D394ED8" w14:textId="77777777" w:rsidR="00412E40" w:rsidRPr="00CD729C" w:rsidRDefault="00412E40" w:rsidP="009B4BB6">
      <w:pPr>
        <w:widowControl w:val="0"/>
        <w:tabs>
          <w:tab w:val="clear" w:pos="567"/>
        </w:tabs>
        <w:spacing w:line="240" w:lineRule="auto"/>
        <w:ind w:left="567" w:hanging="567"/>
        <w:rPr>
          <w:color w:val="000000"/>
          <w:szCs w:val="22"/>
        </w:rPr>
      </w:pPr>
    </w:p>
    <w:p w14:paraId="3D394ED9" w14:textId="77777777" w:rsidR="00412E40" w:rsidRPr="00CD729C" w:rsidRDefault="00412E40" w:rsidP="009B4BB6">
      <w:pPr>
        <w:widowControl w:val="0"/>
        <w:tabs>
          <w:tab w:val="clear" w:pos="567"/>
        </w:tabs>
        <w:spacing w:line="240" w:lineRule="auto"/>
        <w:ind w:left="567" w:hanging="567"/>
        <w:rPr>
          <w:color w:val="000000"/>
          <w:szCs w:val="22"/>
        </w:rPr>
      </w:pPr>
    </w:p>
    <w:p w14:paraId="3D394EDA" w14:textId="77777777" w:rsidR="005117C7" w:rsidRPr="00CD729C" w:rsidRDefault="005117C7" w:rsidP="009B4BB6">
      <w:pPr>
        <w:keepNext/>
        <w:widowControl w:val="0"/>
        <w:tabs>
          <w:tab w:val="clear" w:pos="567"/>
        </w:tabs>
        <w:spacing w:line="240" w:lineRule="auto"/>
        <w:ind w:left="567" w:hanging="567"/>
        <w:rPr>
          <w:b/>
          <w:color w:val="000000"/>
          <w:szCs w:val="22"/>
        </w:rPr>
      </w:pPr>
      <w:r w:rsidRPr="00CD729C">
        <w:rPr>
          <w:b/>
          <w:color w:val="000000"/>
          <w:szCs w:val="22"/>
        </w:rPr>
        <w:t>6.</w:t>
      </w:r>
      <w:r w:rsidRPr="00CD729C">
        <w:rPr>
          <w:b/>
          <w:color w:val="000000"/>
          <w:szCs w:val="22"/>
        </w:rPr>
        <w:tab/>
        <w:t>FARMACEITISKĀ INFORMĀCIJA</w:t>
      </w:r>
    </w:p>
    <w:p w14:paraId="3D394EDB"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EDC"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6.1</w:t>
      </w:r>
      <w:r w:rsidR="000139F0" w:rsidRPr="00CD729C">
        <w:rPr>
          <w:b/>
          <w:color w:val="000000"/>
          <w:szCs w:val="22"/>
        </w:rPr>
        <w:t>.</w:t>
      </w:r>
      <w:r w:rsidRPr="00CD729C">
        <w:rPr>
          <w:b/>
          <w:color w:val="000000"/>
          <w:szCs w:val="22"/>
        </w:rPr>
        <w:tab/>
        <w:t>Palīgvielu saraksts</w:t>
      </w:r>
    </w:p>
    <w:p w14:paraId="3D394EDD"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EDE" w14:textId="77777777" w:rsidR="005117C7" w:rsidRPr="00CD729C" w:rsidRDefault="005117C7" w:rsidP="009B4BB6">
      <w:pPr>
        <w:keepNext/>
        <w:widowControl w:val="0"/>
        <w:tabs>
          <w:tab w:val="clear" w:pos="567"/>
        </w:tabs>
        <w:spacing w:line="240" w:lineRule="auto"/>
        <w:rPr>
          <w:color w:val="000000"/>
          <w:szCs w:val="22"/>
        </w:rPr>
      </w:pPr>
      <w:r w:rsidRPr="00CD729C">
        <w:rPr>
          <w:color w:val="000000"/>
          <w:szCs w:val="22"/>
        </w:rPr>
        <w:t>Tabletes kodols:</w:t>
      </w:r>
    </w:p>
    <w:p w14:paraId="3D394EDF" w14:textId="77777777" w:rsidR="005117C7" w:rsidRPr="00CD729C" w:rsidRDefault="005117C7" w:rsidP="009B4BB6">
      <w:pPr>
        <w:keepNext/>
        <w:widowControl w:val="0"/>
        <w:tabs>
          <w:tab w:val="clear" w:pos="567"/>
        </w:tabs>
        <w:spacing w:line="240" w:lineRule="auto"/>
        <w:rPr>
          <w:color w:val="000000"/>
          <w:szCs w:val="22"/>
        </w:rPr>
      </w:pPr>
      <w:r w:rsidRPr="00CD729C">
        <w:rPr>
          <w:color w:val="000000"/>
          <w:szCs w:val="22"/>
        </w:rPr>
        <w:t>Mikrokristālisk</w:t>
      </w:r>
      <w:r w:rsidR="00E72001" w:rsidRPr="00CD729C">
        <w:rPr>
          <w:color w:val="000000"/>
          <w:szCs w:val="22"/>
        </w:rPr>
        <w:t>ā</w:t>
      </w:r>
      <w:r w:rsidRPr="00CD729C">
        <w:rPr>
          <w:color w:val="000000"/>
          <w:szCs w:val="22"/>
        </w:rPr>
        <w:t xml:space="preserve"> celuloze</w:t>
      </w:r>
    </w:p>
    <w:p w14:paraId="3D394EE0" w14:textId="77777777" w:rsidR="005117C7" w:rsidRPr="00CD729C" w:rsidRDefault="005117C7" w:rsidP="009B4BB6">
      <w:pPr>
        <w:keepNext/>
        <w:widowControl w:val="0"/>
        <w:tabs>
          <w:tab w:val="clear" w:pos="567"/>
        </w:tabs>
        <w:spacing w:line="240" w:lineRule="auto"/>
        <w:rPr>
          <w:color w:val="000000"/>
          <w:szCs w:val="22"/>
        </w:rPr>
      </w:pPr>
      <w:r w:rsidRPr="00CD729C">
        <w:rPr>
          <w:color w:val="000000"/>
          <w:szCs w:val="22"/>
        </w:rPr>
        <w:t>Krospovidons</w:t>
      </w:r>
    </w:p>
    <w:p w14:paraId="3D394EE1" w14:textId="77777777" w:rsidR="005117C7" w:rsidRPr="00CD729C" w:rsidRDefault="005117C7" w:rsidP="009B4BB6">
      <w:pPr>
        <w:keepNext/>
        <w:widowControl w:val="0"/>
        <w:tabs>
          <w:tab w:val="clear" w:pos="567"/>
        </w:tabs>
        <w:spacing w:line="240" w:lineRule="auto"/>
        <w:rPr>
          <w:color w:val="000000"/>
          <w:szCs w:val="22"/>
        </w:rPr>
      </w:pPr>
      <w:r w:rsidRPr="00CD729C">
        <w:rPr>
          <w:color w:val="000000"/>
          <w:szCs w:val="22"/>
        </w:rPr>
        <w:t>Hipromeloze</w:t>
      </w:r>
    </w:p>
    <w:p w14:paraId="3D394EE2" w14:textId="77777777" w:rsidR="005117C7" w:rsidRPr="00CD729C" w:rsidRDefault="005117C7" w:rsidP="009B4BB6">
      <w:pPr>
        <w:keepNext/>
        <w:widowControl w:val="0"/>
        <w:tabs>
          <w:tab w:val="clear" w:pos="567"/>
        </w:tabs>
        <w:spacing w:line="240" w:lineRule="auto"/>
        <w:rPr>
          <w:color w:val="000000"/>
          <w:szCs w:val="22"/>
        </w:rPr>
      </w:pPr>
      <w:r w:rsidRPr="00CD729C">
        <w:rPr>
          <w:color w:val="000000"/>
          <w:szCs w:val="22"/>
        </w:rPr>
        <w:t>Magnija stearāts</w:t>
      </w:r>
    </w:p>
    <w:p w14:paraId="3D394EE3" w14:textId="77777777" w:rsidR="005117C7" w:rsidRPr="00CD729C" w:rsidRDefault="005117C7" w:rsidP="009B4BB6">
      <w:pPr>
        <w:widowControl w:val="0"/>
        <w:tabs>
          <w:tab w:val="clear" w:pos="567"/>
        </w:tabs>
        <w:spacing w:line="240" w:lineRule="auto"/>
        <w:rPr>
          <w:color w:val="000000"/>
          <w:szCs w:val="22"/>
        </w:rPr>
      </w:pPr>
      <w:r w:rsidRPr="00CD729C">
        <w:rPr>
          <w:color w:val="000000"/>
          <w:szCs w:val="22"/>
        </w:rPr>
        <w:t>Koloidāls bezūdens sil</w:t>
      </w:r>
      <w:r w:rsidR="00246718" w:rsidRPr="00CD729C">
        <w:rPr>
          <w:color w:val="000000"/>
          <w:szCs w:val="22"/>
        </w:rPr>
        <w:t>īcija dioksīds</w:t>
      </w:r>
    </w:p>
    <w:p w14:paraId="3D394EE4" w14:textId="77777777" w:rsidR="005117C7" w:rsidRPr="00CD729C" w:rsidRDefault="005117C7" w:rsidP="009B4BB6">
      <w:pPr>
        <w:widowControl w:val="0"/>
        <w:tabs>
          <w:tab w:val="clear" w:pos="567"/>
        </w:tabs>
        <w:spacing w:line="240" w:lineRule="auto"/>
        <w:rPr>
          <w:color w:val="000000"/>
          <w:szCs w:val="22"/>
        </w:rPr>
      </w:pPr>
    </w:p>
    <w:p w14:paraId="3D394EE5"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color w:val="000000"/>
          <w:szCs w:val="22"/>
        </w:rPr>
        <w:t>Tabletes apvalks:</w:t>
      </w:r>
    </w:p>
    <w:p w14:paraId="3D394EE6"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color w:val="000000"/>
          <w:szCs w:val="22"/>
        </w:rPr>
        <w:t>Sarkanais dzelzs oksīds (E 172)</w:t>
      </w:r>
    </w:p>
    <w:p w14:paraId="3D394EE7" w14:textId="77777777" w:rsidR="005117C7" w:rsidRPr="00CD729C" w:rsidRDefault="005117C7" w:rsidP="009B4BB6">
      <w:pPr>
        <w:keepNext/>
        <w:widowControl w:val="0"/>
        <w:tabs>
          <w:tab w:val="clear" w:pos="567"/>
          <w:tab w:val="left" w:pos="1701"/>
        </w:tabs>
        <w:spacing w:line="240" w:lineRule="auto"/>
        <w:rPr>
          <w:color w:val="000000"/>
          <w:szCs w:val="22"/>
        </w:rPr>
      </w:pPr>
      <w:r w:rsidRPr="00CD729C">
        <w:rPr>
          <w:color w:val="000000"/>
          <w:szCs w:val="22"/>
        </w:rPr>
        <w:t>Dzeltenais dzelzs oksīds (E 172)</w:t>
      </w:r>
    </w:p>
    <w:p w14:paraId="3D394EE8" w14:textId="77777777" w:rsidR="008C0CD0" w:rsidRPr="00CD729C" w:rsidRDefault="008C0CD0" w:rsidP="009B4BB6">
      <w:pPr>
        <w:keepNext/>
        <w:widowControl w:val="0"/>
        <w:tabs>
          <w:tab w:val="clear" w:pos="567"/>
          <w:tab w:val="left" w:pos="1701"/>
        </w:tabs>
        <w:spacing w:line="240" w:lineRule="auto"/>
        <w:rPr>
          <w:color w:val="000000"/>
          <w:szCs w:val="22"/>
        </w:rPr>
      </w:pPr>
      <w:r w:rsidRPr="00CD729C">
        <w:rPr>
          <w:color w:val="000000"/>
          <w:szCs w:val="22"/>
        </w:rPr>
        <w:t>Makrogols</w:t>
      </w:r>
    </w:p>
    <w:p w14:paraId="3D394EE9" w14:textId="77777777" w:rsidR="008C0CD0" w:rsidRPr="00CD729C" w:rsidRDefault="008C0CD0" w:rsidP="009B4BB6">
      <w:pPr>
        <w:keepNext/>
        <w:widowControl w:val="0"/>
        <w:tabs>
          <w:tab w:val="clear" w:pos="567"/>
          <w:tab w:val="left" w:pos="1701"/>
        </w:tabs>
        <w:spacing w:line="240" w:lineRule="auto"/>
        <w:rPr>
          <w:color w:val="000000"/>
          <w:szCs w:val="22"/>
        </w:rPr>
      </w:pPr>
      <w:r w:rsidRPr="00CD729C">
        <w:rPr>
          <w:color w:val="000000"/>
          <w:szCs w:val="22"/>
        </w:rPr>
        <w:t>Talks</w:t>
      </w:r>
    </w:p>
    <w:p w14:paraId="3D394EEA" w14:textId="77777777" w:rsidR="008C0CD0" w:rsidRPr="00CD729C" w:rsidRDefault="008C0CD0" w:rsidP="009B4BB6">
      <w:pPr>
        <w:widowControl w:val="0"/>
        <w:tabs>
          <w:tab w:val="clear" w:pos="567"/>
          <w:tab w:val="left" w:pos="1701"/>
        </w:tabs>
        <w:spacing w:line="240" w:lineRule="auto"/>
        <w:rPr>
          <w:color w:val="000000"/>
          <w:szCs w:val="22"/>
        </w:rPr>
      </w:pPr>
      <w:r w:rsidRPr="00CD729C">
        <w:rPr>
          <w:color w:val="000000"/>
          <w:szCs w:val="22"/>
        </w:rPr>
        <w:t>Hipromeloze</w:t>
      </w:r>
    </w:p>
    <w:p w14:paraId="3D394EEB" w14:textId="77777777" w:rsidR="005117C7" w:rsidRPr="00CD729C" w:rsidRDefault="005117C7" w:rsidP="009B4BB6">
      <w:pPr>
        <w:widowControl w:val="0"/>
        <w:tabs>
          <w:tab w:val="clear" w:pos="567"/>
        </w:tabs>
        <w:spacing w:line="240" w:lineRule="auto"/>
        <w:ind w:left="567" w:hanging="567"/>
        <w:rPr>
          <w:color w:val="000000"/>
          <w:szCs w:val="22"/>
        </w:rPr>
      </w:pPr>
    </w:p>
    <w:p w14:paraId="3D394EEC"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6.2</w:t>
      </w:r>
      <w:r w:rsidR="000139F0" w:rsidRPr="00CD729C">
        <w:rPr>
          <w:b/>
          <w:color w:val="000000"/>
          <w:szCs w:val="22"/>
        </w:rPr>
        <w:t>.</w:t>
      </w:r>
      <w:r w:rsidRPr="00CD729C">
        <w:rPr>
          <w:b/>
          <w:color w:val="000000"/>
          <w:szCs w:val="22"/>
        </w:rPr>
        <w:tab/>
        <w:t>Nesaderība</w:t>
      </w:r>
    </w:p>
    <w:p w14:paraId="3D394EED"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EEE" w14:textId="77777777" w:rsidR="005117C7" w:rsidRPr="00CD729C" w:rsidRDefault="005117C7" w:rsidP="009B4BB6">
      <w:pPr>
        <w:widowControl w:val="0"/>
        <w:tabs>
          <w:tab w:val="clear" w:pos="567"/>
        </w:tabs>
        <w:spacing w:line="240" w:lineRule="auto"/>
        <w:ind w:left="567" w:hanging="567"/>
        <w:rPr>
          <w:color w:val="000000"/>
          <w:szCs w:val="22"/>
        </w:rPr>
      </w:pPr>
      <w:r w:rsidRPr="00CD729C">
        <w:rPr>
          <w:color w:val="000000"/>
          <w:szCs w:val="22"/>
        </w:rPr>
        <w:t>Nav piemērojama.</w:t>
      </w:r>
    </w:p>
    <w:p w14:paraId="3D394EEF" w14:textId="77777777" w:rsidR="005117C7" w:rsidRPr="00CD729C" w:rsidRDefault="005117C7" w:rsidP="009B4BB6">
      <w:pPr>
        <w:widowControl w:val="0"/>
        <w:tabs>
          <w:tab w:val="clear" w:pos="567"/>
        </w:tabs>
        <w:spacing w:line="240" w:lineRule="auto"/>
        <w:ind w:left="567" w:hanging="567"/>
        <w:rPr>
          <w:color w:val="000000"/>
          <w:szCs w:val="22"/>
        </w:rPr>
      </w:pPr>
    </w:p>
    <w:p w14:paraId="3D394EF0"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6.3</w:t>
      </w:r>
      <w:r w:rsidR="000139F0" w:rsidRPr="00CD729C">
        <w:rPr>
          <w:b/>
          <w:color w:val="000000"/>
          <w:szCs w:val="22"/>
        </w:rPr>
        <w:t>.</w:t>
      </w:r>
      <w:r w:rsidRPr="00CD729C">
        <w:rPr>
          <w:b/>
          <w:color w:val="000000"/>
          <w:szCs w:val="22"/>
        </w:rPr>
        <w:tab/>
        <w:t>Uzglabāšanas laiks</w:t>
      </w:r>
    </w:p>
    <w:p w14:paraId="3D394EF1"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EF2" w14:textId="77777777" w:rsidR="005117C7" w:rsidRPr="00CD729C" w:rsidRDefault="003B0257" w:rsidP="009B4BB6">
      <w:pPr>
        <w:widowControl w:val="0"/>
        <w:tabs>
          <w:tab w:val="clear" w:pos="567"/>
        </w:tabs>
        <w:spacing w:line="240" w:lineRule="auto"/>
        <w:ind w:left="567" w:hanging="567"/>
        <w:rPr>
          <w:color w:val="000000"/>
          <w:szCs w:val="22"/>
        </w:rPr>
      </w:pPr>
      <w:r w:rsidRPr="00CD729C">
        <w:rPr>
          <w:color w:val="000000"/>
          <w:szCs w:val="22"/>
        </w:rPr>
        <w:t>3</w:t>
      </w:r>
      <w:r w:rsidR="005117C7" w:rsidRPr="00CD729C">
        <w:rPr>
          <w:color w:val="000000"/>
          <w:szCs w:val="22"/>
        </w:rPr>
        <w:t> gadi.</w:t>
      </w:r>
    </w:p>
    <w:p w14:paraId="3D394EF3" w14:textId="77777777" w:rsidR="005117C7" w:rsidRPr="00CD729C" w:rsidRDefault="005117C7" w:rsidP="009B4BB6">
      <w:pPr>
        <w:widowControl w:val="0"/>
        <w:tabs>
          <w:tab w:val="clear" w:pos="567"/>
        </w:tabs>
        <w:spacing w:line="240" w:lineRule="auto"/>
        <w:ind w:left="567" w:hanging="567"/>
        <w:rPr>
          <w:color w:val="000000"/>
          <w:szCs w:val="22"/>
        </w:rPr>
      </w:pPr>
    </w:p>
    <w:p w14:paraId="3D394EF4"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6.4</w:t>
      </w:r>
      <w:r w:rsidR="000139F0" w:rsidRPr="00CD729C">
        <w:rPr>
          <w:b/>
          <w:color w:val="000000"/>
          <w:szCs w:val="22"/>
        </w:rPr>
        <w:t>.</w:t>
      </w:r>
      <w:r w:rsidRPr="00CD729C">
        <w:rPr>
          <w:b/>
          <w:color w:val="000000"/>
          <w:szCs w:val="22"/>
        </w:rPr>
        <w:tab/>
        <w:t>Īpaši uzglabāšanas nosacījumi</w:t>
      </w:r>
    </w:p>
    <w:p w14:paraId="3D394EF5"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EF6" w14:textId="77777777" w:rsidR="005117C7" w:rsidRPr="00CD729C" w:rsidRDefault="005117C7" w:rsidP="009B4BB6">
      <w:pPr>
        <w:widowControl w:val="0"/>
        <w:tabs>
          <w:tab w:val="clear" w:pos="567"/>
        </w:tabs>
        <w:spacing w:line="240" w:lineRule="auto"/>
        <w:ind w:left="567" w:hanging="567"/>
        <w:rPr>
          <w:color w:val="000000"/>
          <w:szCs w:val="22"/>
        </w:rPr>
      </w:pPr>
      <w:r w:rsidRPr="00CD729C">
        <w:rPr>
          <w:color w:val="000000"/>
          <w:szCs w:val="22"/>
        </w:rPr>
        <w:t>Uzglabāt temperatūrā līdz 30</w:t>
      </w:r>
      <w:r w:rsidRPr="00CD729C">
        <w:rPr>
          <w:color w:val="000000"/>
          <w:szCs w:val="22"/>
        </w:rPr>
        <w:sym w:font="Symbol" w:char="F0B0"/>
      </w:r>
      <w:r w:rsidRPr="00CD729C">
        <w:rPr>
          <w:color w:val="000000"/>
          <w:szCs w:val="22"/>
        </w:rPr>
        <w:t>C.</w:t>
      </w:r>
    </w:p>
    <w:p w14:paraId="3D394EF7" w14:textId="77777777" w:rsidR="005117C7" w:rsidRPr="00CD729C" w:rsidRDefault="005117C7" w:rsidP="009B4BB6">
      <w:pPr>
        <w:widowControl w:val="0"/>
        <w:tabs>
          <w:tab w:val="clear" w:pos="567"/>
        </w:tabs>
        <w:spacing w:line="240" w:lineRule="auto"/>
        <w:ind w:left="567" w:hanging="567"/>
        <w:rPr>
          <w:color w:val="000000"/>
          <w:szCs w:val="22"/>
        </w:rPr>
      </w:pPr>
    </w:p>
    <w:p w14:paraId="3D394EF8" w14:textId="77777777" w:rsidR="005117C7" w:rsidRPr="00CD729C" w:rsidRDefault="00C569C5" w:rsidP="009B4BB6">
      <w:pPr>
        <w:widowControl w:val="0"/>
        <w:tabs>
          <w:tab w:val="clear" w:pos="567"/>
        </w:tabs>
        <w:spacing w:line="240" w:lineRule="auto"/>
        <w:ind w:left="567" w:hanging="567"/>
        <w:rPr>
          <w:color w:val="000000"/>
          <w:szCs w:val="22"/>
        </w:rPr>
      </w:pPr>
      <w:r w:rsidRPr="00CD729C">
        <w:rPr>
          <w:color w:val="000000"/>
          <w:szCs w:val="22"/>
        </w:rPr>
        <w:t>U</w:t>
      </w:r>
      <w:r w:rsidR="005117C7" w:rsidRPr="00CD729C">
        <w:rPr>
          <w:color w:val="000000"/>
          <w:szCs w:val="22"/>
        </w:rPr>
        <w:t>zglabāt oriģinālā iepakojumā</w:t>
      </w:r>
      <w:r w:rsidR="000D127F">
        <w:rPr>
          <w:color w:val="000000"/>
          <w:szCs w:val="22"/>
        </w:rPr>
        <w:t>, lai pas</w:t>
      </w:r>
      <w:r w:rsidRPr="00CD729C">
        <w:rPr>
          <w:color w:val="000000"/>
          <w:szCs w:val="22"/>
        </w:rPr>
        <w:t>argāt</w:t>
      </w:r>
      <w:r w:rsidR="000D127F">
        <w:rPr>
          <w:color w:val="000000"/>
          <w:szCs w:val="22"/>
        </w:rPr>
        <w:t>u</w:t>
      </w:r>
      <w:r w:rsidRPr="00CD729C">
        <w:rPr>
          <w:color w:val="000000"/>
          <w:szCs w:val="22"/>
        </w:rPr>
        <w:t xml:space="preserve"> no mitruma.</w:t>
      </w:r>
    </w:p>
    <w:p w14:paraId="3D394EF9" w14:textId="77777777" w:rsidR="005117C7" w:rsidRPr="00CD729C" w:rsidRDefault="005117C7" w:rsidP="009B4BB6">
      <w:pPr>
        <w:widowControl w:val="0"/>
        <w:tabs>
          <w:tab w:val="clear" w:pos="567"/>
        </w:tabs>
        <w:spacing w:line="240" w:lineRule="auto"/>
        <w:ind w:left="567" w:hanging="567"/>
        <w:rPr>
          <w:color w:val="000000"/>
          <w:szCs w:val="22"/>
        </w:rPr>
      </w:pPr>
    </w:p>
    <w:p w14:paraId="3D394EFA"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6.5</w:t>
      </w:r>
      <w:r w:rsidR="000139F0" w:rsidRPr="00CD729C">
        <w:rPr>
          <w:b/>
          <w:color w:val="000000"/>
          <w:szCs w:val="22"/>
        </w:rPr>
        <w:t>.</w:t>
      </w:r>
      <w:r w:rsidRPr="00CD729C">
        <w:rPr>
          <w:b/>
          <w:color w:val="000000"/>
          <w:szCs w:val="22"/>
        </w:rPr>
        <w:tab/>
        <w:t>Iepakojuma veids un saturs</w:t>
      </w:r>
    </w:p>
    <w:p w14:paraId="3D394EFB"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EFC" w14:textId="77777777" w:rsidR="000D127F" w:rsidRPr="00A47F0F" w:rsidRDefault="000D127F" w:rsidP="009B4BB6">
      <w:pPr>
        <w:keepNext/>
        <w:widowControl w:val="0"/>
        <w:tabs>
          <w:tab w:val="clear" w:pos="567"/>
          <w:tab w:val="left" w:pos="1701"/>
        </w:tabs>
        <w:spacing w:line="240" w:lineRule="auto"/>
        <w:rPr>
          <w:color w:val="000000"/>
          <w:szCs w:val="22"/>
          <w:u w:val="single"/>
        </w:rPr>
      </w:pPr>
      <w:r w:rsidRPr="00A47F0F">
        <w:rPr>
          <w:color w:val="000000"/>
          <w:szCs w:val="22"/>
          <w:u w:val="single"/>
        </w:rPr>
        <w:t>Glivec</w:t>
      </w:r>
      <w:r w:rsidRPr="001545DB">
        <w:rPr>
          <w:color w:val="000000"/>
          <w:szCs w:val="22"/>
          <w:u w:val="single"/>
        </w:rPr>
        <w:t xml:space="preserve"> </w:t>
      </w:r>
      <w:r>
        <w:rPr>
          <w:color w:val="000000"/>
          <w:szCs w:val="22"/>
          <w:u w:val="single"/>
        </w:rPr>
        <w:t>100 mg apvalkotās tabletes</w:t>
      </w:r>
    </w:p>
    <w:p w14:paraId="3D394EFD" w14:textId="77777777" w:rsidR="005117C7" w:rsidRPr="00CD729C" w:rsidRDefault="005117C7" w:rsidP="00E36D64">
      <w:pPr>
        <w:keepNext/>
        <w:widowControl w:val="0"/>
        <w:tabs>
          <w:tab w:val="clear" w:pos="567"/>
        </w:tabs>
        <w:spacing w:line="240" w:lineRule="auto"/>
        <w:ind w:left="567" w:hanging="567"/>
        <w:rPr>
          <w:color w:val="000000"/>
          <w:szCs w:val="22"/>
        </w:rPr>
      </w:pPr>
      <w:r w:rsidRPr="00CD729C">
        <w:rPr>
          <w:color w:val="000000"/>
          <w:szCs w:val="22"/>
        </w:rPr>
        <w:t>PVH/alumīnija blisteri.</w:t>
      </w:r>
    </w:p>
    <w:p w14:paraId="3D394EFE" w14:textId="77777777" w:rsidR="00473880" w:rsidRPr="00CD729C" w:rsidRDefault="005117C7" w:rsidP="009B4BB6">
      <w:pPr>
        <w:pStyle w:val="EndnoteText"/>
        <w:widowControl w:val="0"/>
        <w:tabs>
          <w:tab w:val="clear" w:pos="567"/>
        </w:tabs>
        <w:rPr>
          <w:color w:val="000000"/>
          <w:szCs w:val="22"/>
        </w:rPr>
      </w:pPr>
      <w:r w:rsidRPr="00CD729C">
        <w:rPr>
          <w:color w:val="000000"/>
          <w:szCs w:val="22"/>
        </w:rPr>
        <w:t>Iepakojumi pa 20, 60, 120 vai 180 apvalkotām tabletēm.</w:t>
      </w:r>
    </w:p>
    <w:p w14:paraId="3D394EFF" w14:textId="77777777" w:rsidR="002E6D66" w:rsidRDefault="002E6D66" w:rsidP="009B4BB6">
      <w:pPr>
        <w:widowControl w:val="0"/>
        <w:spacing w:line="240" w:lineRule="auto"/>
      </w:pPr>
    </w:p>
    <w:p w14:paraId="3D394F00" w14:textId="77777777" w:rsidR="002E6D66" w:rsidRPr="00CD729C" w:rsidRDefault="002E6D66" w:rsidP="009B4BB6">
      <w:pPr>
        <w:widowControl w:val="0"/>
        <w:tabs>
          <w:tab w:val="clear" w:pos="567"/>
        </w:tabs>
        <w:spacing w:line="240" w:lineRule="auto"/>
        <w:ind w:left="567" w:hanging="567"/>
        <w:rPr>
          <w:color w:val="000000"/>
          <w:szCs w:val="22"/>
        </w:rPr>
      </w:pPr>
      <w:r w:rsidRPr="00CD729C">
        <w:rPr>
          <w:color w:val="000000"/>
          <w:szCs w:val="22"/>
        </w:rPr>
        <w:t>PVDH/alumīnija blisteri.</w:t>
      </w:r>
    </w:p>
    <w:p w14:paraId="3D394F01" w14:textId="77777777" w:rsidR="002E6D66" w:rsidRPr="00CD729C" w:rsidRDefault="00C0385D" w:rsidP="009B4BB6">
      <w:pPr>
        <w:pStyle w:val="EndnoteText"/>
        <w:widowControl w:val="0"/>
        <w:tabs>
          <w:tab w:val="clear" w:pos="567"/>
        </w:tabs>
        <w:rPr>
          <w:color w:val="000000"/>
          <w:szCs w:val="22"/>
        </w:rPr>
      </w:pPr>
      <w:r>
        <w:rPr>
          <w:color w:val="000000"/>
          <w:szCs w:val="22"/>
        </w:rPr>
        <w:t>Iepakojumi pa 6</w:t>
      </w:r>
      <w:r w:rsidR="002E6D66" w:rsidRPr="00CD729C">
        <w:rPr>
          <w:color w:val="000000"/>
          <w:szCs w:val="22"/>
        </w:rPr>
        <w:t xml:space="preserve">0, </w:t>
      </w:r>
      <w:r w:rsidR="002E6D66">
        <w:rPr>
          <w:color w:val="000000"/>
          <w:szCs w:val="22"/>
        </w:rPr>
        <w:t xml:space="preserve">120 </w:t>
      </w:r>
      <w:r w:rsidR="002E6D66" w:rsidRPr="00CD729C">
        <w:rPr>
          <w:color w:val="000000"/>
          <w:szCs w:val="22"/>
        </w:rPr>
        <w:t xml:space="preserve">vai </w:t>
      </w:r>
      <w:r w:rsidR="002E6D66">
        <w:rPr>
          <w:color w:val="000000"/>
          <w:szCs w:val="22"/>
        </w:rPr>
        <w:t>180 </w:t>
      </w:r>
      <w:r w:rsidR="002E6D66" w:rsidRPr="00CD729C">
        <w:rPr>
          <w:color w:val="000000"/>
          <w:szCs w:val="22"/>
        </w:rPr>
        <w:t>apvalkotām tabletēm.</w:t>
      </w:r>
    </w:p>
    <w:p w14:paraId="3D394F02" w14:textId="77777777" w:rsidR="005815B5" w:rsidRDefault="005815B5" w:rsidP="009B4BB6">
      <w:pPr>
        <w:widowControl w:val="0"/>
        <w:spacing w:line="240" w:lineRule="auto"/>
      </w:pPr>
    </w:p>
    <w:p w14:paraId="3D394F03" w14:textId="77777777" w:rsidR="000D127F" w:rsidRPr="00A47F0F" w:rsidRDefault="000D127F" w:rsidP="009B4BB6">
      <w:pPr>
        <w:keepNext/>
        <w:widowControl w:val="0"/>
        <w:tabs>
          <w:tab w:val="clear" w:pos="567"/>
          <w:tab w:val="left" w:pos="1701"/>
        </w:tabs>
        <w:spacing w:line="240" w:lineRule="auto"/>
        <w:rPr>
          <w:color w:val="000000"/>
          <w:szCs w:val="22"/>
          <w:u w:val="single"/>
        </w:rPr>
      </w:pPr>
      <w:r w:rsidRPr="00A47F0F">
        <w:rPr>
          <w:color w:val="000000"/>
          <w:szCs w:val="22"/>
          <w:u w:val="single"/>
        </w:rPr>
        <w:t>Glivec</w:t>
      </w:r>
      <w:r w:rsidRPr="001545DB">
        <w:rPr>
          <w:color w:val="000000"/>
          <w:szCs w:val="22"/>
          <w:u w:val="single"/>
        </w:rPr>
        <w:t xml:space="preserve"> </w:t>
      </w:r>
      <w:r>
        <w:rPr>
          <w:color w:val="000000"/>
          <w:szCs w:val="22"/>
          <w:u w:val="single"/>
        </w:rPr>
        <w:t>400 mg apvalkotās tabletes</w:t>
      </w:r>
    </w:p>
    <w:p w14:paraId="3D394F04" w14:textId="77777777" w:rsidR="000D127F" w:rsidRPr="00CD729C" w:rsidRDefault="000D127F" w:rsidP="00E36D64">
      <w:pPr>
        <w:keepNext/>
        <w:widowControl w:val="0"/>
        <w:tabs>
          <w:tab w:val="clear" w:pos="567"/>
        </w:tabs>
        <w:spacing w:line="240" w:lineRule="auto"/>
        <w:ind w:left="567" w:hanging="567"/>
        <w:rPr>
          <w:color w:val="000000"/>
          <w:szCs w:val="22"/>
        </w:rPr>
      </w:pPr>
      <w:r w:rsidRPr="00CD729C">
        <w:rPr>
          <w:color w:val="000000"/>
          <w:szCs w:val="22"/>
        </w:rPr>
        <w:t>PVDH/alumīnija blisteri.</w:t>
      </w:r>
    </w:p>
    <w:p w14:paraId="3D394F05" w14:textId="77777777" w:rsidR="000D127F" w:rsidRPr="00CD729C" w:rsidRDefault="000D127F" w:rsidP="009B4BB6">
      <w:pPr>
        <w:pStyle w:val="EndnoteText"/>
        <w:widowControl w:val="0"/>
        <w:tabs>
          <w:tab w:val="clear" w:pos="567"/>
        </w:tabs>
        <w:rPr>
          <w:color w:val="000000"/>
          <w:szCs w:val="22"/>
        </w:rPr>
      </w:pPr>
      <w:r w:rsidRPr="00CD729C">
        <w:rPr>
          <w:color w:val="000000"/>
          <w:szCs w:val="22"/>
        </w:rPr>
        <w:t>Iepakojumi pa 10, 30 vai 90 apvalkotām tabletēm.</w:t>
      </w:r>
    </w:p>
    <w:p w14:paraId="3D394F06" w14:textId="77777777" w:rsidR="000D127F" w:rsidRPr="00CD729C" w:rsidRDefault="000D127F" w:rsidP="009B4BB6">
      <w:pPr>
        <w:widowControl w:val="0"/>
        <w:spacing w:line="240" w:lineRule="auto"/>
      </w:pPr>
    </w:p>
    <w:p w14:paraId="3D394F07" w14:textId="77777777" w:rsidR="00473880" w:rsidRPr="00CD729C" w:rsidRDefault="00473880" w:rsidP="009B4BB6">
      <w:pPr>
        <w:widowControl w:val="0"/>
        <w:tabs>
          <w:tab w:val="clear" w:pos="567"/>
        </w:tabs>
        <w:spacing w:line="240" w:lineRule="auto"/>
        <w:ind w:left="567" w:hanging="567"/>
        <w:rPr>
          <w:color w:val="000000"/>
          <w:szCs w:val="22"/>
        </w:rPr>
      </w:pPr>
      <w:r w:rsidRPr="00CD729C">
        <w:rPr>
          <w:color w:val="000000"/>
          <w:szCs w:val="22"/>
        </w:rPr>
        <w:t>Visi iepakojuma lielumi tirgū var nebūt pieejami.</w:t>
      </w:r>
    </w:p>
    <w:p w14:paraId="3D394F08" w14:textId="77777777" w:rsidR="00473880" w:rsidRPr="00CD729C" w:rsidRDefault="00473880" w:rsidP="009B4BB6">
      <w:pPr>
        <w:widowControl w:val="0"/>
        <w:tabs>
          <w:tab w:val="clear" w:pos="567"/>
        </w:tabs>
        <w:spacing w:line="240" w:lineRule="auto"/>
        <w:ind w:left="567" w:hanging="567"/>
        <w:rPr>
          <w:color w:val="000000"/>
          <w:szCs w:val="22"/>
        </w:rPr>
      </w:pPr>
    </w:p>
    <w:p w14:paraId="3D394F09" w14:textId="77777777" w:rsidR="0036450A" w:rsidRPr="00CD729C" w:rsidRDefault="0036450A" w:rsidP="009B4BB6">
      <w:pPr>
        <w:keepNext/>
        <w:widowControl w:val="0"/>
        <w:tabs>
          <w:tab w:val="clear" w:pos="567"/>
        </w:tabs>
        <w:spacing w:line="240" w:lineRule="auto"/>
        <w:ind w:left="567" w:hanging="567"/>
        <w:rPr>
          <w:color w:val="000000"/>
          <w:szCs w:val="22"/>
        </w:rPr>
      </w:pPr>
      <w:r w:rsidRPr="00CD729C">
        <w:rPr>
          <w:b/>
          <w:color w:val="000000"/>
          <w:szCs w:val="22"/>
        </w:rPr>
        <w:t>6.6</w:t>
      </w:r>
      <w:r w:rsidR="000139F0" w:rsidRPr="00CD729C">
        <w:rPr>
          <w:b/>
          <w:color w:val="000000"/>
          <w:szCs w:val="22"/>
        </w:rPr>
        <w:t>.</w:t>
      </w:r>
      <w:r w:rsidRPr="00CD729C">
        <w:rPr>
          <w:b/>
          <w:color w:val="000000"/>
          <w:szCs w:val="22"/>
        </w:rPr>
        <w:tab/>
      </w:r>
      <w:r w:rsidRPr="00CD729C">
        <w:rPr>
          <w:b/>
          <w:color w:val="000000"/>
        </w:rPr>
        <w:t>Īpaši norādījumi atkritumu likvidēšanai</w:t>
      </w:r>
    </w:p>
    <w:p w14:paraId="3D394F0A" w14:textId="77777777" w:rsidR="0036450A" w:rsidRPr="00CD729C" w:rsidRDefault="0036450A" w:rsidP="009B4BB6">
      <w:pPr>
        <w:keepNext/>
        <w:widowControl w:val="0"/>
        <w:tabs>
          <w:tab w:val="clear" w:pos="567"/>
        </w:tabs>
        <w:spacing w:line="240" w:lineRule="auto"/>
        <w:ind w:left="567" w:hanging="567"/>
        <w:rPr>
          <w:color w:val="000000"/>
          <w:szCs w:val="22"/>
        </w:rPr>
      </w:pPr>
    </w:p>
    <w:p w14:paraId="3D394F0B" w14:textId="77777777" w:rsidR="00A43ED5" w:rsidRPr="00CD729C" w:rsidRDefault="00A43ED5" w:rsidP="009B4BB6">
      <w:pPr>
        <w:widowControl w:val="0"/>
        <w:tabs>
          <w:tab w:val="clear" w:pos="567"/>
        </w:tabs>
        <w:spacing w:line="240" w:lineRule="auto"/>
        <w:ind w:left="567" w:hanging="567"/>
        <w:rPr>
          <w:color w:val="000000"/>
          <w:szCs w:val="22"/>
        </w:rPr>
      </w:pPr>
      <w:r w:rsidRPr="00CD729C">
        <w:rPr>
          <w:color w:val="000000"/>
          <w:szCs w:val="22"/>
        </w:rPr>
        <w:t>Neizlietotās zāles vai izlietotie materiāli jāiznīcina atbilstoši vietējām prasībām.</w:t>
      </w:r>
    </w:p>
    <w:p w14:paraId="3D394F0C" w14:textId="77777777" w:rsidR="0036450A" w:rsidRPr="00CD729C" w:rsidRDefault="0036450A" w:rsidP="009B4BB6">
      <w:pPr>
        <w:widowControl w:val="0"/>
        <w:tabs>
          <w:tab w:val="clear" w:pos="567"/>
        </w:tabs>
        <w:spacing w:line="240" w:lineRule="auto"/>
        <w:ind w:left="567" w:hanging="567"/>
        <w:rPr>
          <w:color w:val="000000"/>
          <w:szCs w:val="22"/>
        </w:rPr>
      </w:pPr>
    </w:p>
    <w:p w14:paraId="3D394F0D" w14:textId="77777777" w:rsidR="0036450A" w:rsidRPr="00CD729C" w:rsidRDefault="0036450A" w:rsidP="009B4BB6">
      <w:pPr>
        <w:widowControl w:val="0"/>
        <w:tabs>
          <w:tab w:val="clear" w:pos="567"/>
        </w:tabs>
        <w:spacing w:line="240" w:lineRule="auto"/>
        <w:ind w:left="567" w:hanging="567"/>
        <w:rPr>
          <w:color w:val="000000"/>
          <w:szCs w:val="22"/>
        </w:rPr>
      </w:pPr>
    </w:p>
    <w:p w14:paraId="3D394F0E" w14:textId="77777777" w:rsidR="0036450A" w:rsidRPr="00CD729C" w:rsidRDefault="0036450A" w:rsidP="009B4BB6">
      <w:pPr>
        <w:keepNext/>
        <w:widowControl w:val="0"/>
        <w:tabs>
          <w:tab w:val="clear" w:pos="567"/>
        </w:tabs>
        <w:spacing w:line="240" w:lineRule="auto"/>
        <w:ind w:left="567" w:hanging="567"/>
        <w:rPr>
          <w:color w:val="000000"/>
          <w:szCs w:val="22"/>
        </w:rPr>
      </w:pPr>
      <w:r w:rsidRPr="00CD729C">
        <w:rPr>
          <w:b/>
          <w:color w:val="000000"/>
          <w:szCs w:val="22"/>
        </w:rPr>
        <w:t>7.</w:t>
      </w:r>
      <w:r w:rsidRPr="00CD729C">
        <w:rPr>
          <w:b/>
          <w:color w:val="000000"/>
          <w:szCs w:val="22"/>
        </w:rPr>
        <w:tab/>
        <w:t>REĢISTRĀCIJAS APLIECĪBAS ĪPAŠNIEKS</w:t>
      </w:r>
    </w:p>
    <w:p w14:paraId="3D394F0F" w14:textId="77777777" w:rsidR="0036450A" w:rsidRPr="00CD729C" w:rsidRDefault="0036450A" w:rsidP="009B4BB6">
      <w:pPr>
        <w:keepNext/>
        <w:widowControl w:val="0"/>
        <w:tabs>
          <w:tab w:val="clear" w:pos="567"/>
        </w:tabs>
        <w:spacing w:line="240" w:lineRule="auto"/>
        <w:ind w:left="567" w:hanging="567"/>
        <w:rPr>
          <w:color w:val="000000"/>
          <w:szCs w:val="22"/>
        </w:rPr>
      </w:pPr>
    </w:p>
    <w:p w14:paraId="3D394F10" w14:textId="77777777" w:rsidR="0036450A" w:rsidRPr="00CD729C" w:rsidRDefault="0036450A" w:rsidP="009B4BB6">
      <w:pPr>
        <w:keepNext/>
        <w:widowControl w:val="0"/>
        <w:tabs>
          <w:tab w:val="clear" w:pos="567"/>
        </w:tabs>
        <w:spacing w:line="240" w:lineRule="auto"/>
        <w:ind w:left="567" w:hanging="567"/>
        <w:rPr>
          <w:color w:val="000000"/>
          <w:szCs w:val="22"/>
        </w:rPr>
      </w:pPr>
      <w:r w:rsidRPr="00CD729C">
        <w:rPr>
          <w:color w:val="000000"/>
          <w:szCs w:val="22"/>
        </w:rPr>
        <w:t>Novartis Europharm Limited</w:t>
      </w:r>
    </w:p>
    <w:p w14:paraId="3D394F11" w14:textId="77777777" w:rsidR="00410A76" w:rsidRPr="00EB33FE" w:rsidRDefault="00410A76" w:rsidP="009B4BB6">
      <w:pPr>
        <w:keepNext/>
        <w:widowControl w:val="0"/>
        <w:spacing w:line="240" w:lineRule="auto"/>
        <w:rPr>
          <w:color w:val="000000"/>
        </w:rPr>
      </w:pPr>
      <w:r w:rsidRPr="00EB33FE">
        <w:rPr>
          <w:color w:val="000000"/>
        </w:rPr>
        <w:t>Vista Building</w:t>
      </w:r>
    </w:p>
    <w:p w14:paraId="3D394F12" w14:textId="77777777" w:rsidR="00410A76" w:rsidRPr="00EB33FE" w:rsidRDefault="00410A76" w:rsidP="009B4BB6">
      <w:pPr>
        <w:keepNext/>
        <w:widowControl w:val="0"/>
        <w:spacing w:line="240" w:lineRule="auto"/>
        <w:rPr>
          <w:color w:val="000000"/>
        </w:rPr>
      </w:pPr>
      <w:r w:rsidRPr="00EB33FE">
        <w:rPr>
          <w:color w:val="000000"/>
        </w:rPr>
        <w:t>Elm Park, Merrion Road</w:t>
      </w:r>
    </w:p>
    <w:p w14:paraId="3D394F13" w14:textId="77777777" w:rsidR="00410A76" w:rsidRPr="00EB33FE" w:rsidRDefault="00410A76" w:rsidP="009B4BB6">
      <w:pPr>
        <w:keepNext/>
        <w:widowControl w:val="0"/>
        <w:spacing w:line="240" w:lineRule="auto"/>
        <w:rPr>
          <w:color w:val="000000"/>
        </w:rPr>
      </w:pPr>
      <w:r w:rsidRPr="00EB33FE">
        <w:rPr>
          <w:color w:val="000000"/>
        </w:rPr>
        <w:t>Dublin 4</w:t>
      </w:r>
    </w:p>
    <w:p w14:paraId="3D394F14" w14:textId="77777777" w:rsidR="0036450A" w:rsidRPr="00CD729C" w:rsidRDefault="00410A76" w:rsidP="009B4BB6">
      <w:pPr>
        <w:widowControl w:val="0"/>
        <w:tabs>
          <w:tab w:val="clear" w:pos="567"/>
        </w:tabs>
        <w:spacing w:line="240" w:lineRule="auto"/>
        <w:ind w:left="567" w:hanging="567"/>
        <w:rPr>
          <w:color w:val="000000"/>
          <w:szCs w:val="22"/>
        </w:rPr>
      </w:pPr>
      <w:r w:rsidRPr="00EB33FE">
        <w:rPr>
          <w:color w:val="000000"/>
        </w:rPr>
        <w:t>Īrija</w:t>
      </w:r>
    </w:p>
    <w:p w14:paraId="3D394F15" w14:textId="77777777" w:rsidR="005117C7" w:rsidRPr="00CD729C" w:rsidRDefault="005117C7" w:rsidP="009B4BB6">
      <w:pPr>
        <w:widowControl w:val="0"/>
        <w:tabs>
          <w:tab w:val="clear" w:pos="567"/>
        </w:tabs>
        <w:spacing w:line="240" w:lineRule="auto"/>
        <w:ind w:left="567" w:hanging="567"/>
        <w:rPr>
          <w:color w:val="000000"/>
          <w:szCs w:val="22"/>
        </w:rPr>
      </w:pPr>
    </w:p>
    <w:p w14:paraId="3D394F16" w14:textId="77777777" w:rsidR="005117C7" w:rsidRPr="00CD729C" w:rsidRDefault="005117C7" w:rsidP="009B4BB6">
      <w:pPr>
        <w:widowControl w:val="0"/>
        <w:tabs>
          <w:tab w:val="clear" w:pos="567"/>
        </w:tabs>
        <w:spacing w:line="240" w:lineRule="auto"/>
        <w:ind w:left="567" w:hanging="567"/>
        <w:rPr>
          <w:color w:val="000000"/>
          <w:szCs w:val="22"/>
        </w:rPr>
      </w:pPr>
    </w:p>
    <w:p w14:paraId="3D394F17" w14:textId="77777777" w:rsidR="005117C7" w:rsidRPr="00CD729C" w:rsidRDefault="00AF768F" w:rsidP="009B4BB6">
      <w:pPr>
        <w:keepNext/>
        <w:widowControl w:val="0"/>
        <w:tabs>
          <w:tab w:val="clear" w:pos="567"/>
        </w:tabs>
        <w:spacing w:line="240" w:lineRule="auto"/>
        <w:ind w:left="570" w:hanging="570"/>
        <w:rPr>
          <w:b/>
          <w:color w:val="000000"/>
          <w:szCs w:val="22"/>
        </w:rPr>
      </w:pPr>
      <w:r w:rsidRPr="00CD729C">
        <w:rPr>
          <w:b/>
          <w:color w:val="000000"/>
          <w:szCs w:val="22"/>
        </w:rPr>
        <w:t>8.</w:t>
      </w:r>
      <w:r w:rsidRPr="00CD729C">
        <w:rPr>
          <w:b/>
          <w:color w:val="000000"/>
          <w:szCs w:val="22"/>
        </w:rPr>
        <w:tab/>
      </w:r>
      <w:r w:rsidR="005117C7" w:rsidRPr="00CD729C">
        <w:rPr>
          <w:b/>
          <w:color w:val="000000"/>
          <w:szCs w:val="22"/>
        </w:rPr>
        <w:t xml:space="preserve">REĢISTRĀCIJAS </w:t>
      </w:r>
      <w:r w:rsidR="00426DC1" w:rsidRPr="00CD729C">
        <w:rPr>
          <w:b/>
          <w:color w:val="000000"/>
          <w:szCs w:val="22"/>
        </w:rPr>
        <w:t xml:space="preserve">APLIECĪBAS </w:t>
      </w:r>
      <w:r w:rsidR="005117C7" w:rsidRPr="00CD729C">
        <w:rPr>
          <w:b/>
          <w:color w:val="000000"/>
          <w:szCs w:val="22"/>
        </w:rPr>
        <w:t>NUMURS(I)</w:t>
      </w:r>
    </w:p>
    <w:p w14:paraId="3D394F18"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F19" w14:textId="77777777" w:rsidR="000D127F" w:rsidRPr="00A47F0F" w:rsidRDefault="000D127F" w:rsidP="009B4BB6">
      <w:pPr>
        <w:keepNext/>
        <w:widowControl w:val="0"/>
        <w:tabs>
          <w:tab w:val="clear" w:pos="567"/>
          <w:tab w:val="left" w:pos="1701"/>
        </w:tabs>
        <w:spacing w:line="240" w:lineRule="auto"/>
        <w:rPr>
          <w:color w:val="000000"/>
          <w:szCs w:val="22"/>
          <w:u w:val="single"/>
        </w:rPr>
      </w:pPr>
      <w:bookmarkStart w:id="2" w:name="OLE_LINK1"/>
      <w:r w:rsidRPr="00A47F0F">
        <w:rPr>
          <w:color w:val="000000"/>
          <w:szCs w:val="22"/>
          <w:u w:val="single"/>
        </w:rPr>
        <w:t>Glivec</w:t>
      </w:r>
      <w:r w:rsidRPr="001545DB">
        <w:rPr>
          <w:color w:val="000000"/>
          <w:szCs w:val="22"/>
          <w:u w:val="single"/>
        </w:rPr>
        <w:t xml:space="preserve"> </w:t>
      </w:r>
      <w:r>
        <w:rPr>
          <w:color w:val="000000"/>
          <w:szCs w:val="22"/>
          <w:u w:val="single"/>
        </w:rPr>
        <w:t>100 mg apvalkotās tabletes</w:t>
      </w:r>
    </w:p>
    <w:p w14:paraId="3D394F1A" w14:textId="77777777" w:rsidR="005117C7" w:rsidRPr="00CD729C" w:rsidRDefault="005117C7" w:rsidP="009B4BB6">
      <w:pPr>
        <w:pStyle w:val="EndnoteText"/>
        <w:keepNext/>
        <w:widowControl w:val="0"/>
        <w:tabs>
          <w:tab w:val="clear" w:pos="567"/>
        </w:tabs>
        <w:rPr>
          <w:color w:val="000000"/>
          <w:szCs w:val="22"/>
        </w:rPr>
      </w:pPr>
      <w:r w:rsidRPr="00CD729C">
        <w:rPr>
          <w:color w:val="000000"/>
          <w:szCs w:val="22"/>
        </w:rPr>
        <w:t>EU/1/01/198/007</w:t>
      </w:r>
    </w:p>
    <w:p w14:paraId="3D394F1B" w14:textId="77777777" w:rsidR="005117C7" w:rsidRPr="00CD729C" w:rsidRDefault="005117C7" w:rsidP="009B4BB6">
      <w:pPr>
        <w:pStyle w:val="EndnoteText"/>
        <w:keepNext/>
        <w:widowControl w:val="0"/>
        <w:tabs>
          <w:tab w:val="clear" w:pos="567"/>
        </w:tabs>
        <w:rPr>
          <w:color w:val="000000"/>
          <w:szCs w:val="22"/>
        </w:rPr>
      </w:pPr>
      <w:r w:rsidRPr="00CD729C">
        <w:rPr>
          <w:color w:val="000000"/>
          <w:szCs w:val="22"/>
        </w:rPr>
        <w:t>EU/1/01/198/008</w:t>
      </w:r>
    </w:p>
    <w:p w14:paraId="3D394F1C" w14:textId="77777777" w:rsidR="005117C7" w:rsidRPr="00CD729C" w:rsidRDefault="005117C7" w:rsidP="009B4BB6">
      <w:pPr>
        <w:pStyle w:val="EndnoteText"/>
        <w:keepNext/>
        <w:widowControl w:val="0"/>
        <w:tabs>
          <w:tab w:val="clear" w:pos="567"/>
        </w:tabs>
        <w:rPr>
          <w:color w:val="000000"/>
          <w:szCs w:val="22"/>
        </w:rPr>
      </w:pPr>
      <w:r w:rsidRPr="00CD729C">
        <w:rPr>
          <w:color w:val="000000"/>
          <w:szCs w:val="22"/>
        </w:rPr>
        <w:t>EU/1/01/198/011</w:t>
      </w:r>
    </w:p>
    <w:bookmarkEnd w:id="2"/>
    <w:p w14:paraId="3D394F1D" w14:textId="77777777" w:rsidR="005117C7" w:rsidRDefault="005117C7" w:rsidP="009B4BB6">
      <w:pPr>
        <w:pStyle w:val="EndnoteText"/>
        <w:keepNext/>
        <w:widowControl w:val="0"/>
        <w:tabs>
          <w:tab w:val="clear" w:pos="567"/>
        </w:tabs>
        <w:rPr>
          <w:color w:val="000000"/>
          <w:szCs w:val="22"/>
        </w:rPr>
      </w:pPr>
      <w:r w:rsidRPr="00CD729C">
        <w:rPr>
          <w:color w:val="000000"/>
          <w:szCs w:val="22"/>
        </w:rPr>
        <w:t>EU/1/01/198/012</w:t>
      </w:r>
    </w:p>
    <w:p w14:paraId="3D394F1E" w14:textId="77777777" w:rsidR="002E6D66" w:rsidRDefault="002E6D66" w:rsidP="009B4BB6">
      <w:pPr>
        <w:pStyle w:val="EndnoteText"/>
        <w:keepNext/>
        <w:widowControl w:val="0"/>
        <w:tabs>
          <w:tab w:val="clear" w:pos="567"/>
        </w:tabs>
        <w:rPr>
          <w:color w:val="000000"/>
          <w:szCs w:val="22"/>
          <w:lang w:val="en-US"/>
        </w:rPr>
      </w:pPr>
      <w:r w:rsidRPr="00D42BBC">
        <w:rPr>
          <w:color w:val="000000"/>
          <w:szCs w:val="22"/>
          <w:lang w:val="en-US"/>
        </w:rPr>
        <w:t>EU/1/01/198/</w:t>
      </w:r>
      <w:r>
        <w:rPr>
          <w:color w:val="000000"/>
          <w:szCs w:val="22"/>
          <w:lang w:val="en-US"/>
        </w:rPr>
        <w:t>01</w:t>
      </w:r>
      <w:r w:rsidR="00B3238B">
        <w:rPr>
          <w:color w:val="000000"/>
          <w:szCs w:val="22"/>
          <w:lang w:val="en-US"/>
        </w:rPr>
        <w:t>4</w:t>
      </w:r>
    </w:p>
    <w:p w14:paraId="3D394F1F" w14:textId="77777777" w:rsidR="002E6D66" w:rsidRDefault="002E6D66" w:rsidP="009B4BB6">
      <w:pPr>
        <w:pStyle w:val="EndnoteText"/>
        <w:keepNext/>
        <w:widowControl w:val="0"/>
        <w:tabs>
          <w:tab w:val="clear" w:pos="567"/>
        </w:tabs>
        <w:rPr>
          <w:color w:val="000000"/>
          <w:szCs w:val="22"/>
          <w:lang w:val="en-US"/>
        </w:rPr>
      </w:pPr>
      <w:r w:rsidRPr="00D42BBC">
        <w:rPr>
          <w:color w:val="000000"/>
          <w:szCs w:val="22"/>
          <w:lang w:val="en-US"/>
        </w:rPr>
        <w:t>EU/1/01/198/</w:t>
      </w:r>
      <w:r>
        <w:rPr>
          <w:color w:val="000000"/>
          <w:szCs w:val="22"/>
          <w:lang w:val="en-US"/>
        </w:rPr>
        <w:t>01</w:t>
      </w:r>
      <w:r w:rsidR="00B3238B">
        <w:rPr>
          <w:color w:val="000000"/>
          <w:szCs w:val="22"/>
          <w:lang w:val="en-US"/>
        </w:rPr>
        <w:t>5</w:t>
      </w:r>
    </w:p>
    <w:p w14:paraId="3D394F20" w14:textId="77777777" w:rsidR="00C0385D" w:rsidRDefault="00C0385D" w:rsidP="009B4BB6">
      <w:pPr>
        <w:pStyle w:val="EndnoteText"/>
        <w:widowControl w:val="0"/>
        <w:tabs>
          <w:tab w:val="clear" w:pos="567"/>
        </w:tabs>
        <w:rPr>
          <w:color w:val="000000"/>
          <w:szCs w:val="22"/>
          <w:lang w:val="en-US"/>
        </w:rPr>
      </w:pPr>
      <w:r w:rsidRPr="00D42BBC">
        <w:rPr>
          <w:color w:val="000000"/>
          <w:szCs w:val="22"/>
          <w:lang w:val="en-US"/>
        </w:rPr>
        <w:t>EU/1/01/198/</w:t>
      </w:r>
      <w:r>
        <w:rPr>
          <w:color w:val="000000"/>
          <w:szCs w:val="22"/>
          <w:lang w:val="en-US"/>
        </w:rPr>
        <w:t>01</w:t>
      </w:r>
      <w:r w:rsidR="00B3238B">
        <w:rPr>
          <w:color w:val="000000"/>
          <w:szCs w:val="22"/>
          <w:lang w:val="en-US"/>
        </w:rPr>
        <w:t>6</w:t>
      </w:r>
    </w:p>
    <w:p w14:paraId="3D394F21" w14:textId="77777777" w:rsidR="000D127F" w:rsidRPr="000D127F" w:rsidRDefault="000D127F" w:rsidP="009B4BB6">
      <w:pPr>
        <w:pStyle w:val="EndnoteText"/>
        <w:widowControl w:val="0"/>
        <w:tabs>
          <w:tab w:val="clear" w:pos="567"/>
        </w:tabs>
        <w:rPr>
          <w:color w:val="000000"/>
          <w:szCs w:val="22"/>
        </w:rPr>
      </w:pPr>
    </w:p>
    <w:p w14:paraId="3D394F22" w14:textId="77777777" w:rsidR="000D127F" w:rsidRPr="00A47F0F" w:rsidRDefault="000D127F" w:rsidP="009B4BB6">
      <w:pPr>
        <w:keepNext/>
        <w:widowControl w:val="0"/>
        <w:tabs>
          <w:tab w:val="clear" w:pos="567"/>
          <w:tab w:val="left" w:pos="1701"/>
        </w:tabs>
        <w:spacing w:line="240" w:lineRule="auto"/>
        <w:rPr>
          <w:color w:val="000000"/>
          <w:szCs w:val="22"/>
          <w:u w:val="single"/>
        </w:rPr>
      </w:pPr>
      <w:r w:rsidRPr="00A47F0F">
        <w:rPr>
          <w:color w:val="000000"/>
          <w:szCs w:val="22"/>
          <w:u w:val="single"/>
        </w:rPr>
        <w:t>Glivec</w:t>
      </w:r>
      <w:r w:rsidRPr="001545DB">
        <w:rPr>
          <w:color w:val="000000"/>
          <w:szCs w:val="22"/>
          <w:u w:val="single"/>
        </w:rPr>
        <w:t xml:space="preserve"> </w:t>
      </w:r>
      <w:r>
        <w:rPr>
          <w:color w:val="000000"/>
          <w:szCs w:val="22"/>
          <w:u w:val="single"/>
        </w:rPr>
        <w:t>400 mg apvalkotās tabletes</w:t>
      </w:r>
    </w:p>
    <w:p w14:paraId="3D394F23" w14:textId="77777777" w:rsidR="000D127F" w:rsidRPr="009574E1" w:rsidRDefault="000D127F" w:rsidP="009B4BB6">
      <w:pPr>
        <w:pStyle w:val="EndnoteText"/>
        <w:keepNext/>
        <w:widowControl w:val="0"/>
        <w:tabs>
          <w:tab w:val="clear" w:pos="567"/>
        </w:tabs>
        <w:rPr>
          <w:color w:val="000000"/>
          <w:szCs w:val="22"/>
        </w:rPr>
      </w:pPr>
      <w:r w:rsidRPr="009574E1">
        <w:rPr>
          <w:color w:val="000000"/>
          <w:szCs w:val="22"/>
        </w:rPr>
        <w:t>EU/1/01/198/009</w:t>
      </w:r>
    </w:p>
    <w:p w14:paraId="3D394F24" w14:textId="77777777" w:rsidR="000D127F" w:rsidRPr="009574E1" w:rsidRDefault="000D127F" w:rsidP="009B4BB6">
      <w:pPr>
        <w:pStyle w:val="EndnoteText"/>
        <w:keepNext/>
        <w:widowControl w:val="0"/>
        <w:tabs>
          <w:tab w:val="clear" w:pos="567"/>
        </w:tabs>
        <w:rPr>
          <w:color w:val="000000"/>
          <w:szCs w:val="22"/>
        </w:rPr>
      </w:pPr>
      <w:r w:rsidRPr="009574E1">
        <w:rPr>
          <w:color w:val="000000"/>
          <w:szCs w:val="22"/>
        </w:rPr>
        <w:t>EU/1/01/198/010</w:t>
      </w:r>
    </w:p>
    <w:p w14:paraId="3D394F25" w14:textId="77777777" w:rsidR="000D127F" w:rsidRPr="009574E1" w:rsidRDefault="000D127F" w:rsidP="009B4BB6">
      <w:pPr>
        <w:pStyle w:val="EndnoteText"/>
        <w:widowControl w:val="0"/>
        <w:tabs>
          <w:tab w:val="clear" w:pos="567"/>
        </w:tabs>
        <w:rPr>
          <w:color w:val="000000"/>
          <w:szCs w:val="22"/>
        </w:rPr>
      </w:pPr>
      <w:r w:rsidRPr="009574E1">
        <w:rPr>
          <w:color w:val="000000"/>
          <w:szCs w:val="22"/>
        </w:rPr>
        <w:t>EU/1/01/198/013</w:t>
      </w:r>
    </w:p>
    <w:p w14:paraId="3D394F26" w14:textId="77777777" w:rsidR="005117C7" w:rsidRPr="00CD729C" w:rsidRDefault="005117C7" w:rsidP="009B4BB6">
      <w:pPr>
        <w:widowControl w:val="0"/>
        <w:tabs>
          <w:tab w:val="clear" w:pos="567"/>
        </w:tabs>
        <w:spacing w:line="240" w:lineRule="auto"/>
        <w:rPr>
          <w:color w:val="000000"/>
          <w:szCs w:val="22"/>
        </w:rPr>
      </w:pPr>
    </w:p>
    <w:p w14:paraId="3D394F27" w14:textId="77777777" w:rsidR="005117C7" w:rsidRPr="00CD729C" w:rsidRDefault="005117C7" w:rsidP="009B4BB6">
      <w:pPr>
        <w:widowControl w:val="0"/>
        <w:tabs>
          <w:tab w:val="clear" w:pos="567"/>
        </w:tabs>
        <w:spacing w:line="240" w:lineRule="auto"/>
        <w:ind w:left="567" w:hanging="567"/>
        <w:rPr>
          <w:color w:val="000000"/>
          <w:szCs w:val="22"/>
        </w:rPr>
      </w:pPr>
    </w:p>
    <w:p w14:paraId="3D394F28" w14:textId="77777777" w:rsidR="005117C7" w:rsidRPr="00CD729C" w:rsidRDefault="005117C7" w:rsidP="009B4BB6">
      <w:pPr>
        <w:keepNext/>
        <w:widowControl w:val="0"/>
        <w:tabs>
          <w:tab w:val="clear" w:pos="567"/>
        </w:tabs>
        <w:spacing w:line="240" w:lineRule="auto"/>
        <w:ind w:left="567" w:hanging="567"/>
        <w:rPr>
          <w:color w:val="000000"/>
          <w:szCs w:val="22"/>
        </w:rPr>
      </w:pPr>
      <w:r w:rsidRPr="00CD729C">
        <w:rPr>
          <w:b/>
          <w:color w:val="000000"/>
          <w:szCs w:val="22"/>
        </w:rPr>
        <w:t>9.</w:t>
      </w:r>
      <w:r w:rsidRPr="00CD729C">
        <w:rPr>
          <w:b/>
          <w:color w:val="000000"/>
          <w:szCs w:val="22"/>
        </w:rPr>
        <w:tab/>
      </w:r>
      <w:r w:rsidR="000139F0" w:rsidRPr="00CD729C">
        <w:rPr>
          <w:b/>
          <w:color w:val="000000"/>
          <w:szCs w:val="22"/>
        </w:rPr>
        <w:t xml:space="preserve">PIRMĀS </w:t>
      </w:r>
      <w:r w:rsidRPr="00CD729C">
        <w:rPr>
          <w:b/>
          <w:color w:val="000000"/>
          <w:szCs w:val="22"/>
        </w:rPr>
        <w:t>REĢISTRĀCIJAS/PĀRREĢISTRĀCIJAS DATUMS</w:t>
      </w:r>
    </w:p>
    <w:p w14:paraId="3D394F29" w14:textId="77777777" w:rsidR="005117C7" w:rsidRPr="00CD729C" w:rsidRDefault="005117C7" w:rsidP="009B4BB6">
      <w:pPr>
        <w:keepNext/>
        <w:widowControl w:val="0"/>
        <w:tabs>
          <w:tab w:val="clear" w:pos="567"/>
        </w:tabs>
        <w:spacing w:line="240" w:lineRule="auto"/>
        <w:ind w:left="567" w:hanging="567"/>
        <w:rPr>
          <w:color w:val="000000"/>
          <w:szCs w:val="22"/>
        </w:rPr>
      </w:pPr>
    </w:p>
    <w:p w14:paraId="3D394F2A" w14:textId="77777777" w:rsidR="005117C7" w:rsidRPr="00CD729C" w:rsidRDefault="00426DC1" w:rsidP="009B4BB6">
      <w:pPr>
        <w:keepNext/>
        <w:widowControl w:val="0"/>
        <w:tabs>
          <w:tab w:val="clear" w:pos="567"/>
        </w:tabs>
        <w:spacing w:line="240" w:lineRule="auto"/>
        <w:ind w:left="567" w:hanging="567"/>
        <w:rPr>
          <w:color w:val="000000"/>
          <w:szCs w:val="22"/>
        </w:rPr>
      </w:pPr>
      <w:r w:rsidRPr="00CD729C">
        <w:rPr>
          <w:color w:val="000000"/>
          <w:szCs w:val="22"/>
        </w:rPr>
        <w:t>R</w:t>
      </w:r>
      <w:r w:rsidR="00C569C5" w:rsidRPr="00CD729C">
        <w:rPr>
          <w:color w:val="000000"/>
          <w:szCs w:val="22"/>
        </w:rPr>
        <w:t xml:space="preserve">eģistrācijas datums: </w:t>
      </w:r>
      <w:r w:rsidR="000139F0" w:rsidRPr="00CD729C">
        <w:rPr>
          <w:color w:val="000000"/>
          <w:szCs w:val="22"/>
        </w:rPr>
        <w:t>2001.</w:t>
      </w:r>
      <w:r w:rsidR="000139F0" w:rsidRPr="00CD729C">
        <w:rPr>
          <w:szCs w:val="22"/>
        </w:rPr>
        <w:t xml:space="preserve"> gada </w:t>
      </w:r>
      <w:r w:rsidR="00476ADA" w:rsidRPr="00CD729C">
        <w:rPr>
          <w:color w:val="000000"/>
          <w:szCs w:val="22"/>
        </w:rPr>
        <w:t>07</w:t>
      </w:r>
      <w:r w:rsidRPr="00CD729C">
        <w:rPr>
          <w:color w:val="000000"/>
          <w:szCs w:val="22"/>
        </w:rPr>
        <w:t>. novembris</w:t>
      </w:r>
      <w:r w:rsidR="005117C7" w:rsidRPr="00CD729C">
        <w:rPr>
          <w:color w:val="000000"/>
          <w:szCs w:val="22"/>
        </w:rPr>
        <w:t>.</w:t>
      </w:r>
    </w:p>
    <w:p w14:paraId="3D394F2B" w14:textId="77777777" w:rsidR="00C569C5" w:rsidRPr="00CD729C" w:rsidRDefault="00426DC1" w:rsidP="009B4BB6">
      <w:pPr>
        <w:widowControl w:val="0"/>
        <w:tabs>
          <w:tab w:val="clear" w:pos="567"/>
        </w:tabs>
        <w:spacing w:line="240" w:lineRule="auto"/>
        <w:ind w:left="567" w:hanging="567"/>
        <w:rPr>
          <w:color w:val="000000"/>
          <w:szCs w:val="22"/>
        </w:rPr>
      </w:pPr>
      <w:r w:rsidRPr="00CD729C">
        <w:rPr>
          <w:color w:val="000000"/>
          <w:szCs w:val="22"/>
        </w:rPr>
        <w:t xml:space="preserve">Pēdējās </w:t>
      </w:r>
      <w:r w:rsidR="00C569C5" w:rsidRPr="00CD729C">
        <w:rPr>
          <w:color w:val="000000"/>
          <w:szCs w:val="22"/>
        </w:rPr>
        <w:t>pārreģistrācijas datums:</w:t>
      </w:r>
      <w:r w:rsidR="004A4660" w:rsidRPr="00CD729C">
        <w:rPr>
          <w:color w:val="000000"/>
          <w:szCs w:val="22"/>
        </w:rPr>
        <w:t xml:space="preserve"> </w:t>
      </w:r>
      <w:r w:rsidR="000139F0" w:rsidRPr="00CD729C">
        <w:rPr>
          <w:color w:val="000000"/>
          <w:szCs w:val="22"/>
        </w:rPr>
        <w:t>2006.</w:t>
      </w:r>
      <w:r w:rsidR="000139F0" w:rsidRPr="00CD729C">
        <w:rPr>
          <w:szCs w:val="22"/>
        </w:rPr>
        <w:t> gada</w:t>
      </w:r>
      <w:r w:rsidR="000139F0" w:rsidRPr="00CD729C">
        <w:rPr>
          <w:color w:val="000000"/>
          <w:szCs w:val="22"/>
        </w:rPr>
        <w:t xml:space="preserve"> </w:t>
      </w:r>
      <w:r w:rsidRPr="00CD729C">
        <w:rPr>
          <w:color w:val="000000"/>
          <w:szCs w:val="22"/>
        </w:rPr>
        <w:t>07. novembris.</w:t>
      </w:r>
    </w:p>
    <w:p w14:paraId="3D394F2C" w14:textId="77777777" w:rsidR="005117C7" w:rsidRPr="00CD729C" w:rsidRDefault="005117C7" w:rsidP="009B4BB6">
      <w:pPr>
        <w:widowControl w:val="0"/>
        <w:tabs>
          <w:tab w:val="clear" w:pos="567"/>
        </w:tabs>
        <w:spacing w:line="240" w:lineRule="auto"/>
        <w:ind w:left="567" w:hanging="567"/>
        <w:rPr>
          <w:color w:val="000000"/>
          <w:szCs w:val="22"/>
        </w:rPr>
      </w:pPr>
    </w:p>
    <w:p w14:paraId="3D394F2D" w14:textId="77777777" w:rsidR="005117C7" w:rsidRPr="00CD729C" w:rsidRDefault="005117C7" w:rsidP="009B4BB6">
      <w:pPr>
        <w:widowControl w:val="0"/>
        <w:tabs>
          <w:tab w:val="clear" w:pos="567"/>
        </w:tabs>
        <w:spacing w:line="240" w:lineRule="auto"/>
        <w:ind w:left="567" w:hanging="567"/>
        <w:rPr>
          <w:color w:val="000000"/>
          <w:szCs w:val="22"/>
        </w:rPr>
      </w:pPr>
    </w:p>
    <w:p w14:paraId="3D394F2E" w14:textId="77777777" w:rsidR="005117C7" w:rsidRPr="00CD729C" w:rsidRDefault="005117C7" w:rsidP="009B4BB6">
      <w:pPr>
        <w:widowControl w:val="0"/>
        <w:tabs>
          <w:tab w:val="clear" w:pos="567"/>
        </w:tabs>
        <w:spacing w:line="240" w:lineRule="auto"/>
        <w:ind w:left="567" w:hanging="567"/>
        <w:rPr>
          <w:b/>
          <w:color w:val="000000"/>
          <w:szCs w:val="22"/>
        </w:rPr>
      </w:pPr>
      <w:r w:rsidRPr="00CD729C">
        <w:rPr>
          <w:b/>
          <w:color w:val="000000"/>
          <w:szCs w:val="22"/>
        </w:rPr>
        <w:t>10.</w:t>
      </w:r>
      <w:r w:rsidRPr="00CD729C">
        <w:rPr>
          <w:b/>
          <w:color w:val="000000"/>
          <w:szCs w:val="22"/>
        </w:rPr>
        <w:tab/>
        <w:t>TEKSTA PĀRSKATĪŠANAS DATUMS</w:t>
      </w:r>
    </w:p>
    <w:p w14:paraId="3D394F2F" w14:textId="77777777" w:rsidR="005117C7" w:rsidRPr="00CD729C" w:rsidRDefault="005117C7" w:rsidP="009B4BB6">
      <w:pPr>
        <w:widowControl w:val="0"/>
        <w:tabs>
          <w:tab w:val="clear" w:pos="567"/>
        </w:tabs>
        <w:spacing w:line="240" w:lineRule="auto"/>
        <w:rPr>
          <w:color w:val="000000"/>
          <w:szCs w:val="22"/>
        </w:rPr>
      </w:pPr>
    </w:p>
    <w:p w14:paraId="3D394F30" w14:textId="77777777" w:rsidR="009500DF" w:rsidRPr="00CD729C" w:rsidRDefault="009500DF" w:rsidP="009B4BB6">
      <w:pPr>
        <w:widowControl w:val="0"/>
        <w:tabs>
          <w:tab w:val="clear" w:pos="567"/>
        </w:tabs>
        <w:spacing w:line="240" w:lineRule="auto"/>
        <w:ind w:left="567" w:hanging="567"/>
      </w:pPr>
    </w:p>
    <w:p w14:paraId="3D394F31" w14:textId="77777777" w:rsidR="009500DF" w:rsidRPr="00CD729C" w:rsidRDefault="009500DF" w:rsidP="00E36D64">
      <w:pPr>
        <w:keepLines/>
        <w:widowControl w:val="0"/>
        <w:tabs>
          <w:tab w:val="clear" w:pos="567"/>
        </w:tabs>
        <w:spacing w:line="240" w:lineRule="auto"/>
        <w:rPr>
          <w:color w:val="000000"/>
          <w:szCs w:val="22"/>
        </w:rPr>
      </w:pPr>
      <w:r w:rsidRPr="00CD729C">
        <w:t xml:space="preserve">Sīkāka informācija par šīm zālēm ir pieejama Eiropas Zāļu aģentūras </w:t>
      </w:r>
      <w:r w:rsidR="00426DC1" w:rsidRPr="00CD729C">
        <w:t xml:space="preserve">tīmekļa vietnē </w:t>
      </w:r>
      <w:r w:rsidRPr="00CD729C">
        <w:rPr>
          <w:color w:val="000000"/>
        </w:rPr>
        <w:t>http://www.ema.europa.eu</w:t>
      </w:r>
      <w:r w:rsidR="00426DC1" w:rsidRPr="00CD729C">
        <w:rPr>
          <w:color w:val="000000"/>
        </w:rPr>
        <w:t>.</w:t>
      </w:r>
    </w:p>
    <w:p w14:paraId="3D394F32" w14:textId="77777777" w:rsidR="009F6C80" w:rsidRPr="00CD729C" w:rsidRDefault="005117C7" w:rsidP="009B4BB6">
      <w:pPr>
        <w:widowControl w:val="0"/>
        <w:spacing w:line="240" w:lineRule="auto"/>
        <w:rPr>
          <w:color w:val="000000"/>
          <w:szCs w:val="22"/>
        </w:rPr>
      </w:pPr>
      <w:r w:rsidRPr="00CD729C">
        <w:rPr>
          <w:b/>
          <w:color w:val="000000"/>
          <w:szCs w:val="22"/>
        </w:rPr>
        <w:br w:type="page"/>
      </w:r>
    </w:p>
    <w:p w14:paraId="3D394F33" w14:textId="77777777" w:rsidR="009F6C80" w:rsidRPr="00CD729C" w:rsidRDefault="009F6C80" w:rsidP="009B4BB6">
      <w:pPr>
        <w:widowControl w:val="0"/>
        <w:spacing w:line="240" w:lineRule="auto"/>
        <w:rPr>
          <w:color w:val="000000"/>
          <w:szCs w:val="22"/>
        </w:rPr>
      </w:pPr>
    </w:p>
    <w:p w14:paraId="3D394F34" w14:textId="77777777" w:rsidR="009F6C80" w:rsidRPr="00CD729C" w:rsidRDefault="009F6C80" w:rsidP="009B4BB6">
      <w:pPr>
        <w:widowControl w:val="0"/>
        <w:spacing w:line="240" w:lineRule="auto"/>
        <w:rPr>
          <w:color w:val="000000"/>
          <w:szCs w:val="22"/>
        </w:rPr>
      </w:pPr>
    </w:p>
    <w:p w14:paraId="3D394F35" w14:textId="77777777" w:rsidR="009F6C80" w:rsidRPr="00CD729C" w:rsidRDefault="009F6C80" w:rsidP="009B4BB6">
      <w:pPr>
        <w:widowControl w:val="0"/>
        <w:spacing w:line="240" w:lineRule="auto"/>
        <w:rPr>
          <w:color w:val="000000"/>
          <w:szCs w:val="22"/>
        </w:rPr>
      </w:pPr>
    </w:p>
    <w:p w14:paraId="3D394F36" w14:textId="77777777" w:rsidR="009F6C80" w:rsidRPr="00CD729C" w:rsidRDefault="009F6C80" w:rsidP="009B4BB6">
      <w:pPr>
        <w:widowControl w:val="0"/>
        <w:spacing w:line="240" w:lineRule="auto"/>
        <w:rPr>
          <w:color w:val="000000"/>
          <w:szCs w:val="22"/>
        </w:rPr>
      </w:pPr>
    </w:p>
    <w:p w14:paraId="3D394F37" w14:textId="77777777" w:rsidR="009F6C80" w:rsidRPr="00CD729C" w:rsidRDefault="009F6C80" w:rsidP="009B4BB6">
      <w:pPr>
        <w:widowControl w:val="0"/>
        <w:spacing w:line="240" w:lineRule="auto"/>
        <w:rPr>
          <w:color w:val="000000"/>
          <w:szCs w:val="22"/>
        </w:rPr>
      </w:pPr>
    </w:p>
    <w:p w14:paraId="3D394F38" w14:textId="77777777" w:rsidR="009F6C80" w:rsidRPr="00CD729C" w:rsidRDefault="009F6C80" w:rsidP="009B4BB6">
      <w:pPr>
        <w:widowControl w:val="0"/>
        <w:spacing w:line="240" w:lineRule="auto"/>
        <w:rPr>
          <w:color w:val="000000"/>
          <w:szCs w:val="22"/>
        </w:rPr>
      </w:pPr>
    </w:p>
    <w:p w14:paraId="3D394F39" w14:textId="77777777" w:rsidR="009F6C80" w:rsidRPr="00CD729C" w:rsidRDefault="009F6C80" w:rsidP="009B4BB6">
      <w:pPr>
        <w:widowControl w:val="0"/>
        <w:spacing w:line="240" w:lineRule="auto"/>
        <w:rPr>
          <w:color w:val="000000"/>
          <w:szCs w:val="22"/>
        </w:rPr>
      </w:pPr>
    </w:p>
    <w:p w14:paraId="3D394F3A" w14:textId="77777777" w:rsidR="009F6C80" w:rsidRPr="00CD729C" w:rsidRDefault="009F6C80" w:rsidP="009B4BB6">
      <w:pPr>
        <w:widowControl w:val="0"/>
        <w:spacing w:line="240" w:lineRule="auto"/>
        <w:rPr>
          <w:color w:val="000000"/>
          <w:szCs w:val="22"/>
        </w:rPr>
      </w:pPr>
    </w:p>
    <w:p w14:paraId="3D394F3B" w14:textId="77777777" w:rsidR="009F6C80" w:rsidRPr="00CD729C" w:rsidRDefault="009F6C80" w:rsidP="009B4BB6">
      <w:pPr>
        <w:widowControl w:val="0"/>
        <w:spacing w:line="240" w:lineRule="auto"/>
        <w:rPr>
          <w:color w:val="000000"/>
          <w:szCs w:val="22"/>
        </w:rPr>
      </w:pPr>
    </w:p>
    <w:p w14:paraId="3D394F3C" w14:textId="77777777" w:rsidR="009F6C80" w:rsidRPr="00CD729C" w:rsidRDefault="009F6C80" w:rsidP="009B4BB6">
      <w:pPr>
        <w:widowControl w:val="0"/>
        <w:spacing w:line="240" w:lineRule="auto"/>
        <w:rPr>
          <w:color w:val="000000"/>
          <w:szCs w:val="22"/>
        </w:rPr>
      </w:pPr>
    </w:p>
    <w:p w14:paraId="3D394F3D" w14:textId="77777777" w:rsidR="009F6C80" w:rsidRPr="00CD729C" w:rsidRDefault="009F6C80" w:rsidP="009B4BB6">
      <w:pPr>
        <w:widowControl w:val="0"/>
        <w:spacing w:line="240" w:lineRule="auto"/>
        <w:rPr>
          <w:color w:val="000000"/>
          <w:szCs w:val="22"/>
        </w:rPr>
      </w:pPr>
    </w:p>
    <w:p w14:paraId="3D394F3E" w14:textId="77777777" w:rsidR="009F6C80" w:rsidRPr="00CD729C" w:rsidRDefault="009F6C80" w:rsidP="009B4BB6">
      <w:pPr>
        <w:widowControl w:val="0"/>
        <w:spacing w:line="240" w:lineRule="auto"/>
        <w:rPr>
          <w:color w:val="000000"/>
          <w:szCs w:val="22"/>
        </w:rPr>
      </w:pPr>
    </w:p>
    <w:p w14:paraId="3D394F3F" w14:textId="77777777" w:rsidR="009F6C80" w:rsidRPr="00CD729C" w:rsidRDefault="009F6C80" w:rsidP="009B4BB6">
      <w:pPr>
        <w:widowControl w:val="0"/>
        <w:spacing w:line="240" w:lineRule="auto"/>
        <w:rPr>
          <w:color w:val="000000"/>
          <w:szCs w:val="22"/>
        </w:rPr>
      </w:pPr>
    </w:p>
    <w:p w14:paraId="3D394F40" w14:textId="77777777" w:rsidR="009F6C80" w:rsidRPr="00CD729C" w:rsidRDefault="009F6C80" w:rsidP="009B4BB6">
      <w:pPr>
        <w:widowControl w:val="0"/>
        <w:spacing w:line="240" w:lineRule="auto"/>
        <w:rPr>
          <w:color w:val="000000"/>
          <w:szCs w:val="22"/>
        </w:rPr>
      </w:pPr>
    </w:p>
    <w:p w14:paraId="3D394F41" w14:textId="77777777" w:rsidR="009F6C80" w:rsidRPr="00CD729C" w:rsidRDefault="009F6C80" w:rsidP="009B4BB6">
      <w:pPr>
        <w:widowControl w:val="0"/>
        <w:spacing w:line="240" w:lineRule="auto"/>
        <w:rPr>
          <w:color w:val="000000"/>
          <w:szCs w:val="22"/>
        </w:rPr>
      </w:pPr>
    </w:p>
    <w:p w14:paraId="3D394F42" w14:textId="77777777" w:rsidR="009F6C80" w:rsidRPr="00CD729C" w:rsidRDefault="009F6C80" w:rsidP="009B4BB6">
      <w:pPr>
        <w:widowControl w:val="0"/>
        <w:spacing w:line="240" w:lineRule="auto"/>
        <w:rPr>
          <w:color w:val="000000"/>
          <w:szCs w:val="22"/>
        </w:rPr>
      </w:pPr>
    </w:p>
    <w:p w14:paraId="3D394F43" w14:textId="77777777" w:rsidR="009F6C80" w:rsidRDefault="009F6C80" w:rsidP="009B4BB6">
      <w:pPr>
        <w:widowControl w:val="0"/>
        <w:spacing w:line="240" w:lineRule="auto"/>
        <w:rPr>
          <w:color w:val="000000"/>
          <w:szCs w:val="22"/>
        </w:rPr>
      </w:pPr>
    </w:p>
    <w:p w14:paraId="3D394F44" w14:textId="77777777" w:rsidR="00E36D64" w:rsidRPr="00CD729C" w:rsidRDefault="00E36D64" w:rsidP="009B4BB6">
      <w:pPr>
        <w:widowControl w:val="0"/>
        <w:spacing w:line="240" w:lineRule="auto"/>
        <w:rPr>
          <w:color w:val="000000"/>
          <w:szCs w:val="22"/>
        </w:rPr>
      </w:pPr>
    </w:p>
    <w:p w14:paraId="3D394F45" w14:textId="77777777" w:rsidR="009F6C80" w:rsidRPr="00CD729C" w:rsidRDefault="009F6C80" w:rsidP="009B4BB6">
      <w:pPr>
        <w:widowControl w:val="0"/>
        <w:spacing w:line="240" w:lineRule="auto"/>
        <w:rPr>
          <w:color w:val="000000"/>
          <w:szCs w:val="22"/>
        </w:rPr>
      </w:pPr>
    </w:p>
    <w:p w14:paraId="3D394F46" w14:textId="77777777" w:rsidR="009F6C80" w:rsidRPr="00CD729C" w:rsidRDefault="009F6C80" w:rsidP="009B4BB6">
      <w:pPr>
        <w:widowControl w:val="0"/>
        <w:spacing w:line="240" w:lineRule="auto"/>
        <w:rPr>
          <w:color w:val="000000"/>
          <w:szCs w:val="22"/>
        </w:rPr>
      </w:pPr>
    </w:p>
    <w:p w14:paraId="3D394F47" w14:textId="77777777" w:rsidR="009F6C80" w:rsidRPr="00CD729C" w:rsidRDefault="009F6C80" w:rsidP="009B4BB6">
      <w:pPr>
        <w:widowControl w:val="0"/>
        <w:spacing w:line="240" w:lineRule="auto"/>
        <w:rPr>
          <w:color w:val="000000"/>
          <w:szCs w:val="22"/>
        </w:rPr>
      </w:pPr>
    </w:p>
    <w:p w14:paraId="3D394F48" w14:textId="77777777" w:rsidR="009F6C80" w:rsidRPr="00CD729C" w:rsidRDefault="009F6C80" w:rsidP="009B4BB6">
      <w:pPr>
        <w:widowControl w:val="0"/>
        <w:spacing w:line="240" w:lineRule="auto"/>
        <w:rPr>
          <w:color w:val="000000"/>
          <w:szCs w:val="22"/>
        </w:rPr>
      </w:pPr>
    </w:p>
    <w:p w14:paraId="3D394F49" w14:textId="77777777" w:rsidR="009F6C80" w:rsidRPr="00CD729C" w:rsidRDefault="009F6C80" w:rsidP="009B4BB6">
      <w:pPr>
        <w:widowControl w:val="0"/>
        <w:spacing w:line="240" w:lineRule="auto"/>
        <w:rPr>
          <w:color w:val="000000"/>
          <w:szCs w:val="22"/>
        </w:rPr>
      </w:pPr>
    </w:p>
    <w:p w14:paraId="3D394F4A" w14:textId="77777777" w:rsidR="009F6C80" w:rsidRPr="00CD729C" w:rsidRDefault="009F6C80" w:rsidP="009B4BB6">
      <w:pPr>
        <w:widowControl w:val="0"/>
        <w:spacing w:line="240" w:lineRule="auto"/>
        <w:jc w:val="center"/>
        <w:rPr>
          <w:b/>
          <w:color w:val="000000"/>
          <w:szCs w:val="22"/>
        </w:rPr>
      </w:pPr>
      <w:r w:rsidRPr="00CD729C">
        <w:rPr>
          <w:b/>
          <w:color w:val="000000"/>
          <w:szCs w:val="22"/>
        </w:rPr>
        <w:t>II PIELIKUMS</w:t>
      </w:r>
    </w:p>
    <w:p w14:paraId="3D394F4B" w14:textId="77777777" w:rsidR="009F6C80" w:rsidRPr="00CD729C" w:rsidRDefault="009F6C80" w:rsidP="009B4BB6">
      <w:pPr>
        <w:widowControl w:val="0"/>
        <w:tabs>
          <w:tab w:val="clear" w:pos="567"/>
          <w:tab w:val="left" w:pos="-6946"/>
        </w:tabs>
        <w:spacing w:line="240" w:lineRule="auto"/>
        <w:ind w:right="1416"/>
        <w:rPr>
          <w:color w:val="000000"/>
          <w:szCs w:val="22"/>
        </w:rPr>
      </w:pPr>
    </w:p>
    <w:p w14:paraId="3D394F4C" w14:textId="77777777" w:rsidR="009F6C80" w:rsidRPr="00CD729C" w:rsidRDefault="009F6C80" w:rsidP="009B4BB6">
      <w:pPr>
        <w:widowControl w:val="0"/>
        <w:tabs>
          <w:tab w:val="left" w:pos="1701"/>
        </w:tabs>
        <w:spacing w:line="240" w:lineRule="auto"/>
        <w:ind w:left="1701" w:right="1416" w:hanging="567"/>
        <w:rPr>
          <w:b/>
          <w:color w:val="000000"/>
          <w:szCs w:val="22"/>
        </w:rPr>
      </w:pPr>
      <w:r w:rsidRPr="00CD729C">
        <w:rPr>
          <w:b/>
          <w:color w:val="000000"/>
          <w:szCs w:val="22"/>
        </w:rPr>
        <w:t>A.</w:t>
      </w:r>
      <w:r w:rsidRPr="00CD729C">
        <w:rPr>
          <w:b/>
          <w:color w:val="000000"/>
          <w:szCs w:val="22"/>
        </w:rPr>
        <w:tab/>
        <w:t>RAŽOTĀJS, K</w:t>
      </w:r>
      <w:r w:rsidR="004A2940" w:rsidRPr="00CD729C">
        <w:rPr>
          <w:b/>
          <w:color w:val="000000"/>
          <w:szCs w:val="22"/>
        </w:rPr>
        <w:t>AS</w:t>
      </w:r>
      <w:r w:rsidRPr="00CD729C">
        <w:rPr>
          <w:b/>
          <w:color w:val="000000"/>
          <w:szCs w:val="22"/>
        </w:rPr>
        <w:t xml:space="preserve"> ATBILD PAR SĒRIJAS IZLAIDI</w:t>
      </w:r>
    </w:p>
    <w:p w14:paraId="3D394F4D" w14:textId="77777777" w:rsidR="009F6C80" w:rsidRPr="00CD729C" w:rsidRDefault="009F6C80" w:rsidP="009B4BB6">
      <w:pPr>
        <w:widowControl w:val="0"/>
        <w:tabs>
          <w:tab w:val="clear" w:pos="567"/>
        </w:tabs>
        <w:spacing w:line="240" w:lineRule="auto"/>
        <w:ind w:right="1416"/>
        <w:rPr>
          <w:bCs/>
          <w:color w:val="000000"/>
          <w:szCs w:val="22"/>
        </w:rPr>
      </w:pPr>
    </w:p>
    <w:p w14:paraId="3D394F4E" w14:textId="77777777" w:rsidR="009F6C80" w:rsidRPr="00CD729C" w:rsidRDefault="009F6C80" w:rsidP="009B4BB6">
      <w:pPr>
        <w:widowControl w:val="0"/>
        <w:tabs>
          <w:tab w:val="left" w:pos="1701"/>
        </w:tabs>
        <w:spacing w:line="240" w:lineRule="auto"/>
        <w:ind w:left="1701" w:right="1416" w:hanging="567"/>
        <w:rPr>
          <w:b/>
          <w:color w:val="000000"/>
          <w:szCs w:val="22"/>
        </w:rPr>
      </w:pPr>
      <w:r w:rsidRPr="00CD729C">
        <w:rPr>
          <w:b/>
          <w:color w:val="000000"/>
          <w:szCs w:val="22"/>
        </w:rPr>
        <w:t>B.</w:t>
      </w:r>
      <w:r w:rsidRPr="00CD729C">
        <w:rPr>
          <w:b/>
          <w:color w:val="000000"/>
          <w:szCs w:val="22"/>
        </w:rPr>
        <w:tab/>
        <w:t>IZSNIEGŠANAS KĀRTĪBAS UN LIETOŠANAS NOSACĪJUMI VAI IEROBEŽOJUMI</w:t>
      </w:r>
    </w:p>
    <w:p w14:paraId="3D394F4F" w14:textId="77777777" w:rsidR="009F6C80" w:rsidRPr="00CD729C" w:rsidRDefault="009F6C80" w:rsidP="009B4BB6">
      <w:pPr>
        <w:widowControl w:val="0"/>
        <w:tabs>
          <w:tab w:val="clear" w:pos="567"/>
        </w:tabs>
        <w:spacing w:line="240" w:lineRule="auto"/>
        <w:ind w:right="1416"/>
        <w:rPr>
          <w:color w:val="000000"/>
          <w:szCs w:val="22"/>
        </w:rPr>
      </w:pPr>
    </w:p>
    <w:p w14:paraId="3D394F50" w14:textId="77777777" w:rsidR="009F6C80" w:rsidRPr="00CD729C" w:rsidRDefault="009F6C80" w:rsidP="009B4BB6">
      <w:pPr>
        <w:widowControl w:val="0"/>
        <w:tabs>
          <w:tab w:val="left" w:pos="1701"/>
        </w:tabs>
        <w:spacing w:line="240" w:lineRule="auto"/>
        <w:ind w:left="1701" w:right="1416" w:hanging="567"/>
        <w:rPr>
          <w:b/>
          <w:color w:val="000000"/>
          <w:szCs w:val="22"/>
        </w:rPr>
      </w:pPr>
      <w:r w:rsidRPr="00CD729C">
        <w:rPr>
          <w:b/>
          <w:szCs w:val="22"/>
        </w:rPr>
        <w:t>C.</w:t>
      </w:r>
      <w:r w:rsidRPr="00CD729C">
        <w:rPr>
          <w:b/>
          <w:szCs w:val="22"/>
        </w:rPr>
        <w:tab/>
        <w:t>CITI REĢISTRĀCIJAS NOSACĪJUMI UN PRASĪBAS</w:t>
      </w:r>
    </w:p>
    <w:p w14:paraId="3D394F51" w14:textId="77777777" w:rsidR="004A2940" w:rsidRPr="00CD729C" w:rsidRDefault="004A2940" w:rsidP="009B4BB6">
      <w:pPr>
        <w:widowControl w:val="0"/>
        <w:tabs>
          <w:tab w:val="clear" w:pos="567"/>
        </w:tabs>
        <w:suppressAutoHyphens/>
        <w:spacing w:line="240" w:lineRule="auto"/>
        <w:ind w:right="1410"/>
        <w:rPr>
          <w:color w:val="000000"/>
          <w:szCs w:val="22"/>
        </w:rPr>
      </w:pPr>
    </w:p>
    <w:p w14:paraId="3D394F52" w14:textId="77777777" w:rsidR="004A2940" w:rsidRPr="00CD729C" w:rsidRDefault="004A2940" w:rsidP="009B4BB6">
      <w:pPr>
        <w:widowControl w:val="0"/>
        <w:tabs>
          <w:tab w:val="clear" w:pos="567"/>
        </w:tabs>
        <w:spacing w:line="240" w:lineRule="auto"/>
        <w:ind w:left="1701" w:right="1416" w:hanging="567"/>
        <w:rPr>
          <w:b/>
          <w:szCs w:val="22"/>
        </w:rPr>
      </w:pPr>
      <w:r w:rsidRPr="00CD729C">
        <w:rPr>
          <w:b/>
          <w:szCs w:val="22"/>
        </w:rPr>
        <w:t>D.</w:t>
      </w:r>
      <w:r w:rsidRPr="00CD729C">
        <w:rPr>
          <w:b/>
          <w:szCs w:val="22"/>
        </w:rPr>
        <w:tab/>
      </w:r>
      <w:r w:rsidRPr="00CD729C">
        <w:rPr>
          <w:b/>
          <w:caps/>
          <w:szCs w:val="22"/>
        </w:rPr>
        <w:t>NOSACĪJUMI VAI IEROBEŽOJUMI ATTIECĪBĀ UZ DROŠU UN EFEKTĪVU ZĀĻU LIETOŠANU</w:t>
      </w:r>
    </w:p>
    <w:p w14:paraId="3D394F53" w14:textId="77777777" w:rsidR="009F6C80" w:rsidRPr="00CD729C" w:rsidRDefault="009F6C80" w:rsidP="009B4BB6">
      <w:pPr>
        <w:widowControl w:val="0"/>
        <w:tabs>
          <w:tab w:val="clear" w:pos="567"/>
          <w:tab w:val="left" w:pos="-6946"/>
        </w:tabs>
        <w:spacing w:line="240" w:lineRule="auto"/>
        <w:ind w:right="1416"/>
        <w:rPr>
          <w:color w:val="000000"/>
          <w:szCs w:val="22"/>
        </w:rPr>
      </w:pPr>
    </w:p>
    <w:p w14:paraId="3D394F54" w14:textId="77777777" w:rsidR="009F6C80" w:rsidRPr="00BB79C5" w:rsidRDefault="009F6C80" w:rsidP="009B4BB6">
      <w:pPr>
        <w:widowControl w:val="0"/>
        <w:tabs>
          <w:tab w:val="left" w:pos="9071"/>
        </w:tabs>
        <w:spacing w:line="240" w:lineRule="auto"/>
        <w:ind w:left="567" w:right="-1" w:hanging="567"/>
        <w:rPr>
          <w:b/>
          <w:szCs w:val="22"/>
        </w:rPr>
      </w:pPr>
      <w:r w:rsidRPr="00CD729C">
        <w:rPr>
          <w:color w:val="000000"/>
          <w:szCs w:val="22"/>
        </w:rPr>
        <w:br w:type="page"/>
      </w:r>
      <w:r w:rsidRPr="00BB79C5">
        <w:rPr>
          <w:b/>
          <w:szCs w:val="22"/>
        </w:rPr>
        <w:t>A.</w:t>
      </w:r>
      <w:r w:rsidRPr="00BB79C5">
        <w:rPr>
          <w:b/>
          <w:szCs w:val="22"/>
        </w:rPr>
        <w:tab/>
        <w:t>RAŽOTĀJS, K</w:t>
      </w:r>
      <w:r w:rsidR="00385060" w:rsidRPr="00BB79C5">
        <w:rPr>
          <w:b/>
          <w:szCs w:val="22"/>
        </w:rPr>
        <w:t>AS</w:t>
      </w:r>
      <w:r w:rsidRPr="00BB79C5">
        <w:rPr>
          <w:b/>
          <w:szCs w:val="22"/>
        </w:rPr>
        <w:t xml:space="preserve"> ATBILD PAR SĒRIJAS IZLAIDI</w:t>
      </w:r>
    </w:p>
    <w:p w14:paraId="3D394F55" w14:textId="77777777" w:rsidR="009F6C80" w:rsidRPr="00BB79C5" w:rsidRDefault="009F6C80" w:rsidP="009B4BB6">
      <w:pPr>
        <w:widowControl w:val="0"/>
        <w:spacing w:line="240" w:lineRule="auto"/>
        <w:ind w:left="567" w:hanging="567"/>
        <w:rPr>
          <w:szCs w:val="22"/>
        </w:rPr>
      </w:pPr>
    </w:p>
    <w:p w14:paraId="3D394F56" w14:textId="77777777" w:rsidR="009F6C80" w:rsidRPr="00BB79C5" w:rsidRDefault="009F6C80" w:rsidP="009B4BB6">
      <w:pPr>
        <w:widowControl w:val="0"/>
        <w:spacing w:line="240" w:lineRule="auto"/>
        <w:rPr>
          <w:szCs w:val="22"/>
        </w:rPr>
      </w:pPr>
      <w:r w:rsidRPr="00BB79C5">
        <w:rPr>
          <w:szCs w:val="22"/>
          <w:u w:val="single"/>
        </w:rPr>
        <w:t>Ražotāja, kas atbild par sērijas izlaidi, nosaukums un adrese</w:t>
      </w:r>
    </w:p>
    <w:p w14:paraId="3D394F57" w14:textId="77777777" w:rsidR="009F6C80" w:rsidRPr="00BB79C5" w:rsidRDefault="009F6C80" w:rsidP="009B4BB6">
      <w:pPr>
        <w:widowControl w:val="0"/>
        <w:spacing w:line="240" w:lineRule="auto"/>
        <w:rPr>
          <w:szCs w:val="22"/>
        </w:rPr>
      </w:pPr>
    </w:p>
    <w:p w14:paraId="3D394F58" w14:textId="77777777" w:rsidR="00BB79C5" w:rsidRPr="00E36D64" w:rsidRDefault="00BB79C5" w:rsidP="009B4BB6">
      <w:pPr>
        <w:widowControl w:val="0"/>
        <w:tabs>
          <w:tab w:val="left" w:pos="7513"/>
        </w:tabs>
        <w:spacing w:line="240" w:lineRule="auto"/>
        <w:rPr>
          <w:szCs w:val="22"/>
          <w:lang w:val="fr-CH"/>
        </w:rPr>
      </w:pPr>
      <w:r w:rsidRPr="00E36D64">
        <w:rPr>
          <w:szCs w:val="22"/>
          <w:lang w:val="fr-CH"/>
        </w:rPr>
        <w:t>Lek d.d, PE PROIZVODNJA LENDAVA</w:t>
      </w:r>
    </w:p>
    <w:p w14:paraId="3D394F59" w14:textId="77777777" w:rsidR="00BB79C5" w:rsidRPr="00BB79C5" w:rsidRDefault="00BB79C5" w:rsidP="009B4BB6">
      <w:pPr>
        <w:widowControl w:val="0"/>
        <w:tabs>
          <w:tab w:val="left" w:pos="7513"/>
        </w:tabs>
        <w:spacing w:line="240" w:lineRule="auto"/>
        <w:rPr>
          <w:szCs w:val="22"/>
          <w:lang w:val="fr-CH"/>
        </w:rPr>
      </w:pPr>
      <w:r w:rsidRPr="00BB79C5">
        <w:rPr>
          <w:szCs w:val="22"/>
          <w:lang w:val="fr-CH"/>
        </w:rPr>
        <w:t>Trimlini 2D</w:t>
      </w:r>
    </w:p>
    <w:p w14:paraId="3D394F5A" w14:textId="77777777" w:rsidR="00BB79C5" w:rsidRPr="00BB79C5" w:rsidRDefault="00BB79C5" w:rsidP="009B4BB6">
      <w:pPr>
        <w:widowControl w:val="0"/>
        <w:tabs>
          <w:tab w:val="left" w:pos="7513"/>
        </w:tabs>
        <w:spacing w:line="240" w:lineRule="auto"/>
        <w:rPr>
          <w:szCs w:val="22"/>
          <w:lang w:val="fr-CH"/>
        </w:rPr>
      </w:pPr>
      <w:r w:rsidRPr="00BB79C5">
        <w:rPr>
          <w:szCs w:val="22"/>
          <w:lang w:val="fr-CH"/>
        </w:rPr>
        <w:t>Lendava, 9220</w:t>
      </w:r>
    </w:p>
    <w:p w14:paraId="3D394F5B" w14:textId="77777777" w:rsidR="00BB79C5" w:rsidRPr="00BB79C5" w:rsidRDefault="00BB79C5" w:rsidP="009B4BB6">
      <w:pPr>
        <w:widowControl w:val="0"/>
        <w:tabs>
          <w:tab w:val="left" w:pos="7513"/>
        </w:tabs>
        <w:spacing w:line="240" w:lineRule="auto"/>
        <w:rPr>
          <w:szCs w:val="22"/>
          <w:lang w:val="pt-BR"/>
        </w:rPr>
      </w:pPr>
      <w:r w:rsidRPr="00E36D64">
        <w:rPr>
          <w:szCs w:val="22"/>
          <w:lang w:val="fr-CH"/>
        </w:rPr>
        <w:t>Slovēnija</w:t>
      </w:r>
    </w:p>
    <w:p w14:paraId="3D394F5C" w14:textId="77777777" w:rsidR="00BB79C5" w:rsidRPr="00BB79C5" w:rsidRDefault="00BB79C5" w:rsidP="009B4BB6">
      <w:pPr>
        <w:widowControl w:val="0"/>
        <w:tabs>
          <w:tab w:val="left" w:pos="7513"/>
        </w:tabs>
        <w:spacing w:line="240" w:lineRule="auto"/>
        <w:rPr>
          <w:szCs w:val="22"/>
          <w:lang w:val="pt-BR"/>
        </w:rPr>
      </w:pPr>
    </w:p>
    <w:p w14:paraId="3D394F5D" w14:textId="77777777" w:rsidR="009F6C80" w:rsidRPr="00BB79C5" w:rsidRDefault="009F6C80" w:rsidP="009B4BB6">
      <w:pPr>
        <w:widowControl w:val="0"/>
        <w:tabs>
          <w:tab w:val="left" w:pos="7513"/>
        </w:tabs>
        <w:spacing w:line="240" w:lineRule="auto"/>
        <w:rPr>
          <w:szCs w:val="22"/>
        </w:rPr>
      </w:pPr>
      <w:r w:rsidRPr="00BB79C5">
        <w:rPr>
          <w:szCs w:val="22"/>
        </w:rPr>
        <w:t>Novartis Pharma GmbH</w:t>
      </w:r>
    </w:p>
    <w:p w14:paraId="3D394F5E" w14:textId="77777777" w:rsidR="009F6C80" w:rsidRPr="00BB79C5" w:rsidRDefault="009F6C80" w:rsidP="009B4BB6">
      <w:pPr>
        <w:widowControl w:val="0"/>
        <w:tabs>
          <w:tab w:val="left" w:pos="7513"/>
        </w:tabs>
        <w:spacing w:line="240" w:lineRule="auto"/>
        <w:rPr>
          <w:szCs w:val="22"/>
        </w:rPr>
      </w:pPr>
      <w:r w:rsidRPr="00BB79C5">
        <w:rPr>
          <w:szCs w:val="22"/>
        </w:rPr>
        <w:t>Roonstrasse 25</w:t>
      </w:r>
    </w:p>
    <w:p w14:paraId="3D394F5F" w14:textId="77777777" w:rsidR="009F6C80" w:rsidRPr="00BB79C5" w:rsidRDefault="009F6C80" w:rsidP="009B4BB6">
      <w:pPr>
        <w:widowControl w:val="0"/>
        <w:numPr>
          <w:ilvl w:val="12"/>
          <w:numId w:val="0"/>
        </w:numPr>
        <w:tabs>
          <w:tab w:val="clear" w:pos="567"/>
        </w:tabs>
        <w:spacing w:line="240" w:lineRule="auto"/>
        <w:ind w:left="567" w:hanging="567"/>
        <w:rPr>
          <w:szCs w:val="22"/>
        </w:rPr>
      </w:pPr>
      <w:r w:rsidRPr="00BB79C5">
        <w:rPr>
          <w:szCs w:val="22"/>
        </w:rPr>
        <w:t>D-90429 Nürnberg</w:t>
      </w:r>
    </w:p>
    <w:p w14:paraId="3D394F60" w14:textId="77777777" w:rsidR="009F6C80" w:rsidRPr="00BB79C5" w:rsidRDefault="009F6C80" w:rsidP="009B4BB6">
      <w:pPr>
        <w:widowControl w:val="0"/>
        <w:numPr>
          <w:ilvl w:val="12"/>
          <w:numId w:val="0"/>
        </w:numPr>
        <w:tabs>
          <w:tab w:val="clear" w:pos="567"/>
        </w:tabs>
        <w:spacing w:line="240" w:lineRule="auto"/>
        <w:ind w:left="567" w:hanging="567"/>
        <w:rPr>
          <w:szCs w:val="22"/>
        </w:rPr>
      </w:pPr>
      <w:r w:rsidRPr="00BB79C5">
        <w:rPr>
          <w:szCs w:val="22"/>
        </w:rPr>
        <w:t>Vācija</w:t>
      </w:r>
    </w:p>
    <w:p w14:paraId="3D394F61" w14:textId="15067755" w:rsidR="009F6C80" w:rsidRDefault="009F6C80" w:rsidP="009B4BB6">
      <w:pPr>
        <w:widowControl w:val="0"/>
        <w:spacing w:line="240" w:lineRule="auto"/>
        <w:rPr>
          <w:szCs w:val="22"/>
        </w:rPr>
      </w:pPr>
    </w:p>
    <w:p w14:paraId="2E93DB22" w14:textId="77777777" w:rsidR="00931C1A" w:rsidRPr="00931C1A" w:rsidRDefault="00931C1A" w:rsidP="00931C1A">
      <w:pPr>
        <w:widowControl w:val="0"/>
        <w:spacing w:line="240" w:lineRule="auto"/>
        <w:rPr>
          <w:szCs w:val="22"/>
        </w:rPr>
      </w:pPr>
      <w:r w:rsidRPr="00931C1A">
        <w:rPr>
          <w:szCs w:val="22"/>
        </w:rPr>
        <w:t>Sandoz S.R.L.</w:t>
      </w:r>
    </w:p>
    <w:p w14:paraId="794A664A" w14:textId="77777777" w:rsidR="00931C1A" w:rsidRPr="00931C1A" w:rsidRDefault="00931C1A" w:rsidP="00931C1A">
      <w:pPr>
        <w:widowControl w:val="0"/>
        <w:spacing w:line="240" w:lineRule="auto"/>
        <w:rPr>
          <w:szCs w:val="22"/>
        </w:rPr>
      </w:pPr>
      <w:r w:rsidRPr="00931C1A">
        <w:rPr>
          <w:szCs w:val="22"/>
        </w:rPr>
        <w:t>Str. Livezeni nr. 7A</w:t>
      </w:r>
    </w:p>
    <w:p w14:paraId="364314E7" w14:textId="77777777" w:rsidR="00931C1A" w:rsidRPr="00931C1A" w:rsidRDefault="00931C1A" w:rsidP="00931C1A">
      <w:pPr>
        <w:widowControl w:val="0"/>
        <w:spacing w:line="240" w:lineRule="auto"/>
        <w:rPr>
          <w:szCs w:val="22"/>
        </w:rPr>
      </w:pPr>
      <w:r w:rsidRPr="00931C1A">
        <w:rPr>
          <w:szCs w:val="22"/>
        </w:rPr>
        <w:t>540472, Targu Mures</w:t>
      </w:r>
    </w:p>
    <w:p w14:paraId="341CBDF0" w14:textId="7568332F" w:rsidR="00931C1A" w:rsidRDefault="00931C1A" w:rsidP="00931C1A">
      <w:pPr>
        <w:widowControl w:val="0"/>
        <w:spacing w:line="240" w:lineRule="auto"/>
        <w:rPr>
          <w:szCs w:val="22"/>
        </w:rPr>
      </w:pPr>
      <w:r w:rsidRPr="00931C1A">
        <w:rPr>
          <w:szCs w:val="22"/>
        </w:rPr>
        <w:t>Rumānija</w:t>
      </w:r>
    </w:p>
    <w:p w14:paraId="39809A0D" w14:textId="77777777" w:rsidR="00931C1A" w:rsidRPr="00BB79C5" w:rsidRDefault="00931C1A" w:rsidP="00931C1A">
      <w:pPr>
        <w:widowControl w:val="0"/>
        <w:spacing w:line="240" w:lineRule="auto"/>
        <w:rPr>
          <w:szCs w:val="22"/>
        </w:rPr>
      </w:pPr>
    </w:p>
    <w:p w14:paraId="3D394F62" w14:textId="77777777" w:rsidR="00BB79C5" w:rsidRPr="00BB79C5" w:rsidRDefault="00BB79C5" w:rsidP="009B4BB6">
      <w:pPr>
        <w:widowControl w:val="0"/>
        <w:spacing w:line="240" w:lineRule="auto"/>
        <w:rPr>
          <w:szCs w:val="22"/>
        </w:rPr>
      </w:pPr>
      <w:r w:rsidRPr="00BB79C5">
        <w:rPr>
          <w:szCs w:val="22"/>
        </w:rPr>
        <w:t>Drukātajā lietošanas instrukcijā jānorāda ražotāja, kas atbild par attiecīgās sērijas izlaidi, nosaukums un adrese.</w:t>
      </w:r>
    </w:p>
    <w:p w14:paraId="3D394F63" w14:textId="77777777" w:rsidR="00BB79C5" w:rsidRPr="00BB79C5" w:rsidRDefault="00BB79C5" w:rsidP="009B4BB6">
      <w:pPr>
        <w:widowControl w:val="0"/>
        <w:spacing w:line="240" w:lineRule="auto"/>
        <w:rPr>
          <w:szCs w:val="22"/>
        </w:rPr>
      </w:pPr>
    </w:p>
    <w:p w14:paraId="3D394F64" w14:textId="77777777" w:rsidR="009F6C80" w:rsidRPr="00BB79C5" w:rsidRDefault="009F6C80" w:rsidP="009B4BB6">
      <w:pPr>
        <w:widowControl w:val="0"/>
        <w:spacing w:line="240" w:lineRule="auto"/>
        <w:rPr>
          <w:szCs w:val="22"/>
        </w:rPr>
      </w:pPr>
    </w:p>
    <w:p w14:paraId="3D394F65" w14:textId="77777777" w:rsidR="009F6C80" w:rsidRPr="00CD729C" w:rsidRDefault="009F6C80" w:rsidP="00E36D64">
      <w:pPr>
        <w:keepNext/>
        <w:widowControl w:val="0"/>
        <w:spacing w:line="240" w:lineRule="auto"/>
        <w:ind w:left="567" w:hanging="567"/>
        <w:rPr>
          <w:b/>
          <w:color w:val="000000"/>
          <w:szCs w:val="22"/>
        </w:rPr>
      </w:pPr>
      <w:r w:rsidRPr="00CD729C">
        <w:rPr>
          <w:b/>
          <w:color w:val="000000"/>
          <w:szCs w:val="22"/>
        </w:rPr>
        <w:t>B.</w:t>
      </w:r>
      <w:r w:rsidRPr="00CD729C">
        <w:rPr>
          <w:b/>
          <w:color w:val="000000"/>
          <w:szCs w:val="22"/>
        </w:rPr>
        <w:tab/>
        <w:t>IZSNIEGŠANAS KĀRTĪBAS UN LIETOŠANAS NOSACĪJUMI VAI IEROBEŽOJUMI</w:t>
      </w:r>
    </w:p>
    <w:p w14:paraId="3D394F66" w14:textId="77777777" w:rsidR="009F6C80" w:rsidRPr="00CD729C" w:rsidRDefault="009F6C80" w:rsidP="00E36D64">
      <w:pPr>
        <w:keepNext/>
        <w:widowControl w:val="0"/>
        <w:spacing w:line="240" w:lineRule="auto"/>
        <w:rPr>
          <w:color w:val="000000"/>
          <w:szCs w:val="22"/>
        </w:rPr>
      </w:pPr>
    </w:p>
    <w:p w14:paraId="3D394F67" w14:textId="77777777" w:rsidR="009F6C80" w:rsidRPr="00CD729C" w:rsidRDefault="009F6C80" w:rsidP="009B4BB6">
      <w:pPr>
        <w:widowControl w:val="0"/>
        <w:numPr>
          <w:ilvl w:val="12"/>
          <w:numId w:val="0"/>
        </w:numPr>
        <w:spacing w:line="240" w:lineRule="auto"/>
        <w:rPr>
          <w:color w:val="000000"/>
          <w:szCs w:val="22"/>
        </w:rPr>
      </w:pPr>
      <w:r w:rsidRPr="00CD729C">
        <w:rPr>
          <w:color w:val="000000"/>
          <w:szCs w:val="22"/>
        </w:rPr>
        <w:t>Zāles ar parakstīšanas ierobežojumiem (skatīt I</w:t>
      </w:r>
      <w:r w:rsidR="000D127F">
        <w:rPr>
          <w:color w:val="000000"/>
          <w:szCs w:val="22"/>
        </w:rPr>
        <w:t> </w:t>
      </w:r>
      <w:r w:rsidRPr="00CD729C">
        <w:rPr>
          <w:color w:val="000000"/>
          <w:szCs w:val="22"/>
        </w:rPr>
        <w:t>pielikumu: zāļu apraksts, 4.2</w:t>
      </w:r>
      <w:r w:rsidR="00BA4A62" w:rsidRPr="00CD729C">
        <w:rPr>
          <w:color w:val="000000"/>
          <w:szCs w:val="22"/>
        </w:rPr>
        <w:t>.</w:t>
      </w:r>
      <w:r w:rsidR="000D127F">
        <w:rPr>
          <w:color w:val="000000"/>
          <w:szCs w:val="22"/>
        </w:rPr>
        <w:t> </w:t>
      </w:r>
      <w:r w:rsidRPr="00CD729C">
        <w:rPr>
          <w:color w:val="000000"/>
        </w:rPr>
        <w:t>apakšpunkts</w:t>
      </w:r>
      <w:r w:rsidRPr="00CD729C">
        <w:rPr>
          <w:color w:val="000000"/>
          <w:szCs w:val="22"/>
        </w:rPr>
        <w:t>).</w:t>
      </w:r>
    </w:p>
    <w:p w14:paraId="3D394F68" w14:textId="77777777" w:rsidR="009F6C80" w:rsidRPr="00CD729C" w:rsidRDefault="009F6C80" w:rsidP="009B4BB6">
      <w:pPr>
        <w:widowControl w:val="0"/>
        <w:tabs>
          <w:tab w:val="left" w:pos="7513"/>
        </w:tabs>
        <w:spacing w:line="240" w:lineRule="auto"/>
        <w:rPr>
          <w:color w:val="000000"/>
          <w:szCs w:val="22"/>
        </w:rPr>
      </w:pPr>
    </w:p>
    <w:p w14:paraId="3D394F69" w14:textId="77777777" w:rsidR="009F6C80" w:rsidRPr="00CD729C" w:rsidRDefault="009F6C80" w:rsidP="009B4BB6">
      <w:pPr>
        <w:widowControl w:val="0"/>
        <w:spacing w:line="240" w:lineRule="auto"/>
        <w:ind w:right="-1"/>
        <w:jc w:val="both"/>
        <w:rPr>
          <w:szCs w:val="22"/>
        </w:rPr>
      </w:pPr>
    </w:p>
    <w:p w14:paraId="3D394F6A" w14:textId="77777777" w:rsidR="009F6C80" w:rsidRPr="00CD729C" w:rsidRDefault="009F6C80" w:rsidP="00E36D64">
      <w:pPr>
        <w:keepNext/>
        <w:widowControl w:val="0"/>
        <w:spacing w:line="240" w:lineRule="auto"/>
        <w:ind w:right="-1"/>
        <w:jc w:val="both"/>
        <w:rPr>
          <w:b/>
          <w:szCs w:val="22"/>
        </w:rPr>
      </w:pPr>
      <w:r w:rsidRPr="00CD729C">
        <w:rPr>
          <w:b/>
          <w:szCs w:val="22"/>
        </w:rPr>
        <w:t>C.</w:t>
      </w:r>
      <w:r w:rsidRPr="00CD729C">
        <w:rPr>
          <w:b/>
          <w:szCs w:val="22"/>
        </w:rPr>
        <w:tab/>
        <w:t>CITI REĢISTRĀCIJAS NOSACĪJUMI UN PRASĪBAS</w:t>
      </w:r>
    </w:p>
    <w:p w14:paraId="3D394F6B" w14:textId="77777777" w:rsidR="009F6C80" w:rsidRPr="00CD729C" w:rsidRDefault="009F6C80" w:rsidP="00E36D64">
      <w:pPr>
        <w:keepNext/>
        <w:widowControl w:val="0"/>
        <w:spacing w:line="240" w:lineRule="auto"/>
        <w:rPr>
          <w:color w:val="000000"/>
          <w:szCs w:val="22"/>
        </w:rPr>
      </w:pPr>
    </w:p>
    <w:p w14:paraId="3D394F6C" w14:textId="77777777" w:rsidR="00385060" w:rsidRPr="00CD729C" w:rsidRDefault="00385060" w:rsidP="00E36D64">
      <w:pPr>
        <w:keepNext/>
        <w:widowControl w:val="0"/>
        <w:numPr>
          <w:ilvl w:val="0"/>
          <w:numId w:val="37"/>
        </w:numPr>
        <w:spacing w:line="240" w:lineRule="auto"/>
        <w:ind w:right="-1" w:hanging="720"/>
        <w:rPr>
          <w:b/>
          <w:szCs w:val="24"/>
        </w:rPr>
      </w:pPr>
      <w:r w:rsidRPr="00CD729C">
        <w:rPr>
          <w:b/>
          <w:szCs w:val="24"/>
        </w:rPr>
        <w:t>Periodiski atjaunojamais drošuma ziņojums</w:t>
      </w:r>
    </w:p>
    <w:p w14:paraId="3D394F6D" w14:textId="77777777" w:rsidR="00E36D64" w:rsidRDefault="00E36D64" w:rsidP="00E36D64">
      <w:pPr>
        <w:keepNext/>
        <w:widowControl w:val="0"/>
        <w:tabs>
          <w:tab w:val="left" w:pos="0"/>
        </w:tabs>
        <w:spacing w:line="240" w:lineRule="auto"/>
        <w:ind w:right="567"/>
      </w:pPr>
    </w:p>
    <w:p w14:paraId="3D394F6E" w14:textId="77777777" w:rsidR="00385060" w:rsidRPr="00CD729C" w:rsidRDefault="000D127F" w:rsidP="009B4BB6">
      <w:pPr>
        <w:widowControl w:val="0"/>
        <w:tabs>
          <w:tab w:val="left" w:pos="0"/>
        </w:tabs>
        <w:spacing w:line="240" w:lineRule="auto"/>
        <w:ind w:right="567"/>
        <w:rPr>
          <w:i/>
          <w:szCs w:val="24"/>
        </w:rPr>
      </w:pPr>
      <w:r w:rsidRPr="006D7FDE">
        <w:t xml:space="preserve">Šo zāļu periodiski atjaunojamo drošuma ziņojumu iesniegšanas prasības ir norādītas Eiropas Savienības </w:t>
      </w:r>
      <w:r w:rsidRPr="006D7FDE">
        <w:rPr>
          <w:rStyle w:val="Emphasis"/>
          <w:i w:val="0"/>
        </w:rPr>
        <w:t>atsauces datumu</w:t>
      </w:r>
      <w:r w:rsidRPr="006D7FDE">
        <w:rPr>
          <w:rStyle w:val="st"/>
        </w:rPr>
        <w:t xml:space="preserve"> un </w:t>
      </w:r>
      <w:r w:rsidRPr="006D7FDE">
        <w:rPr>
          <w:rStyle w:val="Emphasis"/>
          <w:i w:val="0"/>
        </w:rPr>
        <w:t>periodisko ziņojumu iesniegšanas biežuma</w:t>
      </w:r>
      <w:r w:rsidRPr="006D7FDE">
        <w:rPr>
          <w:rStyle w:val="Emphasis"/>
        </w:rPr>
        <w:t xml:space="preserve"> </w:t>
      </w:r>
      <w:r w:rsidRPr="006D7FDE">
        <w:rPr>
          <w:color w:val="000000"/>
        </w:rPr>
        <w:t xml:space="preserve">sarakstā </w:t>
      </w:r>
      <w:r w:rsidRPr="006D7FDE">
        <w:t>(</w:t>
      </w:r>
      <w:r w:rsidRPr="006D7FDE">
        <w:rPr>
          <w:i/>
        </w:rPr>
        <w:t>EURD</w:t>
      </w:r>
      <w:r w:rsidRPr="006D7FDE">
        <w:t xml:space="preserve"> sarakstā), kas sagatavots saskaņā ar Direktīvas 2001/83/EK 107.c panta 7. punktu, un visos turpmākajos </w:t>
      </w:r>
      <w:r>
        <w:t xml:space="preserve">saraksta </w:t>
      </w:r>
      <w:r w:rsidRPr="006D7FDE">
        <w:t>atjauninājumos, kas publicēti Eiropas Zāļu aģentūras tīmekļa vietnē.</w:t>
      </w:r>
    </w:p>
    <w:p w14:paraId="3D394F6F" w14:textId="77777777" w:rsidR="00385060" w:rsidRPr="0034378B" w:rsidRDefault="00385060" w:rsidP="009B4BB6">
      <w:pPr>
        <w:widowControl w:val="0"/>
        <w:spacing w:line="240" w:lineRule="auto"/>
        <w:rPr>
          <w:szCs w:val="24"/>
        </w:rPr>
      </w:pPr>
    </w:p>
    <w:p w14:paraId="3D394F70" w14:textId="77777777" w:rsidR="00385060" w:rsidRPr="0034378B" w:rsidRDefault="00385060" w:rsidP="009B4BB6">
      <w:pPr>
        <w:widowControl w:val="0"/>
        <w:spacing w:line="240" w:lineRule="auto"/>
        <w:rPr>
          <w:szCs w:val="24"/>
        </w:rPr>
      </w:pPr>
    </w:p>
    <w:p w14:paraId="3D394F71" w14:textId="77777777" w:rsidR="00385060" w:rsidRPr="00CD729C" w:rsidRDefault="00385060" w:rsidP="00E36D64">
      <w:pPr>
        <w:keepNext/>
        <w:widowControl w:val="0"/>
        <w:spacing w:line="240" w:lineRule="auto"/>
        <w:ind w:left="567" w:hanging="567"/>
        <w:rPr>
          <w:b/>
          <w:szCs w:val="24"/>
        </w:rPr>
      </w:pPr>
      <w:r w:rsidRPr="00CD729C">
        <w:rPr>
          <w:b/>
          <w:szCs w:val="24"/>
        </w:rPr>
        <w:t>D.</w:t>
      </w:r>
      <w:r w:rsidRPr="00CD729C">
        <w:rPr>
          <w:b/>
          <w:szCs w:val="24"/>
        </w:rPr>
        <w:tab/>
        <w:t>NOSACĪJUMI VAI IEROBEŽOJUMI ATTIECĪBĀ UZ DROŠU UN EFEKTĪVU ZĀĻU LIETOŠANU</w:t>
      </w:r>
    </w:p>
    <w:p w14:paraId="3D394F72" w14:textId="77777777" w:rsidR="00385060" w:rsidRPr="00CD729C" w:rsidRDefault="00385060" w:rsidP="00E36D64">
      <w:pPr>
        <w:keepNext/>
        <w:widowControl w:val="0"/>
        <w:spacing w:line="240" w:lineRule="auto"/>
        <w:ind w:right="-1"/>
        <w:jc w:val="both"/>
        <w:rPr>
          <w:szCs w:val="24"/>
        </w:rPr>
      </w:pPr>
    </w:p>
    <w:p w14:paraId="3D394F73" w14:textId="77777777" w:rsidR="00385060" w:rsidRPr="00CD729C" w:rsidRDefault="00385060" w:rsidP="00E36D64">
      <w:pPr>
        <w:keepNext/>
        <w:widowControl w:val="0"/>
        <w:numPr>
          <w:ilvl w:val="0"/>
          <w:numId w:val="39"/>
        </w:numPr>
        <w:spacing w:line="240" w:lineRule="auto"/>
        <w:ind w:right="-1" w:hanging="720"/>
        <w:rPr>
          <w:b/>
          <w:iCs/>
          <w:szCs w:val="22"/>
        </w:rPr>
      </w:pPr>
      <w:r w:rsidRPr="00CD729C">
        <w:rPr>
          <w:b/>
          <w:iCs/>
          <w:szCs w:val="22"/>
        </w:rPr>
        <w:t>Riska pārvaldības plāns (RPP)</w:t>
      </w:r>
    </w:p>
    <w:p w14:paraId="3D394F74" w14:textId="77777777" w:rsidR="00E36D64" w:rsidRDefault="00E36D64" w:rsidP="00E36D64">
      <w:pPr>
        <w:keepNext/>
        <w:widowControl w:val="0"/>
        <w:spacing w:line="240" w:lineRule="auto"/>
        <w:ind w:right="-1"/>
        <w:rPr>
          <w:szCs w:val="24"/>
        </w:rPr>
      </w:pPr>
    </w:p>
    <w:p w14:paraId="3D394F75" w14:textId="77777777" w:rsidR="00385060" w:rsidRPr="00CD729C" w:rsidRDefault="00385060" w:rsidP="009B4BB6">
      <w:pPr>
        <w:widowControl w:val="0"/>
        <w:spacing w:line="240" w:lineRule="auto"/>
        <w:ind w:right="-1"/>
        <w:rPr>
          <w:szCs w:val="24"/>
        </w:rPr>
      </w:pPr>
      <w:r w:rsidRPr="00CD729C">
        <w:rPr>
          <w:szCs w:val="24"/>
        </w:rPr>
        <w:t>Reģistrācijas apliecības īpašniekam jāveic nepieciešamās farmakovigilances darbības un pasākumi, kas sīkāk aprakstīti reģistrācijas pieteikuma 1.8.2</w:t>
      </w:r>
      <w:r w:rsidR="000D127F">
        <w:rPr>
          <w:szCs w:val="24"/>
        </w:rPr>
        <w:t> </w:t>
      </w:r>
      <w:r w:rsidRPr="00CD729C">
        <w:rPr>
          <w:szCs w:val="24"/>
        </w:rPr>
        <w:t>modulī iekļautajā apstiprinātajā RPP un visos turpmākajos atjaun</w:t>
      </w:r>
      <w:r w:rsidR="000D127F">
        <w:rPr>
          <w:szCs w:val="24"/>
        </w:rPr>
        <w:t>inā</w:t>
      </w:r>
      <w:r w:rsidRPr="00CD729C">
        <w:rPr>
          <w:szCs w:val="24"/>
        </w:rPr>
        <w:t>tajos apstiprinātajos RPP.</w:t>
      </w:r>
    </w:p>
    <w:p w14:paraId="3D394F76" w14:textId="77777777" w:rsidR="00385060" w:rsidRPr="00CD729C" w:rsidRDefault="00385060" w:rsidP="009B4BB6">
      <w:pPr>
        <w:widowControl w:val="0"/>
        <w:spacing w:line="240" w:lineRule="auto"/>
        <w:ind w:right="-1"/>
        <w:rPr>
          <w:szCs w:val="24"/>
        </w:rPr>
      </w:pPr>
    </w:p>
    <w:p w14:paraId="3D394F77" w14:textId="77777777" w:rsidR="00385060" w:rsidRPr="00CD729C" w:rsidRDefault="000D127F" w:rsidP="00E36D64">
      <w:pPr>
        <w:keepNext/>
        <w:widowControl w:val="0"/>
        <w:spacing w:line="240" w:lineRule="auto"/>
        <w:ind w:right="-1"/>
        <w:rPr>
          <w:szCs w:val="24"/>
        </w:rPr>
      </w:pPr>
      <w:r>
        <w:rPr>
          <w:szCs w:val="24"/>
        </w:rPr>
        <w:t>Atjaunināts</w:t>
      </w:r>
      <w:r w:rsidRPr="00CD729C">
        <w:rPr>
          <w:szCs w:val="24"/>
        </w:rPr>
        <w:t xml:space="preserve"> </w:t>
      </w:r>
      <w:r w:rsidR="00385060" w:rsidRPr="00CD729C">
        <w:rPr>
          <w:szCs w:val="24"/>
        </w:rPr>
        <w:t>RPP jāiesniedz:</w:t>
      </w:r>
    </w:p>
    <w:p w14:paraId="3D394F78" w14:textId="77777777" w:rsidR="00385060" w:rsidRPr="00CD729C" w:rsidRDefault="00385060" w:rsidP="009B4BB6">
      <w:pPr>
        <w:widowControl w:val="0"/>
        <w:numPr>
          <w:ilvl w:val="0"/>
          <w:numId w:val="38"/>
        </w:numPr>
        <w:tabs>
          <w:tab w:val="clear" w:pos="720"/>
          <w:tab w:val="num" w:pos="567"/>
        </w:tabs>
        <w:spacing w:line="240" w:lineRule="auto"/>
        <w:ind w:left="567" w:right="-1" w:hanging="567"/>
        <w:rPr>
          <w:szCs w:val="24"/>
        </w:rPr>
      </w:pPr>
      <w:r w:rsidRPr="00CD729C">
        <w:rPr>
          <w:szCs w:val="24"/>
        </w:rPr>
        <w:t>pēc Eiropas Zāļu aģentūras pieprasījuma;</w:t>
      </w:r>
    </w:p>
    <w:p w14:paraId="3D394F79" w14:textId="77777777" w:rsidR="00385060" w:rsidRPr="00CD729C" w:rsidRDefault="00385060" w:rsidP="009B4BB6">
      <w:pPr>
        <w:widowControl w:val="0"/>
        <w:numPr>
          <w:ilvl w:val="0"/>
          <w:numId w:val="38"/>
        </w:numPr>
        <w:tabs>
          <w:tab w:val="clear" w:pos="720"/>
          <w:tab w:val="num" w:pos="567"/>
        </w:tabs>
        <w:spacing w:line="240" w:lineRule="auto"/>
        <w:ind w:left="567" w:right="-1" w:hanging="567"/>
        <w:rPr>
          <w:szCs w:val="24"/>
        </w:rPr>
      </w:pPr>
      <w:r w:rsidRPr="00CD729C">
        <w:rPr>
          <w:szCs w:val="24"/>
        </w:rPr>
        <w:t>ja ieviesti grozījumi riska pārvaldības sistēmā, jo īpaši gadījumos, kad saņemta jauna informācija, kas var būtiski ietekmēt ieguvumu/riska profilu, vai</w:t>
      </w:r>
      <w:r w:rsidRPr="00CD729C">
        <w:rPr>
          <w:i/>
          <w:szCs w:val="24"/>
        </w:rPr>
        <w:t xml:space="preserve"> </w:t>
      </w:r>
      <w:r w:rsidRPr="00CD729C">
        <w:rPr>
          <w:szCs w:val="24"/>
        </w:rPr>
        <w:t>nozīmīgu (farmakovigilances vai riska mazināšanas) rezultātu sasniegšanas gadījumā</w:t>
      </w:r>
      <w:r w:rsidRPr="00CD729C">
        <w:rPr>
          <w:i/>
          <w:szCs w:val="24"/>
        </w:rPr>
        <w:t>.</w:t>
      </w:r>
    </w:p>
    <w:p w14:paraId="3D394F7A" w14:textId="77777777" w:rsidR="00377F48" w:rsidRPr="004E61FE" w:rsidRDefault="00377F48" w:rsidP="00E36D64">
      <w:pPr>
        <w:widowControl w:val="0"/>
        <w:spacing w:line="240" w:lineRule="auto"/>
      </w:pPr>
    </w:p>
    <w:p w14:paraId="3D394F7B" w14:textId="77777777" w:rsidR="00377F48" w:rsidRPr="00CD729C" w:rsidRDefault="009E4F83" w:rsidP="00E36D64">
      <w:pPr>
        <w:keepNext/>
        <w:widowControl w:val="0"/>
        <w:numPr>
          <w:ilvl w:val="0"/>
          <w:numId w:val="37"/>
        </w:numPr>
        <w:tabs>
          <w:tab w:val="clear" w:pos="720"/>
          <w:tab w:val="num" w:pos="567"/>
        </w:tabs>
        <w:spacing w:line="240" w:lineRule="auto"/>
        <w:ind w:left="567" w:hanging="567"/>
        <w:rPr>
          <w:b/>
          <w:bCs/>
        </w:rPr>
      </w:pPr>
      <w:r w:rsidRPr="00CD729C">
        <w:rPr>
          <w:b/>
          <w:szCs w:val="22"/>
        </w:rPr>
        <w:t>Saistības veikt pēcreģistrācijas pasākumus</w:t>
      </w:r>
    </w:p>
    <w:p w14:paraId="3D394F7C" w14:textId="77777777" w:rsidR="00377F48" w:rsidRPr="00CD729C" w:rsidRDefault="00377F48" w:rsidP="00E36D64">
      <w:pPr>
        <w:pStyle w:val="NormalAgency"/>
        <w:keepNext/>
        <w:widowControl w:val="0"/>
        <w:rPr>
          <w:rFonts w:ascii="Times New Roman" w:hAnsi="Times New Roman"/>
          <w:b/>
          <w:bCs/>
          <w:i/>
          <w:iCs/>
          <w:lang w:val="lv-LV"/>
        </w:rPr>
      </w:pPr>
    </w:p>
    <w:p w14:paraId="3D394F7D" w14:textId="77777777" w:rsidR="00377F48" w:rsidRPr="00CD729C" w:rsidRDefault="009E4F83" w:rsidP="00E36D64">
      <w:pPr>
        <w:keepNext/>
        <w:widowControl w:val="0"/>
        <w:spacing w:line="240" w:lineRule="auto"/>
      </w:pPr>
      <w:r w:rsidRPr="00CD729C">
        <w:t>Reģistrācijas apliecības īpašniekam noteiktā laika periodā jāveic turpmāk norādītie pasākumi</w:t>
      </w:r>
      <w:r w:rsidR="00377F48" w:rsidRPr="00CD729C">
        <w:t>:</w:t>
      </w:r>
    </w:p>
    <w:p w14:paraId="3D394F7E" w14:textId="77777777" w:rsidR="00377F48" w:rsidRPr="00CD729C" w:rsidRDefault="00377F48" w:rsidP="00E36D64">
      <w:pPr>
        <w:keepNext/>
        <w:widowControl w:val="0"/>
        <w:spacing w:line="240" w:lineRule="auto"/>
      </w:pPr>
    </w:p>
    <w:tbl>
      <w:tblPr>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425"/>
        <w:gridCol w:w="1455"/>
      </w:tblGrid>
      <w:tr w:rsidR="00377F48" w:rsidRPr="00CD729C" w14:paraId="3D394F81" w14:textId="77777777" w:rsidTr="00E36D64">
        <w:trPr>
          <w:cantSplit/>
        </w:trPr>
        <w:tc>
          <w:tcPr>
            <w:tcW w:w="4181" w:type="pct"/>
            <w:tcMar>
              <w:top w:w="0" w:type="dxa"/>
              <w:left w:w="108" w:type="dxa"/>
              <w:bottom w:w="0" w:type="dxa"/>
              <w:right w:w="108" w:type="dxa"/>
            </w:tcMar>
            <w:hideMark/>
          </w:tcPr>
          <w:p w14:paraId="3D394F7F" w14:textId="77777777" w:rsidR="00377F48" w:rsidRPr="00CD729C" w:rsidRDefault="009E4F83" w:rsidP="00E36D64">
            <w:pPr>
              <w:keepNext/>
              <w:widowControl w:val="0"/>
              <w:spacing w:line="240" w:lineRule="auto"/>
              <w:ind w:right="-1"/>
              <w:rPr>
                <w:rFonts w:eastAsia="Calibri"/>
                <w:b/>
                <w:bCs/>
                <w:szCs w:val="22"/>
              </w:rPr>
            </w:pPr>
            <w:r w:rsidRPr="00CD729C">
              <w:rPr>
                <w:b/>
                <w:bCs/>
              </w:rPr>
              <w:t>Apraksts</w:t>
            </w:r>
          </w:p>
        </w:tc>
        <w:tc>
          <w:tcPr>
            <w:tcW w:w="819" w:type="pct"/>
            <w:tcMar>
              <w:top w:w="0" w:type="dxa"/>
              <w:left w:w="108" w:type="dxa"/>
              <w:bottom w:w="0" w:type="dxa"/>
              <w:right w:w="108" w:type="dxa"/>
            </w:tcMar>
            <w:hideMark/>
          </w:tcPr>
          <w:p w14:paraId="3D394F80" w14:textId="77777777" w:rsidR="00377F48" w:rsidRPr="00CD729C" w:rsidRDefault="009E4F83" w:rsidP="00E36D64">
            <w:pPr>
              <w:keepNext/>
              <w:widowControl w:val="0"/>
              <w:spacing w:line="240" w:lineRule="auto"/>
              <w:ind w:right="-1"/>
              <w:rPr>
                <w:rFonts w:eastAsia="Calibri"/>
                <w:b/>
                <w:bCs/>
                <w:szCs w:val="22"/>
              </w:rPr>
            </w:pPr>
            <w:r w:rsidRPr="00CD729C">
              <w:rPr>
                <w:b/>
                <w:bCs/>
              </w:rPr>
              <w:t>Izpildes termiņš</w:t>
            </w:r>
          </w:p>
        </w:tc>
      </w:tr>
      <w:tr w:rsidR="00377F48" w:rsidRPr="00CD729C" w14:paraId="3D394F84" w14:textId="77777777" w:rsidTr="00E36D64">
        <w:trPr>
          <w:cantSplit/>
        </w:trPr>
        <w:tc>
          <w:tcPr>
            <w:tcW w:w="4181" w:type="pct"/>
            <w:tcMar>
              <w:top w:w="0" w:type="dxa"/>
              <w:left w:w="108" w:type="dxa"/>
              <w:bottom w:w="0" w:type="dxa"/>
              <w:right w:w="108" w:type="dxa"/>
            </w:tcMar>
            <w:hideMark/>
          </w:tcPr>
          <w:p w14:paraId="3D394F82" w14:textId="77777777" w:rsidR="00377F48" w:rsidRPr="00CD729C" w:rsidRDefault="00BD02D9" w:rsidP="00E36D64">
            <w:pPr>
              <w:keepNext/>
              <w:widowControl w:val="0"/>
              <w:spacing w:line="240" w:lineRule="auto"/>
              <w:ind w:right="-1"/>
            </w:pPr>
            <w:r w:rsidRPr="00CD729C">
              <w:t xml:space="preserve">Izveidot novērojumu datu reģistru, apkopojot efektivitātes un drošuma datus par </w:t>
            </w:r>
            <w:r w:rsidR="00E67811" w:rsidRPr="00CD729C">
              <w:t xml:space="preserve">pediatrijas </w:t>
            </w:r>
            <w:r w:rsidRPr="00CD729C">
              <w:t xml:space="preserve">pacientiem ar </w:t>
            </w:r>
            <w:r w:rsidR="00B21479" w:rsidRPr="00CD729C">
              <w:t xml:space="preserve">nesen </w:t>
            </w:r>
            <w:r w:rsidRPr="00CD729C">
              <w:t>diagnosticētu Ph+ akūtu limfoblastisku leikozi (ALL), kur</w:t>
            </w:r>
            <w:r w:rsidR="00AF58E9" w:rsidRPr="00CD729C">
              <w:t>us</w:t>
            </w:r>
            <w:r w:rsidRPr="00CD729C">
              <w:t xml:space="preserve"> ārstē</w:t>
            </w:r>
            <w:r w:rsidR="00AF58E9" w:rsidRPr="00CD729C">
              <w:t>ja</w:t>
            </w:r>
            <w:r w:rsidRPr="00CD729C">
              <w:t xml:space="preserve"> ar ķīmijterapiju + imatinibu ± </w:t>
            </w:r>
            <w:r w:rsidR="0062727B" w:rsidRPr="00CD729C">
              <w:t>he</w:t>
            </w:r>
            <w:r w:rsidR="00E67811" w:rsidRPr="00CD729C">
              <w:t>mo</w:t>
            </w:r>
            <w:r w:rsidR="0062727B" w:rsidRPr="00CD729C">
              <w:t>poētisko cilmes šūnu transplantācij</w:t>
            </w:r>
            <w:r w:rsidR="00AF58E9" w:rsidRPr="00CD729C">
              <w:t>u</w:t>
            </w:r>
            <w:r w:rsidR="0062727B" w:rsidRPr="00CD729C">
              <w:t xml:space="preserve"> (HSCT - </w:t>
            </w:r>
            <w:r w:rsidR="0062727B" w:rsidRPr="00CD729C">
              <w:rPr>
                <w:i/>
              </w:rPr>
              <w:t>hematopoietic stem cell transplantation</w:t>
            </w:r>
            <w:r w:rsidR="0062727B" w:rsidRPr="00CD729C">
              <w:t xml:space="preserve">). </w:t>
            </w:r>
            <w:r w:rsidRPr="00CD729C">
              <w:t>Iesniegt pētījuma gala ziņojumu</w:t>
            </w:r>
            <w:r w:rsidR="00377F48" w:rsidRPr="00CD729C">
              <w:t>.</w:t>
            </w:r>
          </w:p>
        </w:tc>
        <w:tc>
          <w:tcPr>
            <w:tcW w:w="819" w:type="pct"/>
            <w:tcMar>
              <w:top w:w="0" w:type="dxa"/>
              <w:left w:w="108" w:type="dxa"/>
              <w:bottom w:w="0" w:type="dxa"/>
              <w:right w:w="108" w:type="dxa"/>
            </w:tcMar>
            <w:hideMark/>
          </w:tcPr>
          <w:p w14:paraId="3D394F83" w14:textId="65FD09D8" w:rsidR="00377F48" w:rsidRPr="00CD729C" w:rsidRDefault="007362ED" w:rsidP="007362ED">
            <w:pPr>
              <w:keepNext/>
              <w:widowControl w:val="0"/>
              <w:spacing w:line="240" w:lineRule="auto"/>
              <w:ind w:right="-1"/>
              <w:rPr>
                <w:rFonts w:eastAsia="Calibri"/>
                <w:szCs w:val="22"/>
              </w:rPr>
            </w:pPr>
            <w:r>
              <w:t>2</w:t>
            </w:r>
            <w:r w:rsidR="006E0F0A">
              <w:t>3/06/202</w:t>
            </w:r>
            <w:r w:rsidR="000046C1">
              <w:t>3</w:t>
            </w:r>
          </w:p>
        </w:tc>
      </w:tr>
    </w:tbl>
    <w:p w14:paraId="3D394F85" w14:textId="77777777" w:rsidR="009F6C80" w:rsidRPr="00CD729C" w:rsidRDefault="009F6C80" w:rsidP="00E36D64">
      <w:pPr>
        <w:widowControl w:val="0"/>
        <w:spacing w:line="240" w:lineRule="auto"/>
        <w:rPr>
          <w:color w:val="000000"/>
          <w:szCs w:val="22"/>
        </w:rPr>
      </w:pPr>
    </w:p>
    <w:p w14:paraId="3D394F86" w14:textId="77777777" w:rsidR="009F6C80" w:rsidRPr="00CD729C" w:rsidRDefault="009F6C80" w:rsidP="009B4BB6">
      <w:pPr>
        <w:widowControl w:val="0"/>
        <w:tabs>
          <w:tab w:val="clear" w:pos="567"/>
        </w:tabs>
        <w:spacing w:line="240" w:lineRule="auto"/>
        <w:rPr>
          <w:color w:val="000000"/>
          <w:szCs w:val="22"/>
        </w:rPr>
      </w:pPr>
      <w:r w:rsidRPr="00CD729C">
        <w:rPr>
          <w:color w:val="000000"/>
          <w:szCs w:val="22"/>
        </w:rPr>
        <w:br w:type="page"/>
      </w:r>
    </w:p>
    <w:p w14:paraId="3D394F87" w14:textId="77777777" w:rsidR="009F6C80" w:rsidRPr="00CD729C" w:rsidRDefault="009F6C80" w:rsidP="009B4BB6">
      <w:pPr>
        <w:widowControl w:val="0"/>
        <w:spacing w:line="240" w:lineRule="auto"/>
        <w:rPr>
          <w:color w:val="000000"/>
          <w:szCs w:val="22"/>
        </w:rPr>
      </w:pPr>
    </w:p>
    <w:p w14:paraId="3D394F88" w14:textId="77777777" w:rsidR="009F6C80" w:rsidRPr="00CD729C" w:rsidRDefault="009F6C80" w:rsidP="009B4BB6">
      <w:pPr>
        <w:widowControl w:val="0"/>
        <w:spacing w:line="240" w:lineRule="auto"/>
        <w:rPr>
          <w:color w:val="000000"/>
          <w:szCs w:val="22"/>
        </w:rPr>
      </w:pPr>
    </w:p>
    <w:p w14:paraId="3D394F89" w14:textId="77777777" w:rsidR="009F6C80" w:rsidRPr="00CD729C" w:rsidRDefault="009F6C80" w:rsidP="009B4BB6">
      <w:pPr>
        <w:widowControl w:val="0"/>
        <w:tabs>
          <w:tab w:val="clear" w:pos="567"/>
        </w:tabs>
        <w:spacing w:line="240" w:lineRule="auto"/>
        <w:ind w:left="567" w:hanging="567"/>
        <w:rPr>
          <w:color w:val="000000"/>
          <w:szCs w:val="22"/>
        </w:rPr>
      </w:pPr>
    </w:p>
    <w:p w14:paraId="3D394F8A" w14:textId="77777777" w:rsidR="009F6C80" w:rsidRPr="00CD729C" w:rsidRDefault="009F6C80" w:rsidP="009B4BB6">
      <w:pPr>
        <w:widowControl w:val="0"/>
        <w:tabs>
          <w:tab w:val="clear" w:pos="567"/>
        </w:tabs>
        <w:spacing w:line="240" w:lineRule="auto"/>
        <w:ind w:left="567" w:hanging="567"/>
        <w:rPr>
          <w:color w:val="000000"/>
          <w:szCs w:val="22"/>
        </w:rPr>
      </w:pPr>
    </w:p>
    <w:p w14:paraId="3D394F8B" w14:textId="77777777" w:rsidR="009F6C80" w:rsidRPr="00CD729C" w:rsidRDefault="009F6C80" w:rsidP="009B4BB6">
      <w:pPr>
        <w:widowControl w:val="0"/>
        <w:tabs>
          <w:tab w:val="clear" w:pos="567"/>
        </w:tabs>
        <w:spacing w:line="240" w:lineRule="auto"/>
        <w:ind w:left="567" w:hanging="567"/>
        <w:rPr>
          <w:color w:val="000000"/>
          <w:szCs w:val="22"/>
        </w:rPr>
      </w:pPr>
    </w:p>
    <w:p w14:paraId="3D394F8C" w14:textId="77777777" w:rsidR="009F6C80" w:rsidRPr="00CD729C" w:rsidRDefault="009F6C80" w:rsidP="009B4BB6">
      <w:pPr>
        <w:widowControl w:val="0"/>
        <w:tabs>
          <w:tab w:val="clear" w:pos="567"/>
        </w:tabs>
        <w:spacing w:line="240" w:lineRule="auto"/>
        <w:ind w:left="567" w:hanging="567"/>
        <w:rPr>
          <w:color w:val="000000"/>
          <w:szCs w:val="22"/>
        </w:rPr>
      </w:pPr>
    </w:p>
    <w:p w14:paraId="3D394F8D" w14:textId="77777777" w:rsidR="009F6C80" w:rsidRPr="00CD729C" w:rsidRDefault="009F6C80" w:rsidP="009B4BB6">
      <w:pPr>
        <w:widowControl w:val="0"/>
        <w:tabs>
          <w:tab w:val="clear" w:pos="567"/>
        </w:tabs>
        <w:spacing w:line="240" w:lineRule="auto"/>
        <w:ind w:left="567" w:hanging="567"/>
        <w:rPr>
          <w:color w:val="000000"/>
          <w:szCs w:val="22"/>
        </w:rPr>
      </w:pPr>
    </w:p>
    <w:p w14:paraId="3D394F8E" w14:textId="77777777" w:rsidR="009F6C80" w:rsidRPr="00CD729C" w:rsidRDefault="009F6C80" w:rsidP="009B4BB6">
      <w:pPr>
        <w:widowControl w:val="0"/>
        <w:tabs>
          <w:tab w:val="clear" w:pos="567"/>
        </w:tabs>
        <w:spacing w:line="240" w:lineRule="auto"/>
        <w:ind w:left="567" w:hanging="567"/>
        <w:rPr>
          <w:color w:val="000000"/>
          <w:szCs w:val="22"/>
        </w:rPr>
      </w:pPr>
    </w:p>
    <w:p w14:paraId="3D394F8F" w14:textId="77777777" w:rsidR="009F6C80" w:rsidRPr="00CD729C" w:rsidRDefault="009F6C80" w:rsidP="009B4BB6">
      <w:pPr>
        <w:widowControl w:val="0"/>
        <w:tabs>
          <w:tab w:val="clear" w:pos="567"/>
        </w:tabs>
        <w:spacing w:line="240" w:lineRule="auto"/>
        <w:ind w:left="567" w:hanging="567"/>
        <w:rPr>
          <w:color w:val="000000"/>
          <w:szCs w:val="22"/>
        </w:rPr>
      </w:pPr>
    </w:p>
    <w:p w14:paraId="3D394F90" w14:textId="77777777" w:rsidR="009F6C80" w:rsidRPr="00CD729C" w:rsidRDefault="009F6C80" w:rsidP="009B4BB6">
      <w:pPr>
        <w:widowControl w:val="0"/>
        <w:tabs>
          <w:tab w:val="clear" w:pos="567"/>
        </w:tabs>
        <w:spacing w:line="240" w:lineRule="auto"/>
        <w:ind w:left="567" w:hanging="567"/>
        <w:rPr>
          <w:color w:val="000000"/>
          <w:szCs w:val="22"/>
        </w:rPr>
      </w:pPr>
    </w:p>
    <w:p w14:paraId="3D394F91" w14:textId="77777777" w:rsidR="009F6C80" w:rsidRPr="00CD729C" w:rsidRDefault="009F6C80" w:rsidP="009B4BB6">
      <w:pPr>
        <w:widowControl w:val="0"/>
        <w:tabs>
          <w:tab w:val="clear" w:pos="567"/>
        </w:tabs>
        <w:spacing w:line="240" w:lineRule="auto"/>
        <w:ind w:left="567" w:hanging="567"/>
        <w:rPr>
          <w:color w:val="000000"/>
          <w:szCs w:val="22"/>
        </w:rPr>
      </w:pPr>
    </w:p>
    <w:p w14:paraId="3D394F92" w14:textId="77777777" w:rsidR="009F6C80" w:rsidRPr="00CD729C" w:rsidRDefault="009F6C80" w:rsidP="009B4BB6">
      <w:pPr>
        <w:widowControl w:val="0"/>
        <w:tabs>
          <w:tab w:val="clear" w:pos="567"/>
        </w:tabs>
        <w:spacing w:line="240" w:lineRule="auto"/>
        <w:ind w:left="567" w:hanging="567"/>
        <w:rPr>
          <w:color w:val="000000"/>
          <w:szCs w:val="22"/>
        </w:rPr>
      </w:pPr>
    </w:p>
    <w:p w14:paraId="3D394F93" w14:textId="77777777" w:rsidR="009F6C80" w:rsidRPr="00CD729C" w:rsidRDefault="009F6C80" w:rsidP="009B4BB6">
      <w:pPr>
        <w:widowControl w:val="0"/>
        <w:tabs>
          <w:tab w:val="clear" w:pos="567"/>
        </w:tabs>
        <w:spacing w:line="240" w:lineRule="auto"/>
        <w:ind w:left="567" w:hanging="567"/>
        <w:rPr>
          <w:color w:val="000000"/>
          <w:szCs w:val="22"/>
        </w:rPr>
      </w:pPr>
    </w:p>
    <w:p w14:paraId="3D394F94" w14:textId="77777777" w:rsidR="009F6C80" w:rsidRPr="00CD729C" w:rsidRDefault="009F6C80" w:rsidP="009B4BB6">
      <w:pPr>
        <w:widowControl w:val="0"/>
        <w:tabs>
          <w:tab w:val="clear" w:pos="567"/>
        </w:tabs>
        <w:spacing w:line="240" w:lineRule="auto"/>
        <w:ind w:left="567" w:hanging="567"/>
        <w:rPr>
          <w:color w:val="000000"/>
          <w:szCs w:val="22"/>
        </w:rPr>
      </w:pPr>
    </w:p>
    <w:p w14:paraId="3D394F95" w14:textId="77777777" w:rsidR="009F6C80" w:rsidRPr="00CD729C" w:rsidRDefault="009F6C80" w:rsidP="009B4BB6">
      <w:pPr>
        <w:widowControl w:val="0"/>
        <w:tabs>
          <w:tab w:val="clear" w:pos="567"/>
        </w:tabs>
        <w:spacing w:line="240" w:lineRule="auto"/>
        <w:ind w:left="567" w:hanging="567"/>
        <w:rPr>
          <w:color w:val="000000"/>
          <w:szCs w:val="22"/>
        </w:rPr>
      </w:pPr>
    </w:p>
    <w:p w14:paraId="3D394F96" w14:textId="77777777" w:rsidR="009F6C80" w:rsidRPr="00CD729C" w:rsidRDefault="009F6C80" w:rsidP="009B4BB6">
      <w:pPr>
        <w:widowControl w:val="0"/>
        <w:tabs>
          <w:tab w:val="clear" w:pos="567"/>
        </w:tabs>
        <w:spacing w:line="240" w:lineRule="auto"/>
        <w:ind w:left="567" w:hanging="567"/>
        <w:rPr>
          <w:color w:val="000000"/>
          <w:szCs w:val="22"/>
        </w:rPr>
      </w:pPr>
    </w:p>
    <w:p w14:paraId="3D394F97" w14:textId="77777777" w:rsidR="009F6C80" w:rsidRPr="00CD729C" w:rsidRDefault="009F6C80" w:rsidP="009B4BB6">
      <w:pPr>
        <w:widowControl w:val="0"/>
        <w:tabs>
          <w:tab w:val="clear" w:pos="567"/>
        </w:tabs>
        <w:spacing w:line="240" w:lineRule="auto"/>
        <w:ind w:left="567" w:hanging="567"/>
        <w:rPr>
          <w:color w:val="000000"/>
          <w:szCs w:val="22"/>
        </w:rPr>
      </w:pPr>
    </w:p>
    <w:p w14:paraId="3D394F98" w14:textId="77777777" w:rsidR="009F6C80" w:rsidRPr="00CD729C" w:rsidRDefault="009F6C80" w:rsidP="009B4BB6">
      <w:pPr>
        <w:widowControl w:val="0"/>
        <w:tabs>
          <w:tab w:val="clear" w:pos="567"/>
        </w:tabs>
        <w:spacing w:line="240" w:lineRule="auto"/>
        <w:ind w:left="567" w:hanging="567"/>
        <w:rPr>
          <w:color w:val="000000"/>
          <w:szCs w:val="22"/>
        </w:rPr>
      </w:pPr>
    </w:p>
    <w:p w14:paraId="3D394F99" w14:textId="77777777" w:rsidR="009F6C80" w:rsidRPr="00CD729C" w:rsidRDefault="009F6C80" w:rsidP="009B4BB6">
      <w:pPr>
        <w:widowControl w:val="0"/>
        <w:tabs>
          <w:tab w:val="clear" w:pos="567"/>
        </w:tabs>
        <w:spacing w:line="240" w:lineRule="auto"/>
        <w:ind w:left="567" w:hanging="567"/>
        <w:rPr>
          <w:color w:val="000000"/>
          <w:szCs w:val="22"/>
        </w:rPr>
      </w:pPr>
    </w:p>
    <w:p w14:paraId="3D394F9A" w14:textId="77777777" w:rsidR="009F6C80" w:rsidRDefault="009F6C80" w:rsidP="009B4BB6">
      <w:pPr>
        <w:widowControl w:val="0"/>
        <w:tabs>
          <w:tab w:val="clear" w:pos="567"/>
        </w:tabs>
        <w:spacing w:line="240" w:lineRule="auto"/>
        <w:ind w:left="567" w:hanging="567"/>
        <w:rPr>
          <w:color w:val="000000"/>
          <w:szCs w:val="22"/>
        </w:rPr>
      </w:pPr>
    </w:p>
    <w:p w14:paraId="3D394F9B" w14:textId="77777777" w:rsidR="00E36D64" w:rsidRPr="00CD729C" w:rsidRDefault="00E36D64" w:rsidP="009B4BB6">
      <w:pPr>
        <w:widowControl w:val="0"/>
        <w:tabs>
          <w:tab w:val="clear" w:pos="567"/>
        </w:tabs>
        <w:spacing w:line="240" w:lineRule="auto"/>
        <w:ind w:left="567" w:hanging="567"/>
        <w:rPr>
          <w:color w:val="000000"/>
          <w:szCs w:val="22"/>
        </w:rPr>
      </w:pPr>
    </w:p>
    <w:p w14:paraId="3D394F9C" w14:textId="77777777" w:rsidR="009F6C80" w:rsidRPr="00CD729C" w:rsidRDefault="009F6C80" w:rsidP="009B4BB6">
      <w:pPr>
        <w:widowControl w:val="0"/>
        <w:tabs>
          <w:tab w:val="clear" w:pos="567"/>
        </w:tabs>
        <w:spacing w:line="240" w:lineRule="auto"/>
        <w:ind w:left="567" w:hanging="567"/>
        <w:rPr>
          <w:color w:val="000000"/>
          <w:szCs w:val="22"/>
        </w:rPr>
      </w:pPr>
    </w:p>
    <w:p w14:paraId="3D394F9D" w14:textId="77777777" w:rsidR="009F6C80" w:rsidRPr="00CD729C" w:rsidRDefault="009F6C80" w:rsidP="009B4BB6">
      <w:pPr>
        <w:widowControl w:val="0"/>
        <w:tabs>
          <w:tab w:val="clear" w:pos="567"/>
        </w:tabs>
        <w:spacing w:line="240" w:lineRule="auto"/>
        <w:rPr>
          <w:color w:val="000000"/>
          <w:szCs w:val="22"/>
        </w:rPr>
      </w:pPr>
    </w:p>
    <w:p w14:paraId="3D394F9E" w14:textId="77777777" w:rsidR="009F6C80" w:rsidRPr="00CD729C" w:rsidRDefault="009F6C80" w:rsidP="009B4BB6">
      <w:pPr>
        <w:widowControl w:val="0"/>
        <w:tabs>
          <w:tab w:val="clear" w:pos="567"/>
        </w:tabs>
        <w:spacing w:line="240" w:lineRule="auto"/>
        <w:ind w:left="567" w:hanging="567"/>
        <w:jc w:val="center"/>
        <w:rPr>
          <w:b/>
          <w:color w:val="000000"/>
          <w:szCs w:val="22"/>
        </w:rPr>
      </w:pPr>
      <w:r w:rsidRPr="00CD729C">
        <w:rPr>
          <w:b/>
          <w:color w:val="000000"/>
          <w:szCs w:val="22"/>
        </w:rPr>
        <w:t>III PIELIKUMS</w:t>
      </w:r>
    </w:p>
    <w:p w14:paraId="3D394F9F" w14:textId="77777777" w:rsidR="009F6C80" w:rsidRPr="00CD729C" w:rsidRDefault="009F6C80" w:rsidP="009B4BB6">
      <w:pPr>
        <w:widowControl w:val="0"/>
        <w:tabs>
          <w:tab w:val="clear" w:pos="567"/>
        </w:tabs>
        <w:spacing w:line="240" w:lineRule="auto"/>
        <w:ind w:left="567" w:hanging="567"/>
        <w:jc w:val="center"/>
        <w:rPr>
          <w:color w:val="000000"/>
          <w:szCs w:val="22"/>
        </w:rPr>
      </w:pPr>
    </w:p>
    <w:p w14:paraId="3D394FA0" w14:textId="77777777" w:rsidR="009F6C80" w:rsidRPr="00CD729C" w:rsidRDefault="009F6C80" w:rsidP="009B4BB6">
      <w:pPr>
        <w:widowControl w:val="0"/>
        <w:tabs>
          <w:tab w:val="clear" w:pos="567"/>
        </w:tabs>
        <w:spacing w:line="240" w:lineRule="auto"/>
        <w:ind w:left="567" w:hanging="567"/>
        <w:jc w:val="center"/>
        <w:rPr>
          <w:b/>
          <w:color w:val="000000"/>
          <w:szCs w:val="22"/>
        </w:rPr>
      </w:pPr>
      <w:r w:rsidRPr="00CD729C">
        <w:rPr>
          <w:b/>
          <w:color w:val="000000"/>
          <w:szCs w:val="22"/>
        </w:rPr>
        <w:t>MARĶĒJUMA TEKSTS UN LIETOŠANAS INSTRUKCIJA</w:t>
      </w:r>
    </w:p>
    <w:p w14:paraId="3D394FA1"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br w:type="page"/>
      </w:r>
    </w:p>
    <w:p w14:paraId="3D394FA2" w14:textId="77777777" w:rsidR="009F6C80" w:rsidRPr="00CD729C" w:rsidRDefault="009F6C80" w:rsidP="009B4BB6">
      <w:pPr>
        <w:widowControl w:val="0"/>
        <w:tabs>
          <w:tab w:val="clear" w:pos="567"/>
        </w:tabs>
        <w:spacing w:line="240" w:lineRule="auto"/>
        <w:ind w:left="567" w:hanging="567"/>
        <w:rPr>
          <w:color w:val="000000"/>
          <w:szCs w:val="22"/>
        </w:rPr>
      </w:pPr>
    </w:p>
    <w:p w14:paraId="3D394FA3" w14:textId="77777777" w:rsidR="009F6C80" w:rsidRPr="00CD729C" w:rsidRDefault="009F6C80" w:rsidP="009B4BB6">
      <w:pPr>
        <w:widowControl w:val="0"/>
        <w:tabs>
          <w:tab w:val="clear" w:pos="567"/>
        </w:tabs>
        <w:spacing w:line="240" w:lineRule="auto"/>
        <w:ind w:left="567" w:hanging="567"/>
        <w:rPr>
          <w:color w:val="000000"/>
          <w:szCs w:val="22"/>
        </w:rPr>
      </w:pPr>
    </w:p>
    <w:p w14:paraId="3D394FA4" w14:textId="77777777" w:rsidR="009F6C80" w:rsidRPr="00CD729C" w:rsidRDefault="009F6C80" w:rsidP="009B4BB6">
      <w:pPr>
        <w:widowControl w:val="0"/>
        <w:tabs>
          <w:tab w:val="clear" w:pos="567"/>
        </w:tabs>
        <w:spacing w:line="240" w:lineRule="auto"/>
        <w:ind w:left="567" w:hanging="567"/>
        <w:rPr>
          <w:color w:val="000000"/>
          <w:szCs w:val="22"/>
        </w:rPr>
      </w:pPr>
    </w:p>
    <w:p w14:paraId="3D394FA5" w14:textId="77777777" w:rsidR="009F6C80" w:rsidRPr="00CD729C" w:rsidRDefault="009F6C80" w:rsidP="009B4BB6">
      <w:pPr>
        <w:widowControl w:val="0"/>
        <w:tabs>
          <w:tab w:val="clear" w:pos="567"/>
        </w:tabs>
        <w:spacing w:line="240" w:lineRule="auto"/>
        <w:ind w:left="567" w:hanging="567"/>
        <w:rPr>
          <w:color w:val="000000"/>
          <w:szCs w:val="22"/>
        </w:rPr>
      </w:pPr>
    </w:p>
    <w:p w14:paraId="3D394FA6" w14:textId="77777777" w:rsidR="009F6C80" w:rsidRPr="00CD729C" w:rsidRDefault="009F6C80" w:rsidP="009B4BB6">
      <w:pPr>
        <w:widowControl w:val="0"/>
        <w:tabs>
          <w:tab w:val="clear" w:pos="567"/>
        </w:tabs>
        <w:spacing w:line="240" w:lineRule="auto"/>
        <w:ind w:left="567" w:hanging="567"/>
        <w:rPr>
          <w:color w:val="000000"/>
          <w:szCs w:val="22"/>
        </w:rPr>
      </w:pPr>
    </w:p>
    <w:p w14:paraId="3D394FA7" w14:textId="77777777" w:rsidR="009F6C80" w:rsidRPr="00CD729C" w:rsidRDefault="009F6C80" w:rsidP="009B4BB6">
      <w:pPr>
        <w:widowControl w:val="0"/>
        <w:tabs>
          <w:tab w:val="clear" w:pos="567"/>
        </w:tabs>
        <w:spacing w:line="240" w:lineRule="auto"/>
        <w:ind w:left="567" w:hanging="567"/>
        <w:rPr>
          <w:color w:val="000000"/>
          <w:szCs w:val="22"/>
        </w:rPr>
      </w:pPr>
    </w:p>
    <w:p w14:paraId="3D394FA8" w14:textId="77777777" w:rsidR="009F6C80" w:rsidRPr="00CD729C" w:rsidRDefault="009F6C80" w:rsidP="009B4BB6">
      <w:pPr>
        <w:widowControl w:val="0"/>
        <w:tabs>
          <w:tab w:val="clear" w:pos="567"/>
        </w:tabs>
        <w:spacing w:line="240" w:lineRule="auto"/>
        <w:ind w:left="567" w:hanging="567"/>
        <w:rPr>
          <w:color w:val="000000"/>
          <w:szCs w:val="22"/>
        </w:rPr>
      </w:pPr>
    </w:p>
    <w:p w14:paraId="3D394FA9" w14:textId="77777777" w:rsidR="009F6C80" w:rsidRPr="00CD729C" w:rsidRDefault="009F6C80" w:rsidP="009B4BB6">
      <w:pPr>
        <w:widowControl w:val="0"/>
        <w:tabs>
          <w:tab w:val="clear" w:pos="567"/>
        </w:tabs>
        <w:spacing w:line="240" w:lineRule="auto"/>
        <w:ind w:left="567" w:hanging="567"/>
        <w:rPr>
          <w:color w:val="000000"/>
          <w:szCs w:val="22"/>
        </w:rPr>
      </w:pPr>
    </w:p>
    <w:p w14:paraId="3D394FAA" w14:textId="77777777" w:rsidR="009F6C80" w:rsidRPr="00CD729C" w:rsidRDefault="009F6C80" w:rsidP="009B4BB6">
      <w:pPr>
        <w:widowControl w:val="0"/>
        <w:tabs>
          <w:tab w:val="clear" w:pos="567"/>
        </w:tabs>
        <w:spacing w:line="240" w:lineRule="auto"/>
        <w:ind w:left="567" w:hanging="567"/>
        <w:rPr>
          <w:color w:val="000000"/>
          <w:szCs w:val="22"/>
        </w:rPr>
      </w:pPr>
    </w:p>
    <w:p w14:paraId="3D394FAB" w14:textId="77777777" w:rsidR="009F6C80" w:rsidRPr="00CD729C" w:rsidRDefault="009F6C80" w:rsidP="009B4BB6">
      <w:pPr>
        <w:widowControl w:val="0"/>
        <w:tabs>
          <w:tab w:val="clear" w:pos="567"/>
        </w:tabs>
        <w:spacing w:line="240" w:lineRule="auto"/>
        <w:ind w:left="567" w:hanging="567"/>
        <w:rPr>
          <w:color w:val="000000"/>
          <w:szCs w:val="22"/>
        </w:rPr>
      </w:pPr>
    </w:p>
    <w:p w14:paraId="3D394FAC" w14:textId="77777777" w:rsidR="009F6C80" w:rsidRPr="00CD729C" w:rsidRDefault="009F6C80" w:rsidP="009B4BB6">
      <w:pPr>
        <w:widowControl w:val="0"/>
        <w:tabs>
          <w:tab w:val="clear" w:pos="567"/>
        </w:tabs>
        <w:spacing w:line="240" w:lineRule="auto"/>
        <w:ind w:left="567" w:hanging="567"/>
        <w:rPr>
          <w:color w:val="000000"/>
          <w:szCs w:val="22"/>
        </w:rPr>
      </w:pPr>
    </w:p>
    <w:p w14:paraId="3D394FAD" w14:textId="77777777" w:rsidR="009F6C80" w:rsidRPr="00CD729C" w:rsidRDefault="009F6C80" w:rsidP="009B4BB6">
      <w:pPr>
        <w:widowControl w:val="0"/>
        <w:tabs>
          <w:tab w:val="clear" w:pos="567"/>
        </w:tabs>
        <w:spacing w:line="240" w:lineRule="auto"/>
        <w:ind w:left="567" w:hanging="567"/>
        <w:rPr>
          <w:color w:val="000000"/>
          <w:szCs w:val="22"/>
        </w:rPr>
      </w:pPr>
    </w:p>
    <w:p w14:paraId="3D394FAE" w14:textId="77777777" w:rsidR="009F6C80" w:rsidRPr="00CD729C" w:rsidRDefault="009F6C80" w:rsidP="009B4BB6">
      <w:pPr>
        <w:widowControl w:val="0"/>
        <w:tabs>
          <w:tab w:val="clear" w:pos="567"/>
        </w:tabs>
        <w:spacing w:line="240" w:lineRule="auto"/>
        <w:ind w:left="567" w:hanging="567"/>
        <w:rPr>
          <w:color w:val="000000"/>
          <w:szCs w:val="22"/>
        </w:rPr>
      </w:pPr>
    </w:p>
    <w:p w14:paraId="3D394FAF" w14:textId="77777777" w:rsidR="009F6C80" w:rsidRPr="00CD729C" w:rsidRDefault="009F6C80" w:rsidP="009B4BB6">
      <w:pPr>
        <w:widowControl w:val="0"/>
        <w:tabs>
          <w:tab w:val="clear" w:pos="567"/>
        </w:tabs>
        <w:spacing w:line="240" w:lineRule="auto"/>
        <w:ind w:left="567" w:hanging="567"/>
        <w:rPr>
          <w:color w:val="000000"/>
          <w:szCs w:val="22"/>
        </w:rPr>
      </w:pPr>
    </w:p>
    <w:p w14:paraId="3D394FB0" w14:textId="77777777" w:rsidR="009F6C80" w:rsidRPr="00CD729C" w:rsidRDefault="009F6C80" w:rsidP="009B4BB6">
      <w:pPr>
        <w:widowControl w:val="0"/>
        <w:tabs>
          <w:tab w:val="clear" w:pos="567"/>
        </w:tabs>
        <w:spacing w:line="240" w:lineRule="auto"/>
        <w:ind w:left="567" w:hanging="567"/>
        <w:rPr>
          <w:color w:val="000000"/>
          <w:szCs w:val="22"/>
        </w:rPr>
      </w:pPr>
    </w:p>
    <w:p w14:paraId="3D394FB1" w14:textId="77777777" w:rsidR="009F6C80" w:rsidRPr="00CD729C" w:rsidRDefault="009F6C80" w:rsidP="009B4BB6">
      <w:pPr>
        <w:widowControl w:val="0"/>
        <w:tabs>
          <w:tab w:val="clear" w:pos="567"/>
        </w:tabs>
        <w:spacing w:line="240" w:lineRule="auto"/>
        <w:ind w:left="567" w:hanging="567"/>
        <w:rPr>
          <w:color w:val="000000"/>
          <w:szCs w:val="22"/>
        </w:rPr>
      </w:pPr>
    </w:p>
    <w:p w14:paraId="3D394FB2" w14:textId="77777777" w:rsidR="009F6C80" w:rsidRPr="00CD729C" w:rsidRDefault="009F6C80" w:rsidP="009B4BB6">
      <w:pPr>
        <w:widowControl w:val="0"/>
        <w:tabs>
          <w:tab w:val="clear" w:pos="567"/>
        </w:tabs>
        <w:spacing w:line="240" w:lineRule="auto"/>
        <w:ind w:left="567" w:hanging="567"/>
        <w:rPr>
          <w:color w:val="000000"/>
          <w:szCs w:val="22"/>
        </w:rPr>
      </w:pPr>
    </w:p>
    <w:p w14:paraId="3D394FB3" w14:textId="77777777" w:rsidR="009F6C80" w:rsidRPr="00CD729C" w:rsidRDefault="009F6C80" w:rsidP="009B4BB6">
      <w:pPr>
        <w:widowControl w:val="0"/>
        <w:tabs>
          <w:tab w:val="clear" w:pos="567"/>
        </w:tabs>
        <w:spacing w:line="240" w:lineRule="auto"/>
        <w:ind w:left="567" w:hanging="567"/>
        <w:rPr>
          <w:color w:val="000000"/>
          <w:szCs w:val="22"/>
        </w:rPr>
      </w:pPr>
    </w:p>
    <w:p w14:paraId="3D394FB4" w14:textId="77777777" w:rsidR="009F6C80" w:rsidRPr="00CD729C" w:rsidRDefault="009F6C80" w:rsidP="009B4BB6">
      <w:pPr>
        <w:widowControl w:val="0"/>
        <w:tabs>
          <w:tab w:val="clear" w:pos="567"/>
        </w:tabs>
        <w:spacing w:line="240" w:lineRule="auto"/>
        <w:ind w:left="567" w:hanging="567"/>
        <w:rPr>
          <w:color w:val="000000"/>
          <w:szCs w:val="22"/>
        </w:rPr>
      </w:pPr>
    </w:p>
    <w:p w14:paraId="3D394FB5" w14:textId="77777777" w:rsidR="009F6C80" w:rsidRPr="00CD729C" w:rsidRDefault="009F6C80" w:rsidP="009B4BB6">
      <w:pPr>
        <w:widowControl w:val="0"/>
        <w:tabs>
          <w:tab w:val="clear" w:pos="567"/>
        </w:tabs>
        <w:spacing w:line="240" w:lineRule="auto"/>
        <w:ind w:left="567" w:hanging="567"/>
        <w:rPr>
          <w:color w:val="000000"/>
          <w:szCs w:val="22"/>
        </w:rPr>
      </w:pPr>
    </w:p>
    <w:p w14:paraId="3D394FB6" w14:textId="77777777" w:rsidR="009F6C80" w:rsidRDefault="009F6C80" w:rsidP="009B4BB6">
      <w:pPr>
        <w:widowControl w:val="0"/>
        <w:tabs>
          <w:tab w:val="clear" w:pos="567"/>
        </w:tabs>
        <w:spacing w:line="240" w:lineRule="auto"/>
        <w:ind w:left="567" w:hanging="567"/>
        <w:rPr>
          <w:color w:val="000000"/>
          <w:szCs w:val="22"/>
        </w:rPr>
      </w:pPr>
    </w:p>
    <w:p w14:paraId="3D394FB7" w14:textId="77777777" w:rsidR="00CC116F" w:rsidRPr="00CD729C" w:rsidRDefault="00CC116F" w:rsidP="009B4BB6">
      <w:pPr>
        <w:widowControl w:val="0"/>
        <w:tabs>
          <w:tab w:val="clear" w:pos="567"/>
        </w:tabs>
        <w:spacing w:line="240" w:lineRule="auto"/>
        <w:ind w:left="567" w:hanging="567"/>
        <w:rPr>
          <w:color w:val="000000"/>
          <w:szCs w:val="22"/>
        </w:rPr>
      </w:pPr>
    </w:p>
    <w:p w14:paraId="3D394FB8" w14:textId="77777777" w:rsidR="009F6C80" w:rsidRPr="00CD729C" w:rsidRDefault="009F6C80" w:rsidP="009B4BB6">
      <w:pPr>
        <w:widowControl w:val="0"/>
        <w:tabs>
          <w:tab w:val="clear" w:pos="567"/>
        </w:tabs>
        <w:spacing w:line="240" w:lineRule="auto"/>
        <w:ind w:left="567" w:hanging="567"/>
        <w:rPr>
          <w:color w:val="000000"/>
          <w:szCs w:val="22"/>
        </w:rPr>
      </w:pPr>
    </w:p>
    <w:p w14:paraId="3D394FB9" w14:textId="77777777" w:rsidR="009F6C80" w:rsidRPr="00CD729C" w:rsidRDefault="009F6C80" w:rsidP="009B4BB6">
      <w:pPr>
        <w:widowControl w:val="0"/>
        <w:tabs>
          <w:tab w:val="clear" w:pos="567"/>
        </w:tabs>
        <w:spacing w:line="240" w:lineRule="auto"/>
        <w:ind w:left="567" w:hanging="567"/>
        <w:jc w:val="center"/>
        <w:rPr>
          <w:color w:val="000000"/>
          <w:szCs w:val="22"/>
        </w:rPr>
      </w:pPr>
      <w:r w:rsidRPr="00CD729C">
        <w:rPr>
          <w:b/>
          <w:color w:val="000000"/>
          <w:szCs w:val="22"/>
        </w:rPr>
        <w:t>A. MARĶĒJUMA TEKSTS</w:t>
      </w:r>
    </w:p>
    <w:p w14:paraId="3D394FBA"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br w:type="page"/>
      </w:r>
    </w:p>
    <w:p w14:paraId="3D395038" w14:textId="77777777" w:rsidR="00CC116F" w:rsidRPr="00CC116F" w:rsidRDefault="00CC116F" w:rsidP="00CC116F">
      <w:pPr>
        <w:widowControl w:val="0"/>
        <w:tabs>
          <w:tab w:val="clear" w:pos="567"/>
        </w:tabs>
        <w:spacing w:line="240" w:lineRule="auto"/>
        <w:ind w:left="567" w:hanging="567"/>
        <w:rPr>
          <w:color w:val="000000"/>
          <w:szCs w:val="22"/>
        </w:rPr>
      </w:pPr>
    </w:p>
    <w:p w14:paraId="3D395039"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CD729C">
        <w:rPr>
          <w:b/>
          <w:color w:val="000000"/>
          <w:szCs w:val="22"/>
        </w:rPr>
        <w:t>INFORMĀCIJA, KAS JĀNORĀDA UZ ĀRĒJĀ IEPAKOJUMA</w:t>
      </w:r>
    </w:p>
    <w:p w14:paraId="3D39503A"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rPr>
      </w:pPr>
    </w:p>
    <w:p w14:paraId="3D39503B"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spacing w:line="240" w:lineRule="auto"/>
        <w:ind w:left="567" w:hanging="567"/>
        <w:rPr>
          <w:b/>
          <w:color w:val="000000"/>
          <w:szCs w:val="22"/>
        </w:rPr>
      </w:pPr>
      <w:r w:rsidRPr="00CD729C">
        <w:rPr>
          <w:rStyle w:val="CommentReference"/>
          <w:b/>
          <w:color w:val="000000"/>
          <w:sz w:val="22"/>
          <w:szCs w:val="22"/>
        </w:rPr>
        <w:t>KĀRBA</w:t>
      </w:r>
    </w:p>
    <w:p w14:paraId="3D39503C" w14:textId="77777777" w:rsidR="009F6C80" w:rsidRPr="00CD729C" w:rsidRDefault="009F6C80" w:rsidP="009B4BB6">
      <w:pPr>
        <w:widowControl w:val="0"/>
        <w:tabs>
          <w:tab w:val="clear" w:pos="567"/>
        </w:tabs>
        <w:spacing w:line="240" w:lineRule="auto"/>
        <w:ind w:left="567" w:hanging="567"/>
        <w:rPr>
          <w:color w:val="000000"/>
          <w:szCs w:val="22"/>
        </w:rPr>
      </w:pPr>
    </w:p>
    <w:p w14:paraId="3D39503D" w14:textId="77777777" w:rsidR="009F6C80" w:rsidRPr="00CD729C" w:rsidRDefault="009F6C80" w:rsidP="009B4BB6">
      <w:pPr>
        <w:widowControl w:val="0"/>
        <w:tabs>
          <w:tab w:val="clear" w:pos="567"/>
        </w:tabs>
        <w:spacing w:line="240" w:lineRule="auto"/>
        <w:ind w:left="567" w:hanging="567"/>
        <w:rPr>
          <w:color w:val="000000"/>
          <w:szCs w:val="22"/>
        </w:rPr>
      </w:pPr>
    </w:p>
    <w:p w14:paraId="3D39503E"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w:t>
      </w:r>
      <w:r w:rsidRPr="00CD729C">
        <w:rPr>
          <w:b/>
          <w:color w:val="000000"/>
          <w:szCs w:val="22"/>
        </w:rPr>
        <w:tab/>
        <w:t>ZĀĻU NOSAUKUMS</w:t>
      </w:r>
    </w:p>
    <w:p w14:paraId="3D39503F" w14:textId="77777777" w:rsidR="009F6C80" w:rsidRPr="00CD729C" w:rsidRDefault="009F6C80" w:rsidP="009B4BB6">
      <w:pPr>
        <w:widowControl w:val="0"/>
        <w:tabs>
          <w:tab w:val="clear" w:pos="567"/>
        </w:tabs>
        <w:spacing w:line="240" w:lineRule="auto"/>
        <w:ind w:left="567" w:hanging="567"/>
        <w:rPr>
          <w:color w:val="000000"/>
          <w:szCs w:val="22"/>
        </w:rPr>
      </w:pPr>
    </w:p>
    <w:p w14:paraId="3D395040"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Glivec 100 mg cietās kapsulas</w:t>
      </w:r>
    </w:p>
    <w:p w14:paraId="3D395041" w14:textId="77777777" w:rsidR="009F6C80" w:rsidRPr="00AC1BAD" w:rsidRDefault="001727D3" w:rsidP="009B4BB6">
      <w:pPr>
        <w:widowControl w:val="0"/>
        <w:tabs>
          <w:tab w:val="clear" w:pos="567"/>
        </w:tabs>
        <w:spacing w:line="240" w:lineRule="auto"/>
        <w:ind w:left="567" w:hanging="567"/>
        <w:rPr>
          <w:i/>
          <w:color w:val="000000"/>
          <w:szCs w:val="22"/>
        </w:rPr>
      </w:pPr>
      <w:r w:rsidRPr="00AC1BAD">
        <w:rPr>
          <w:i/>
          <w:color w:val="000000"/>
          <w:szCs w:val="22"/>
        </w:rPr>
        <w:t>i</w:t>
      </w:r>
      <w:r w:rsidR="009F6C80" w:rsidRPr="00AC1BAD">
        <w:rPr>
          <w:i/>
          <w:color w:val="000000"/>
          <w:szCs w:val="22"/>
        </w:rPr>
        <w:t>matinib</w:t>
      </w:r>
      <w:r w:rsidR="0072796A" w:rsidRPr="00AC1BAD">
        <w:rPr>
          <w:i/>
          <w:color w:val="000000"/>
          <w:szCs w:val="22"/>
        </w:rPr>
        <w:t>um</w:t>
      </w:r>
    </w:p>
    <w:p w14:paraId="3D395042" w14:textId="77777777" w:rsidR="009F6C80" w:rsidRPr="00CD729C" w:rsidRDefault="009F6C80" w:rsidP="009B4BB6">
      <w:pPr>
        <w:widowControl w:val="0"/>
        <w:tabs>
          <w:tab w:val="clear" w:pos="567"/>
        </w:tabs>
        <w:spacing w:line="240" w:lineRule="auto"/>
        <w:ind w:left="567" w:hanging="567"/>
        <w:rPr>
          <w:color w:val="000000"/>
          <w:szCs w:val="22"/>
        </w:rPr>
      </w:pPr>
    </w:p>
    <w:p w14:paraId="3D395043" w14:textId="77777777" w:rsidR="009F6C80" w:rsidRPr="00CD729C" w:rsidRDefault="009F6C80" w:rsidP="009B4BB6">
      <w:pPr>
        <w:widowControl w:val="0"/>
        <w:tabs>
          <w:tab w:val="clear" w:pos="567"/>
        </w:tabs>
        <w:spacing w:line="240" w:lineRule="auto"/>
        <w:ind w:left="567" w:hanging="567"/>
        <w:rPr>
          <w:color w:val="000000"/>
          <w:szCs w:val="22"/>
        </w:rPr>
      </w:pPr>
    </w:p>
    <w:p w14:paraId="3D395044"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2.</w:t>
      </w:r>
      <w:r w:rsidRPr="00CD729C">
        <w:rPr>
          <w:b/>
          <w:color w:val="000000"/>
          <w:szCs w:val="22"/>
        </w:rPr>
        <w:tab/>
        <w:t>AKTĪVĀS(</w:t>
      </w:r>
      <w:r w:rsidR="0097555D" w:rsidRPr="00CD729C">
        <w:rPr>
          <w:b/>
          <w:color w:val="000000"/>
          <w:szCs w:val="22"/>
        </w:rPr>
        <w:t>-</w:t>
      </w:r>
      <w:r w:rsidRPr="00CD729C">
        <w:rPr>
          <w:b/>
          <w:color w:val="000000"/>
          <w:szCs w:val="22"/>
        </w:rPr>
        <w:t>O) VIELAS(</w:t>
      </w:r>
      <w:r w:rsidR="0097555D" w:rsidRPr="00CD729C">
        <w:rPr>
          <w:b/>
          <w:color w:val="000000"/>
          <w:szCs w:val="22"/>
        </w:rPr>
        <w:t>-</w:t>
      </w:r>
      <w:r w:rsidRPr="00CD729C">
        <w:rPr>
          <w:b/>
          <w:color w:val="000000"/>
          <w:szCs w:val="22"/>
        </w:rPr>
        <w:t>U) NOSAUKUMS(</w:t>
      </w:r>
      <w:r w:rsidR="0097555D" w:rsidRPr="00CD729C">
        <w:rPr>
          <w:b/>
          <w:color w:val="000000"/>
          <w:szCs w:val="22"/>
        </w:rPr>
        <w:t>-</w:t>
      </w:r>
      <w:r w:rsidRPr="00CD729C">
        <w:rPr>
          <w:b/>
          <w:color w:val="000000"/>
          <w:szCs w:val="22"/>
        </w:rPr>
        <w:t>I)</w:t>
      </w:r>
      <w:r w:rsidRPr="00CD729C">
        <w:rPr>
          <w:b/>
        </w:rPr>
        <w:t xml:space="preserve"> UN DAUDZUMS(</w:t>
      </w:r>
      <w:r w:rsidR="0097555D" w:rsidRPr="00CD729C">
        <w:rPr>
          <w:b/>
        </w:rPr>
        <w:t>-</w:t>
      </w:r>
      <w:r w:rsidRPr="00CD729C">
        <w:rPr>
          <w:b/>
        </w:rPr>
        <w:t>I)</w:t>
      </w:r>
    </w:p>
    <w:p w14:paraId="3D395045" w14:textId="77777777" w:rsidR="009F6C80" w:rsidRPr="00CD729C" w:rsidRDefault="009F6C80" w:rsidP="009B4BB6">
      <w:pPr>
        <w:widowControl w:val="0"/>
        <w:tabs>
          <w:tab w:val="clear" w:pos="567"/>
        </w:tabs>
        <w:spacing w:line="240" w:lineRule="auto"/>
        <w:ind w:left="567" w:hanging="567"/>
        <w:rPr>
          <w:color w:val="000000"/>
          <w:szCs w:val="22"/>
        </w:rPr>
      </w:pPr>
    </w:p>
    <w:p w14:paraId="3D395046"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Viena kapsula satur 100 mg imatiniba (me</w:t>
      </w:r>
      <w:r w:rsidR="0072796A">
        <w:rPr>
          <w:color w:val="000000"/>
          <w:szCs w:val="22"/>
        </w:rPr>
        <w:t>s</w:t>
      </w:r>
      <w:r w:rsidRPr="00CD729C">
        <w:rPr>
          <w:color w:val="000000"/>
          <w:szCs w:val="22"/>
        </w:rPr>
        <w:t>ilāta formā).</w:t>
      </w:r>
    </w:p>
    <w:p w14:paraId="3D395047" w14:textId="77777777" w:rsidR="009F6C80" w:rsidRPr="00CD729C" w:rsidRDefault="009F6C80" w:rsidP="009B4BB6">
      <w:pPr>
        <w:widowControl w:val="0"/>
        <w:tabs>
          <w:tab w:val="clear" w:pos="567"/>
        </w:tabs>
        <w:spacing w:line="240" w:lineRule="auto"/>
        <w:ind w:left="567" w:hanging="567"/>
        <w:rPr>
          <w:color w:val="000000"/>
          <w:szCs w:val="22"/>
        </w:rPr>
      </w:pPr>
    </w:p>
    <w:p w14:paraId="3D395048" w14:textId="77777777" w:rsidR="009F6C80" w:rsidRPr="00CD729C" w:rsidRDefault="009F6C80" w:rsidP="009B4BB6">
      <w:pPr>
        <w:widowControl w:val="0"/>
        <w:tabs>
          <w:tab w:val="clear" w:pos="567"/>
        </w:tabs>
        <w:spacing w:line="240" w:lineRule="auto"/>
        <w:ind w:left="567" w:hanging="567"/>
        <w:rPr>
          <w:color w:val="000000"/>
          <w:szCs w:val="22"/>
        </w:rPr>
      </w:pPr>
    </w:p>
    <w:p w14:paraId="3D395049"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3.</w:t>
      </w:r>
      <w:r w:rsidRPr="00CD729C">
        <w:rPr>
          <w:b/>
          <w:color w:val="000000"/>
          <w:szCs w:val="22"/>
        </w:rPr>
        <w:tab/>
        <w:t>PALĪGVIELU SARAKSTS</w:t>
      </w:r>
    </w:p>
    <w:p w14:paraId="3D39504A" w14:textId="77777777" w:rsidR="009F6C80" w:rsidRPr="00CD729C" w:rsidRDefault="009F6C80" w:rsidP="009B4BB6">
      <w:pPr>
        <w:widowControl w:val="0"/>
        <w:tabs>
          <w:tab w:val="clear" w:pos="567"/>
        </w:tabs>
        <w:spacing w:line="240" w:lineRule="auto"/>
        <w:ind w:left="567" w:hanging="567"/>
        <w:rPr>
          <w:color w:val="000000"/>
          <w:szCs w:val="22"/>
        </w:rPr>
      </w:pPr>
    </w:p>
    <w:p w14:paraId="3D39504B" w14:textId="77777777" w:rsidR="009F6C80" w:rsidRPr="00CD729C" w:rsidRDefault="009F6C80" w:rsidP="009B4BB6">
      <w:pPr>
        <w:widowControl w:val="0"/>
        <w:tabs>
          <w:tab w:val="clear" w:pos="567"/>
        </w:tabs>
        <w:spacing w:line="240" w:lineRule="auto"/>
        <w:ind w:left="567" w:hanging="567"/>
        <w:rPr>
          <w:color w:val="000000"/>
          <w:szCs w:val="22"/>
        </w:rPr>
      </w:pPr>
    </w:p>
    <w:p w14:paraId="3D39504C"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4.</w:t>
      </w:r>
      <w:r w:rsidRPr="00CD729C">
        <w:rPr>
          <w:b/>
          <w:color w:val="000000"/>
          <w:szCs w:val="22"/>
        </w:rPr>
        <w:tab/>
        <w:t>ZĀĻU FORMA UN SATURS</w:t>
      </w:r>
    </w:p>
    <w:p w14:paraId="3D39504D" w14:textId="77777777" w:rsidR="009F6C80" w:rsidRPr="00CD729C" w:rsidRDefault="009F6C80" w:rsidP="009B4BB6">
      <w:pPr>
        <w:widowControl w:val="0"/>
        <w:tabs>
          <w:tab w:val="clear" w:pos="567"/>
        </w:tabs>
        <w:spacing w:line="240" w:lineRule="auto"/>
        <w:ind w:left="567" w:hanging="567"/>
        <w:rPr>
          <w:color w:val="000000"/>
          <w:szCs w:val="22"/>
        </w:rPr>
      </w:pPr>
    </w:p>
    <w:p w14:paraId="3D39504E"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24 cietās kapsulas</w:t>
      </w:r>
    </w:p>
    <w:p w14:paraId="3D39504F" w14:textId="77777777" w:rsidR="009F6C80" w:rsidRPr="00CD729C" w:rsidRDefault="009F6C80" w:rsidP="009B4BB6">
      <w:pPr>
        <w:widowControl w:val="0"/>
        <w:tabs>
          <w:tab w:val="clear" w:pos="567"/>
        </w:tabs>
        <w:spacing w:line="240" w:lineRule="auto"/>
        <w:ind w:left="567" w:hanging="567"/>
        <w:rPr>
          <w:color w:val="000000"/>
          <w:szCs w:val="22"/>
          <w:shd w:val="clear" w:color="auto" w:fill="D9D9D9"/>
        </w:rPr>
      </w:pPr>
      <w:r w:rsidRPr="00CD729C">
        <w:rPr>
          <w:color w:val="000000"/>
          <w:szCs w:val="22"/>
          <w:shd w:val="clear" w:color="auto" w:fill="D9D9D9"/>
        </w:rPr>
        <w:t>48 cietās kapsulas</w:t>
      </w:r>
    </w:p>
    <w:p w14:paraId="3D395050" w14:textId="77777777" w:rsidR="009F6C80" w:rsidRPr="00CD729C" w:rsidRDefault="009F6C80" w:rsidP="009B4BB6">
      <w:pPr>
        <w:widowControl w:val="0"/>
        <w:tabs>
          <w:tab w:val="clear" w:pos="567"/>
        </w:tabs>
        <w:spacing w:line="240" w:lineRule="auto"/>
        <w:ind w:left="567" w:hanging="567"/>
        <w:rPr>
          <w:color w:val="000000"/>
          <w:szCs w:val="22"/>
          <w:shd w:val="clear" w:color="auto" w:fill="D9D9D9"/>
        </w:rPr>
      </w:pPr>
      <w:r w:rsidRPr="00CD729C">
        <w:rPr>
          <w:color w:val="000000"/>
          <w:szCs w:val="22"/>
          <w:shd w:val="clear" w:color="auto" w:fill="D9D9D9"/>
        </w:rPr>
        <w:t>96 cietās kapsulas</w:t>
      </w:r>
    </w:p>
    <w:p w14:paraId="3D395051" w14:textId="77777777" w:rsidR="009F6C80" w:rsidRPr="00CD729C" w:rsidRDefault="009F6C80" w:rsidP="009B4BB6">
      <w:pPr>
        <w:widowControl w:val="0"/>
        <w:tabs>
          <w:tab w:val="clear" w:pos="567"/>
        </w:tabs>
        <w:spacing w:line="240" w:lineRule="auto"/>
        <w:ind w:left="567" w:hanging="567"/>
        <w:rPr>
          <w:color w:val="000000"/>
          <w:szCs w:val="22"/>
          <w:shd w:val="clear" w:color="auto" w:fill="D9D9D9"/>
        </w:rPr>
      </w:pPr>
      <w:r w:rsidRPr="00CD729C">
        <w:rPr>
          <w:color w:val="000000"/>
          <w:szCs w:val="22"/>
          <w:shd w:val="clear" w:color="auto" w:fill="D9D9D9"/>
        </w:rPr>
        <w:t>120 cietās kapsulas</w:t>
      </w:r>
    </w:p>
    <w:p w14:paraId="3D395052" w14:textId="77777777" w:rsidR="009F6C80" w:rsidRPr="00CD729C" w:rsidRDefault="009F6C80" w:rsidP="009B4BB6">
      <w:pPr>
        <w:widowControl w:val="0"/>
        <w:tabs>
          <w:tab w:val="clear" w:pos="567"/>
        </w:tabs>
        <w:spacing w:line="240" w:lineRule="auto"/>
        <w:ind w:left="567" w:hanging="567"/>
        <w:rPr>
          <w:color w:val="000000"/>
          <w:szCs w:val="22"/>
          <w:shd w:val="clear" w:color="auto" w:fill="D9D9D9"/>
        </w:rPr>
      </w:pPr>
      <w:r w:rsidRPr="00CD729C">
        <w:rPr>
          <w:color w:val="000000"/>
          <w:szCs w:val="22"/>
          <w:shd w:val="clear" w:color="auto" w:fill="D9D9D9"/>
        </w:rPr>
        <w:t>180 cietās kapsulas</w:t>
      </w:r>
    </w:p>
    <w:p w14:paraId="3D395053" w14:textId="77777777" w:rsidR="009F6C80" w:rsidRPr="00CD729C" w:rsidRDefault="009F6C80" w:rsidP="009B4BB6">
      <w:pPr>
        <w:widowControl w:val="0"/>
        <w:tabs>
          <w:tab w:val="clear" w:pos="567"/>
        </w:tabs>
        <w:spacing w:line="240" w:lineRule="auto"/>
        <w:ind w:left="567" w:hanging="567"/>
        <w:rPr>
          <w:color w:val="000000"/>
          <w:szCs w:val="22"/>
        </w:rPr>
      </w:pPr>
    </w:p>
    <w:p w14:paraId="3D395054" w14:textId="77777777" w:rsidR="009F6C80" w:rsidRPr="00CD729C" w:rsidRDefault="009F6C80" w:rsidP="009B4BB6">
      <w:pPr>
        <w:widowControl w:val="0"/>
        <w:tabs>
          <w:tab w:val="clear" w:pos="567"/>
        </w:tabs>
        <w:spacing w:line="240" w:lineRule="auto"/>
        <w:ind w:left="567" w:hanging="567"/>
        <w:rPr>
          <w:color w:val="000000"/>
          <w:szCs w:val="22"/>
        </w:rPr>
      </w:pPr>
    </w:p>
    <w:p w14:paraId="3D395055"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5.</w:t>
      </w:r>
      <w:r w:rsidRPr="00CD729C">
        <w:rPr>
          <w:b/>
          <w:color w:val="000000"/>
          <w:szCs w:val="22"/>
        </w:rPr>
        <w:tab/>
        <w:t>LIETOŠANAS UN IEVADĪŠANAS VEIDS</w:t>
      </w:r>
      <w:r w:rsidR="0097555D" w:rsidRPr="00CD729C">
        <w:rPr>
          <w:b/>
          <w:color w:val="000000"/>
          <w:szCs w:val="22"/>
        </w:rPr>
        <w:t>(-I)</w:t>
      </w:r>
    </w:p>
    <w:p w14:paraId="3D395056" w14:textId="77777777" w:rsidR="009F6C80" w:rsidRPr="00CD729C" w:rsidRDefault="009F6C80" w:rsidP="009B4BB6">
      <w:pPr>
        <w:widowControl w:val="0"/>
        <w:tabs>
          <w:tab w:val="clear" w:pos="567"/>
        </w:tabs>
        <w:spacing w:line="240" w:lineRule="auto"/>
        <w:ind w:left="567" w:hanging="567"/>
        <w:rPr>
          <w:color w:val="000000"/>
          <w:szCs w:val="22"/>
        </w:rPr>
      </w:pPr>
    </w:p>
    <w:p w14:paraId="3D395057"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Iekšķīgai lietošanai. Pirms lietošanas izlasiet lietošanas instrukciju.</w:t>
      </w:r>
    </w:p>
    <w:p w14:paraId="3D395058" w14:textId="77777777" w:rsidR="009F6C80" w:rsidRPr="00CD729C" w:rsidRDefault="009F6C80" w:rsidP="009B4BB6">
      <w:pPr>
        <w:widowControl w:val="0"/>
        <w:tabs>
          <w:tab w:val="clear" w:pos="567"/>
        </w:tabs>
        <w:spacing w:line="240" w:lineRule="auto"/>
        <w:ind w:left="567" w:hanging="567"/>
        <w:rPr>
          <w:color w:val="000000"/>
          <w:szCs w:val="22"/>
        </w:rPr>
      </w:pPr>
    </w:p>
    <w:p w14:paraId="3D395059" w14:textId="77777777" w:rsidR="009F6C80" w:rsidRPr="00CD729C" w:rsidRDefault="009F6C80" w:rsidP="009B4BB6">
      <w:pPr>
        <w:widowControl w:val="0"/>
        <w:tabs>
          <w:tab w:val="clear" w:pos="567"/>
        </w:tabs>
        <w:spacing w:line="240" w:lineRule="auto"/>
        <w:ind w:left="567" w:hanging="567"/>
        <w:rPr>
          <w:color w:val="000000"/>
          <w:szCs w:val="22"/>
        </w:rPr>
      </w:pPr>
    </w:p>
    <w:p w14:paraId="3D39505A"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6.</w:t>
      </w:r>
      <w:r w:rsidRPr="00CD729C">
        <w:rPr>
          <w:b/>
          <w:color w:val="000000"/>
          <w:szCs w:val="22"/>
        </w:rPr>
        <w:tab/>
        <w:t xml:space="preserve">ĪPAŠI BRĪDINĀJUMI PAR ZĀĻU UZGLABĀŠANU BĒRNIEM </w:t>
      </w:r>
      <w:r w:rsidR="0097555D" w:rsidRPr="00CD729C">
        <w:rPr>
          <w:b/>
          <w:color w:val="000000"/>
          <w:szCs w:val="22"/>
        </w:rPr>
        <w:t xml:space="preserve">NEREDZAMĀ UN </w:t>
      </w:r>
      <w:r w:rsidRPr="00CD729C">
        <w:rPr>
          <w:b/>
          <w:color w:val="000000"/>
          <w:szCs w:val="22"/>
        </w:rPr>
        <w:t>NEPIEEJAMĀ VIETĀ</w:t>
      </w:r>
    </w:p>
    <w:p w14:paraId="3D39505B" w14:textId="77777777" w:rsidR="009F6C80" w:rsidRPr="00CD729C" w:rsidRDefault="009F6C80" w:rsidP="009B4BB6">
      <w:pPr>
        <w:widowControl w:val="0"/>
        <w:tabs>
          <w:tab w:val="clear" w:pos="567"/>
        </w:tabs>
        <w:spacing w:line="240" w:lineRule="auto"/>
        <w:ind w:left="567" w:hanging="567"/>
        <w:rPr>
          <w:color w:val="000000"/>
          <w:szCs w:val="22"/>
        </w:rPr>
      </w:pPr>
    </w:p>
    <w:p w14:paraId="3D39505C"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 xml:space="preserve">Uzglabāt bērniem </w:t>
      </w:r>
      <w:r w:rsidR="0097555D" w:rsidRPr="00CD729C">
        <w:rPr>
          <w:szCs w:val="22"/>
        </w:rPr>
        <w:t xml:space="preserve">neredzamā un </w:t>
      </w:r>
      <w:r w:rsidRPr="00CD729C">
        <w:rPr>
          <w:color w:val="000000"/>
          <w:szCs w:val="22"/>
        </w:rPr>
        <w:t>nepieejamā vietā.</w:t>
      </w:r>
    </w:p>
    <w:p w14:paraId="3D39505D" w14:textId="77777777" w:rsidR="009F6C80" w:rsidRPr="00CD729C" w:rsidRDefault="009F6C80" w:rsidP="009B4BB6">
      <w:pPr>
        <w:widowControl w:val="0"/>
        <w:tabs>
          <w:tab w:val="clear" w:pos="567"/>
        </w:tabs>
        <w:spacing w:line="240" w:lineRule="auto"/>
        <w:ind w:left="567" w:hanging="567"/>
        <w:rPr>
          <w:color w:val="000000"/>
          <w:szCs w:val="22"/>
        </w:rPr>
      </w:pPr>
    </w:p>
    <w:p w14:paraId="3D39505E" w14:textId="77777777" w:rsidR="009F6C80" w:rsidRPr="00CD729C" w:rsidRDefault="009F6C80" w:rsidP="009B4BB6">
      <w:pPr>
        <w:widowControl w:val="0"/>
        <w:tabs>
          <w:tab w:val="clear" w:pos="567"/>
        </w:tabs>
        <w:spacing w:line="240" w:lineRule="auto"/>
        <w:ind w:left="567" w:hanging="567"/>
        <w:rPr>
          <w:color w:val="000000"/>
          <w:szCs w:val="22"/>
        </w:rPr>
      </w:pPr>
    </w:p>
    <w:p w14:paraId="3D39505F"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7.</w:t>
      </w:r>
      <w:r w:rsidRPr="00CD729C">
        <w:rPr>
          <w:b/>
          <w:color w:val="000000"/>
          <w:szCs w:val="22"/>
        </w:rPr>
        <w:tab/>
        <w:t>CITI ĪPAŠI BRĪDINĀJUMI, JA NEPIECIEŠAMS</w:t>
      </w:r>
    </w:p>
    <w:p w14:paraId="3D395060" w14:textId="77777777" w:rsidR="009F6C80" w:rsidRPr="00CD729C" w:rsidRDefault="009F6C80" w:rsidP="009B4BB6">
      <w:pPr>
        <w:widowControl w:val="0"/>
        <w:tabs>
          <w:tab w:val="clear" w:pos="567"/>
        </w:tabs>
        <w:spacing w:line="240" w:lineRule="auto"/>
        <w:ind w:left="567" w:hanging="567"/>
        <w:rPr>
          <w:color w:val="000000"/>
          <w:szCs w:val="22"/>
        </w:rPr>
      </w:pPr>
    </w:p>
    <w:p w14:paraId="3D395061"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Lietot tikai tā, kā noteicis ārsts.</w:t>
      </w:r>
    </w:p>
    <w:p w14:paraId="3D395062" w14:textId="77777777" w:rsidR="009F6C80" w:rsidRPr="00CD729C" w:rsidRDefault="009F6C80" w:rsidP="009B4BB6">
      <w:pPr>
        <w:widowControl w:val="0"/>
        <w:tabs>
          <w:tab w:val="clear" w:pos="567"/>
        </w:tabs>
        <w:spacing w:line="240" w:lineRule="auto"/>
        <w:ind w:left="567" w:hanging="567"/>
        <w:rPr>
          <w:color w:val="000000"/>
          <w:szCs w:val="22"/>
        </w:rPr>
      </w:pPr>
    </w:p>
    <w:p w14:paraId="3D395063" w14:textId="77777777" w:rsidR="009F6C80" w:rsidRPr="00CD729C" w:rsidRDefault="009F6C80" w:rsidP="009B4BB6">
      <w:pPr>
        <w:widowControl w:val="0"/>
        <w:tabs>
          <w:tab w:val="clear" w:pos="567"/>
        </w:tabs>
        <w:spacing w:line="240" w:lineRule="auto"/>
        <w:ind w:left="567" w:hanging="567"/>
        <w:rPr>
          <w:color w:val="000000"/>
          <w:szCs w:val="22"/>
        </w:rPr>
      </w:pPr>
    </w:p>
    <w:p w14:paraId="3D395064"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8.</w:t>
      </w:r>
      <w:r w:rsidRPr="00CD729C">
        <w:rPr>
          <w:b/>
          <w:color w:val="000000"/>
          <w:szCs w:val="22"/>
        </w:rPr>
        <w:tab/>
        <w:t>DERĪGUMA TERMIŅŠ</w:t>
      </w:r>
    </w:p>
    <w:p w14:paraId="3D395065" w14:textId="77777777" w:rsidR="009F6C80" w:rsidRPr="00CD729C" w:rsidRDefault="009F6C80" w:rsidP="009B4BB6">
      <w:pPr>
        <w:widowControl w:val="0"/>
        <w:tabs>
          <w:tab w:val="clear" w:pos="567"/>
        </w:tabs>
        <w:spacing w:line="240" w:lineRule="auto"/>
        <w:ind w:left="567" w:hanging="567"/>
        <w:rPr>
          <w:color w:val="000000"/>
          <w:szCs w:val="22"/>
        </w:rPr>
      </w:pPr>
    </w:p>
    <w:p w14:paraId="3D395066" w14:textId="77777777" w:rsidR="009F6C80" w:rsidRPr="00CD729C" w:rsidRDefault="00275CCD" w:rsidP="009B4BB6">
      <w:pPr>
        <w:widowControl w:val="0"/>
        <w:tabs>
          <w:tab w:val="clear" w:pos="567"/>
        </w:tabs>
        <w:spacing w:line="240" w:lineRule="auto"/>
        <w:ind w:left="567" w:hanging="567"/>
        <w:rPr>
          <w:color w:val="000000"/>
          <w:szCs w:val="22"/>
        </w:rPr>
      </w:pPr>
      <w:r>
        <w:rPr>
          <w:color w:val="000000"/>
          <w:szCs w:val="22"/>
        </w:rPr>
        <w:t>EXP</w:t>
      </w:r>
    </w:p>
    <w:p w14:paraId="3D395067" w14:textId="77777777" w:rsidR="009F6C80" w:rsidRPr="00CD729C" w:rsidRDefault="009F6C80" w:rsidP="009B4BB6">
      <w:pPr>
        <w:widowControl w:val="0"/>
        <w:tabs>
          <w:tab w:val="clear" w:pos="567"/>
        </w:tabs>
        <w:spacing w:line="240" w:lineRule="auto"/>
        <w:ind w:left="567" w:hanging="567"/>
        <w:rPr>
          <w:color w:val="000000"/>
          <w:szCs w:val="22"/>
        </w:rPr>
      </w:pPr>
    </w:p>
    <w:p w14:paraId="3D395068" w14:textId="77777777" w:rsidR="009F6C80" w:rsidRPr="00CD729C" w:rsidRDefault="009F6C80" w:rsidP="009B4BB6">
      <w:pPr>
        <w:widowControl w:val="0"/>
        <w:tabs>
          <w:tab w:val="clear" w:pos="567"/>
        </w:tabs>
        <w:spacing w:line="240" w:lineRule="auto"/>
        <w:ind w:left="567" w:hanging="567"/>
        <w:rPr>
          <w:color w:val="000000"/>
          <w:szCs w:val="22"/>
        </w:rPr>
      </w:pPr>
    </w:p>
    <w:p w14:paraId="3D395069" w14:textId="77777777" w:rsidR="009F6C80" w:rsidRPr="00CD729C" w:rsidRDefault="009F6C80" w:rsidP="009B4BB6">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rPr>
      </w:pPr>
      <w:r w:rsidRPr="00CD729C">
        <w:rPr>
          <w:b/>
          <w:color w:val="000000"/>
          <w:szCs w:val="22"/>
        </w:rPr>
        <w:t>9.</w:t>
      </w:r>
      <w:r w:rsidRPr="00CD729C">
        <w:rPr>
          <w:b/>
          <w:color w:val="000000"/>
          <w:szCs w:val="22"/>
        </w:rPr>
        <w:tab/>
        <w:t>ĪPAŠI UZGLABĀŠANAS NOSACĪJUMI</w:t>
      </w:r>
    </w:p>
    <w:p w14:paraId="3D39506A" w14:textId="77777777" w:rsidR="009F6C80" w:rsidRPr="00CD729C" w:rsidRDefault="009F6C80" w:rsidP="009B4BB6">
      <w:pPr>
        <w:keepNext/>
        <w:keepLines/>
        <w:widowControl w:val="0"/>
        <w:tabs>
          <w:tab w:val="clear" w:pos="567"/>
        </w:tabs>
        <w:spacing w:line="240" w:lineRule="auto"/>
        <w:ind w:left="567" w:hanging="567"/>
        <w:rPr>
          <w:color w:val="000000"/>
          <w:szCs w:val="22"/>
        </w:rPr>
      </w:pPr>
    </w:p>
    <w:p w14:paraId="3D39506B" w14:textId="77777777" w:rsidR="009F6C80" w:rsidRPr="00CD729C" w:rsidRDefault="009F6C80" w:rsidP="009B4BB6">
      <w:pPr>
        <w:keepNext/>
        <w:keepLines/>
        <w:widowControl w:val="0"/>
        <w:tabs>
          <w:tab w:val="clear" w:pos="567"/>
        </w:tabs>
        <w:spacing w:line="240" w:lineRule="auto"/>
        <w:ind w:left="567" w:hanging="567"/>
        <w:rPr>
          <w:color w:val="000000"/>
          <w:szCs w:val="22"/>
        </w:rPr>
      </w:pPr>
      <w:r w:rsidRPr="00CD729C">
        <w:rPr>
          <w:color w:val="000000"/>
          <w:szCs w:val="22"/>
        </w:rPr>
        <w:t>Uzglabāt temperatūrā līdz 30</w:t>
      </w:r>
      <w:r w:rsidRPr="00CD729C">
        <w:rPr>
          <w:color w:val="000000"/>
          <w:szCs w:val="22"/>
        </w:rPr>
        <w:sym w:font="Symbol" w:char="F0B0"/>
      </w:r>
      <w:r w:rsidRPr="00CD729C">
        <w:rPr>
          <w:color w:val="000000"/>
          <w:szCs w:val="22"/>
        </w:rPr>
        <w:t>C. Uzglabāt oriģinālā iepakojumā</w:t>
      </w:r>
      <w:r w:rsidR="0072796A">
        <w:rPr>
          <w:color w:val="000000"/>
          <w:szCs w:val="22"/>
        </w:rPr>
        <w:t>, lai pas</w:t>
      </w:r>
      <w:r w:rsidRPr="00CD729C">
        <w:rPr>
          <w:color w:val="000000"/>
          <w:szCs w:val="22"/>
        </w:rPr>
        <w:t>argāt</w:t>
      </w:r>
      <w:r w:rsidR="0072796A">
        <w:rPr>
          <w:color w:val="000000"/>
          <w:szCs w:val="22"/>
        </w:rPr>
        <w:t>u</w:t>
      </w:r>
      <w:r w:rsidRPr="00CD729C">
        <w:rPr>
          <w:color w:val="000000"/>
          <w:szCs w:val="22"/>
        </w:rPr>
        <w:t xml:space="preserve"> no mitruma.</w:t>
      </w:r>
    </w:p>
    <w:p w14:paraId="3D39506C" w14:textId="77777777" w:rsidR="009F6C80" w:rsidRPr="00CD729C" w:rsidRDefault="009F6C80" w:rsidP="009B4BB6">
      <w:pPr>
        <w:widowControl w:val="0"/>
        <w:tabs>
          <w:tab w:val="clear" w:pos="567"/>
        </w:tabs>
        <w:spacing w:line="240" w:lineRule="auto"/>
        <w:ind w:left="567" w:hanging="567"/>
        <w:rPr>
          <w:color w:val="000000"/>
          <w:szCs w:val="22"/>
        </w:rPr>
      </w:pPr>
    </w:p>
    <w:p w14:paraId="3D39506D" w14:textId="77777777" w:rsidR="009F6C80" w:rsidRPr="00CD729C" w:rsidRDefault="009F6C80" w:rsidP="009B4BB6">
      <w:pPr>
        <w:widowControl w:val="0"/>
        <w:tabs>
          <w:tab w:val="clear" w:pos="567"/>
        </w:tabs>
        <w:spacing w:line="240" w:lineRule="auto"/>
        <w:ind w:left="567" w:hanging="567"/>
        <w:rPr>
          <w:color w:val="000000"/>
          <w:szCs w:val="22"/>
        </w:rPr>
      </w:pPr>
    </w:p>
    <w:p w14:paraId="3D39506E" w14:textId="77777777" w:rsidR="009F6C80" w:rsidRPr="00CD729C" w:rsidRDefault="009F6C80" w:rsidP="00CC116F">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10.</w:t>
      </w:r>
      <w:r w:rsidRPr="00CD729C">
        <w:rPr>
          <w:b/>
          <w:color w:val="000000"/>
          <w:szCs w:val="22"/>
        </w:rPr>
        <w:tab/>
        <w:t>ĪPAŠI PIESARDZĪBAS PASĀKUMI, IZNĪCINOT NEIZLIETOTĀS ZĀLES VAI IZMANTOTOS MATERIĀLUS, KAS BIJUŠI SASKARĒ AR ŠĪM ZĀLĒM</w:t>
      </w:r>
      <w:r w:rsidR="0097555D" w:rsidRPr="00CD729C">
        <w:rPr>
          <w:b/>
          <w:color w:val="000000"/>
          <w:szCs w:val="22"/>
        </w:rPr>
        <w:t>,</w:t>
      </w:r>
      <w:r w:rsidRPr="00CD729C">
        <w:rPr>
          <w:b/>
          <w:color w:val="000000"/>
          <w:szCs w:val="22"/>
        </w:rPr>
        <w:t xml:space="preserve"> JA PIEMĒROJAMS</w:t>
      </w:r>
    </w:p>
    <w:p w14:paraId="3D39506F" w14:textId="77777777" w:rsidR="009F6C80" w:rsidRPr="00CD729C" w:rsidRDefault="009F6C80" w:rsidP="00CC116F">
      <w:pPr>
        <w:keepNext/>
        <w:keepLines/>
        <w:widowControl w:val="0"/>
        <w:tabs>
          <w:tab w:val="clear" w:pos="567"/>
        </w:tabs>
        <w:spacing w:line="240" w:lineRule="auto"/>
        <w:ind w:left="567" w:hanging="567"/>
        <w:rPr>
          <w:color w:val="000000"/>
          <w:szCs w:val="22"/>
        </w:rPr>
      </w:pPr>
    </w:p>
    <w:p w14:paraId="3D395070" w14:textId="77777777" w:rsidR="009F6C80" w:rsidRPr="00CD729C" w:rsidRDefault="009F6C80" w:rsidP="009B4BB6">
      <w:pPr>
        <w:widowControl w:val="0"/>
        <w:tabs>
          <w:tab w:val="clear" w:pos="567"/>
        </w:tabs>
        <w:spacing w:line="240" w:lineRule="auto"/>
        <w:ind w:left="567" w:hanging="567"/>
        <w:rPr>
          <w:color w:val="000000"/>
          <w:szCs w:val="22"/>
        </w:rPr>
      </w:pPr>
    </w:p>
    <w:p w14:paraId="3D395071" w14:textId="77777777" w:rsidR="009F6C80" w:rsidRPr="00CD729C" w:rsidRDefault="009F6C80" w:rsidP="00CC116F">
      <w:pPr>
        <w:keepNext/>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11.</w:t>
      </w:r>
      <w:r w:rsidRPr="00CD729C">
        <w:rPr>
          <w:b/>
          <w:color w:val="000000"/>
          <w:szCs w:val="22"/>
        </w:rPr>
        <w:tab/>
        <w:t>REĢISTRĀCIJAS APLIECĪBAS ĪPAŠNIEKA NOSAUKUMS UN ADRESE</w:t>
      </w:r>
    </w:p>
    <w:p w14:paraId="3D395072" w14:textId="77777777" w:rsidR="009F6C80" w:rsidRPr="00CD729C" w:rsidRDefault="009F6C80" w:rsidP="00CC116F">
      <w:pPr>
        <w:keepNext/>
        <w:widowControl w:val="0"/>
        <w:tabs>
          <w:tab w:val="clear" w:pos="567"/>
        </w:tabs>
        <w:spacing w:line="240" w:lineRule="auto"/>
        <w:ind w:left="567" w:hanging="567"/>
        <w:rPr>
          <w:color w:val="000000"/>
          <w:szCs w:val="22"/>
        </w:rPr>
      </w:pPr>
    </w:p>
    <w:p w14:paraId="3D395073" w14:textId="77777777" w:rsidR="009F6C80" w:rsidRPr="00CD729C" w:rsidRDefault="009F6C80" w:rsidP="00CC116F">
      <w:pPr>
        <w:keepNext/>
        <w:widowControl w:val="0"/>
        <w:tabs>
          <w:tab w:val="clear" w:pos="567"/>
        </w:tabs>
        <w:spacing w:line="240" w:lineRule="auto"/>
        <w:ind w:left="567" w:hanging="567"/>
        <w:rPr>
          <w:color w:val="000000"/>
          <w:szCs w:val="22"/>
        </w:rPr>
      </w:pPr>
      <w:r w:rsidRPr="00CD729C">
        <w:rPr>
          <w:color w:val="000000"/>
          <w:szCs w:val="22"/>
        </w:rPr>
        <w:t>Novartis Europharm Limited</w:t>
      </w:r>
    </w:p>
    <w:p w14:paraId="3D395074" w14:textId="77777777" w:rsidR="00410A76" w:rsidRPr="00EB33FE" w:rsidRDefault="00410A76" w:rsidP="009B4BB6">
      <w:pPr>
        <w:keepNext/>
        <w:widowControl w:val="0"/>
        <w:spacing w:line="240" w:lineRule="auto"/>
        <w:rPr>
          <w:color w:val="000000"/>
        </w:rPr>
      </w:pPr>
      <w:r w:rsidRPr="00EB33FE">
        <w:rPr>
          <w:color w:val="000000"/>
        </w:rPr>
        <w:t>Vista Building</w:t>
      </w:r>
    </w:p>
    <w:p w14:paraId="3D395075" w14:textId="77777777" w:rsidR="00410A76" w:rsidRPr="00EB33FE" w:rsidRDefault="00410A76" w:rsidP="009B4BB6">
      <w:pPr>
        <w:keepNext/>
        <w:widowControl w:val="0"/>
        <w:spacing w:line="240" w:lineRule="auto"/>
        <w:rPr>
          <w:color w:val="000000"/>
        </w:rPr>
      </w:pPr>
      <w:r w:rsidRPr="00EB33FE">
        <w:rPr>
          <w:color w:val="000000"/>
        </w:rPr>
        <w:t>Elm Park, Merrion Road</w:t>
      </w:r>
    </w:p>
    <w:p w14:paraId="3D395076" w14:textId="77777777" w:rsidR="00410A76" w:rsidRPr="00EB33FE" w:rsidRDefault="00410A76" w:rsidP="009B4BB6">
      <w:pPr>
        <w:keepNext/>
        <w:widowControl w:val="0"/>
        <w:spacing w:line="240" w:lineRule="auto"/>
        <w:rPr>
          <w:color w:val="000000"/>
        </w:rPr>
      </w:pPr>
      <w:r w:rsidRPr="00EB33FE">
        <w:rPr>
          <w:color w:val="000000"/>
        </w:rPr>
        <w:t>Dublin 4</w:t>
      </w:r>
    </w:p>
    <w:p w14:paraId="3D395077" w14:textId="77777777" w:rsidR="009F6C80" w:rsidRPr="00CD729C" w:rsidRDefault="00410A76" w:rsidP="009B4BB6">
      <w:pPr>
        <w:widowControl w:val="0"/>
        <w:tabs>
          <w:tab w:val="clear" w:pos="567"/>
        </w:tabs>
        <w:spacing w:line="240" w:lineRule="auto"/>
        <w:ind w:left="567" w:hanging="567"/>
        <w:rPr>
          <w:color w:val="000000"/>
          <w:szCs w:val="22"/>
        </w:rPr>
      </w:pPr>
      <w:r w:rsidRPr="00EB33FE">
        <w:rPr>
          <w:color w:val="000000"/>
        </w:rPr>
        <w:t>Īrija</w:t>
      </w:r>
    </w:p>
    <w:p w14:paraId="3D395078" w14:textId="77777777" w:rsidR="009F6C80" w:rsidRPr="00CD729C" w:rsidRDefault="009F6C80" w:rsidP="009B4BB6">
      <w:pPr>
        <w:widowControl w:val="0"/>
        <w:tabs>
          <w:tab w:val="clear" w:pos="567"/>
        </w:tabs>
        <w:spacing w:line="240" w:lineRule="auto"/>
        <w:ind w:left="567" w:hanging="567"/>
        <w:rPr>
          <w:color w:val="000000"/>
          <w:szCs w:val="22"/>
        </w:rPr>
      </w:pPr>
    </w:p>
    <w:p w14:paraId="3D395079" w14:textId="77777777" w:rsidR="009F6C80" w:rsidRPr="00CD729C" w:rsidRDefault="009F6C80" w:rsidP="009B4BB6">
      <w:pPr>
        <w:widowControl w:val="0"/>
        <w:tabs>
          <w:tab w:val="clear" w:pos="567"/>
        </w:tabs>
        <w:spacing w:line="240" w:lineRule="auto"/>
        <w:ind w:left="567" w:hanging="567"/>
        <w:rPr>
          <w:color w:val="000000"/>
          <w:szCs w:val="22"/>
        </w:rPr>
      </w:pPr>
    </w:p>
    <w:p w14:paraId="3D39507A"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12.</w:t>
      </w:r>
      <w:r w:rsidRPr="00CD729C">
        <w:rPr>
          <w:b/>
          <w:color w:val="000000"/>
          <w:szCs w:val="22"/>
        </w:rPr>
        <w:tab/>
        <w:t xml:space="preserve">REĢISTRĀCIJAS </w:t>
      </w:r>
      <w:r w:rsidR="00074AB9" w:rsidRPr="00CD729C">
        <w:rPr>
          <w:b/>
          <w:szCs w:val="22"/>
        </w:rPr>
        <w:t xml:space="preserve">APLIECĪBAS </w:t>
      </w:r>
      <w:r w:rsidRPr="00CD729C">
        <w:rPr>
          <w:b/>
          <w:color w:val="000000"/>
          <w:szCs w:val="22"/>
        </w:rPr>
        <w:t>NUMURS(</w:t>
      </w:r>
      <w:r w:rsidR="0097555D" w:rsidRPr="00CD729C">
        <w:rPr>
          <w:b/>
          <w:color w:val="000000"/>
          <w:szCs w:val="22"/>
        </w:rPr>
        <w:t>-</w:t>
      </w:r>
      <w:r w:rsidRPr="00CD729C">
        <w:rPr>
          <w:b/>
          <w:color w:val="000000"/>
          <w:szCs w:val="22"/>
        </w:rPr>
        <w:t>I)</w:t>
      </w:r>
    </w:p>
    <w:p w14:paraId="3D39507B" w14:textId="77777777" w:rsidR="009F6C80" w:rsidRPr="00CD729C" w:rsidRDefault="009F6C80" w:rsidP="009B4BB6">
      <w:pPr>
        <w:widowControl w:val="0"/>
        <w:tabs>
          <w:tab w:val="clear" w:pos="567"/>
        </w:tabs>
        <w:spacing w:line="240" w:lineRule="auto"/>
        <w:ind w:left="567" w:hanging="567"/>
        <w:rPr>
          <w:color w:val="000000"/>
          <w:szCs w:val="22"/>
        </w:rPr>
      </w:pPr>
    </w:p>
    <w:p w14:paraId="3D39507C" w14:textId="77777777" w:rsidR="009F6C80" w:rsidRPr="00CD729C" w:rsidRDefault="009F6C80" w:rsidP="009B4BB6">
      <w:pPr>
        <w:widowControl w:val="0"/>
        <w:tabs>
          <w:tab w:val="clear" w:pos="567"/>
        </w:tabs>
        <w:spacing w:line="240" w:lineRule="auto"/>
        <w:ind w:left="2268" w:hanging="2268"/>
        <w:rPr>
          <w:color w:val="000000"/>
          <w:szCs w:val="22"/>
          <w:shd w:val="clear" w:color="auto" w:fill="D9D9D9"/>
        </w:rPr>
      </w:pPr>
      <w:r w:rsidRPr="00CD729C">
        <w:rPr>
          <w:color w:val="000000"/>
          <w:szCs w:val="22"/>
        </w:rPr>
        <w:t>EU/1/01/198/002</w:t>
      </w:r>
      <w:r w:rsidRPr="00CD729C">
        <w:rPr>
          <w:color w:val="000000"/>
          <w:szCs w:val="22"/>
        </w:rPr>
        <w:tab/>
      </w:r>
      <w:r w:rsidRPr="00CD729C">
        <w:rPr>
          <w:color w:val="000000"/>
          <w:szCs w:val="22"/>
          <w:shd w:val="clear" w:color="auto" w:fill="D9D9D9"/>
        </w:rPr>
        <w:t>24 kapsulas</w:t>
      </w:r>
    </w:p>
    <w:p w14:paraId="3D39507D" w14:textId="77777777" w:rsidR="009F6C80" w:rsidRPr="00CD729C" w:rsidRDefault="009F6C80" w:rsidP="009B4BB6">
      <w:pPr>
        <w:widowControl w:val="0"/>
        <w:tabs>
          <w:tab w:val="clear" w:pos="567"/>
        </w:tabs>
        <w:spacing w:line="240" w:lineRule="auto"/>
        <w:ind w:left="2268" w:hanging="2268"/>
        <w:rPr>
          <w:color w:val="000000"/>
          <w:szCs w:val="22"/>
          <w:shd w:val="clear" w:color="auto" w:fill="D9D9D9"/>
        </w:rPr>
      </w:pPr>
      <w:r w:rsidRPr="00CD729C">
        <w:rPr>
          <w:color w:val="000000"/>
          <w:szCs w:val="22"/>
          <w:shd w:val="clear" w:color="auto" w:fill="D9D9D9"/>
        </w:rPr>
        <w:t>EU/1/01/198/003</w:t>
      </w:r>
      <w:r w:rsidRPr="00CD729C">
        <w:rPr>
          <w:color w:val="000000"/>
          <w:szCs w:val="22"/>
          <w:shd w:val="clear" w:color="auto" w:fill="D9D9D9"/>
        </w:rPr>
        <w:tab/>
        <w:t>48 kapsulas</w:t>
      </w:r>
    </w:p>
    <w:p w14:paraId="3D39507E" w14:textId="77777777" w:rsidR="009F6C80" w:rsidRPr="00CD729C" w:rsidRDefault="009F6C80" w:rsidP="009B4BB6">
      <w:pPr>
        <w:widowControl w:val="0"/>
        <w:tabs>
          <w:tab w:val="clear" w:pos="567"/>
        </w:tabs>
        <w:spacing w:line="240" w:lineRule="auto"/>
        <w:ind w:left="2268" w:hanging="2268"/>
        <w:rPr>
          <w:color w:val="000000"/>
          <w:szCs w:val="22"/>
          <w:shd w:val="clear" w:color="auto" w:fill="D9D9D9"/>
        </w:rPr>
      </w:pPr>
      <w:r w:rsidRPr="00CD729C">
        <w:rPr>
          <w:color w:val="000000"/>
          <w:szCs w:val="22"/>
          <w:shd w:val="clear" w:color="auto" w:fill="D9D9D9"/>
        </w:rPr>
        <w:t>EU/1/01/198/004</w:t>
      </w:r>
      <w:r w:rsidRPr="00CD729C">
        <w:rPr>
          <w:color w:val="000000"/>
          <w:szCs w:val="22"/>
          <w:shd w:val="clear" w:color="auto" w:fill="D9D9D9"/>
        </w:rPr>
        <w:tab/>
        <w:t>96 kapsulas</w:t>
      </w:r>
    </w:p>
    <w:p w14:paraId="3D39507F" w14:textId="77777777" w:rsidR="009F6C80" w:rsidRPr="00CD729C" w:rsidRDefault="009F6C80" w:rsidP="009B4BB6">
      <w:pPr>
        <w:widowControl w:val="0"/>
        <w:tabs>
          <w:tab w:val="clear" w:pos="567"/>
        </w:tabs>
        <w:spacing w:line="240" w:lineRule="auto"/>
        <w:ind w:left="2268" w:hanging="2268"/>
        <w:rPr>
          <w:color w:val="000000"/>
          <w:szCs w:val="22"/>
          <w:shd w:val="clear" w:color="auto" w:fill="D9D9D9"/>
        </w:rPr>
      </w:pPr>
      <w:r w:rsidRPr="00CD729C">
        <w:rPr>
          <w:color w:val="000000"/>
          <w:szCs w:val="22"/>
          <w:shd w:val="clear" w:color="auto" w:fill="D9D9D9"/>
        </w:rPr>
        <w:t>EU/1/01/198/005</w:t>
      </w:r>
      <w:r w:rsidRPr="00CD729C">
        <w:rPr>
          <w:color w:val="000000"/>
          <w:szCs w:val="22"/>
          <w:shd w:val="clear" w:color="auto" w:fill="D9D9D9"/>
        </w:rPr>
        <w:tab/>
        <w:t>120 kapsulas</w:t>
      </w:r>
    </w:p>
    <w:p w14:paraId="3D395080" w14:textId="77777777" w:rsidR="009F6C80" w:rsidRPr="00CD729C" w:rsidRDefault="009F6C80" w:rsidP="009B4BB6">
      <w:pPr>
        <w:widowControl w:val="0"/>
        <w:tabs>
          <w:tab w:val="clear" w:pos="567"/>
        </w:tabs>
        <w:spacing w:line="240" w:lineRule="auto"/>
        <w:ind w:left="2268" w:hanging="2268"/>
        <w:rPr>
          <w:color w:val="000000"/>
          <w:szCs w:val="22"/>
          <w:shd w:val="clear" w:color="auto" w:fill="D9D9D9"/>
        </w:rPr>
      </w:pPr>
      <w:r w:rsidRPr="00CD729C">
        <w:rPr>
          <w:color w:val="000000"/>
          <w:szCs w:val="22"/>
          <w:shd w:val="clear" w:color="auto" w:fill="D9D9D9"/>
        </w:rPr>
        <w:t>EU/1/01/198/006</w:t>
      </w:r>
      <w:r w:rsidRPr="00CD729C">
        <w:rPr>
          <w:color w:val="000000"/>
          <w:szCs w:val="22"/>
          <w:shd w:val="clear" w:color="auto" w:fill="D9D9D9"/>
        </w:rPr>
        <w:tab/>
        <w:t>180 kapsulas</w:t>
      </w:r>
    </w:p>
    <w:p w14:paraId="3D395081" w14:textId="77777777" w:rsidR="009F6C80" w:rsidRPr="00CD729C" w:rsidRDefault="009F6C80" w:rsidP="009B4BB6">
      <w:pPr>
        <w:widowControl w:val="0"/>
        <w:tabs>
          <w:tab w:val="clear" w:pos="567"/>
        </w:tabs>
        <w:spacing w:line="240" w:lineRule="auto"/>
        <w:ind w:left="567" w:hanging="567"/>
        <w:rPr>
          <w:color w:val="000000"/>
          <w:szCs w:val="22"/>
        </w:rPr>
      </w:pPr>
    </w:p>
    <w:p w14:paraId="3D395082" w14:textId="77777777" w:rsidR="009F6C80" w:rsidRPr="00CD729C" w:rsidRDefault="009F6C80" w:rsidP="009B4BB6">
      <w:pPr>
        <w:widowControl w:val="0"/>
        <w:tabs>
          <w:tab w:val="clear" w:pos="567"/>
        </w:tabs>
        <w:spacing w:line="240" w:lineRule="auto"/>
        <w:ind w:left="567" w:hanging="567"/>
        <w:rPr>
          <w:color w:val="000000"/>
          <w:szCs w:val="22"/>
        </w:rPr>
      </w:pPr>
    </w:p>
    <w:p w14:paraId="3D395083"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13.</w:t>
      </w:r>
      <w:r w:rsidRPr="00CD729C">
        <w:rPr>
          <w:b/>
          <w:color w:val="000000"/>
          <w:szCs w:val="22"/>
        </w:rPr>
        <w:tab/>
        <w:t>SĒRIJAS NUMURS</w:t>
      </w:r>
    </w:p>
    <w:p w14:paraId="3D395084" w14:textId="77777777" w:rsidR="009F6C80" w:rsidRPr="00CD729C" w:rsidRDefault="009F6C80" w:rsidP="009B4BB6">
      <w:pPr>
        <w:widowControl w:val="0"/>
        <w:tabs>
          <w:tab w:val="clear" w:pos="567"/>
        </w:tabs>
        <w:spacing w:line="240" w:lineRule="auto"/>
        <w:ind w:left="567" w:hanging="567"/>
        <w:rPr>
          <w:color w:val="000000"/>
          <w:szCs w:val="22"/>
        </w:rPr>
      </w:pPr>
    </w:p>
    <w:p w14:paraId="3D395085" w14:textId="77777777" w:rsidR="009F6C80" w:rsidRPr="00CD729C" w:rsidRDefault="00275CCD" w:rsidP="009B4BB6">
      <w:pPr>
        <w:widowControl w:val="0"/>
        <w:tabs>
          <w:tab w:val="clear" w:pos="567"/>
        </w:tabs>
        <w:spacing w:line="240" w:lineRule="auto"/>
        <w:ind w:left="567" w:hanging="567"/>
        <w:rPr>
          <w:color w:val="000000"/>
          <w:szCs w:val="22"/>
        </w:rPr>
      </w:pPr>
      <w:r>
        <w:rPr>
          <w:color w:val="000000"/>
          <w:szCs w:val="22"/>
        </w:rPr>
        <w:t>Lot</w:t>
      </w:r>
    </w:p>
    <w:p w14:paraId="3D395086" w14:textId="77777777" w:rsidR="009F6C80" w:rsidRPr="00CD729C" w:rsidRDefault="009F6C80" w:rsidP="009B4BB6">
      <w:pPr>
        <w:widowControl w:val="0"/>
        <w:tabs>
          <w:tab w:val="clear" w:pos="567"/>
        </w:tabs>
        <w:spacing w:line="240" w:lineRule="auto"/>
        <w:ind w:left="567" w:hanging="567"/>
        <w:rPr>
          <w:color w:val="000000"/>
          <w:szCs w:val="22"/>
        </w:rPr>
      </w:pPr>
    </w:p>
    <w:p w14:paraId="3D395087" w14:textId="77777777" w:rsidR="009F6C80" w:rsidRPr="00CD729C" w:rsidRDefault="009F6C80" w:rsidP="009B4BB6">
      <w:pPr>
        <w:widowControl w:val="0"/>
        <w:tabs>
          <w:tab w:val="clear" w:pos="567"/>
        </w:tabs>
        <w:spacing w:line="240" w:lineRule="auto"/>
        <w:ind w:left="567" w:hanging="567"/>
        <w:rPr>
          <w:color w:val="000000"/>
          <w:szCs w:val="22"/>
        </w:rPr>
      </w:pPr>
    </w:p>
    <w:p w14:paraId="3D395088"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14.</w:t>
      </w:r>
      <w:r w:rsidRPr="00CD729C">
        <w:rPr>
          <w:b/>
          <w:color w:val="000000"/>
          <w:szCs w:val="22"/>
        </w:rPr>
        <w:tab/>
        <w:t>IZSNIEGŠANAS KĀRTĪBA</w:t>
      </w:r>
    </w:p>
    <w:p w14:paraId="3D395089" w14:textId="77777777" w:rsidR="009F6C80" w:rsidRPr="00CD729C" w:rsidRDefault="009F6C80" w:rsidP="009B4BB6">
      <w:pPr>
        <w:widowControl w:val="0"/>
        <w:tabs>
          <w:tab w:val="clear" w:pos="567"/>
        </w:tabs>
        <w:spacing w:line="240" w:lineRule="auto"/>
        <w:ind w:left="567" w:hanging="567"/>
        <w:rPr>
          <w:color w:val="000000"/>
          <w:szCs w:val="22"/>
        </w:rPr>
      </w:pPr>
    </w:p>
    <w:p w14:paraId="3D39508A" w14:textId="77777777" w:rsidR="009F6C80" w:rsidRPr="00CD729C" w:rsidRDefault="009F6C80" w:rsidP="009B4BB6">
      <w:pPr>
        <w:widowControl w:val="0"/>
        <w:tabs>
          <w:tab w:val="clear" w:pos="567"/>
        </w:tabs>
        <w:spacing w:line="240" w:lineRule="auto"/>
        <w:ind w:left="567" w:hanging="567"/>
        <w:rPr>
          <w:color w:val="000000"/>
          <w:szCs w:val="22"/>
        </w:rPr>
      </w:pPr>
    </w:p>
    <w:p w14:paraId="3D39508B"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15.</w:t>
      </w:r>
      <w:r w:rsidRPr="00CD729C">
        <w:rPr>
          <w:b/>
          <w:color w:val="000000"/>
          <w:szCs w:val="22"/>
        </w:rPr>
        <w:tab/>
        <w:t>NORĀDĪJUMI PAR LIETOŠANU</w:t>
      </w:r>
    </w:p>
    <w:p w14:paraId="3D39508C" w14:textId="77777777" w:rsidR="009F6C80" w:rsidRPr="00CD729C" w:rsidRDefault="009F6C80" w:rsidP="009B4BB6">
      <w:pPr>
        <w:widowControl w:val="0"/>
        <w:tabs>
          <w:tab w:val="clear" w:pos="567"/>
        </w:tabs>
        <w:spacing w:line="240" w:lineRule="auto"/>
        <w:ind w:left="567" w:hanging="567"/>
        <w:rPr>
          <w:color w:val="000000"/>
          <w:szCs w:val="22"/>
          <w:u w:val="single"/>
        </w:rPr>
      </w:pPr>
    </w:p>
    <w:p w14:paraId="3D39508D" w14:textId="77777777" w:rsidR="009F6C80" w:rsidRPr="00CD729C" w:rsidRDefault="009F6C80" w:rsidP="009B4BB6">
      <w:pPr>
        <w:widowControl w:val="0"/>
        <w:tabs>
          <w:tab w:val="clear" w:pos="567"/>
        </w:tabs>
        <w:spacing w:line="240" w:lineRule="auto"/>
        <w:rPr>
          <w:color w:val="000000"/>
          <w:szCs w:val="22"/>
        </w:rPr>
      </w:pPr>
    </w:p>
    <w:p w14:paraId="3D39508E"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16.</w:t>
      </w:r>
      <w:r w:rsidRPr="00CD729C">
        <w:rPr>
          <w:b/>
          <w:color w:val="000000"/>
          <w:szCs w:val="22"/>
        </w:rPr>
        <w:tab/>
      </w:r>
      <w:r w:rsidRPr="00CD729C">
        <w:rPr>
          <w:b/>
          <w:color w:val="000000"/>
        </w:rPr>
        <w:t>INFORMĀCIJA BRAILA RAKSTĀ</w:t>
      </w:r>
    </w:p>
    <w:p w14:paraId="3D39508F" w14:textId="77777777" w:rsidR="009F6C80" w:rsidRPr="0034378B" w:rsidRDefault="009F6C80" w:rsidP="009B4BB6">
      <w:pPr>
        <w:widowControl w:val="0"/>
        <w:tabs>
          <w:tab w:val="clear" w:pos="567"/>
        </w:tabs>
        <w:spacing w:line="240" w:lineRule="auto"/>
        <w:rPr>
          <w:color w:val="000000"/>
          <w:szCs w:val="22"/>
        </w:rPr>
      </w:pPr>
    </w:p>
    <w:p w14:paraId="3D395090" w14:textId="77777777" w:rsidR="009F6C80" w:rsidRPr="00CD729C" w:rsidRDefault="009F6C80" w:rsidP="009B4BB6">
      <w:pPr>
        <w:widowControl w:val="0"/>
        <w:tabs>
          <w:tab w:val="clear" w:pos="567"/>
        </w:tabs>
        <w:spacing w:line="240" w:lineRule="auto"/>
        <w:rPr>
          <w:color w:val="000000"/>
          <w:szCs w:val="22"/>
        </w:rPr>
      </w:pPr>
      <w:r w:rsidRPr="00CD729C">
        <w:rPr>
          <w:color w:val="000000"/>
          <w:szCs w:val="22"/>
        </w:rPr>
        <w:t>Glivec 100 mg</w:t>
      </w:r>
    </w:p>
    <w:p w14:paraId="3D395091" w14:textId="77777777" w:rsidR="009F6C80" w:rsidRPr="00CD729C" w:rsidRDefault="009F6C80" w:rsidP="009B4BB6">
      <w:pPr>
        <w:widowControl w:val="0"/>
        <w:tabs>
          <w:tab w:val="clear" w:pos="567"/>
        </w:tabs>
        <w:spacing w:line="240" w:lineRule="auto"/>
        <w:rPr>
          <w:color w:val="000000"/>
          <w:szCs w:val="22"/>
        </w:rPr>
      </w:pPr>
    </w:p>
    <w:p w14:paraId="3D395092" w14:textId="77777777" w:rsidR="0072796A" w:rsidRPr="00907269" w:rsidRDefault="0072796A" w:rsidP="009B4BB6">
      <w:pPr>
        <w:widowControl w:val="0"/>
        <w:tabs>
          <w:tab w:val="clear" w:pos="567"/>
        </w:tabs>
        <w:spacing w:line="240" w:lineRule="auto"/>
        <w:rPr>
          <w:noProof/>
          <w:shd w:val="clear" w:color="auto" w:fill="CCCCCC"/>
        </w:rPr>
      </w:pPr>
    </w:p>
    <w:p w14:paraId="3D395093" w14:textId="77777777" w:rsidR="0072796A" w:rsidRPr="00907269" w:rsidRDefault="0072796A" w:rsidP="009B4BB6">
      <w:pPr>
        <w:keepNext/>
        <w:keepLines/>
        <w:widowControl w:val="0"/>
        <w:pBdr>
          <w:top w:val="single" w:sz="4" w:space="1" w:color="auto"/>
          <w:left w:val="single" w:sz="4" w:space="4" w:color="auto"/>
          <w:bottom w:val="single" w:sz="4" w:space="0" w:color="auto"/>
          <w:right w:val="single" w:sz="4" w:space="4" w:color="auto"/>
        </w:pBdr>
        <w:tabs>
          <w:tab w:val="clear" w:pos="567"/>
        </w:tabs>
        <w:spacing w:line="240" w:lineRule="auto"/>
        <w:rPr>
          <w:noProof/>
        </w:rPr>
      </w:pPr>
      <w:r w:rsidRPr="00907269">
        <w:rPr>
          <w:b/>
          <w:noProof/>
        </w:rPr>
        <w:t>17.</w:t>
      </w:r>
      <w:r w:rsidRPr="00907269">
        <w:rPr>
          <w:b/>
          <w:noProof/>
        </w:rPr>
        <w:tab/>
      </w:r>
      <w:r w:rsidRPr="00907269">
        <w:rPr>
          <w:b/>
          <w:noProof/>
          <w:lang w:bidi="lv-LV"/>
        </w:rPr>
        <w:t>UNIKĀLS IDENTIFIKATORS – 2D SVĪTRKODS</w:t>
      </w:r>
    </w:p>
    <w:p w14:paraId="3D395094" w14:textId="77777777" w:rsidR="0072796A" w:rsidRPr="00907269" w:rsidRDefault="0072796A" w:rsidP="009B4BB6">
      <w:pPr>
        <w:keepNext/>
        <w:keepLines/>
        <w:widowControl w:val="0"/>
        <w:tabs>
          <w:tab w:val="clear" w:pos="567"/>
        </w:tabs>
        <w:spacing w:line="240" w:lineRule="auto"/>
        <w:rPr>
          <w:noProof/>
        </w:rPr>
      </w:pPr>
    </w:p>
    <w:p w14:paraId="3D395095" w14:textId="77777777" w:rsidR="0072796A" w:rsidRPr="00907269" w:rsidRDefault="0072796A" w:rsidP="009B4BB6">
      <w:pPr>
        <w:keepNext/>
        <w:keepLines/>
        <w:widowControl w:val="0"/>
        <w:tabs>
          <w:tab w:val="clear" w:pos="567"/>
        </w:tabs>
        <w:spacing w:line="240" w:lineRule="auto"/>
        <w:rPr>
          <w:noProof/>
          <w:shd w:val="pct15" w:color="auto" w:fill="auto"/>
        </w:rPr>
      </w:pPr>
      <w:r w:rsidRPr="00907269">
        <w:rPr>
          <w:noProof/>
          <w:shd w:val="pct15" w:color="auto" w:fill="auto"/>
          <w:lang w:bidi="lv-LV"/>
        </w:rPr>
        <w:t>2D svītrkods, kurā iekļauts unikāls identifikators</w:t>
      </w:r>
      <w:r w:rsidRPr="00907269">
        <w:rPr>
          <w:noProof/>
          <w:shd w:val="pct15" w:color="auto" w:fill="auto"/>
        </w:rPr>
        <w:t>.</w:t>
      </w:r>
    </w:p>
    <w:p w14:paraId="3D395096" w14:textId="77777777" w:rsidR="0072796A" w:rsidRPr="00907269" w:rsidRDefault="0072796A" w:rsidP="009B4BB6">
      <w:pPr>
        <w:widowControl w:val="0"/>
        <w:tabs>
          <w:tab w:val="clear" w:pos="567"/>
        </w:tabs>
        <w:spacing w:line="240" w:lineRule="auto"/>
        <w:rPr>
          <w:noProof/>
          <w:shd w:val="clear" w:color="auto" w:fill="CCCCCC"/>
        </w:rPr>
      </w:pPr>
    </w:p>
    <w:p w14:paraId="3D395097" w14:textId="77777777" w:rsidR="0072796A" w:rsidRPr="00907269" w:rsidRDefault="0072796A" w:rsidP="009B4BB6">
      <w:pPr>
        <w:widowControl w:val="0"/>
        <w:tabs>
          <w:tab w:val="clear" w:pos="567"/>
        </w:tabs>
        <w:spacing w:line="240" w:lineRule="auto"/>
        <w:rPr>
          <w:noProof/>
        </w:rPr>
      </w:pPr>
    </w:p>
    <w:p w14:paraId="3D395098" w14:textId="77777777" w:rsidR="0072796A" w:rsidRPr="00907269" w:rsidRDefault="0072796A" w:rsidP="009B4BB6">
      <w:pPr>
        <w:keepNext/>
        <w:keepLines/>
        <w:widowControl w:val="0"/>
        <w:pBdr>
          <w:top w:val="single" w:sz="4" w:space="1" w:color="auto"/>
          <w:left w:val="single" w:sz="4" w:space="4" w:color="auto"/>
          <w:bottom w:val="single" w:sz="4" w:space="0" w:color="auto"/>
          <w:right w:val="single" w:sz="4" w:space="4" w:color="auto"/>
        </w:pBdr>
        <w:tabs>
          <w:tab w:val="clear" w:pos="567"/>
        </w:tabs>
        <w:spacing w:line="240" w:lineRule="auto"/>
        <w:rPr>
          <w:noProof/>
        </w:rPr>
      </w:pPr>
      <w:r w:rsidRPr="00907269">
        <w:rPr>
          <w:b/>
          <w:noProof/>
        </w:rPr>
        <w:t>18.</w:t>
      </w:r>
      <w:r w:rsidRPr="00907269">
        <w:rPr>
          <w:b/>
          <w:noProof/>
        </w:rPr>
        <w:tab/>
      </w:r>
      <w:r w:rsidRPr="00907269">
        <w:rPr>
          <w:b/>
          <w:noProof/>
          <w:lang w:bidi="lv-LV"/>
        </w:rPr>
        <w:t>UNIKĀLS IDENTIFIKATORS – DATI, KURUS VAR NOLASĪT PERSONA</w:t>
      </w:r>
    </w:p>
    <w:p w14:paraId="3D395099" w14:textId="77777777" w:rsidR="0072796A" w:rsidRPr="00907269" w:rsidRDefault="0072796A" w:rsidP="009B4BB6">
      <w:pPr>
        <w:keepNext/>
        <w:keepLines/>
        <w:widowControl w:val="0"/>
        <w:tabs>
          <w:tab w:val="clear" w:pos="567"/>
        </w:tabs>
        <w:spacing w:line="240" w:lineRule="auto"/>
        <w:rPr>
          <w:noProof/>
        </w:rPr>
      </w:pPr>
    </w:p>
    <w:p w14:paraId="3D39509A" w14:textId="77777777" w:rsidR="0072796A" w:rsidRPr="00907269" w:rsidRDefault="0072796A" w:rsidP="009B4BB6">
      <w:pPr>
        <w:keepNext/>
        <w:keepLines/>
        <w:widowControl w:val="0"/>
        <w:tabs>
          <w:tab w:val="clear" w:pos="567"/>
        </w:tabs>
        <w:spacing w:line="240" w:lineRule="auto"/>
      </w:pPr>
      <w:r w:rsidRPr="00907269">
        <w:t>PC:</w:t>
      </w:r>
    </w:p>
    <w:p w14:paraId="3D39509B" w14:textId="77777777" w:rsidR="0072796A" w:rsidRPr="00907269" w:rsidRDefault="0072796A" w:rsidP="009B4BB6">
      <w:pPr>
        <w:keepNext/>
        <w:keepLines/>
        <w:widowControl w:val="0"/>
        <w:tabs>
          <w:tab w:val="clear" w:pos="567"/>
        </w:tabs>
        <w:spacing w:line="240" w:lineRule="auto"/>
      </w:pPr>
      <w:r w:rsidRPr="00907269">
        <w:t>SN:</w:t>
      </w:r>
    </w:p>
    <w:p w14:paraId="3D39509C" w14:textId="77777777" w:rsidR="009F6C80" w:rsidRPr="0034378B" w:rsidRDefault="0072796A" w:rsidP="009B4BB6">
      <w:pPr>
        <w:keepNext/>
        <w:keepLines/>
        <w:widowControl w:val="0"/>
        <w:tabs>
          <w:tab w:val="clear" w:pos="567"/>
        </w:tabs>
        <w:spacing w:line="240" w:lineRule="auto"/>
        <w:rPr>
          <w:color w:val="000000"/>
          <w:szCs w:val="22"/>
        </w:rPr>
      </w:pPr>
      <w:r w:rsidRPr="00907269">
        <w:t>NN:</w:t>
      </w:r>
    </w:p>
    <w:p w14:paraId="3D39509D" w14:textId="77777777" w:rsidR="009F6C80" w:rsidRPr="00CD729C" w:rsidRDefault="009F6C80" w:rsidP="009B4BB6">
      <w:pPr>
        <w:widowControl w:val="0"/>
        <w:tabs>
          <w:tab w:val="clear" w:pos="567"/>
        </w:tabs>
        <w:spacing w:line="240" w:lineRule="auto"/>
        <w:ind w:left="567" w:hanging="567"/>
        <w:rPr>
          <w:color w:val="000000"/>
          <w:szCs w:val="22"/>
        </w:rPr>
      </w:pPr>
      <w:r w:rsidRPr="00CD729C">
        <w:rPr>
          <w:b/>
          <w:color w:val="000000"/>
          <w:szCs w:val="22"/>
          <w:u w:val="single"/>
        </w:rPr>
        <w:br w:type="page"/>
      </w:r>
    </w:p>
    <w:p w14:paraId="3D39509E" w14:textId="77777777" w:rsidR="00CC116F" w:rsidRPr="00CC116F" w:rsidRDefault="00CC116F" w:rsidP="00CC116F">
      <w:pPr>
        <w:widowControl w:val="0"/>
        <w:tabs>
          <w:tab w:val="clear" w:pos="567"/>
        </w:tabs>
        <w:spacing w:line="240" w:lineRule="auto"/>
        <w:ind w:left="567" w:hanging="567"/>
        <w:rPr>
          <w:color w:val="000000"/>
          <w:szCs w:val="22"/>
        </w:rPr>
      </w:pPr>
    </w:p>
    <w:p w14:paraId="3D39509F"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color w:val="000000"/>
          <w:szCs w:val="22"/>
        </w:rPr>
      </w:pPr>
      <w:r w:rsidRPr="00CD729C">
        <w:rPr>
          <w:b/>
          <w:color w:val="000000"/>
          <w:szCs w:val="22"/>
        </w:rPr>
        <w:t>MINIMĀLĀ INFORMĀCIJA, KAS JĀNORĀDA UZ BLISTERA VAI PLĀKSNĪTES</w:t>
      </w:r>
    </w:p>
    <w:p w14:paraId="3D3950A0"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rPr>
      </w:pPr>
    </w:p>
    <w:p w14:paraId="3D3950A1"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color w:val="000000"/>
          <w:szCs w:val="22"/>
        </w:rPr>
      </w:pPr>
      <w:r w:rsidRPr="00CD729C">
        <w:rPr>
          <w:b/>
          <w:color w:val="000000"/>
          <w:szCs w:val="22"/>
        </w:rPr>
        <w:t>BLISTERI</w:t>
      </w:r>
    </w:p>
    <w:p w14:paraId="3D3950A2" w14:textId="77777777" w:rsidR="009F6C80" w:rsidRPr="00CD729C" w:rsidRDefault="009F6C80" w:rsidP="009B4BB6">
      <w:pPr>
        <w:widowControl w:val="0"/>
        <w:tabs>
          <w:tab w:val="clear" w:pos="567"/>
        </w:tabs>
        <w:spacing w:line="240" w:lineRule="auto"/>
        <w:ind w:left="567" w:hanging="567"/>
        <w:rPr>
          <w:color w:val="000000"/>
          <w:szCs w:val="22"/>
        </w:rPr>
      </w:pPr>
    </w:p>
    <w:p w14:paraId="3D3950A3" w14:textId="77777777" w:rsidR="009F6C80" w:rsidRPr="00CD729C" w:rsidRDefault="009F6C80" w:rsidP="009B4BB6">
      <w:pPr>
        <w:widowControl w:val="0"/>
        <w:tabs>
          <w:tab w:val="clear" w:pos="567"/>
        </w:tabs>
        <w:spacing w:line="240" w:lineRule="auto"/>
        <w:ind w:left="567" w:hanging="567"/>
        <w:rPr>
          <w:color w:val="000000"/>
          <w:szCs w:val="22"/>
        </w:rPr>
      </w:pPr>
    </w:p>
    <w:p w14:paraId="3D3950A4"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w:t>
      </w:r>
      <w:r w:rsidRPr="00CD729C">
        <w:rPr>
          <w:b/>
          <w:color w:val="000000"/>
          <w:szCs w:val="22"/>
        </w:rPr>
        <w:tab/>
        <w:t>ZĀĻU NOSAUKUMS</w:t>
      </w:r>
    </w:p>
    <w:p w14:paraId="3D3950A5" w14:textId="77777777" w:rsidR="009F6C80" w:rsidRPr="00CD729C" w:rsidRDefault="009F6C80" w:rsidP="009B4BB6">
      <w:pPr>
        <w:widowControl w:val="0"/>
        <w:tabs>
          <w:tab w:val="clear" w:pos="567"/>
        </w:tabs>
        <w:spacing w:line="240" w:lineRule="auto"/>
        <w:ind w:left="567" w:hanging="567"/>
        <w:rPr>
          <w:color w:val="000000"/>
          <w:szCs w:val="22"/>
        </w:rPr>
      </w:pPr>
    </w:p>
    <w:p w14:paraId="3D3950A6"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Glivec 100 mg kapsulas</w:t>
      </w:r>
    </w:p>
    <w:p w14:paraId="3D3950A7" w14:textId="77777777" w:rsidR="009F6C80" w:rsidRPr="00AC1BAD" w:rsidRDefault="001727D3" w:rsidP="009B4BB6">
      <w:pPr>
        <w:widowControl w:val="0"/>
        <w:tabs>
          <w:tab w:val="clear" w:pos="567"/>
        </w:tabs>
        <w:spacing w:line="240" w:lineRule="auto"/>
        <w:ind w:left="567" w:hanging="567"/>
        <w:rPr>
          <w:i/>
          <w:color w:val="000000"/>
          <w:szCs w:val="22"/>
        </w:rPr>
      </w:pPr>
      <w:r w:rsidRPr="00AC1BAD">
        <w:rPr>
          <w:i/>
          <w:color w:val="000000"/>
          <w:szCs w:val="22"/>
        </w:rPr>
        <w:t>i</w:t>
      </w:r>
      <w:r w:rsidR="009F6C80" w:rsidRPr="00AC1BAD">
        <w:rPr>
          <w:i/>
          <w:color w:val="000000"/>
          <w:szCs w:val="22"/>
        </w:rPr>
        <w:t>matinib</w:t>
      </w:r>
      <w:r w:rsidR="0072796A" w:rsidRPr="00AC1BAD">
        <w:rPr>
          <w:i/>
          <w:color w:val="000000"/>
          <w:szCs w:val="22"/>
        </w:rPr>
        <w:t>um</w:t>
      </w:r>
    </w:p>
    <w:p w14:paraId="3D3950A8" w14:textId="77777777" w:rsidR="009F6C80" w:rsidRPr="00CD729C" w:rsidRDefault="009F6C80" w:rsidP="009B4BB6">
      <w:pPr>
        <w:widowControl w:val="0"/>
        <w:tabs>
          <w:tab w:val="clear" w:pos="567"/>
        </w:tabs>
        <w:spacing w:line="240" w:lineRule="auto"/>
        <w:ind w:left="567" w:hanging="567"/>
        <w:rPr>
          <w:color w:val="000000"/>
          <w:szCs w:val="22"/>
        </w:rPr>
      </w:pPr>
    </w:p>
    <w:p w14:paraId="3D3950A9" w14:textId="77777777" w:rsidR="009F6C80" w:rsidRPr="00CD729C" w:rsidRDefault="009F6C80" w:rsidP="009B4BB6">
      <w:pPr>
        <w:widowControl w:val="0"/>
        <w:tabs>
          <w:tab w:val="clear" w:pos="567"/>
        </w:tabs>
        <w:spacing w:line="240" w:lineRule="auto"/>
        <w:ind w:left="567" w:hanging="567"/>
        <w:rPr>
          <w:color w:val="000000"/>
          <w:szCs w:val="22"/>
        </w:rPr>
      </w:pPr>
    </w:p>
    <w:p w14:paraId="3D3950AA"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2.</w:t>
      </w:r>
      <w:r w:rsidRPr="00CD729C">
        <w:rPr>
          <w:b/>
          <w:color w:val="000000"/>
          <w:szCs w:val="22"/>
        </w:rPr>
        <w:tab/>
        <w:t>REĢISTRĀCIJAS APLIECĪBAS ĪPAŠNIEKA NOSAUKUMS</w:t>
      </w:r>
    </w:p>
    <w:p w14:paraId="3D3950AB" w14:textId="77777777" w:rsidR="009F6C80" w:rsidRPr="00CD729C" w:rsidRDefault="009F6C80" w:rsidP="009B4BB6">
      <w:pPr>
        <w:widowControl w:val="0"/>
        <w:tabs>
          <w:tab w:val="clear" w:pos="567"/>
        </w:tabs>
        <w:spacing w:line="240" w:lineRule="auto"/>
        <w:ind w:left="567" w:hanging="567"/>
        <w:rPr>
          <w:color w:val="000000"/>
          <w:szCs w:val="22"/>
        </w:rPr>
      </w:pPr>
    </w:p>
    <w:p w14:paraId="3D3950AC"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Novartis Europharm Limited</w:t>
      </w:r>
    </w:p>
    <w:p w14:paraId="3D3950AD" w14:textId="77777777" w:rsidR="009F6C80" w:rsidRPr="00CD729C" w:rsidRDefault="009F6C80" w:rsidP="009B4BB6">
      <w:pPr>
        <w:widowControl w:val="0"/>
        <w:tabs>
          <w:tab w:val="clear" w:pos="567"/>
        </w:tabs>
        <w:spacing w:line="240" w:lineRule="auto"/>
        <w:ind w:left="567" w:hanging="567"/>
        <w:rPr>
          <w:color w:val="000000"/>
          <w:szCs w:val="22"/>
        </w:rPr>
      </w:pPr>
    </w:p>
    <w:p w14:paraId="3D3950AE" w14:textId="77777777" w:rsidR="009F6C80" w:rsidRPr="00CD729C" w:rsidRDefault="009F6C80" w:rsidP="009B4BB6">
      <w:pPr>
        <w:widowControl w:val="0"/>
        <w:tabs>
          <w:tab w:val="clear" w:pos="567"/>
        </w:tabs>
        <w:spacing w:line="240" w:lineRule="auto"/>
        <w:ind w:left="567" w:hanging="567"/>
        <w:rPr>
          <w:color w:val="000000"/>
          <w:szCs w:val="22"/>
        </w:rPr>
      </w:pPr>
    </w:p>
    <w:p w14:paraId="3D3950AF"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3.</w:t>
      </w:r>
      <w:r w:rsidRPr="00CD729C">
        <w:rPr>
          <w:b/>
          <w:color w:val="000000"/>
          <w:szCs w:val="22"/>
        </w:rPr>
        <w:tab/>
        <w:t>DERĪGUMA TERMIŅŠ</w:t>
      </w:r>
    </w:p>
    <w:p w14:paraId="3D3950B0" w14:textId="77777777" w:rsidR="009F6C80" w:rsidRPr="00CD729C" w:rsidRDefault="009F6C80" w:rsidP="009B4BB6">
      <w:pPr>
        <w:widowControl w:val="0"/>
        <w:tabs>
          <w:tab w:val="clear" w:pos="567"/>
        </w:tabs>
        <w:spacing w:line="240" w:lineRule="auto"/>
        <w:ind w:left="567" w:hanging="567"/>
        <w:rPr>
          <w:color w:val="000000"/>
          <w:szCs w:val="22"/>
        </w:rPr>
      </w:pPr>
    </w:p>
    <w:p w14:paraId="3D3950B1"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EXP</w:t>
      </w:r>
    </w:p>
    <w:p w14:paraId="3D3950B2" w14:textId="77777777" w:rsidR="009F6C80" w:rsidRPr="00CD729C" w:rsidRDefault="009F6C80" w:rsidP="009B4BB6">
      <w:pPr>
        <w:widowControl w:val="0"/>
        <w:tabs>
          <w:tab w:val="clear" w:pos="567"/>
        </w:tabs>
        <w:spacing w:line="240" w:lineRule="auto"/>
        <w:ind w:left="567" w:hanging="567"/>
        <w:rPr>
          <w:color w:val="000000"/>
          <w:szCs w:val="22"/>
        </w:rPr>
      </w:pPr>
    </w:p>
    <w:p w14:paraId="3D3950B3" w14:textId="77777777" w:rsidR="009F6C80" w:rsidRPr="00CD729C" w:rsidRDefault="009F6C80" w:rsidP="009B4BB6">
      <w:pPr>
        <w:widowControl w:val="0"/>
        <w:tabs>
          <w:tab w:val="clear" w:pos="567"/>
        </w:tabs>
        <w:spacing w:line="240" w:lineRule="auto"/>
        <w:ind w:left="567" w:hanging="567"/>
        <w:rPr>
          <w:color w:val="000000"/>
          <w:szCs w:val="22"/>
        </w:rPr>
      </w:pPr>
    </w:p>
    <w:p w14:paraId="3D3950B4"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4.</w:t>
      </w:r>
      <w:r w:rsidRPr="00CD729C">
        <w:rPr>
          <w:b/>
          <w:color w:val="000000"/>
          <w:szCs w:val="22"/>
        </w:rPr>
        <w:tab/>
        <w:t>SĒRIJAS NUMURS</w:t>
      </w:r>
    </w:p>
    <w:p w14:paraId="3D3950B5" w14:textId="77777777" w:rsidR="009F6C80" w:rsidRPr="00CD729C" w:rsidRDefault="009F6C80" w:rsidP="009B4BB6">
      <w:pPr>
        <w:widowControl w:val="0"/>
        <w:tabs>
          <w:tab w:val="clear" w:pos="567"/>
        </w:tabs>
        <w:spacing w:line="240" w:lineRule="auto"/>
        <w:ind w:left="567" w:hanging="567"/>
        <w:rPr>
          <w:color w:val="000000"/>
          <w:szCs w:val="22"/>
        </w:rPr>
      </w:pPr>
    </w:p>
    <w:p w14:paraId="3D3950B6" w14:textId="77777777" w:rsidR="009F6C80" w:rsidRPr="00CD729C" w:rsidRDefault="009F6C80" w:rsidP="009B4BB6">
      <w:pPr>
        <w:widowControl w:val="0"/>
        <w:tabs>
          <w:tab w:val="clear" w:pos="567"/>
        </w:tabs>
        <w:spacing w:line="240" w:lineRule="auto"/>
        <w:rPr>
          <w:color w:val="000000"/>
          <w:szCs w:val="22"/>
        </w:rPr>
      </w:pPr>
      <w:r w:rsidRPr="00CD729C">
        <w:rPr>
          <w:color w:val="000000"/>
          <w:szCs w:val="22"/>
        </w:rPr>
        <w:t>Lot</w:t>
      </w:r>
    </w:p>
    <w:p w14:paraId="3D3950B7" w14:textId="77777777" w:rsidR="009F6C80" w:rsidRPr="00CD729C" w:rsidRDefault="009F6C80" w:rsidP="009B4BB6">
      <w:pPr>
        <w:widowControl w:val="0"/>
        <w:tabs>
          <w:tab w:val="clear" w:pos="567"/>
        </w:tabs>
        <w:spacing w:line="240" w:lineRule="auto"/>
        <w:rPr>
          <w:color w:val="000000"/>
          <w:szCs w:val="22"/>
        </w:rPr>
      </w:pPr>
    </w:p>
    <w:p w14:paraId="3D3950B8" w14:textId="77777777" w:rsidR="009F6C80" w:rsidRPr="00CD729C" w:rsidRDefault="009F6C80" w:rsidP="009B4BB6">
      <w:pPr>
        <w:widowControl w:val="0"/>
        <w:tabs>
          <w:tab w:val="clear" w:pos="567"/>
        </w:tabs>
        <w:spacing w:line="240" w:lineRule="auto"/>
        <w:rPr>
          <w:color w:val="000000"/>
          <w:szCs w:val="22"/>
        </w:rPr>
      </w:pPr>
    </w:p>
    <w:p w14:paraId="3D3950B9"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rPr>
      </w:pPr>
      <w:r w:rsidRPr="00CD729C">
        <w:rPr>
          <w:b/>
        </w:rPr>
        <w:t>5.</w:t>
      </w:r>
      <w:r w:rsidRPr="00CD729C">
        <w:rPr>
          <w:b/>
        </w:rPr>
        <w:tab/>
        <w:t>CITA</w:t>
      </w:r>
    </w:p>
    <w:p w14:paraId="3D3950BA" w14:textId="77777777" w:rsidR="009F6C80" w:rsidRPr="00CD729C" w:rsidRDefault="009F6C80" w:rsidP="009B4BB6">
      <w:pPr>
        <w:widowControl w:val="0"/>
        <w:tabs>
          <w:tab w:val="clear" w:pos="567"/>
        </w:tabs>
        <w:spacing w:line="240" w:lineRule="auto"/>
        <w:ind w:left="567" w:hanging="567"/>
        <w:rPr>
          <w:color w:val="000000"/>
          <w:szCs w:val="22"/>
        </w:rPr>
      </w:pPr>
    </w:p>
    <w:p w14:paraId="3D3950BB" w14:textId="77777777" w:rsidR="009F6C80" w:rsidRPr="00CD729C" w:rsidRDefault="009F6C80" w:rsidP="009B4BB6">
      <w:pPr>
        <w:widowControl w:val="0"/>
        <w:tabs>
          <w:tab w:val="clear" w:pos="567"/>
        </w:tabs>
        <w:spacing w:line="240" w:lineRule="auto"/>
        <w:ind w:left="567" w:hanging="567"/>
        <w:rPr>
          <w:color w:val="000000"/>
          <w:szCs w:val="22"/>
        </w:rPr>
      </w:pPr>
      <w:r w:rsidRPr="00CD729C">
        <w:rPr>
          <w:b/>
          <w:color w:val="000000"/>
          <w:szCs w:val="22"/>
        </w:rPr>
        <w:br w:type="page"/>
      </w:r>
    </w:p>
    <w:p w14:paraId="3D3950BC" w14:textId="77777777" w:rsidR="00CC116F" w:rsidRPr="00CC116F" w:rsidRDefault="00CC116F" w:rsidP="00CC116F">
      <w:pPr>
        <w:widowControl w:val="0"/>
        <w:tabs>
          <w:tab w:val="clear" w:pos="567"/>
        </w:tabs>
        <w:spacing w:line="240" w:lineRule="auto"/>
        <w:ind w:left="567" w:hanging="567"/>
        <w:rPr>
          <w:color w:val="000000"/>
          <w:szCs w:val="22"/>
        </w:rPr>
      </w:pPr>
    </w:p>
    <w:p w14:paraId="3D3950BD"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CD729C">
        <w:rPr>
          <w:b/>
          <w:color w:val="000000"/>
          <w:szCs w:val="22"/>
        </w:rPr>
        <w:t>INFORMĀCIJA, KAS JĀNORĀDA UZ ĀRĒJĀ IEPAKOJUMA</w:t>
      </w:r>
    </w:p>
    <w:p w14:paraId="3D3950BE"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rPr>
      </w:pPr>
    </w:p>
    <w:p w14:paraId="3D3950BF"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spacing w:line="240" w:lineRule="auto"/>
        <w:ind w:left="567" w:hanging="567"/>
        <w:rPr>
          <w:b/>
          <w:color w:val="000000"/>
          <w:szCs w:val="22"/>
        </w:rPr>
      </w:pPr>
      <w:r w:rsidRPr="00CD729C">
        <w:rPr>
          <w:rStyle w:val="CommentReference"/>
          <w:b/>
          <w:color w:val="000000"/>
          <w:sz w:val="22"/>
          <w:szCs w:val="22"/>
        </w:rPr>
        <w:t>KĀRBA</w:t>
      </w:r>
    </w:p>
    <w:p w14:paraId="3D3950C0" w14:textId="77777777" w:rsidR="009F6C80" w:rsidRPr="00CD729C" w:rsidRDefault="009F6C80" w:rsidP="009B4BB6">
      <w:pPr>
        <w:widowControl w:val="0"/>
        <w:tabs>
          <w:tab w:val="clear" w:pos="567"/>
        </w:tabs>
        <w:spacing w:line="240" w:lineRule="auto"/>
        <w:ind w:left="567" w:hanging="567"/>
        <w:rPr>
          <w:color w:val="000000"/>
          <w:szCs w:val="22"/>
        </w:rPr>
      </w:pPr>
    </w:p>
    <w:p w14:paraId="3D3950C1" w14:textId="77777777" w:rsidR="009F6C80" w:rsidRPr="00CD729C" w:rsidRDefault="009F6C80" w:rsidP="009B4BB6">
      <w:pPr>
        <w:widowControl w:val="0"/>
        <w:tabs>
          <w:tab w:val="clear" w:pos="567"/>
        </w:tabs>
        <w:spacing w:line="240" w:lineRule="auto"/>
        <w:ind w:left="567" w:hanging="567"/>
        <w:rPr>
          <w:color w:val="000000"/>
          <w:szCs w:val="22"/>
        </w:rPr>
      </w:pPr>
    </w:p>
    <w:p w14:paraId="3D3950C2"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w:t>
      </w:r>
      <w:r w:rsidRPr="00CD729C">
        <w:rPr>
          <w:b/>
          <w:color w:val="000000"/>
          <w:szCs w:val="22"/>
        </w:rPr>
        <w:tab/>
        <w:t>ZĀĻU NOSAUKUMS</w:t>
      </w:r>
    </w:p>
    <w:p w14:paraId="3D3950C3" w14:textId="77777777" w:rsidR="009F6C80" w:rsidRPr="00CD729C" w:rsidRDefault="009F6C80" w:rsidP="009B4BB6">
      <w:pPr>
        <w:widowControl w:val="0"/>
        <w:tabs>
          <w:tab w:val="clear" w:pos="567"/>
        </w:tabs>
        <w:spacing w:line="240" w:lineRule="auto"/>
        <w:ind w:left="567" w:hanging="567"/>
        <w:rPr>
          <w:color w:val="000000"/>
          <w:szCs w:val="22"/>
        </w:rPr>
      </w:pPr>
    </w:p>
    <w:p w14:paraId="3D3950C4"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Glivec 100 mg apvalkotās tabletes</w:t>
      </w:r>
    </w:p>
    <w:p w14:paraId="3D3950C5" w14:textId="77777777" w:rsidR="009F6C80" w:rsidRPr="00AC1BAD" w:rsidRDefault="001727D3" w:rsidP="009B4BB6">
      <w:pPr>
        <w:widowControl w:val="0"/>
        <w:tabs>
          <w:tab w:val="clear" w:pos="567"/>
        </w:tabs>
        <w:spacing w:line="240" w:lineRule="auto"/>
        <w:ind w:left="567" w:hanging="567"/>
        <w:rPr>
          <w:i/>
          <w:color w:val="000000"/>
          <w:szCs w:val="22"/>
        </w:rPr>
      </w:pPr>
      <w:r w:rsidRPr="00AC1BAD">
        <w:rPr>
          <w:i/>
          <w:color w:val="000000"/>
          <w:szCs w:val="22"/>
        </w:rPr>
        <w:t>i</w:t>
      </w:r>
      <w:r w:rsidR="009F6C80" w:rsidRPr="00AC1BAD">
        <w:rPr>
          <w:i/>
          <w:color w:val="000000"/>
          <w:szCs w:val="22"/>
        </w:rPr>
        <w:t>matinib</w:t>
      </w:r>
      <w:r w:rsidR="0072796A" w:rsidRPr="00AC1BAD">
        <w:rPr>
          <w:i/>
          <w:color w:val="000000"/>
          <w:szCs w:val="22"/>
        </w:rPr>
        <w:t>um</w:t>
      </w:r>
    </w:p>
    <w:p w14:paraId="3D3950C6" w14:textId="77777777" w:rsidR="009F6C80" w:rsidRPr="00CD729C" w:rsidRDefault="009F6C80" w:rsidP="009B4BB6">
      <w:pPr>
        <w:widowControl w:val="0"/>
        <w:tabs>
          <w:tab w:val="clear" w:pos="567"/>
        </w:tabs>
        <w:spacing w:line="240" w:lineRule="auto"/>
        <w:ind w:left="567" w:hanging="567"/>
        <w:rPr>
          <w:color w:val="000000"/>
          <w:szCs w:val="22"/>
        </w:rPr>
      </w:pPr>
    </w:p>
    <w:p w14:paraId="3D3950C7" w14:textId="77777777" w:rsidR="009F6C80" w:rsidRPr="00CD729C" w:rsidRDefault="009F6C80" w:rsidP="009B4BB6">
      <w:pPr>
        <w:widowControl w:val="0"/>
        <w:tabs>
          <w:tab w:val="clear" w:pos="567"/>
        </w:tabs>
        <w:spacing w:line="240" w:lineRule="auto"/>
        <w:ind w:left="567" w:hanging="567"/>
        <w:rPr>
          <w:color w:val="000000"/>
          <w:szCs w:val="22"/>
        </w:rPr>
      </w:pPr>
    </w:p>
    <w:p w14:paraId="3D3950C8"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2.</w:t>
      </w:r>
      <w:r w:rsidRPr="00CD729C">
        <w:rPr>
          <w:b/>
          <w:color w:val="000000"/>
          <w:szCs w:val="22"/>
        </w:rPr>
        <w:tab/>
        <w:t>AKTĪVĀS(</w:t>
      </w:r>
      <w:r w:rsidR="0097555D" w:rsidRPr="00CD729C">
        <w:rPr>
          <w:b/>
          <w:color w:val="000000"/>
          <w:szCs w:val="22"/>
        </w:rPr>
        <w:t>-</w:t>
      </w:r>
      <w:r w:rsidRPr="00CD729C">
        <w:rPr>
          <w:b/>
          <w:color w:val="000000"/>
          <w:szCs w:val="22"/>
        </w:rPr>
        <w:t>O) VIELAS(</w:t>
      </w:r>
      <w:r w:rsidR="0097555D" w:rsidRPr="00CD729C">
        <w:rPr>
          <w:b/>
          <w:color w:val="000000"/>
          <w:szCs w:val="22"/>
        </w:rPr>
        <w:t>-</w:t>
      </w:r>
      <w:r w:rsidRPr="00CD729C">
        <w:rPr>
          <w:b/>
          <w:color w:val="000000"/>
          <w:szCs w:val="22"/>
        </w:rPr>
        <w:t>U) NOSAUKUMS(</w:t>
      </w:r>
      <w:r w:rsidR="0097555D" w:rsidRPr="00CD729C">
        <w:rPr>
          <w:b/>
          <w:color w:val="000000"/>
          <w:szCs w:val="22"/>
        </w:rPr>
        <w:t>-</w:t>
      </w:r>
      <w:r w:rsidRPr="00CD729C">
        <w:rPr>
          <w:b/>
          <w:color w:val="000000"/>
          <w:szCs w:val="22"/>
        </w:rPr>
        <w:t>I)</w:t>
      </w:r>
      <w:r w:rsidRPr="00CD729C">
        <w:rPr>
          <w:b/>
        </w:rPr>
        <w:t xml:space="preserve"> UN DAUDZUMS(</w:t>
      </w:r>
      <w:r w:rsidR="0097555D" w:rsidRPr="00CD729C">
        <w:rPr>
          <w:b/>
        </w:rPr>
        <w:t>-</w:t>
      </w:r>
      <w:r w:rsidRPr="00CD729C">
        <w:rPr>
          <w:b/>
        </w:rPr>
        <w:t>I)</w:t>
      </w:r>
    </w:p>
    <w:p w14:paraId="3D3950C9" w14:textId="77777777" w:rsidR="009F6C80" w:rsidRPr="00CD729C" w:rsidRDefault="009F6C80" w:rsidP="009B4BB6">
      <w:pPr>
        <w:widowControl w:val="0"/>
        <w:tabs>
          <w:tab w:val="clear" w:pos="567"/>
        </w:tabs>
        <w:spacing w:line="240" w:lineRule="auto"/>
        <w:ind w:left="567" w:hanging="567"/>
        <w:rPr>
          <w:color w:val="000000"/>
          <w:szCs w:val="22"/>
        </w:rPr>
      </w:pPr>
    </w:p>
    <w:p w14:paraId="3D3950CA"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Viena apvalkotā tablete satur 100 mg imatiniba (me</w:t>
      </w:r>
      <w:r w:rsidR="0072796A">
        <w:rPr>
          <w:color w:val="000000"/>
          <w:szCs w:val="22"/>
        </w:rPr>
        <w:t>s</w:t>
      </w:r>
      <w:r w:rsidRPr="00CD729C">
        <w:rPr>
          <w:color w:val="000000"/>
          <w:szCs w:val="22"/>
        </w:rPr>
        <w:t>ilāta formā).</w:t>
      </w:r>
    </w:p>
    <w:p w14:paraId="3D3950CB" w14:textId="77777777" w:rsidR="009F6C80" w:rsidRPr="00CD729C" w:rsidRDefault="009F6C80" w:rsidP="009B4BB6">
      <w:pPr>
        <w:widowControl w:val="0"/>
        <w:tabs>
          <w:tab w:val="clear" w:pos="567"/>
        </w:tabs>
        <w:spacing w:line="240" w:lineRule="auto"/>
        <w:ind w:left="567" w:hanging="567"/>
        <w:rPr>
          <w:color w:val="000000"/>
          <w:szCs w:val="22"/>
        </w:rPr>
      </w:pPr>
    </w:p>
    <w:p w14:paraId="3D3950CC" w14:textId="77777777" w:rsidR="009F6C80" w:rsidRPr="00CD729C" w:rsidRDefault="009F6C80" w:rsidP="009B4BB6">
      <w:pPr>
        <w:widowControl w:val="0"/>
        <w:tabs>
          <w:tab w:val="clear" w:pos="567"/>
        </w:tabs>
        <w:spacing w:line="240" w:lineRule="auto"/>
        <w:ind w:left="567" w:hanging="567"/>
        <w:rPr>
          <w:color w:val="000000"/>
          <w:szCs w:val="22"/>
        </w:rPr>
      </w:pPr>
    </w:p>
    <w:p w14:paraId="3D3950CD"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3.</w:t>
      </w:r>
      <w:r w:rsidRPr="00CD729C">
        <w:rPr>
          <w:b/>
          <w:color w:val="000000"/>
          <w:szCs w:val="22"/>
        </w:rPr>
        <w:tab/>
        <w:t>PALĪGVIELU SARAKSTS</w:t>
      </w:r>
    </w:p>
    <w:p w14:paraId="3D3950CE" w14:textId="77777777" w:rsidR="009F6C80" w:rsidRPr="00CD729C" w:rsidRDefault="009F6C80" w:rsidP="009B4BB6">
      <w:pPr>
        <w:widowControl w:val="0"/>
        <w:tabs>
          <w:tab w:val="clear" w:pos="567"/>
        </w:tabs>
        <w:spacing w:line="240" w:lineRule="auto"/>
        <w:ind w:left="567" w:hanging="567"/>
        <w:rPr>
          <w:color w:val="000000"/>
          <w:szCs w:val="22"/>
        </w:rPr>
      </w:pPr>
    </w:p>
    <w:p w14:paraId="3D3950CF" w14:textId="77777777" w:rsidR="009F6C80" w:rsidRPr="00CD729C" w:rsidRDefault="009F6C80" w:rsidP="009B4BB6">
      <w:pPr>
        <w:widowControl w:val="0"/>
        <w:tabs>
          <w:tab w:val="clear" w:pos="567"/>
        </w:tabs>
        <w:spacing w:line="240" w:lineRule="auto"/>
        <w:ind w:left="567" w:hanging="567"/>
        <w:rPr>
          <w:color w:val="000000"/>
          <w:szCs w:val="22"/>
        </w:rPr>
      </w:pPr>
    </w:p>
    <w:p w14:paraId="3D3950D0"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4.</w:t>
      </w:r>
      <w:r w:rsidRPr="00CD729C">
        <w:rPr>
          <w:b/>
          <w:color w:val="000000"/>
          <w:szCs w:val="22"/>
        </w:rPr>
        <w:tab/>
        <w:t>ZĀĻU FORMA UN SATURS</w:t>
      </w:r>
    </w:p>
    <w:p w14:paraId="3D3950D1" w14:textId="77777777" w:rsidR="009F6C80" w:rsidRPr="00CD729C" w:rsidRDefault="009F6C80" w:rsidP="009B4BB6">
      <w:pPr>
        <w:widowControl w:val="0"/>
        <w:tabs>
          <w:tab w:val="clear" w:pos="567"/>
        </w:tabs>
        <w:spacing w:line="240" w:lineRule="auto"/>
        <w:ind w:left="567" w:hanging="567"/>
        <w:rPr>
          <w:color w:val="000000"/>
          <w:szCs w:val="22"/>
        </w:rPr>
      </w:pPr>
    </w:p>
    <w:p w14:paraId="3D3950D2" w14:textId="77777777" w:rsidR="009F6C80" w:rsidRPr="00CD729C" w:rsidRDefault="009F6C80" w:rsidP="009B4BB6">
      <w:pPr>
        <w:widowControl w:val="0"/>
        <w:tabs>
          <w:tab w:val="clear" w:pos="567"/>
        </w:tabs>
        <w:spacing w:line="240" w:lineRule="auto"/>
        <w:ind w:left="567" w:hanging="567"/>
        <w:rPr>
          <w:color w:val="000000"/>
          <w:szCs w:val="22"/>
        </w:rPr>
      </w:pPr>
      <w:r w:rsidRPr="00C0385D">
        <w:rPr>
          <w:color w:val="000000"/>
          <w:szCs w:val="22"/>
        </w:rPr>
        <w:t>20 apvalkotās tabletes</w:t>
      </w:r>
    </w:p>
    <w:p w14:paraId="3D3950D3" w14:textId="77777777" w:rsidR="009F6C80" w:rsidRPr="00CD729C" w:rsidRDefault="009F6C80" w:rsidP="009B4BB6">
      <w:pPr>
        <w:widowControl w:val="0"/>
        <w:tabs>
          <w:tab w:val="clear" w:pos="567"/>
        </w:tabs>
        <w:spacing w:line="240" w:lineRule="auto"/>
        <w:ind w:left="567" w:hanging="567"/>
        <w:rPr>
          <w:color w:val="000000"/>
          <w:szCs w:val="22"/>
          <w:shd w:val="clear" w:color="auto" w:fill="D9D9D9"/>
        </w:rPr>
      </w:pPr>
      <w:r w:rsidRPr="00CD729C">
        <w:rPr>
          <w:color w:val="000000"/>
          <w:szCs w:val="22"/>
          <w:shd w:val="clear" w:color="auto" w:fill="D9D9D9"/>
        </w:rPr>
        <w:t>60 apvalkotās tabletes</w:t>
      </w:r>
    </w:p>
    <w:p w14:paraId="3D3950D4" w14:textId="77777777" w:rsidR="009F6C80" w:rsidRPr="00CD729C" w:rsidRDefault="009F6C80" w:rsidP="009B4BB6">
      <w:pPr>
        <w:widowControl w:val="0"/>
        <w:tabs>
          <w:tab w:val="clear" w:pos="567"/>
        </w:tabs>
        <w:spacing w:line="240" w:lineRule="auto"/>
        <w:ind w:left="567" w:hanging="567"/>
        <w:rPr>
          <w:color w:val="000000"/>
          <w:szCs w:val="22"/>
          <w:shd w:val="clear" w:color="auto" w:fill="D9D9D9"/>
        </w:rPr>
      </w:pPr>
      <w:r w:rsidRPr="00CD729C">
        <w:rPr>
          <w:color w:val="000000"/>
          <w:szCs w:val="22"/>
          <w:shd w:val="clear" w:color="auto" w:fill="D9D9D9"/>
        </w:rPr>
        <w:t>120 apvalkotās tabletes</w:t>
      </w:r>
    </w:p>
    <w:p w14:paraId="3D3950D5" w14:textId="77777777" w:rsidR="009F6C80" w:rsidRPr="00CD729C" w:rsidRDefault="009F6C80" w:rsidP="009B4BB6">
      <w:pPr>
        <w:widowControl w:val="0"/>
        <w:tabs>
          <w:tab w:val="clear" w:pos="567"/>
        </w:tabs>
        <w:spacing w:line="240" w:lineRule="auto"/>
        <w:ind w:left="567" w:hanging="567"/>
        <w:rPr>
          <w:color w:val="000000"/>
          <w:szCs w:val="22"/>
          <w:shd w:val="clear" w:color="auto" w:fill="D9D9D9"/>
        </w:rPr>
      </w:pPr>
      <w:r w:rsidRPr="00CD729C">
        <w:rPr>
          <w:color w:val="000000"/>
          <w:szCs w:val="22"/>
          <w:shd w:val="clear" w:color="auto" w:fill="D9D9D9"/>
        </w:rPr>
        <w:t>180 apvalkotās tabletes</w:t>
      </w:r>
    </w:p>
    <w:p w14:paraId="3D3950D6" w14:textId="77777777" w:rsidR="009F6C80" w:rsidRPr="00CD729C" w:rsidRDefault="009F6C80" w:rsidP="009B4BB6">
      <w:pPr>
        <w:widowControl w:val="0"/>
        <w:tabs>
          <w:tab w:val="clear" w:pos="567"/>
        </w:tabs>
        <w:spacing w:line="240" w:lineRule="auto"/>
        <w:ind w:left="567" w:hanging="567"/>
        <w:rPr>
          <w:color w:val="000000"/>
          <w:szCs w:val="22"/>
        </w:rPr>
      </w:pPr>
    </w:p>
    <w:p w14:paraId="3D3950D7" w14:textId="77777777" w:rsidR="009F6C80" w:rsidRPr="00CD729C" w:rsidRDefault="009F6C80" w:rsidP="009B4BB6">
      <w:pPr>
        <w:widowControl w:val="0"/>
        <w:tabs>
          <w:tab w:val="clear" w:pos="567"/>
        </w:tabs>
        <w:spacing w:line="240" w:lineRule="auto"/>
        <w:ind w:left="567" w:hanging="567"/>
        <w:rPr>
          <w:color w:val="000000"/>
          <w:szCs w:val="22"/>
        </w:rPr>
      </w:pPr>
    </w:p>
    <w:p w14:paraId="3D3950D8"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5.</w:t>
      </w:r>
      <w:r w:rsidRPr="00CD729C">
        <w:rPr>
          <w:b/>
          <w:color w:val="000000"/>
          <w:szCs w:val="22"/>
        </w:rPr>
        <w:tab/>
        <w:t>LIETOŠANAS UN IEVADĪŠANAS VEIDS</w:t>
      </w:r>
      <w:r w:rsidR="0097555D" w:rsidRPr="00CD729C">
        <w:rPr>
          <w:b/>
          <w:color w:val="000000"/>
          <w:szCs w:val="22"/>
        </w:rPr>
        <w:t>(-I)</w:t>
      </w:r>
    </w:p>
    <w:p w14:paraId="3D3950D9" w14:textId="77777777" w:rsidR="009F6C80" w:rsidRPr="00CD729C" w:rsidRDefault="009F6C80" w:rsidP="009B4BB6">
      <w:pPr>
        <w:widowControl w:val="0"/>
        <w:tabs>
          <w:tab w:val="clear" w:pos="567"/>
        </w:tabs>
        <w:spacing w:line="240" w:lineRule="auto"/>
        <w:ind w:left="567" w:hanging="567"/>
        <w:rPr>
          <w:color w:val="000000"/>
          <w:szCs w:val="22"/>
        </w:rPr>
      </w:pPr>
    </w:p>
    <w:p w14:paraId="3D3950DA"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Iekšķīgai lietošanai. Pirms lietošanas izlasiet lietošanas instrukciju.</w:t>
      </w:r>
    </w:p>
    <w:p w14:paraId="3D3950DB" w14:textId="77777777" w:rsidR="009F6C80" w:rsidRPr="00CD729C" w:rsidRDefault="009F6C80" w:rsidP="009B4BB6">
      <w:pPr>
        <w:widowControl w:val="0"/>
        <w:tabs>
          <w:tab w:val="clear" w:pos="567"/>
        </w:tabs>
        <w:spacing w:line="240" w:lineRule="auto"/>
        <w:ind w:left="567" w:hanging="567"/>
        <w:rPr>
          <w:color w:val="000000"/>
          <w:szCs w:val="22"/>
        </w:rPr>
      </w:pPr>
    </w:p>
    <w:p w14:paraId="3D3950DC" w14:textId="77777777" w:rsidR="009F6C80" w:rsidRPr="00CD729C" w:rsidRDefault="009F6C80" w:rsidP="009B4BB6">
      <w:pPr>
        <w:widowControl w:val="0"/>
        <w:tabs>
          <w:tab w:val="clear" w:pos="567"/>
        </w:tabs>
        <w:spacing w:line="240" w:lineRule="auto"/>
        <w:ind w:left="567" w:hanging="567"/>
        <w:rPr>
          <w:color w:val="000000"/>
          <w:szCs w:val="22"/>
        </w:rPr>
      </w:pPr>
    </w:p>
    <w:p w14:paraId="3D3950DD"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6.</w:t>
      </w:r>
      <w:r w:rsidRPr="00CD729C">
        <w:rPr>
          <w:b/>
          <w:color w:val="000000"/>
          <w:szCs w:val="22"/>
        </w:rPr>
        <w:tab/>
        <w:t xml:space="preserve">ĪPAŠI BRĪDINĀJUMI PAR ZĀĻU UZGLABĀŠANU BĒRNIEM </w:t>
      </w:r>
      <w:r w:rsidR="0097555D" w:rsidRPr="00CD729C">
        <w:rPr>
          <w:b/>
          <w:color w:val="000000"/>
          <w:szCs w:val="22"/>
        </w:rPr>
        <w:t xml:space="preserve">NEREDZAMĀ UN </w:t>
      </w:r>
      <w:r w:rsidRPr="00CD729C">
        <w:rPr>
          <w:b/>
          <w:color w:val="000000"/>
          <w:szCs w:val="22"/>
        </w:rPr>
        <w:t>NEPIEEJAMĀ VIETĀ</w:t>
      </w:r>
    </w:p>
    <w:p w14:paraId="3D3950DE" w14:textId="77777777" w:rsidR="009F6C80" w:rsidRPr="00CD729C" w:rsidRDefault="009F6C80" w:rsidP="009B4BB6">
      <w:pPr>
        <w:widowControl w:val="0"/>
        <w:tabs>
          <w:tab w:val="clear" w:pos="567"/>
        </w:tabs>
        <w:spacing w:line="240" w:lineRule="auto"/>
        <w:ind w:left="567" w:hanging="567"/>
        <w:rPr>
          <w:color w:val="000000"/>
          <w:szCs w:val="22"/>
        </w:rPr>
      </w:pPr>
    </w:p>
    <w:p w14:paraId="3D3950DF"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 xml:space="preserve">Uzglabāt bērniem </w:t>
      </w:r>
      <w:r w:rsidR="0097555D" w:rsidRPr="00CD729C">
        <w:rPr>
          <w:szCs w:val="22"/>
        </w:rPr>
        <w:t xml:space="preserve">neredzamā un </w:t>
      </w:r>
      <w:r w:rsidRPr="00CD729C">
        <w:rPr>
          <w:color w:val="000000"/>
          <w:szCs w:val="22"/>
        </w:rPr>
        <w:t>nepieejamā vietā.</w:t>
      </w:r>
    </w:p>
    <w:p w14:paraId="3D3950E0" w14:textId="77777777" w:rsidR="009F6C80" w:rsidRPr="00CD729C" w:rsidRDefault="009F6C80" w:rsidP="009B4BB6">
      <w:pPr>
        <w:widowControl w:val="0"/>
        <w:tabs>
          <w:tab w:val="clear" w:pos="567"/>
        </w:tabs>
        <w:spacing w:line="240" w:lineRule="auto"/>
        <w:ind w:left="567" w:hanging="567"/>
        <w:rPr>
          <w:color w:val="000000"/>
          <w:szCs w:val="22"/>
        </w:rPr>
      </w:pPr>
    </w:p>
    <w:p w14:paraId="3D3950E1" w14:textId="77777777" w:rsidR="009F6C80" w:rsidRPr="00CD729C" w:rsidRDefault="009F6C80" w:rsidP="009B4BB6">
      <w:pPr>
        <w:widowControl w:val="0"/>
        <w:tabs>
          <w:tab w:val="clear" w:pos="567"/>
        </w:tabs>
        <w:spacing w:line="240" w:lineRule="auto"/>
        <w:ind w:left="567" w:hanging="567"/>
        <w:rPr>
          <w:color w:val="000000"/>
          <w:szCs w:val="22"/>
        </w:rPr>
      </w:pPr>
    </w:p>
    <w:p w14:paraId="3D3950E2"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7.</w:t>
      </w:r>
      <w:r w:rsidRPr="00CD729C">
        <w:rPr>
          <w:b/>
          <w:color w:val="000000"/>
          <w:szCs w:val="22"/>
        </w:rPr>
        <w:tab/>
        <w:t>CITI ĪPAŠI BRĪDINĀJUMI, JA NEPIECIEŠAMS</w:t>
      </w:r>
    </w:p>
    <w:p w14:paraId="3D3950E3" w14:textId="77777777" w:rsidR="009F6C80" w:rsidRPr="00CD729C" w:rsidRDefault="009F6C80" w:rsidP="009B4BB6">
      <w:pPr>
        <w:widowControl w:val="0"/>
        <w:tabs>
          <w:tab w:val="clear" w:pos="567"/>
        </w:tabs>
        <w:spacing w:line="240" w:lineRule="auto"/>
        <w:ind w:left="567" w:hanging="567"/>
        <w:rPr>
          <w:color w:val="000000"/>
          <w:szCs w:val="22"/>
        </w:rPr>
      </w:pPr>
    </w:p>
    <w:p w14:paraId="3D3950E4"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Lietot tikai tā, kā noteicis ārsts.</w:t>
      </w:r>
    </w:p>
    <w:p w14:paraId="3D3950E5" w14:textId="77777777" w:rsidR="009F6C80" w:rsidRPr="00CD729C" w:rsidRDefault="009F6C80" w:rsidP="009B4BB6">
      <w:pPr>
        <w:widowControl w:val="0"/>
        <w:tabs>
          <w:tab w:val="clear" w:pos="567"/>
        </w:tabs>
        <w:spacing w:line="240" w:lineRule="auto"/>
        <w:ind w:left="567" w:hanging="567"/>
        <w:rPr>
          <w:color w:val="000000"/>
          <w:szCs w:val="22"/>
        </w:rPr>
      </w:pPr>
    </w:p>
    <w:p w14:paraId="3D3950E6" w14:textId="77777777" w:rsidR="009F6C80" w:rsidRPr="00CD729C" w:rsidRDefault="009F6C80" w:rsidP="009B4BB6">
      <w:pPr>
        <w:widowControl w:val="0"/>
        <w:tabs>
          <w:tab w:val="clear" w:pos="567"/>
        </w:tabs>
        <w:spacing w:line="240" w:lineRule="auto"/>
        <w:ind w:left="567" w:hanging="567"/>
        <w:rPr>
          <w:color w:val="000000"/>
          <w:szCs w:val="22"/>
        </w:rPr>
      </w:pPr>
    </w:p>
    <w:p w14:paraId="3D3950E7"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8.</w:t>
      </w:r>
      <w:r w:rsidRPr="00CD729C">
        <w:rPr>
          <w:b/>
          <w:color w:val="000000"/>
          <w:szCs w:val="22"/>
        </w:rPr>
        <w:tab/>
        <w:t>DERĪGUMA TERMIŅŠ</w:t>
      </w:r>
    </w:p>
    <w:p w14:paraId="3D3950E8" w14:textId="77777777" w:rsidR="009F6C80" w:rsidRPr="00CD729C" w:rsidRDefault="009F6C80" w:rsidP="009B4BB6">
      <w:pPr>
        <w:widowControl w:val="0"/>
        <w:tabs>
          <w:tab w:val="clear" w:pos="567"/>
        </w:tabs>
        <w:spacing w:line="240" w:lineRule="auto"/>
        <w:ind w:left="567" w:hanging="567"/>
        <w:rPr>
          <w:color w:val="000000"/>
          <w:szCs w:val="22"/>
        </w:rPr>
      </w:pPr>
    </w:p>
    <w:p w14:paraId="3D3950E9" w14:textId="77777777" w:rsidR="009F6C80" w:rsidRPr="00CD729C" w:rsidRDefault="00275CCD" w:rsidP="009B4BB6">
      <w:pPr>
        <w:widowControl w:val="0"/>
        <w:tabs>
          <w:tab w:val="clear" w:pos="567"/>
        </w:tabs>
        <w:spacing w:line="240" w:lineRule="auto"/>
        <w:ind w:left="567" w:hanging="567"/>
        <w:rPr>
          <w:color w:val="000000"/>
          <w:szCs w:val="22"/>
        </w:rPr>
      </w:pPr>
      <w:r>
        <w:rPr>
          <w:color w:val="000000"/>
          <w:szCs w:val="22"/>
        </w:rPr>
        <w:t>EXP</w:t>
      </w:r>
    </w:p>
    <w:p w14:paraId="3D3950EA" w14:textId="77777777" w:rsidR="009F6C80" w:rsidRPr="00CD729C" w:rsidRDefault="009F6C80" w:rsidP="009B4BB6">
      <w:pPr>
        <w:widowControl w:val="0"/>
        <w:tabs>
          <w:tab w:val="clear" w:pos="567"/>
        </w:tabs>
        <w:spacing w:line="240" w:lineRule="auto"/>
        <w:ind w:left="567" w:hanging="567"/>
        <w:rPr>
          <w:color w:val="000000"/>
          <w:szCs w:val="22"/>
        </w:rPr>
      </w:pPr>
    </w:p>
    <w:p w14:paraId="3D3950EB" w14:textId="77777777" w:rsidR="009F6C80" w:rsidRPr="00CD729C" w:rsidRDefault="009F6C80" w:rsidP="009B4BB6">
      <w:pPr>
        <w:widowControl w:val="0"/>
        <w:tabs>
          <w:tab w:val="clear" w:pos="567"/>
        </w:tabs>
        <w:spacing w:line="240" w:lineRule="auto"/>
        <w:ind w:left="567" w:hanging="567"/>
        <w:rPr>
          <w:color w:val="000000"/>
          <w:szCs w:val="22"/>
        </w:rPr>
      </w:pPr>
    </w:p>
    <w:p w14:paraId="3D3950EC" w14:textId="77777777" w:rsidR="009F6C80" w:rsidRPr="00CD729C" w:rsidRDefault="009F6C80" w:rsidP="009B4BB6">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rPr>
      </w:pPr>
      <w:r w:rsidRPr="00CD729C">
        <w:rPr>
          <w:b/>
          <w:color w:val="000000"/>
          <w:szCs w:val="22"/>
        </w:rPr>
        <w:t>9.</w:t>
      </w:r>
      <w:r w:rsidRPr="00CD729C">
        <w:rPr>
          <w:b/>
          <w:color w:val="000000"/>
          <w:szCs w:val="22"/>
        </w:rPr>
        <w:tab/>
        <w:t>ĪPAŠI UZGLABĀŠANAS NOSACĪJUMI</w:t>
      </w:r>
    </w:p>
    <w:p w14:paraId="3D3950ED" w14:textId="77777777" w:rsidR="009F6C80" w:rsidRPr="00CD729C" w:rsidRDefault="009F6C80" w:rsidP="009B4BB6">
      <w:pPr>
        <w:keepNext/>
        <w:keepLines/>
        <w:widowControl w:val="0"/>
        <w:tabs>
          <w:tab w:val="clear" w:pos="567"/>
        </w:tabs>
        <w:spacing w:line="240" w:lineRule="auto"/>
        <w:ind w:left="567" w:hanging="567"/>
        <w:rPr>
          <w:color w:val="000000"/>
          <w:szCs w:val="22"/>
        </w:rPr>
      </w:pPr>
    </w:p>
    <w:p w14:paraId="3D3950EE" w14:textId="77777777" w:rsidR="009F6C80" w:rsidRPr="00CD729C" w:rsidRDefault="009F6C80" w:rsidP="009B4BB6">
      <w:pPr>
        <w:keepNext/>
        <w:keepLines/>
        <w:widowControl w:val="0"/>
        <w:tabs>
          <w:tab w:val="clear" w:pos="567"/>
        </w:tabs>
        <w:spacing w:line="240" w:lineRule="auto"/>
        <w:ind w:left="567" w:hanging="567"/>
        <w:rPr>
          <w:color w:val="000000"/>
          <w:szCs w:val="22"/>
        </w:rPr>
      </w:pPr>
      <w:r w:rsidRPr="00CD729C">
        <w:rPr>
          <w:color w:val="000000"/>
          <w:szCs w:val="22"/>
        </w:rPr>
        <w:t>Uzglabāt temperatūrā līdz 30</w:t>
      </w:r>
      <w:r w:rsidRPr="00CD729C">
        <w:rPr>
          <w:color w:val="000000"/>
          <w:szCs w:val="22"/>
        </w:rPr>
        <w:sym w:font="Symbol" w:char="F0B0"/>
      </w:r>
      <w:r w:rsidRPr="00CD729C">
        <w:rPr>
          <w:color w:val="000000"/>
          <w:szCs w:val="22"/>
        </w:rPr>
        <w:t>C. Uzglabāt oriģinālā iepakojumā</w:t>
      </w:r>
      <w:r w:rsidR="0072796A">
        <w:rPr>
          <w:color w:val="000000"/>
          <w:szCs w:val="22"/>
        </w:rPr>
        <w:t>, lai pas</w:t>
      </w:r>
      <w:r w:rsidRPr="00CD729C">
        <w:rPr>
          <w:color w:val="000000"/>
          <w:szCs w:val="22"/>
        </w:rPr>
        <w:t>argāt</w:t>
      </w:r>
      <w:r w:rsidR="0072796A">
        <w:rPr>
          <w:color w:val="000000"/>
          <w:szCs w:val="22"/>
        </w:rPr>
        <w:t>u</w:t>
      </w:r>
      <w:r w:rsidRPr="00CD729C">
        <w:rPr>
          <w:color w:val="000000"/>
          <w:szCs w:val="22"/>
        </w:rPr>
        <w:t xml:space="preserve"> no mitruma.</w:t>
      </w:r>
    </w:p>
    <w:p w14:paraId="3D3950EF" w14:textId="77777777" w:rsidR="009F6C80" w:rsidRPr="00CD729C" w:rsidRDefault="009F6C80" w:rsidP="009B4BB6">
      <w:pPr>
        <w:widowControl w:val="0"/>
        <w:tabs>
          <w:tab w:val="clear" w:pos="567"/>
        </w:tabs>
        <w:spacing w:line="240" w:lineRule="auto"/>
        <w:ind w:left="567" w:hanging="567"/>
        <w:rPr>
          <w:color w:val="000000"/>
          <w:szCs w:val="22"/>
        </w:rPr>
      </w:pPr>
    </w:p>
    <w:p w14:paraId="3D3950F0" w14:textId="77777777" w:rsidR="009F6C80" w:rsidRPr="00CD729C" w:rsidRDefault="009F6C80" w:rsidP="009B4BB6">
      <w:pPr>
        <w:widowControl w:val="0"/>
        <w:tabs>
          <w:tab w:val="clear" w:pos="567"/>
        </w:tabs>
        <w:spacing w:line="240" w:lineRule="auto"/>
        <w:ind w:left="567" w:hanging="567"/>
        <w:rPr>
          <w:color w:val="000000"/>
          <w:szCs w:val="22"/>
        </w:rPr>
      </w:pPr>
    </w:p>
    <w:p w14:paraId="3D3950F1" w14:textId="77777777" w:rsidR="009F6C80" w:rsidRPr="00CD729C" w:rsidRDefault="009F6C80" w:rsidP="009B4BB6">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10.</w:t>
      </w:r>
      <w:r w:rsidRPr="00CD729C">
        <w:rPr>
          <w:b/>
          <w:color w:val="000000"/>
          <w:szCs w:val="22"/>
        </w:rPr>
        <w:tab/>
        <w:t>ĪPAŠI PIESARDZĪBAS PASĀKUMI, IZNĪCINOT NEIZLIETOTĀS ZĀLES VAI IZMANTOTOS MATERIĀLUS, KAS BIJUŠI SASKARĒ AR ŠĪM ZĀLĒM</w:t>
      </w:r>
      <w:r w:rsidR="0097555D" w:rsidRPr="00CD729C">
        <w:rPr>
          <w:b/>
          <w:color w:val="000000"/>
          <w:szCs w:val="22"/>
        </w:rPr>
        <w:t>,</w:t>
      </w:r>
      <w:r w:rsidRPr="00CD729C">
        <w:rPr>
          <w:b/>
          <w:color w:val="000000"/>
          <w:szCs w:val="22"/>
        </w:rPr>
        <w:t xml:space="preserve"> JA PIEMĒROJAMS</w:t>
      </w:r>
    </w:p>
    <w:p w14:paraId="3D3950F2" w14:textId="77777777" w:rsidR="009F6C80" w:rsidRPr="00CD729C" w:rsidRDefault="009F6C80" w:rsidP="009B4BB6">
      <w:pPr>
        <w:keepNext/>
        <w:keepLines/>
        <w:widowControl w:val="0"/>
        <w:tabs>
          <w:tab w:val="clear" w:pos="567"/>
        </w:tabs>
        <w:spacing w:line="240" w:lineRule="auto"/>
        <w:ind w:left="567" w:hanging="567"/>
        <w:rPr>
          <w:color w:val="000000"/>
          <w:szCs w:val="22"/>
        </w:rPr>
      </w:pPr>
    </w:p>
    <w:p w14:paraId="3D3950F3" w14:textId="77777777" w:rsidR="009F6C80" w:rsidRPr="00CD729C" w:rsidRDefault="009F6C80" w:rsidP="009B4BB6">
      <w:pPr>
        <w:widowControl w:val="0"/>
        <w:tabs>
          <w:tab w:val="clear" w:pos="567"/>
        </w:tabs>
        <w:spacing w:line="240" w:lineRule="auto"/>
        <w:ind w:left="567" w:hanging="567"/>
        <w:rPr>
          <w:color w:val="000000"/>
          <w:szCs w:val="22"/>
        </w:rPr>
      </w:pPr>
    </w:p>
    <w:p w14:paraId="3D3950F4" w14:textId="77777777" w:rsidR="009F6C80" w:rsidRPr="00CD729C" w:rsidRDefault="009F6C80" w:rsidP="00CC116F">
      <w:pPr>
        <w:keepNext/>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11.</w:t>
      </w:r>
      <w:r w:rsidRPr="00CD729C">
        <w:rPr>
          <w:b/>
          <w:color w:val="000000"/>
          <w:szCs w:val="22"/>
        </w:rPr>
        <w:tab/>
        <w:t>REĢISTRĀCIJAS APLIECĪBAS ĪPAŠNIEKA NOSAUKUMS UN ADRESE</w:t>
      </w:r>
    </w:p>
    <w:p w14:paraId="3D3950F5" w14:textId="77777777" w:rsidR="009F6C80" w:rsidRPr="00CD729C" w:rsidRDefault="009F6C80" w:rsidP="00CC116F">
      <w:pPr>
        <w:keepNext/>
        <w:widowControl w:val="0"/>
        <w:tabs>
          <w:tab w:val="clear" w:pos="567"/>
        </w:tabs>
        <w:spacing w:line="240" w:lineRule="auto"/>
        <w:ind w:left="567" w:hanging="567"/>
        <w:rPr>
          <w:color w:val="000000"/>
          <w:szCs w:val="22"/>
        </w:rPr>
      </w:pPr>
    </w:p>
    <w:p w14:paraId="3D3950F6" w14:textId="77777777" w:rsidR="009F6C80" w:rsidRPr="00CD729C" w:rsidRDefault="009F6C80" w:rsidP="00CC116F">
      <w:pPr>
        <w:keepNext/>
        <w:widowControl w:val="0"/>
        <w:tabs>
          <w:tab w:val="clear" w:pos="567"/>
        </w:tabs>
        <w:spacing w:line="240" w:lineRule="auto"/>
        <w:ind w:left="567" w:hanging="567"/>
        <w:rPr>
          <w:color w:val="000000"/>
          <w:szCs w:val="22"/>
        </w:rPr>
      </w:pPr>
      <w:r w:rsidRPr="00CD729C">
        <w:rPr>
          <w:color w:val="000000"/>
          <w:szCs w:val="22"/>
        </w:rPr>
        <w:t>Novartis Europharm Limited</w:t>
      </w:r>
    </w:p>
    <w:p w14:paraId="3D3950F7" w14:textId="77777777" w:rsidR="00410A76" w:rsidRPr="00EB33FE" w:rsidRDefault="00410A76" w:rsidP="009B4BB6">
      <w:pPr>
        <w:keepNext/>
        <w:widowControl w:val="0"/>
        <w:spacing w:line="240" w:lineRule="auto"/>
        <w:rPr>
          <w:color w:val="000000"/>
        </w:rPr>
      </w:pPr>
      <w:r w:rsidRPr="00EB33FE">
        <w:rPr>
          <w:color w:val="000000"/>
        </w:rPr>
        <w:t>Vista Building</w:t>
      </w:r>
    </w:p>
    <w:p w14:paraId="3D3950F8" w14:textId="77777777" w:rsidR="00410A76" w:rsidRPr="00EB33FE" w:rsidRDefault="00410A76" w:rsidP="009B4BB6">
      <w:pPr>
        <w:keepNext/>
        <w:widowControl w:val="0"/>
        <w:spacing w:line="240" w:lineRule="auto"/>
        <w:rPr>
          <w:color w:val="000000"/>
        </w:rPr>
      </w:pPr>
      <w:r w:rsidRPr="00EB33FE">
        <w:rPr>
          <w:color w:val="000000"/>
        </w:rPr>
        <w:t>Elm Park, Merrion Road</w:t>
      </w:r>
    </w:p>
    <w:p w14:paraId="3D3950F9" w14:textId="77777777" w:rsidR="00410A76" w:rsidRPr="00EB33FE" w:rsidRDefault="00410A76" w:rsidP="009B4BB6">
      <w:pPr>
        <w:keepNext/>
        <w:widowControl w:val="0"/>
        <w:spacing w:line="240" w:lineRule="auto"/>
        <w:rPr>
          <w:color w:val="000000"/>
        </w:rPr>
      </w:pPr>
      <w:r w:rsidRPr="00EB33FE">
        <w:rPr>
          <w:color w:val="000000"/>
        </w:rPr>
        <w:t>Dublin 4</w:t>
      </w:r>
    </w:p>
    <w:p w14:paraId="3D3950FA" w14:textId="77777777" w:rsidR="009F6C80" w:rsidRPr="00CD729C" w:rsidRDefault="00410A76" w:rsidP="009B4BB6">
      <w:pPr>
        <w:widowControl w:val="0"/>
        <w:tabs>
          <w:tab w:val="clear" w:pos="567"/>
        </w:tabs>
        <w:spacing w:line="240" w:lineRule="auto"/>
        <w:ind w:left="567" w:hanging="567"/>
        <w:rPr>
          <w:color w:val="000000"/>
          <w:szCs w:val="22"/>
        </w:rPr>
      </w:pPr>
      <w:r w:rsidRPr="00EB33FE">
        <w:rPr>
          <w:color w:val="000000"/>
        </w:rPr>
        <w:t>Īrija</w:t>
      </w:r>
    </w:p>
    <w:p w14:paraId="3D3950FB" w14:textId="77777777" w:rsidR="009F6C80" w:rsidRPr="00CD729C" w:rsidRDefault="009F6C80" w:rsidP="009B4BB6">
      <w:pPr>
        <w:widowControl w:val="0"/>
        <w:tabs>
          <w:tab w:val="clear" w:pos="567"/>
        </w:tabs>
        <w:spacing w:line="240" w:lineRule="auto"/>
        <w:ind w:left="567" w:hanging="567"/>
        <w:rPr>
          <w:color w:val="000000"/>
          <w:szCs w:val="22"/>
        </w:rPr>
      </w:pPr>
    </w:p>
    <w:p w14:paraId="3D3950FC" w14:textId="77777777" w:rsidR="009F6C80" w:rsidRPr="00CD729C" w:rsidRDefault="009F6C80" w:rsidP="009B4BB6">
      <w:pPr>
        <w:widowControl w:val="0"/>
        <w:tabs>
          <w:tab w:val="clear" w:pos="567"/>
        </w:tabs>
        <w:spacing w:line="240" w:lineRule="auto"/>
        <w:ind w:left="567" w:hanging="567"/>
        <w:rPr>
          <w:color w:val="000000"/>
          <w:szCs w:val="22"/>
        </w:rPr>
      </w:pPr>
    </w:p>
    <w:p w14:paraId="3D3950FD"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12.</w:t>
      </w:r>
      <w:r w:rsidRPr="00CD729C">
        <w:rPr>
          <w:b/>
          <w:color w:val="000000"/>
          <w:szCs w:val="22"/>
        </w:rPr>
        <w:tab/>
        <w:t xml:space="preserve">REĢISTRĀCIJAS </w:t>
      </w:r>
      <w:r w:rsidR="00074AB9" w:rsidRPr="00CD729C">
        <w:rPr>
          <w:b/>
          <w:szCs w:val="22"/>
        </w:rPr>
        <w:t xml:space="preserve">APLIECĪBAS </w:t>
      </w:r>
      <w:r w:rsidRPr="00CD729C">
        <w:rPr>
          <w:b/>
          <w:color w:val="000000"/>
          <w:szCs w:val="22"/>
        </w:rPr>
        <w:t>NUMURS(</w:t>
      </w:r>
      <w:r w:rsidR="0097555D" w:rsidRPr="00CD729C">
        <w:rPr>
          <w:b/>
          <w:color w:val="000000"/>
          <w:szCs w:val="22"/>
        </w:rPr>
        <w:t>-</w:t>
      </w:r>
      <w:r w:rsidRPr="00CD729C">
        <w:rPr>
          <w:b/>
          <w:color w:val="000000"/>
          <w:szCs w:val="22"/>
        </w:rPr>
        <w:t>I)</w:t>
      </w:r>
    </w:p>
    <w:p w14:paraId="3D3950FE" w14:textId="77777777" w:rsidR="009F6C80" w:rsidRPr="00CD729C" w:rsidRDefault="009F6C80" w:rsidP="009B4BB6">
      <w:pPr>
        <w:widowControl w:val="0"/>
        <w:tabs>
          <w:tab w:val="clear" w:pos="567"/>
        </w:tabs>
        <w:spacing w:line="240" w:lineRule="auto"/>
        <w:ind w:left="567" w:hanging="567"/>
        <w:rPr>
          <w:color w:val="000000"/>
          <w:szCs w:val="22"/>
        </w:rPr>
      </w:pPr>
    </w:p>
    <w:p w14:paraId="3D3950FF" w14:textId="77777777" w:rsidR="009F6C80" w:rsidRPr="00CD729C" w:rsidRDefault="009F6C80" w:rsidP="009B4BB6">
      <w:pPr>
        <w:widowControl w:val="0"/>
        <w:tabs>
          <w:tab w:val="clear" w:pos="567"/>
        </w:tabs>
        <w:spacing w:line="240" w:lineRule="auto"/>
        <w:ind w:left="2268" w:hanging="2268"/>
        <w:rPr>
          <w:color w:val="000000"/>
          <w:szCs w:val="22"/>
          <w:shd w:val="clear" w:color="auto" w:fill="D9D9D9"/>
        </w:rPr>
      </w:pPr>
      <w:r w:rsidRPr="00CD729C">
        <w:rPr>
          <w:color w:val="000000"/>
          <w:szCs w:val="22"/>
        </w:rPr>
        <w:t>EU/1/01/198/007</w:t>
      </w:r>
      <w:r w:rsidRPr="00CD729C">
        <w:rPr>
          <w:color w:val="000000"/>
          <w:szCs w:val="22"/>
        </w:rPr>
        <w:tab/>
      </w:r>
      <w:r w:rsidRPr="00CD729C">
        <w:rPr>
          <w:color w:val="000000"/>
          <w:szCs w:val="22"/>
          <w:shd w:val="clear" w:color="auto" w:fill="D9D9D9"/>
        </w:rPr>
        <w:t>20 tabletes</w:t>
      </w:r>
      <w:r w:rsidR="002E6D66" w:rsidRPr="0036667E">
        <w:rPr>
          <w:color w:val="000000"/>
          <w:szCs w:val="22"/>
          <w:shd w:val="pct15" w:color="auto" w:fill="auto"/>
        </w:rPr>
        <w:t xml:space="preserve"> (PVH/alumīnija blisteri)</w:t>
      </w:r>
    </w:p>
    <w:p w14:paraId="3D395100" w14:textId="77777777" w:rsidR="009F6C80" w:rsidRPr="00CD729C" w:rsidRDefault="009F6C80" w:rsidP="009B4BB6">
      <w:pPr>
        <w:widowControl w:val="0"/>
        <w:tabs>
          <w:tab w:val="clear" w:pos="567"/>
        </w:tabs>
        <w:spacing w:line="240" w:lineRule="auto"/>
        <w:ind w:left="2268" w:hanging="2268"/>
        <w:rPr>
          <w:color w:val="000000"/>
          <w:szCs w:val="22"/>
          <w:shd w:val="clear" w:color="auto" w:fill="D9D9D9"/>
        </w:rPr>
      </w:pPr>
      <w:r w:rsidRPr="00CD729C">
        <w:rPr>
          <w:color w:val="000000"/>
          <w:szCs w:val="22"/>
          <w:shd w:val="clear" w:color="auto" w:fill="D9D9D9"/>
        </w:rPr>
        <w:t>EU/1/01/198/008</w:t>
      </w:r>
      <w:r w:rsidRPr="00CD729C">
        <w:rPr>
          <w:color w:val="000000"/>
          <w:szCs w:val="22"/>
          <w:shd w:val="clear" w:color="auto" w:fill="D9D9D9"/>
        </w:rPr>
        <w:tab/>
        <w:t>60 tabletes</w:t>
      </w:r>
      <w:r w:rsidR="002E6D66" w:rsidRPr="0036667E">
        <w:rPr>
          <w:color w:val="000000"/>
          <w:szCs w:val="22"/>
          <w:shd w:val="pct15" w:color="auto" w:fill="auto"/>
        </w:rPr>
        <w:t xml:space="preserve"> (PVH/alumīnija blisteri)</w:t>
      </w:r>
    </w:p>
    <w:p w14:paraId="3D395101" w14:textId="77777777" w:rsidR="009F6C80" w:rsidRPr="00CD729C" w:rsidRDefault="009F6C80" w:rsidP="009B4BB6">
      <w:pPr>
        <w:widowControl w:val="0"/>
        <w:tabs>
          <w:tab w:val="clear" w:pos="567"/>
        </w:tabs>
        <w:spacing w:line="240" w:lineRule="auto"/>
        <w:ind w:left="2268" w:hanging="2268"/>
        <w:rPr>
          <w:color w:val="000000"/>
          <w:szCs w:val="22"/>
          <w:shd w:val="clear" w:color="auto" w:fill="D9D9D9"/>
        </w:rPr>
      </w:pPr>
      <w:r w:rsidRPr="00CD729C">
        <w:rPr>
          <w:color w:val="000000"/>
          <w:szCs w:val="22"/>
          <w:shd w:val="clear" w:color="auto" w:fill="D9D9D9"/>
        </w:rPr>
        <w:t>EU/1/01/198/011</w:t>
      </w:r>
      <w:r w:rsidRPr="00CD729C">
        <w:rPr>
          <w:color w:val="000000"/>
          <w:szCs w:val="22"/>
          <w:shd w:val="clear" w:color="auto" w:fill="D9D9D9"/>
        </w:rPr>
        <w:tab/>
        <w:t>120 tabletes</w:t>
      </w:r>
      <w:r w:rsidR="002E6D66" w:rsidRPr="0036667E">
        <w:rPr>
          <w:color w:val="000000"/>
          <w:szCs w:val="22"/>
          <w:shd w:val="pct15" w:color="auto" w:fill="auto"/>
        </w:rPr>
        <w:t xml:space="preserve"> (PVH/alumīnija blisteri)</w:t>
      </w:r>
    </w:p>
    <w:p w14:paraId="3D395102" w14:textId="77777777" w:rsidR="009F6C80" w:rsidRPr="00CD729C" w:rsidRDefault="009F6C80" w:rsidP="009B4BB6">
      <w:pPr>
        <w:widowControl w:val="0"/>
        <w:tabs>
          <w:tab w:val="clear" w:pos="567"/>
        </w:tabs>
        <w:spacing w:line="240" w:lineRule="auto"/>
        <w:ind w:left="2268" w:hanging="2268"/>
        <w:rPr>
          <w:color w:val="000000"/>
          <w:szCs w:val="22"/>
          <w:shd w:val="clear" w:color="auto" w:fill="D9D9D9"/>
        </w:rPr>
      </w:pPr>
      <w:r w:rsidRPr="00CD729C">
        <w:rPr>
          <w:color w:val="000000"/>
          <w:szCs w:val="22"/>
          <w:shd w:val="clear" w:color="auto" w:fill="D9D9D9"/>
        </w:rPr>
        <w:t>EU/1/01/198/012</w:t>
      </w:r>
      <w:r w:rsidRPr="00CD729C">
        <w:rPr>
          <w:color w:val="000000"/>
          <w:szCs w:val="22"/>
          <w:shd w:val="clear" w:color="auto" w:fill="D9D9D9"/>
        </w:rPr>
        <w:tab/>
        <w:t>180 tabletes</w:t>
      </w:r>
      <w:r w:rsidR="002E6D66" w:rsidRPr="0036667E">
        <w:rPr>
          <w:color w:val="000000"/>
          <w:szCs w:val="22"/>
          <w:shd w:val="pct15" w:color="auto" w:fill="auto"/>
        </w:rPr>
        <w:t xml:space="preserve"> (PVH/alumīnija blisteri)</w:t>
      </w:r>
    </w:p>
    <w:p w14:paraId="3D395103" w14:textId="77777777" w:rsidR="002E6D66" w:rsidRPr="0036667E" w:rsidRDefault="002E6D66" w:rsidP="009B4BB6">
      <w:pPr>
        <w:widowControl w:val="0"/>
        <w:tabs>
          <w:tab w:val="clear" w:pos="567"/>
        </w:tabs>
        <w:spacing w:line="240" w:lineRule="auto"/>
        <w:ind w:left="2268" w:hanging="2268"/>
        <w:rPr>
          <w:color w:val="000000"/>
          <w:szCs w:val="22"/>
          <w:shd w:val="pct15" w:color="auto" w:fill="auto"/>
        </w:rPr>
      </w:pPr>
      <w:r w:rsidRPr="0036667E">
        <w:rPr>
          <w:color w:val="000000"/>
          <w:szCs w:val="22"/>
          <w:shd w:val="pct15" w:color="auto" w:fill="auto"/>
        </w:rPr>
        <w:t>EU/1/01/198/01</w:t>
      </w:r>
      <w:r w:rsidR="00B3238B">
        <w:rPr>
          <w:color w:val="000000"/>
          <w:szCs w:val="22"/>
          <w:shd w:val="pct15" w:color="auto" w:fill="auto"/>
        </w:rPr>
        <w:t>4</w:t>
      </w:r>
      <w:r w:rsidRPr="0036667E">
        <w:rPr>
          <w:color w:val="000000"/>
          <w:szCs w:val="22"/>
          <w:shd w:val="pct15" w:color="auto" w:fill="auto"/>
        </w:rPr>
        <w:tab/>
      </w:r>
      <w:r w:rsidR="00B3238B">
        <w:rPr>
          <w:color w:val="000000"/>
          <w:szCs w:val="22"/>
          <w:shd w:val="pct15" w:color="auto" w:fill="auto"/>
        </w:rPr>
        <w:t>6</w:t>
      </w:r>
      <w:r w:rsidRPr="0036667E">
        <w:rPr>
          <w:color w:val="000000"/>
          <w:szCs w:val="22"/>
          <w:shd w:val="pct15" w:color="auto" w:fill="auto"/>
        </w:rPr>
        <w:t>0 tabletes (PVDH/alumīnija blisteri)</w:t>
      </w:r>
    </w:p>
    <w:p w14:paraId="3D395104" w14:textId="77777777" w:rsidR="002E6D66" w:rsidRPr="0036667E" w:rsidRDefault="002E6D66" w:rsidP="009B4BB6">
      <w:pPr>
        <w:widowControl w:val="0"/>
        <w:tabs>
          <w:tab w:val="clear" w:pos="567"/>
        </w:tabs>
        <w:spacing w:line="240" w:lineRule="auto"/>
        <w:ind w:left="2268" w:hanging="2268"/>
        <w:rPr>
          <w:color w:val="000000"/>
          <w:szCs w:val="22"/>
          <w:shd w:val="pct15" w:color="auto" w:fill="auto"/>
        </w:rPr>
      </w:pPr>
      <w:r w:rsidRPr="0036667E">
        <w:rPr>
          <w:color w:val="000000"/>
          <w:szCs w:val="22"/>
          <w:shd w:val="pct15" w:color="auto" w:fill="auto"/>
        </w:rPr>
        <w:t>EU/1/01/198/01</w:t>
      </w:r>
      <w:r w:rsidR="00B3238B">
        <w:rPr>
          <w:color w:val="000000"/>
          <w:szCs w:val="22"/>
          <w:shd w:val="pct15" w:color="auto" w:fill="auto"/>
        </w:rPr>
        <w:t>5</w:t>
      </w:r>
      <w:r w:rsidRPr="0036667E">
        <w:rPr>
          <w:color w:val="000000"/>
          <w:szCs w:val="22"/>
          <w:shd w:val="pct15" w:color="auto" w:fill="auto"/>
        </w:rPr>
        <w:tab/>
        <w:t>1</w:t>
      </w:r>
      <w:r w:rsidR="00B3238B">
        <w:rPr>
          <w:color w:val="000000"/>
          <w:szCs w:val="22"/>
          <w:shd w:val="pct15" w:color="auto" w:fill="auto"/>
        </w:rPr>
        <w:t>2</w:t>
      </w:r>
      <w:r w:rsidRPr="0036667E">
        <w:rPr>
          <w:color w:val="000000"/>
          <w:szCs w:val="22"/>
          <w:shd w:val="pct15" w:color="auto" w:fill="auto"/>
        </w:rPr>
        <w:t>0 tabletes (PVDH/alumīnija blisteri)</w:t>
      </w:r>
    </w:p>
    <w:p w14:paraId="3D395105" w14:textId="77777777" w:rsidR="00C0385D" w:rsidRPr="00CD729C" w:rsidRDefault="00C0385D" w:rsidP="009B4BB6">
      <w:pPr>
        <w:widowControl w:val="0"/>
        <w:tabs>
          <w:tab w:val="clear" w:pos="567"/>
        </w:tabs>
        <w:spacing w:line="240" w:lineRule="auto"/>
        <w:ind w:left="2268" w:hanging="2268"/>
        <w:rPr>
          <w:color w:val="000000"/>
          <w:szCs w:val="22"/>
          <w:shd w:val="clear" w:color="auto" w:fill="D9D9D9"/>
        </w:rPr>
      </w:pPr>
      <w:r>
        <w:rPr>
          <w:color w:val="000000"/>
          <w:szCs w:val="22"/>
          <w:shd w:val="clear" w:color="auto" w:fill="D9D9D9"/>
        </w:rPr>
        <w:t>EU/1/01/198/01</w:t>
      </w:r>
      <w:r w:rsidR="00B3238B">
        <w:rPr>
          <w:color w:val="000000"/>
          <w:szCs w:val="22"/>
          <w:shd w:val="clear" w:color="auto" w:fill="D9D9D9"/>
        </w:rPr>
        <w:t>6</w:t>
      </w:r>
      <w:r w:rsidRPr="00CD729C">
        <w:rPr>
          <w:color w:val="000000"/>
          <w:szCs w:val="22"/>
          <w:shd w:val="clear" w:color="auto" w:fill="D9D9D9"/>
        </w:rPr>
        <w:tab/>
      </w:r>
      <w:r w:rsidR="00B3238B">
        <w:rPr>
          <w:color w:val="000000"/>
          <w:szCs w:val="22"/>
          <w:shd w:val="clear" w:color="auto" w:fill="D9D9D9"/>
        </w:rPr>
        <w:t>18</w:t>
      </w:r>
      <w:r w:rsidRPr="00CD729C">
        <w:rPr>
          <w:color w:val="000000"/>
          <w:szCs w:val="22"/>
          <w:shd w:val="clear" w:color="auto" w:fill="D9D9D9"/>
        </w:rPr>
        <w:t>0 tabletes</w:t>
      </w:r>
      <w:r w:rsidRPr="0036667E">
        <w:rPr>
          <w:color w:val="000000"/>
          <w:szCs w:val="22"/>
          <w:shd w:val="pct15" w:color="auto" w:fill="auto"/>
        </w:rPr>
        <w:t xml:space="preserve"> (PV</w:t>
      </w:r>
      <w:r>
        <w:rPr>
          <w:color w:val="000000"/>
          <w:szCs w:val="22"/>
          <w:shd w:val="pct15" w:color="auto" w:fill="auto"/>
        </w:rPr>
        <w:t>D</w:t>
      </w:r>
      <w:r w:rsidRPr="0036667E">
        <w:rPr>
          <w:color w:val="000000"/>
          <w:szCs w:val="22"/>
          <w:shd w:val="pct15" w:color="auto" w:fill="auto"/>
        </w:rPr>
        <w:t>H/alumīnija blisteri)</w:t>
      </w:r>
    </w:p>
    <w:p w14:paraId="3D395106" w14:textId="77777777" w:rsidR="009F6C80" w:rsidRPr="00CD729C" w:rsidRDefault="009F6C80" w:rsidP="009B4BB6">
      <w:pPr>
        <w:widowControl w:val="0"/>
        <w:tabs>
          <w:tab w:val="clear" w:pos="567"/>
        </w:tabs>
        <w:spacing w:line="240" w:lineRule="auto"/>
        <w:ind w:left="567" w:hanging="567"/>
        <w:rPr>
          <w:color w:val="000000"/>
          <w:szCs w:val="22"/>
        </w:rPr>
      </w:pPr>
    </w:p>
    <w:p w14:paraId="3D395107" w14:textId="77777777" w:rsidR="009F6C80" w:rsidRPr="00CD729C" w:rsidRDefault="009F6C80" w:rsidP="009B4BB6">
      <w:pPr>
        <w:widowControl w:val="0"/>
        <w:tabs>
          <w:tab w:val="clear" w:pos="567"/>
        </w:tabs>
        <w:spacing w:line="240" w:lineRule="auto"/>
        <w:ind w:left="567" w:hanging="567"/>
        <w:rPr>
          <w:color w:val="000000"/>
          <w:szCs w:val="22"/>
        </w:rPr>
      </w:pPr>
    </w:p>
    <w:p w14:paraId="3D395108"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13.</w:t>
      </w:r>
      <w:r w:rsidRPr="00CD729C">
        <w:rPr>
          <w:b/>
          <w:color w:val="000000"/>
          <w:szCs w:val="22"/>
        </w:rPr>
        <w:tab/>
        <w:t>SĒRIJAS NUMURS</w:t>
      </w:r>
    </w:p>
    <w:p w14:paraId="3D395109" w14:textId="77777777" w:rsidR="009F6C80" w:rsidRPr="00CD729C" w:rsidRDefault="009F6C80" w:rsidP="009B4BB6">
      <w:pPr>
        <w:widowControl w:val="0"/>
        <w:tabs>
          <w:tab w:val="clear" w:pos="567"/>
        </w:tabs>
        <w:spacing w:line="240" w:lineRule="auto"/>
        <w:ind w:left="567" w:hanging="567"/>
        <w:rPr>
          <w:color w:val="000000"/>
          <w:szCs w:val="22"/>
        </w:rPr>
      </w:pPr>
    </w:p>
    <w:p w14:paraId="3D39510A" w14:textId="77777777" w:rsidR="009F6C80" w:rsidRPr="00CD729C" w:rsidRDefault="00275CCD" w:rsidP="009B4BB6">
      <w:pPr>
        <w:widowControl w:val="0"/>
        <w:tabs>
          <w:tab w:val="clear" w:pos="567"/>
        </w:tabs>
        <w:spacing w:line="240" w:lineRule="auto"/>
        <w:ind w:left="567" w:hanging="567"/>
        <w:rPr>
          <w:color w:val="000000"/>
          <w:szCs w:val="22"/>
        </w:rPr>
      </w:pPr>
      <w:r>
        <w:rPr>
          <w:color w:val="000000"/>
          <w:szCs w:val="22"/>
        </w:rPr>
        <w:t>Lot</w:t>
      </w:r>
    </w:p>
    <w:p w14:paraId="3D39510B" w14:textId="77777777" w:rsidR="009F6C80" w:rsidRPr="00CD729C" w:rsidRDefault="009F6C80" w:rsidP="009B4BB6">
      <w:pPr>
        <w:widowControl w:val="0"/>
        <w:tabs>
          <w:tab w:val="clear" w:pos="567"/>
        </w:tabs>
        <w:spacing w:line="240" w:lineRule="auto"/>
        <w:ind w:left="567" w:hanging="567"/>
        <w:rPr>
          <w:color w:val="000000"/>
          <w:szCs w:val="22"/>
        </w:rPr>
      </w:pPr>
    </w:p>
    <w:p w14:paraId="3D39510C" w14:textId="77777777" w:rsidR="009F6C80" w:rsidRPr="00CD729C" w:rsidRDefault="009F6C80" w:rsidP="009B4BB6">
      <w:pPr>
        <w:widowControl w:val="0"/>
        <w:tabs>
          <w:tab w:val="clear" w:pos="567"/>
        </w:tabs>
        <w:spacing w:line="240" w:lineRule="auto"/>
        <w:ind w:left="567" w:hanging="567"/>
        <w:rPr>
          <w:color w:val="000000"/>
          <w:szCs w:val="22"/>
        </w:rPr>
      </w:pPr>
    </w:p>
    <w:p w14:paraId="3D39510D"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14.</w:t>
      </w:r>
      <w:r w:rsidRPr="00CD729C">
        <w:rPr>
          <w:b/>
          <w:color w:val="000000"/>
          <w:szCs w:val="22"/>
        </w:rPr>
        <w:tab/>
        <w:t>IZSNIEGŠANAS KĀRTĪBA</w:t>
      </w:r>
    </w:p>
    <w:p w14:paraId="3D39510E" w14:textId="77777777" w:rsidR="009F6C80" w:rsidRPr="00CD729C" w:rsidRDefault="009F6C80" w:rsidP="009B4BB6">
      <w:pPr>
        <w:widowControl w:val="0"/>
        <w:tabs>
          <w:tab w:val="clear" w:pos="567"/>
        </w:tabs>
        <w:spacing w:line="240" w:lineRule="auto"/>
        <w:ind w:left="567" w:hanging="567"/>
        <w:rPr>
          <w:color w:val="000000"/>
          <w:szCs w:val="22"/>
        </w:rPr>
      </w:pPr>
    </w:p>
    <w:p w14:paraId="3D39510F" w14:textId="77777777" w:rsidR="009F6C80" w:rsidRPr="00CD729C" w:rsidRDefault="009F6C80" w:rsidP="009B4BB6">
      <w:pPr>
        <w:widowControl w:val="0"/>
        <w:tabs>
          <w:tab w:val="clear" w:pos="567"/>
        </w:tabs>
        <w:spacing w:line="240" w:lineRule="auto"/>
        <w:ind w:left="567" w:hanging="567"/>
        <w:rPr>
          <w:color w:val="000000"/>
          <w:szCs w:val="22"/>
        </w:rPr>
      </w:pPr>
    </w:p>
    <w:p w14:paraId="3D395110"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15.</w:t>
      </w:r>
      <w:r w:rsidRPr="00CD729C">
        <w:rPr>
          <w:b/>
          <w:color w:val="000000"/>
          <w:szCs w:val="22"/>
        </w:rPr>
        <w:tab/>
        <w:t>NORĀDĪJUMI PAR LIETOŠANU</w:t>
      </w:r>
    </w:p>
    <w:p w14:paraId="3D395111" w14:textId="77777777" w:rsidR="009F6C80" w:rsidRPr="0034378B" w:rsidRDefault="009F6C80" w:rsidP="009B4BB6">
      <w:pPr>
        <w:widowControl w:val="0"/>
        <w:tabs>
          <w:tab w:val="clear" w:pos="567"/>
        </w:tabs>
        <w:spacing w:line="240" w:lineRule="auto"/>
        <w:ind w:left="567" w:hanging="567"/>
        <w:rPr>
          <w:color w:val="000000"/>
          <w:szCs w:val="22"/>
        </w:rPr>
      </w:pPr>
    </w:p>
    <w:p w14:paraId="3D395112" w14:textId="77777777" w:rsidR="009F6C80" w:rsidRPr="00CD729C" w:rsidRDefault="009F6C80" w:rsidP="009B4BB6">
      <w:pPr>
        <w:widowControl w:val="0"/>
        <w:tabs>
          <w:tab w:val="clear" w:pos="567"/>
        </w:tabs>
        <w:spacing w:line="240" w:lineRule="auto"/>
        <w:rPr>
          <w:color w:val="000000"/>
          <w:szCs w:val="22"/>
        </w:rPr>
      </w:pPr>
    </w:p>
    <w:p w14:paraId="3D395113"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16.</w:t>
      </w:r>
      <w:r w:rsidRPr="00CD729C">
        <w:rPr>
          <w:b/>
          <w:color w:val="000000"/>
          <w:szCs w:val="22"/>
        </w:rPr>
        <w:tab/>
      </w:r>
      <w:r w:rsidRPr="00CD729C">
        <w:rPr>
          <w:b/>
          <w:color w:val="000000"/>
        </w:rPr>
        <w:t>INFORMĀCIJA BRAILA RAKSTĀ</w:t>
      </w:r>
    </w:p>
    <w:p w14:paraId="3D395114" w14:textId="77777777" w:rsidR="009F6C80" w:rsidRPr="00CD729C" w:rsidRDefault="009F6C80" w:rsidP="009B4BB6">
      <w:pPr>
        <w:widowControl w:val="0"/>
        <w:tabs>
          <w:tab w:val="clear" w:pos="567"/>
        </w:tabs>
        <w:spacing w:line="240" w:lineRule="auto"/>
        <w:rPr>
          <w:color w:val="000000"/>
          <w:szCs w:val="22"/>
          <w:u w:val="single"/>
        </w:rPr>
      </w:pPr>
    </w:p>
    <w:p w14:paraId="3D395115" w14:textId="77777777" w:rsidR="009F6C80" w:rsidRPr="00CD729C" w:rsidRDefault="009F6C80" w:rsidP="009B4BB6">
      <w:pPr>
        <w:widowControl w:val="0"/>
        <w:tabs>
          <w:tab w:val="clear" w:pos="567"/>
        </w:tabs>
        <w:spacing w:line="240" w:lineRule="auto"/>
        <w:rPr>
          <w:color w:val="000000"/>
          <w:szCs w:val="22"/>
        </w:rPr>
      </w:pPr>
      <w:r w:rsidRPr="00CD729C">
        <w:rPr>
          <w:color w:val="000000"/>
          <w:szCs w:val="22"/>
        </w:rPr>
        <w:t>Glivec 100 mg</w:t>
      </w:r>
    </w:p>
    <w:p w14:paraId="3D395116" w14:textId="77777777" w:rsidR="009F6C80" w:rsidRPr="00CD729C" w:rsidRDefault="009F6C80" w:rsidP="009B4BB6">
      <w:pPr>
        <w:widowControl w:val="0"/>
        <w:tabs>
          <w:tab w:val="clear" w:pos="567"/>
        </w:tabs>
        <w:spacing w:line="240" w:lineRule="auto"/>
        <w:rPr>
          <w:color w:val="000000"/>
          <w:szCs w:val="22"/>
        </w:rPr>
      </w:pPr>
    </w:p>
    <w:p w14:paraId="3D395117" w14:textId="77777777" w:rsidR="0072796A" w:rsidRPr="00907269" w:rsidRDefault="0072796A" w:rsidP="009B4BB6">
      <w:pPr>
        <w:widowControl w:val="0"/>
        <w:tabs>
          <w:tab w:val="clear" w:pos="567"/>
        </w:tabs>
        <w:spacing w:line="240" w:lineRule="auto"/>
        <w:rPr>
          <w:noProof/>
          <w:shd w:val="clear" w:color="auto" w:fill="CCCCCC"/>
        </w:rPr>
      </w:pPr>
    </w:p>
    <w:p w14:paraId="3D395118" w14:textId="77777777" w:rsidR="0072796A" w:rsidRPr="00907269" w:rsidRDefault="0072796A" w:rsidP="009B4BB6">
      <w:pPr>
        <w:keepNext/>
        <w:keepLines/>
        <w:widowControl w:val="0"/>
        <w:pBdr>
          <w:top w:val="single" w:sz="4" w:space="1" w:color="auto"/>
          <w:left w:val="single" w:sz="4" w:space="4" w:color="auto"/>
          <w:bottom w:val="single" w:sz="4" w:space="0" w:color="auto"/>
          <w:right w:val="single" w:sz="4" w:space="4" w:color="auto"/>
        </w:pBdr>
        <w:tabs>
          <w:tab w:val="clear" w:pos="567"/>
        </w:tabs>
        <w:spacing w:line="240" w:lineRule="auto"/>
        <w:rPr>
          <w:noProof/>
        </w:rPr>
      </w:pPr>
      <w:r w:rsidRPr="00907269">
        <w:rPr>
          <w:b/>
          <w:noProof/>
        </w:rPr>
        <w:t>17.</w:t>
      </w:r>
      <w:r w:rsidRPr="00907269">
        <w:rPr>
          <w:b/>
          <w:noProof/>
        </w:rPr>
        <w:tab/>
      </w:r>
      <w:r w:rsidRPr="00907269">
        <w:rPr>
          <w:b/>
          <w:noProof/>
          <w:lang w:bidi="lv-LV"/>
        </w:rPr>
        <w:t>UNIKĀLS IDENTIFIKATORS – 2D SVĪTRKODS</w:t>
      </w:r>
    </w:p>
    <w:p w14:paraId="3D395119" w14:textId="77777777" w:rsidR="0072796A" w:rsidRPr="00907269" w:rsidRDefault="0072796A" w:rsidP="009B4BB6">
      <w:pPr>
        <w:keepNext/>
        <w:keepLines/>
        <w:widowControl w:val="0"/>
        <w:tabs>
          <w:tab w:val="clear" w:pos="567"/>
        </w:tabs>
        <w:spacing w:line="240" w:lineRule="auto"/>
        <w:rPr>
          <w:noProof/>
        </w:rPr>
      </w:pPr>
    </w:p>
    <w:p w14:paraId="3D39511A" w14:textId="77777777" w:rsidR="0072796A" w:rsidRPr="00907269" w:rsidRDefault="0072796A" w:rsidP="009B4BB6">
      <w:pPr>
        <w:keepNext/>
        <w:keepLines/>
        <w:widowControl w:val="0"/>
        <w:tabs>
          <w:tab w:val="clear" w:pos="567"/>
        </w:tabs>
        <w:spacing w:line="240" w:lineRule="auto"/>
        <w:rPr>
          <w:noProof/>
          <w:shd w:val="pct15" w:color="auto" w:fill="auto"/>
        </w:rPr>
      </w:pPr>
      <w:r w:rsidRPr="00907269">
        <w:rPr>
          <w:noProof/>
          <w:shd w:val="pct15" w:color="auto" w:fill="auto"/>
          <w:lang w:bidi="lv-LV"/>
        </w:rPr>
        <w:t>2D svītrkods, kurā iekļauts unikāls identifikators</w:t>
      </w:r>
      <w:r w:rsidRPr="00907269">
        <w:rPr>
          <w:noProof/>
          <w:shd w:val="pct15" w:color="auto" w:fill="auto"/>
        </w:rPr>
        <w:t>.</w:t>
      </w:r>
    </w:p>
    <w:p w14:paraId="3D39511B" w14:textId="77777777" w:rsidR="0072796A" w:rsidRPr="00907269" w:rsidRDefault="0072796A" w:rsidP="009B4BB6">
      <w:pPr>
        <w:widowControl w:val="0"/>
        <w:tabs>
          <w:tab w:val="clear" w:pos="567"/>
        </w:tabs>
        <w:spacing w:line="240" w:lineRule="auto"/>
        <w:rPr>
          <w:noProof/>
          <w:shd w:val="clear" w:color="auto" w:fill="CCCCCC"/>
        </w:rPr>
      </w:pPr>
    </w:p>
    <w:p w14:paraId="3D39511C" w14:textId="77777777" w:rsidR="0072796A" w:rsidRPr="00907269" w:rsidRDefault="0072796A" w:rsidP="009B4BB6">
      <w:pPr>
        <w:widowControl w:val="0"/>
        <w:tabs>
          <w:tab w:val="clear" w:pos="567"/>
        </w:tabs>
        <w:spacing w:line="240" w:lineRule="auto"/>
        <w:rPr>
          <w:noProof/>
        </w:rPr>
      </w:pPr>
    </w:p>
    <w:p w14:paraId="3D39511D" w14:textId="77777777" w:rsidR="0072796A" w:rsidRPr="00907269" w:rsidRDefault="0072796A" w:rsidP="009B4BB6">
      <w:pPr>
        <w:keepNext/>
        <w:keepLines/>
        <w:widowControl w:val="0"/>
        <w:pBdr>
          <w:top w:val="single" w:sz="4" w:space="1" w:color="auto"/>
          <w:left w:val="single" w:sz="4" w:space="4" w:color="auto"/>
          <w:bottom w:val="single" w:sz="4" w:space="0" w:color="auto"/>
          <w:right w:val="single" w:sz="4" w:space="4" w:color="auto"/>
        </w:pBdr>
        <w:tabs>
          <w:tab w:val="clear" w:pos="567"/>
        </w:tabs>
        <w:spacing w:line="240" w:lineRule="auto"/>
        <w:rPr>
          <w:noProof/>
        </w:rPr>
      </w:pPr>
      <w:r w:rsidRPr="00907269">
        <w:rPr>
          <w:b/>
          <w:noProof/>
        </w:rPr>
        <w:t>18.</w:t>
      </w:r>
      <w:r w:rsidRPr="00907269">
        <w:rPr>
          <w:b/>
          <w:noProof/>
        </w:rPr>
        <w:tab/>
      </w:r>
      <w:r w:rsidRPr="00907269">
        <w:rPr>
          <w:b/>
          <w:noProof/>
          <w:lang w:bidi="lv-LV"/>
        </w:rPr>
        <w:t>UNIKĀLS IDENTIFIKATORS – DATI, KURUS VAR NOLASĪT PERSONA</w:t>
      </w:r>
    </w:p>
    <w:p w14:paraId="3D39511E" w14:textId="77777777" w:rsidR="0072796A" w:rsidRPr="00907269" w:rsidRDefault="0072796A" w:rsidP="009B4BB6">
      <w:pPr>
        <w:keepNext/>
        <w:keepLines/>
        <w:widowControl w:val="0"/>
        <w:tabs>
          <w:tab w:val="clear" w:pos="567"/>
        </w:tabs>
        <w:spacing w:line="240" w:lineRule="auto"/>
        <w:rPr>
          <w:noProof/>
        </w:rPr>
      </w:pPr>
    </w:p>
    <w:p w14:paraId="3D39511F" w14:textId="77777777" w:rsidR="0072796A" w:rsidRPr="00907269" w:rsidRDefault="0072796A" w:rsidP="009B4BB6">
      <w:pPr>
        <w:keepNext/>
        <w:keepLines/>
        <w:widowControl w:val="0"/>
        <w:tabs>
          <w:tab w:val="clear" w:pos="567"/>
        </w:tabs>
        <w:spacing w:line="240" w:lineRule="auto"/>
      </w:pPr>
      <w:r w:rsidRPr="00907269">
        <w:t>PC:</w:t>
      </w:r>
    </w:p>
    <w:p w14:paraId="3D395120" w14:textId="77777777" w:rsidR="0072796A" w:rsidRPr="00907269" w:rsidRDefault="0072796A" w:rsidP="009B4BB6">
      <w:pPr>
        <w:keepNext/>
        <w:keepLines/>
        <w:widowControl w:val="0"/>
        <w:tabs>
          <w:tab w:val="clear" w:pos="567"/>
        </w:tabs>
        <w:spacing w:line="240" w:lineRule="auto"/>
      </w:pPr>
      <w:r w:rsidRPr="00907269">
        <w:t>SN:</w:t>
      </w:r>
    </w:p>
    <w:p w14:paraId="3D395121" w14:textId="77777777" w:rsidR="009F6C80" w:rsidRPr="00CD729C" w:rsidRDefault="0072796A" w:rsidP="009B4BB6">
      <w:pPr>
        <w:keepNext/>
        <w:keepLines/>
        <w:widowControl w:val="0"/>
        <w:tabs>
          <w:tab w:val="clear" w:pos="567"/>
        </w:tabs>
        <w:spacing w:line="240" w:lineRule="auto"/>
        <w:rPr>
          <w:color w:val="000000"/>
          <w:szCs w:val="22"/>
          <w:u w:val="single"/>
        </w:rPr>
      </w:pPr>
      <w:r w:rsidRPr="00907269">
        <w:t>NN:</w:t>
      </w:r>
    </w:p>
    <w:p w14:paraId="3D395122" w14:textId="77777777" w:rsidR="009F6C80" w:rsidRPr="00CD729C" w:rsidRDefault="009F6C80" w:rsidP="009B4BB6">
      <w:pPr>
        <w:widowControl w:val="0"/>
        <w:tabs>
          <w:tab w:val="clear" w:pos="567"/>
        </w:tabs>
        <w:spacing w:line="240" w:lineRule="auto"/>
        <w:ind w:left="567" w:hanging="567"/>
        <w:rPr>
          <w:color w:val="000000"/>
          <w:szCs w:val="22"/>
        </w:rPr>
      </w:pPr>
      <w:r w:rsidRPr="00CD729C">
        <w:rPr>
          <w:b/>
          <w:color w:val="000000"/>
          <w:szCs w:val="22"/>
          <w:u w:val="single"/>
        </w:rPr>
        <w:br w:type="page"/>
      </w:r>
    </w:p>
    <w:p w14:paraId="3D395123" w14:textId="77777777" w:rsidR="00CC116F" w:rsidRPr="00CC116F" w:rsidRDefault="00CC116F" w:rsidP="00CC116F">
      <w:pPr>
        <w:widowControl w:val="0"/>
        <w:tabs>
          <w:tab w:val="clear" w:pos="567"/>
        </w:tabs>
        <w:spacing w:line="240" w:lineRule="auto"/>
        <w:ind w:left="567" w:hanging="567"/>
        <w:rPr>
          <w:color w:val="000000"/>
          <w:szCs w:val="22"/>
        </w:rPr>
      </w:pPr>
    </w:p>
    <w:p w14:paraId="3D395124"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color w:val="000000"/>
          <w:szCs w:val="22"/>
        </w:rPr>
      </w:pPr>
      <w:r w:rsidRPr="00CD729C">
        <w:rPr>
          <w:b/>
          <w:color w:val="000000"/>
          <w:szCs w:val="22"/>
        </w:rPr>
        <w:t>MINIMĀLĀ INFORMĀCIJA, KAS JĀNORĀDA</w:t>
      </w:r>
      <w:r w:rsidRPr="00CD729C" w:rsidDel="00C843E0">
        <w:rPr>
          <w:b/>
          <w:color w:val="000000"/>
          <w:szCs w:val="22"/>
        </w:rPr>
        <w:t xml:space="preserve"> </w:t>
      </w:r>
      <w:r w:rsidRPr="00CD729C">
        <w:rPr>
          <w:b/>
          <w:color w:val="000000"/>
          <w:szCs w:val="22"/>
        </w:rPr>
        <w:t>UZ BLISTERA VAI PLĀKSNĪTES</w:t>
      </w:r>
    </w:p>
    <w:p w14:paraId="3D395125"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rPr>
      </w:pPr>
    </w:p>
    <w:p w14:paraId="3D395126"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color w:val="000000"/>
          <w:szCs w:val="22"/>
        </w:rPr>
      </w:pPr>
      <w:r w:rsidRPr="00CD729C">
        <w:rPr>
          <w:b/>
          <w:color w:val="000000"/>
          <w:szCs w:val="22"/>
        </w:rPr>
        <w:t>BLISTERI</w:t>
      </w:r>
    </w:p>
    <w:p w14:paraId="3D395127" w14:textId="77777777" w:rsidR="009F6C80" w:rsidRPr="00CD729C" w:rsidRDefault="009F6C80" w:rsidP="009B4BB6">
      <w:pPr>
        <w:widowControl w:val="0"/>
        <w:tabs>
          <w:tab w:val="clear" w:pos="567"/>
        </w:tabs>
        <w:spacing w:line="240" w:lineRule="auto"/>
        <w:ind w:left="567" w:hanging="567"/>
        <w:rPr>
          <w:color w:val="000000"/>
          <w:szCs w:val="22"/>
        </w:rPr>
      </w:pPr>
    </w:p>
    <w:p w14:paraId="3D395128" w14:textId="77777777" w:rsidR="009F6C80" w:rsidRPr="00CD729C" w:rsidRDefault="009F6C80" w:rsidP="009B4BB6">
      <w:pPr>
        <w:widowControl w:val="0"/>
        <w:tabs>
          <w:tab w:val="clear" w:pos="567"/>
        </w:tabs>
        <w:spacing w:line="240" w:lineRule="auto"/>
        <w:ind w:left="567" w:hanging="567"/>
        <w:rPr>
          <w:color w:val="000000"/>
          <w:szCs w:val="22"/>
        </w:rPr>
      </w:pPr>
    </w:p>
    <w:p w14:paraId="3D395129"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w:t>
      </w:r>
      <w:r w:rsidRPr="00CD729C">
        <w:rPr>
          <w:b/>
          <w:color w:val="000000"/>
          <w:szCs w:val="22"/>
        </w:rPr>
        <w:tab/>
        <w:t>ZĀĻU NOSAUKUMS</w:t>
      </w:r>
    </w:p>
    <w:p w14:paraId="3D39512A" w14:textId="77777777" w:rsidR="009F6C80" w:rsidRPr="00CD729C" w:rsidRDefault="009F6C80" w:rsidP="009B4BB6">
      <w:pPr>
        <w:widowControl w:val="0"/>
        <w:tabs>
          <w:tab w:val="clear" w:pos="567"/>
        </w:tabs>
        <w:spacing w:line="240" w:lineRule="auto"/>
        <w:ind w:left="567" w:hanging="567"/>
        <w:rPr>
          <w:color w:val="000000"/>
          <w:szCs w:val="22"/>
        </w:rPr>
      </w:pPr>
    </w:p>
    <w:p w14:paraId="3D39512B"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Glivec 100 mg tabletes</w:t>
      </w:r>
    </w:p>
    <w:p w14:paraId="3D39512C" w14:textId="77777777" w:rsidR="009F6C80" w:rsidRPr="00AC1BAD" w:rsidRDefault="001727D3" w:rsidP="009B4BB6">
      <w:pPr>
        <w:widowControl w:val="0"/>
        <w:tabs>
          <w:tab w:val="clear" w:pos="567"/>
        </w:tabs>
        <w:spacing w:line="240" w:lineRule="auto"/>
        <w:ind w:left="567" w:hanging="567"/>
        <w:rPr>
          <w:i/>
          <w:color w:val="000000"/>
          <w:szCs w:val="22"/>
        </w:rPr>
      </w:pPr>
      <w:r w:rsidRPr="00AC1BAD">
        <w:rPr>
          <w:i/>
          <w:color w:val="000000"/>
          <w:szCs w:val="22"/>
        </w:rPr>
        <w:t>i</w:t>
      </w:r>
      <w:r w:rsidR="009F6C80" w:rsidRPr="00AC1BAD">
        <w:rPr>
          <w:i/>
          <w:color w:val="000000"/>
          <w:szCs w:val="22"/>
        </w:rPr>
        <w:t>matinib</w:t>
      </w:r>
      <w:r w:rsidR="0072796A" w:rsidRPr="00AC1BAD">
        <w:rPr>
          <w:i/>
          <w:color w:val="000000"/>
          <w:szCs w:val="22"/>
        </w:rPr>
        <w:t>um</w:t>
      </w:r>
    </w:p>
    <w:p w14:paraId="3D39512D" w14:textId="77777777" w:rsidR="009F6C80" w:rsidRPr="00CD729C" w:rsidRDefault="009F6C80" w:rsidP="009B4BB6">
      <w:pPr>
        <w:widowControl w:val="0"/>
        <w:tabs>
          <w:tab w:val="clear" w:pos="567"/>
        </w:tabs>
        <w:spacing w:line="240" w:lineRule="auto"/>
        <w:ind w:left="567" w:hanging="567"/>
        <w:rPr>
          <w:color w:val="000000"/>
          <w:szCs w:val="22"/>
        </w:rPr>
      </w:pPr>
    </w:p>
    <w:p w14:paraId="3D39512E" w14:textId="77777777" w:rsidR="009F6C80" w:rsidRPr="00CD729C" w:rsidRDefault="009F6C80" w:rsidP="009B4BB6">
      <w:pPr>
        <w:widowControl w:val="0"/>
        <w:tabs>
          <w:tab w:val="clear" w:pos="567"/>
        </w:tabs>
        <w:spacing w:line="240" w:lineRule="auto"/>
        <w:ind w:left="567" w:hanging="567"/>
        <w:rPr>
          <w:color w:val="000000"/>
          <w:szCs w:val="22"/>
        </w:rPr>
      </w:pPr>
    </w:p>
    <w:p w14:paraId="3D39512F"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2.</w:t>
      </w:r>
      <w:r w:rsidRPr="00CD729C">
        <w:rPr>
          <w:b/>
          <w:color w:val="000000"/>
          <w:szCs w:val="22"/>
        </w:rPr>
        <w:tab/>
        <w:t>REĢISTRĀCIJAS APLIECĪBAS ĪPAŠNIEKA NOSAUKUMS</w:t>
      </w:r>
    </w:p>
    <w:p w14:paraId="3D395130" w14:textId="77777777" w:rsidR="009F6C80" w:rsidRPr="00CD729C" w:rsidRDefault="009F6C80" w:rsidP="009B4BB6">
      <w:pPr>
        <w:widowControl w:val="0"/>
        <w:tabs>
          <w:tab w:val="clear" w:pos="567"/>
        </w:tabs>
        <w:spacing w:line="240" w:lineRule="auto"/>
        <w:ind w:left="567" w:hanging="567"/>
        <w:rPr>
          <w:color w:val="000000"/>
          <w:szCs w:val="22"/>
        </w:rPr>
      </w:pPr>
    </w:p>
    <w:p w14:paraId="3D395131"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Novartis Europharm Limited</w:t>
      </w:r>
    </w:p>
    <w:p w14:paraId="3D395132" w14:textId="77777777" w:rsidR="009F6C80" w:rsidRPr="00CD729C" w:rsidRDefault="009F6C80" w:rsidP="009B4BB6">
      <w:pPr>
        <w:widowControl w:val="0"/>
        <w:tabs>
          <w:tab w:val="clear" w:pos="567"/>
        </w:tabs>
        <w:spacing w:line="240" w:lineRule="auto"/>
        <w:ind w:left="567" w:hanging="567"/>
        <w:rPr>
          <w:color w:val="000000"/>
          <w:szCs w:val="22"/>
        </w:rPr>
      </w:pPr>
    </w:p>
    <w:p w14:paraId="3D395133" w14:textId="77777777" w:rsidR="009F6C80" w:rsidRPr="00CD729C" w:rsidRDefault="009F6C80" w:rsidP="009B4BB6">
      <w:pPr>
        <w:widowControl w:val="0"/>
        <w:tabs>
          <w:tab w:val="clear" w:pos="567"/>
        </w:tabs>
        <w:spacing w:line="240" w:lineRule="auto"/>
        <w:ind w:left="567" w:hanging="567"/>
        <w:rPr>
          <w:color w:val="000000"/>
          <w:szCs w:val="22"/>
        </w:rPr>
      </w:pPr>
    </w:p>
    <w:p w14:paraId="3D395134"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3.</w:t>
      </w:r>
      <w:r w:rsidRPr="00CD729C">
        <w:rPr>
          <w:b/>
          <w:color w:val="000000"/>
          <w:szCs w:val="22"/>
        </w:rPr>
        <w:tab/>
        <w:t>DERĪGUMA TERMIŅŠ</w:t>
      </w:r>
    </w:p>
    <w:p w14:paraId="3D395135" w14:textId="77777777" w:rsidR="009F6C80" w:rsidRPr="00CD729C" w:rsidRDefault="009F6C80" w:rsidP="009B4BB6">
      <w:pPr>
        <w:widowControl w:val="0"/>
        <w:tabs>
          <w:tab w:val="clear" w:pos="567"/>
        </w:tabs>
        <w:spacing w:line="240" w:lineRule="auto"/>
        <w:ind w:left="567" w:hanging="567"/>
        <w:rPr>
          <w:color w:val="000000"/>
          <w:szCs w:val="22"/>
        </w:rPr>
      </w:pPr>
    </w:p>
    <w:p w14:paraId="3D395136"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EXP</w:t>
      </w:r>
    </w:p>
    <w:p w14:paraId="3D395137" w14:textId="77777777" w:rsidR="009F6C80" w:rsidRPr="00CD729C" w:rsidRDefault="009F6C80" w:rsidP="009B4BB6">
      <w:pPr>
        <w:widowControl w:val="0"/>
        <w:tabs>
          <w:tab w:val="clear" w:pos="567"/>
        </w:tabs>
        <w:spacing w:line="240" w:lineRule="auto"/>
        <w:ind w:left="567" w:hanging="567"/>
        <w:rPr>
          <w:color w:val="000000"/>
          <w:szCs w:val="22"/>
        </w:rPr>
      </w:pPr>
    </w:p>
    <w:p w14:paraId="3D395138" w14:textId="77777777" w:rsidR="009F6C80" w:rsidRPr="00CD729C" w:rsidRDefault="009F6C80" w:rsidP="009B4BB6">
      <w:pPr>
        <w:widowControl w:val="0"/>
        <w:tabs>
          <w:tab w:val="clear" w:pos="567"/>
        </w:tabs>
        <w:spacing w:line="240" w:lineRule="auto"/>
        <w:ind w:left="567" w:hanging="567"/>
        <w:rPr>
          <w:color w:val="000000"/>
          <w:szCs w:val="22"/>
        </w:rPr>
      </w:pPr>
    </w:p>
    <w:p w14:paraId="3D395139"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4.</w:t>
      </w:r>
      <w:r w:rsidRPr="00CD729C">
        <w:rPr>
          <w:b/>
          <w:color w:val="000000"/>
          <w:szCs w:val="22"/>
        </w:rPr>
        <w:tab/>
        <w:t>SĒRIJAS NUMURS</w:t>
      </w:r>
    </w:p>
    <w:p w14:paraId="3D39513A" w14:textId="77777777" w:rsidR="009F6C80" w:rsidRPr="00CD729C" w:rsidRDefault="009F6C80" w:rsidP="009B4BB6">
      <w:pPr>
        <w:widowControl w:val="0"/>
        <w:tabs>
          <w:tab w:val="clear" w:pos="567"/>
        </w:tabs>
        <w:spacing w:line="240" w:lineRule="auto"/>
        <w:ind w:left="567" w:hanging="567"/>
        <w:rPr>
          <w:color w:val="000000"/>
          <w:szCs w:val="22"/>
        </w:rPr>
      </w:pPr>
    </w:p>
    <w:p w14:paraId="3D39513B" w14:textId="77777777" w:rsidR="009F6C80" w:rsidRPr="00CD729C" w:rsidRDefault="009F6C80" w:rsidP="009B4BB6">
      <w:pPr>
        <w:widowControl w:val="0"/>
        <w:tabs>
          <w:tab w:val="clear" w:pos="567"/>
        </w:tabs>
        <w:spacing w:line="240" w:lineRule="auto"/>
        <w:rPr>
          <w:color w:val="000000"/>
          <w:szCs w:val="22"/>
        </w:rPr>
      </w:pPr>
      <w:r w:rsidRPr="00CD729C">
        <w:rPr>
          <w:color w:val="000000"/>
          <w:szCs w:val="22"/>
        </w:rPr>
        <w:t>Lot</w:t>
      </w:r>
    </w:p>
    <w:p w14:paraId="3D39513C" w14:textId="77777777" w:rsidR="009F6C80" w:rsidRPr="00CD729C" w:rsidRDefault="009F6C80" w:rsidP="009B4BB6">
      <w:pPr>
        <w:widowControl w:val="0"/>
        <w:tabs>
          <w:tab w:val="clear" w:pos="567"/>
        </w:tabs>
        <w:spacing w:line="240" w:lineRule="auto"/>
        <w:rPr>
          <w:color w:val="000000"/>
          <w:szCs w:val="22"/>
        </w:rPr>
      </w:pPr>
    </w:p>
    <w:p w14:paraId="3D39513D" w14:textId="77777777" w:rsidR="009F6C80" w:rsidRPr="00CD729C" w:rsidRDefault="009F6C80" w:rsidP="009B4BB6">
      <w:pPr>
        <w:widowControl w:val="0"/>
        <w:tabs>
          <w:tab w:val="clear" w:pos="567"/>
        </w:tabs>
        <w:spacing w:line="240" w:lineRule="auto"/>
        <w:rPr>
          <w:color w:val="000000"/>
          <w:szCs w:val="22"/>
        </w:rPr>
      </w:pPr>
    </w:p>
    <w:p w14:paraId="3D39513E"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rPr>
      </w:pPr>
      <w:r w:rsidRPr="00CD729C">
        <w:rPr>
          <w:b/>
        </w:rPr>
        <w:t>5.</w:t>
      </w:r>
      <w:r w:rsidRPr="00CD729C">
        <w:rPr>
          <w:b/>
        </w:rPr>
        <w:tab/>
        <w:t>CITA</w:t>
      </w:r>
    </w:p>
    <w:p w14:paraId="3D39513F" w14:textId="77777777" w:rsidR="009F6C80" w:rsidRPr="00CD729C" w:rsidRDefault="009F6C80" w:rsidP="009B4BB6">
      <w:pPr>
        <w:widowControl w:val="0"/>
        <w:tabs>
          <w:tab w:val="clear" w:pos="567"/>
        </w:tabs>
        <w:spacing w:line="240" w:lineRule="auto"/>
        <w:ind w:left="567" w:hanging="567"/>
        <w:rPr>
          <w:color w:val="000000"/>
          <w:szCs w:val="22"/>
        </w:rPr>
      </w:pPr>
    </w:p>
    <w:p w14:paraId="3D395140" w14:textId="77777777" w:rsidR="009F6C80" w:rsidRPr="00CD729C" w:rsidRDefault="009F6C80" w:rsidP="009B4BB6">
      <w:pPr>
        <w:widowControl w:val="0"/>
        <w:tabs>
          <w:tab w:val="clear" w:pos="567"/>
        </w:tabs>
        <w:spacing w:line="240" w:lineRule="auto"/>
        <w:ind w:left="567" w:hanging="567"/>
        <w:rPr>
          <w:color w:val="000000"/>
          <w:szCs w:val="22"/>
        </w:rPr>
      </w:pPr>
      <w:r w:rsidRPr="00CD729C">
        <w:rPr>
          <w:b/>
          <w:color w:val="000000"/>
          <w:szCs w:val="22"/>
        </w:rPr>
        <w:br w:type="page"/>
      </w:r>
    </w:p>
    <w:p w14:paraId="3D395141" w14:textId="77777777" w:rsidR="00CC116F" w:rsidRPr="00CC116F" w:rsidRDefault="00CC116F" w:rsidP="00CC116F">
      <w:pPr>
        <w:widowControl w:val="0"/>
        <w:tabs>
          <w:tab w:val="clear" w:pos="567"/>
        </w:tabs>
        <w:spacing w:line="240" w:lineRule="auto"/>
        <w:ind w:left="567" w:hanging="567"/>
        <w:rPr>
          <w:color w:val="000000"/>
          <w:szCs w:val="22"/>
        </w:rPr>
      </w:pPr>
    </w:p>
    <w:p w14:paraId="3D395142"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color w:val="000000"/>
          <w:szCs w:val="22"/>
        </w:rPr>
      </w:pPr>
      <w:r w:rsidRPr="00CD729C">
        <w:rPr>
          <w:b/>
          <w:color w:val="000000"/>
          <w:szCs w:val="22"/>
        </w:rPr>
        <w:t>INFORMĀCIJA, KAS JĀNORĀDA UZ ĀRĒJĀ IEPAKOJUMA</w:t>
      </w:r>
    </w:p>
    <w:p w14:paraId="3D395143"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rPr>
      </w:pPr>
    </w:p>
    <w:p w14:paraId="3D395144"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spacing w:line="240" w:lineRule="auto"/>
        <w:ind w:left="567" w:hanging="567"/>
        <w:rPr>
          <w:b/>
          <w:color w:val="000000"/>
          <w:szCs w:val="22"/>
        </w:rPr>
      </w:pPr>
      <w:r w:rsidRPr="00CD729C">
        <w:rPr>
          <w:rStyle w:val="CommentReference"/>
          <w:b/>
          <w:color w:val="000000"/>
          <w:sz w:val="22"/>
          <w:szCs w:val="22"/>
        </w:rPr>
        <w:t>KĀRBA</w:t>
      </w:r>
    </w:p>
    <w:p w14:paraId="3D395145" w14:textId="77777777" w:rsidR="009F6C80" w:rsidRPr="00CD729C" w:rsidRDefault="009F6C80" w:rsidP="009B4BB6">
      <w:pPr>
        <w:widowControl w:val="0"/>
        <w:tabs>
          <w:tab w:val="clear" w:pos="567"/>
        </w:tabs>
        <w:spacing w:line="240" w:lineRule="auto"/>
        <w:ind w:left="567" w:hanging="567"/>
        <w:rPr>
          <w:color w:val="000000"/>
          <w:szCs w:val="22"/>
        </w:rPr>
      </w:pPr>
    </w:p>
    <w:p w14:paraId="3D395146" w14:textId="77777777" w:rsidR="009F6C80" w:rsidRPr="00CD729C" w:rsidRDefault="009F6C80" w:rsidP="009B4BB6">
      <w:pPr>
        <w:widowControl w:val="0"/>
        <w:tabs>
          <w:tab w:val="clear" w:pos="567"/>
        </w:tabs>
        <w:spacing w:line="240" w:lineRule="auto"/>
        <w:ind w:left="567" w:hanging="567"/>
        <w:rPr>
          <w:color w:val="000000"/>
          <w:szCs w:val="22"/>
        </w:rPr>
      </w:pPr>
    </w:p>
    <w:p w14:paraId="3D395147"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w:t>
      </w:r>
      <w:r w:rsidRPr="00CD729C">
        <w:rPr>
          <w:b/>
          <w:color w:val="000000"/>
          <w:szCs w:val="22"/>
        </w:rPr>
        <w:tab/>
        <w:t>ZĀĻU NOSAUKUMS</w:t>
      </w:r>
    </w:p>
    <w:p w14:paraId="3D395148" w14:textId="77777777" w:rsidR="009F6C80" w:rsidRPr="00CD729C" w:rsidRDefault="009F6C80" w:rsidP="009B4BB6">
      <w:pPr>
        <w:widowControl w:val="0"/>
        <w:tabs>
          <w:tab w:val="clear" w:pos="567"/>
        </w:tabs>
        <w:spacing w:line="240" w:lineRule="auto"/>
        <w:ind w:left="567" w:hanging="567"/>
        <w:rPr>
          <w:color w:val="000000"/>
          <w:szCs w:val="22"/>
        </w:rPr>
      </w:pPr>
    </w:p>
    <w:p w14:paraId="3D395149"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Glivec 400 mg apvalkotās tabletes</w:t>
      </w:r>
    </w:p>
    <w:p w14:paraId="3D39514A" w14:textId="77777777" w:rsidR="009F6C80" w:rsidRPr="00AC1BAD" w:rsidRDefault="001727D3" w:rsidP="009B4BB6">
      <w:pPr>
        <w:widowControl w:val="0"/>
        <w:tabs>
          <w:tab w:val="clear" w:pos="567"/>
        </w:tabs>
        <w:spacing w:line="240" w:lineRule="auto"/>
        <w:ind w:left="567" w:hanging="567"/>
        <w:rPr>
          <w:i/>
          <w:color w:val="000000"/>
          <w:szCs w:val="22"/>
        </w:rPr>
      </w:pPr>
      <w:r w:rsidRPr="00AC1BAD">
        <w:rPr>
          <w:i/>
          <w:color w:val="000000"/>
          <w:szCs w:val="22"/>
        </w:rPr>
        <w:t>i</w:t>
      </w:r>
      <w:r w:rsidR="009F6C80" w:rsidRPr="00AC1BAD">
        <w:rPr>
          <w:i/>
          <w:color w:val="000000"/>
          <w:szCs w:val="22"/>
        </w:rPr>
        <w:t>matinib</w:t>
      </w:r>
      <w:r w:rsidR="0072796A" w:rsidRPr="00AC1BAD">
        <w:rPr>
          <w:i/>
          <w:color w:val="000000"/>
          <w:szCs w:val="22"/>
        </w:rPr>
        <w:t>um</w:t>
      </w:r>
    </w:p>
    <w:p w14:paraId="3D39514B" w14:textId="77777777" w:rsidR="009F6C80" w:rsidRPr="00CD729C" w:rsidRDefault="009F6C80" w:rsidP="009B4BB6">
      <w:pPr>
        <w:widowControl w:val="0"/>
        <w:tabs>
          <w:tab w:val="clear" w:pos="567"/>
        </w:tabs>
        <w:spacing w:line="240" w:lineRule="auto"/>
        <w:ind w:left="567" w:hanging="567"/>
        <w:rPr>
          <w:color w:val="000000"/>
          <w:szCs w:val="22"/>
        </w:rPr>
      </w:pPr>
    </w:p>
    <w:p w14:paraId="3D39514C" w14:textId="77777777" w:rsidR="009F6C80" w:rsidRPr="00CD729C" w:rsidRDefault="009F6C80" w:rsidP="009B4BB6">
      <w:pPr>
        <w:widowControl w:val="0"/>
        <w:tabs>
          <w:tab w:val="clear" w:pos="567"/>
        </w:tabs>
        <w:spacing w:line="240" w:lineRule="auto"/>
        <w:ind w:left="567" w:hanging="567"/>
        <w:rPr>
          <w:color w:val="000000"/>
          <w:szCs w:val="22"/>
        </w:rPr>
      </w:pPr>
    </w:p>
    <w:p w14:paraId="3D39514D"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2.</w:t>
      </w:r>
      <w:r w:rsidRPr="00CD729C">
        <w:rPr>
          <w:b/>
          <w:color w:val="000000"/>
          <w:szCs w:val="22"/>
        </w:rPr>
        <w:tab/>
        <w:t>AKTĪVĀS(</w:t>
      </w:r>
      <w:r w:rsidR="0097555D" w:rsidRPr="00CD729C">
        <w:rPr>
          <w:b/>
          <w:color w:val="000000"/>
          <w:szCs w:val="22"/>
        </w:rPr>
        <w:t>-</w:t>
      </w:r>
      <w:r w:rsidRPr="00CD729C">
        <w:rPr>
          <w:b/>
          <w:color w:val="000000"/>
          <w:szCs w:val="22"/>
        </w:rPr>
        <w:t>O) VIELAS(</w:t>
      </w:r>
      <w:r w:rsidR="0097555D" w:rsidRPr="00CD729C">
        <w:rPr>
          <w:b/>
          <w:color w:val="000000"/>
          <w:szCs w:val="22"/>
        </w:rPr>
        <w:t>-</w:t>
      </w:r>
      <w:r w:rsidRPr="00CD729C">
        <w:rPr>
          <w:b/>
          <w:color w:val="000000"/>
          <w:szCs w:val="22"/>
        </w:rPr>
        <w:t>U) NOSAUKUMS(</w:t>
      </w:r>
      <w:r w:rsidR="0097555D" w:rsidRPr="00CD729C">
        <w:rPr>
          <w:b/>
          <w:color w:val="000000"/>
          <w:szCs w:val="22"/>
        </w:rPr>
        <w:t>-</w:t>
      </w:r>
      <w:r w:rsidRPr="00CD729C">
        <w:rPr>
          <w:b/>
          <w:color w:val="000000"/>
          <w:szCs w:val="22"/>
        </w:rPr>
        <w:t>I)</w:t>
      </w:r>
      <w:r w:rsidRPr="00CD729C">
        <w:rPr>
          <w:b/>
        </w:rPr>
        <w:t xml:space="preserve"> UN DAUDZUMS(</w:t>
      </w:r>
      <w:r w:rsidR="0097555D" w:rsidRPr="00CD729C">
        <w:rPr>
          <w:b/>
        </w:rPr>
        <w:t>-</w:t>
      </w:r>
      <w:r w:rsidRPr="00CD729C">
        <w:rPr>
          <w:b/>
        </w:rPr>
        <w:t>I)</w:t>
      </w:r>
    </w:p>
    <w:p w14:paraId="3D39514E" w14:textId="77777777" w:rsidR="009F6C80" w:rsidRPr="00CD729C" w:rsidRDefault="009F6C80" w:rsidP="009B4BB6">
      <w:pPr>
        <w:widowControl w:val="0"/>
        <w:tabs>
          <w:tab w:val="clear" w:pos="567"/>
        </w:tabs>
        <w:spacing w:line="240" w:lineRule="auto"/>
        <w:ind w:left="567" w:hanging="567"/>
        <w:rPr>
          <w:color w:val="000000"/>
          <w:szCs w:val="22"/>
        </w:rPr>
      </w:pPr>
    </w:p>
    <w:p w14:paraId="3D39514F"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Viena apvalkotā tablete satur 400 mg imatiniba (me</w:t>
      </w:r>
      <w:r w:rsidR="0072796A">
        <w:rPr>
          <w:color w:val="000000"/>
          <w:szCs w:val="22"/>
        </w:rPr>
        <w:t>s</w:t>
      </w:r>
      <w:r w:rsidRPr="00CD729C">
        <w:rPr>
          <w:color w:val="000000"/>
          <w:szCs w:val="22"/>
        </w:rPr>
        <w:t>ilāta formā).</w:t>
      </w:r>
    </w:p>
    <w:p w14:paraId="3D395150" w14:textId="77777777" w:rsidR="009F6C80" w:rsidRPr="00CD729C" w:rsidRDefault="009F6C80" w:rsidP="009B4BB6">
      <w:pPr>
        <w:widowControl w:val="0"/>
        <w:tabs>
          <w:tab w:val="clear" w:pos="567"/>
        </w:tabs>
        <w:spacing w:line="240" w:lineRule="auto"/>
        <w:ind w:left="567" w:hanging="567"/>
        <w:rPr>
          <w:color w:val="000000"/>
          <w:szCs w:val="22"/>
        </w:rPr>
      </w:pPr>
    </w:p>
    <w:p w14:paraId="3D395151" w14:textId="77777777" w:rsidR="009F6C80" w:rsidRPr="00CD729C" w:rsidRDefault="009F6C80" w:rsidP="009B4BB6">
      <w:pPr>
        <w:widowControl w:val="0"/>
        <w:tabs>
          <w:tab w:val="clear" w:pos="567"/>
        </w:tabs>
        <w:spacing w:line="240" w:lineRule="auto"/>
        <w:ind w:left="567" w:hanging="567"/>
        <w:rPr>
          <w:color w:val="000000"/>
          <w:szCs w:val="22"/>
        </w:rPr>
      </w:pPr>
    </w:p>
    <w:p w14:paraId="3D395152"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3.</w:t>
      </w:r>
      <w:r w:rsidRPr="00CD729C">
        <w:rPr>
          <w:b/>
          <w:color w:val="000000"/>
          <w:szCs w:val="22"/>
        </w:rPr>
        <w:tab/>
        <w:t>PALĪGVIELU SARAKSTS</w:t>
      </w:r>
    </w:p>
    <w:p w14:paraId="3D395153" w14:textId="77777777" w:rsidR="009F6C80" w:rsidRPr="00CD729C" w:rsidRDefault="009F6C80" w:rsidP="009B4BB6">
      <w:pPr>
        <w:widowControl w:val="0"/>
        <w:tabs>
          <w:tab w:val="clear" w:pos="567"/>
        </w:tabs>
        <w:spacing w:line="240" w:lineRule="auto"/>
        <w:ind w:left="567" w:hanging="567"/>
        <w:rPr>
          <w:color w:val="000000"/>
          <w:szCs w:val="22"/>
        </w:rPr>
      </w:pPr>
    </w:p>
    <w:p w14:paraId="3D395154" w14:textId="77777777" w:rsidR="009F6C80" w:rsidRPr="00CD729C" w:rsidRDefault="009F6C80" w:rsidP="009B4BB6">
      <w:pPr>
        <w:widowControl w:val="0"/>
        <w:tabs>
          <w:tab w:val="clear" w:pos="567"/>
        </w:tabs>
        <w:spacing w:line="240" w:lineRule="auto"/>
        <w:ind w:left="567" w:hanging="567"/>
        <w:rPr>
          <w:color w:val="000000"/>
          <w:szCs w:val="22"/>
        </w:rPr>
      </w:pPr>
    </w:p>
    <w:p w14:paraId="3D395155"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4.</w:t>
      </w:r>
      <w:r w:rsidRPr="00CD729C">
        <w:rPr>
          <w:b/>
          <w:color w:val="000000"/>
          <w:szCs w:val="22"/>
        </w:rPr>
        <w:tab/>
        <w:t>ZĀĻU FORMA UN SATURS</w:t>
      </w:r>
    </w:p>
    <w:p w14:paraId="3D395156" w14:textId="77777777" w:rsidR="009F6C80" w:rsidRPr="00CD729C" w:rsidRDefault="009F6C80" w:rsidP="009B4BB6">
      <w:pPr>
        <w:widowControl w:val="0"/>
        <w:tabs>
          <w:tab w:val="clear" w:pos="567"/>
        </w:tabs>
        <w:spacing w:line="240" w:lineRule="auto"/>
        <w:ind w:left="567" w:hanging="567"/>
        <w:rPr>
          <w:color w:val="000000"/>
          <w:szCs w:val="22"/>
        </w:rPr>
      </w:pPr>
    </w:p>
    <w:p w14:paraId="3D395157"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10 apvalkotās tabletes</w:t>
      </w:r>
    </w:p>
    <w:p w14:paraId="3D395158" w14:textId="77777777" w:rsidR="009F6C80" w:rsidRPr="00CD729C" w:rsidRDefault="009F6C80" w:rsidP="009B4BB6">
      <w:pPr>
        <w:widowControl w:val="0"/>
        <w:tabs>
          <w:tab w:val="clear" w:pos="567"/>
        </w:tabs>
        <w:spacing w:line="240" w:lineRule="auto"/>
        <w:ind w:left="567" w:hanging="567"/>
        <w:rPr>
          <w:color w:val="000000"/>
          <w:szCs w:val="22"/>
          <w:shd w:val="clear" w:color="auto" w:fill="D9D9D9"/>
        </w:rPr>
      </w:pPr>
      <w:r w:rsidRPr="00CD729C">
        <w:rPr>
          <w:color w:val="000000"/>
          <w:szCs w:val="22"/>
          <w:shd w:val="clear" w:color="auto" w:fill="D9D9D9"/>
        </w:rPr>
        <w:t>30 apvalkotās tabletes</w:t>
      </w:r>
    </w:p>
    <w:p w14:paraId="3D395159" w14:textId="77777777" w:rsidR="009F6C80" w:rsidRPr="00CD729C" w:rsidRDefault="009F6C80" w:rsidP="009B4BB6">
      <w:pPr>
        <w:widowControl w:val="0"/>
        <w:tabs>
          <w:tab w:val="clear" w:pos="567"/>
        </w:tabs>
        <w:spacing w:line="240" w:lineRule="auto"/>
        <w:ind w:left="567" w:hanging="567"/>
        <w:rPr>
          <w:color w:val="000000"/>
          <w:szCs w:val="22"/>
          <w:shd w:val="clear" w:color="auto" w:fill="D9D9D9"/>
        </w:rPr>
      </w:pPr>
      <w:r w:rsidRPr="00CD729C">
        <w:rPr>
          <w:color w:val="000000"/>
          <w:szCs w:val="22"/>
          <w:shd w:val="clear" w:color="auto" w:fill="D9D9D9"/>
        </w:rPr>
        <w:t>90 apvalkotās tabletes</w:t>
      </w:r>
    </w:p>
    <w:p w14:paraId="3D39515A" w14:textId="77777777" w:rsidR="009F6C80" w:rsidRPr="00CD729C" w:rsidRDefault="009F6C80" w:rsidP="009B4BB6">
      <w:pPr>
        <w:widowControl w:val="0"/>
        <w:tabs>
          <w:tab w:val="clear" w:pos="567"/>
        </w:tabs>
        <w:spacing w:line="240" w:lineRule="auto"/>
        <w:ind w:left="567" w:hanging="567"/>
        <w:rPr>
          <w:color w:val="000000"/>
          <w:szCs w:val="22"/>
        </w:rPr>
      </w:pPr>
    </w:p>
    <w:p w14:paraId="3D39515B" w14:textId="77777777" w:rsidR="009F6C80" w:rsidRPr="00CD729C" w:rsidRDefault="009F6C80" w:rsidP="009B4BB6">
      <w:pPr>
        <w:widowControl w:val="0"/>
        <w:tabs>
          <w:tab w:val="clear" w:pos="567"/>
        </w:tabs>
        <w:spacing w:line="240" w:lineRule="auto"/>
        <w:ind w:left="567" w:hanging="567"/>
        <w:rPr>
          <w:color w:val="000000"/>
          <w:szCs w:val="22"/>
        </w:rPr>
      </w:pPr>
    </w:p>
    <w:p w14:paraId="3D39515C"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5.</w:t>
      </w:r>
      <w:r w:rsidRPr="00CD729C">
        <w:rPr>
          <w:b/>
          <w:color w:val="000000"/>
          <w:szCs w:val="22"/>
        </w:rPr>
        <w:tab/>
        <w:t>LIETOŠANAS UN IEVADĪŠANAS VEIDS</w:t>
      </w:r>
      <w:r w:rsidR="0097555D" w:rsidRPr="00CD729C">
        <w:rPr>
          <w:b/>
          <w:color w:val="000000"/>
          <w:szCs w:val="22"/>
        </w:rPr>
        <w:t>(-I)</w:t>
      </w:r>
    </w:p>
    <w:p w14:paraId="3D39515D" w14:textId="77777777" w:rsidR="009F6C80" w:rsidRPr="00CD729C" w:rsidRDefault="009F6C80" w:rsidP="009B4BB6">
      <w:pPr>
        <w:widowControl w:val="0"/>
        <w:tabs>
          <w:tab w:val="clear" w:pos="567"/>
        </w:tabs>
        <w:spacing w:line="240" w:lineRule="auto"/>
        <w:ind w:left="567" w:hanging="567"/>
        <w:rPr>
          <w:color w:val="000000"/>
          <w:szCs w:val="22"/>
        </w:rPr>
      </w:pPr>
    </w:p>
    <w:p w14:paraId="3D39515E"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Iekšķīgai lietošanai. Pirms lietošanas izlasiet lietošanas instrukciju.</w:t>
      </w:r>
    </w:p>
    <w:p w14:paraId="3D39515F" w14:textId="77777777" w:rsidR="009F6C80" w:rsidRPr="00CD729C" w:rsidRDefault="009F6C80" w:rsidP="009B4BB6">
      <w:pPr>
        <w:widowControl w:val="0"/>
        <w:tabs>
          <w:tab w:val="clear" w:pos="567"/>
        </w:tabs>
        <w:spacing w:line="240" w:lineRule="auto"/>
        <w:ind w:left="567" w:hanging="567"/>
        <w:rPr>
          <w:color w:val="000000"/>
          <w:szCs w:val="22"/>
        </w:rPr>
      </w:pPr>
    </w:p>
    <w:p w14:paraId="3D395160" w14:textId="77777777" w:rsidR="009F6C80" w:rsidRPr="00CD729C" w:rsidRDefault="009F6C80" w:rsidP="009B4BB6">
      <w:pPr>
        <w:widowControl w:val="0"/>
        <w:tabs>
          <w:tab w:val="clear" w:pos="567"/>
        </w:tabs>
        <w:spacing w:line="240" w:lineRule="auto"/>
        <w:ind w:left="567" w:hanging="567"/>
        <w:rPr>
          <w:color w:val="000000"/>
          <w:szCs w:val="22"/>
        </w:rPr>
      </w:pPr>
    </w:p>
    <w:p w14:paraId="3D395161"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6.</w:t>
      </w:r>
      <w:r w:rsidRPr="00CD729C">
        <w:rPr>
          <w:b/>
          <w:color w:val="000000"/>
          <w:szCs w:val="22"/>
        </w:rPr>
        <w:tab/>
        <w:t xml:space="preserve">ĪPAŠI BRĪDINĀJUMI PAR ZĀĻU UZGLABĀŠANU BĒRNIEM </w:t>
      </w:r>
      <w:r w:rsidR="0097555D" w:rsidRPr="00CD729C">
        <w:rPr>
          <w:b/>
          <w:color w:val="000000"/>
          <w:szCs w:val="22"/>
        </w:rPr>
        <w:t xml:space="preserve">NEREDZAMĀ UN </w:t>
      </w:r>
      <w:r w:rsidRPr="00CD729C">
        <w:rPr>
          <w:b/>
          <w:color w:val="000000"/>
          <w:szCs w:val="22"/>
        </w:rPr>
        <w:t>NEPIEEJAMĀ VIETĀ</w:t>
      </w:r>
    </w:p>
    <w:p w14:paraId="3D395162" w14:textId="77777777" w:rsidR="009F6C80" w:rsidRPr="00CD729C" w:rsidRDefault="009F6C80" w:rsidP="009B4BB6">
      <w:pPr>
        <w:widowControl w:val="0"/>
        <w:tabs>
          <w:tab w:val="clear" w:pos="567"/>
        </w:tabs>
        <w:spacing w:line="240" w:lineRule="auto"/>
        <w:ind w:left="567" w:hanging="567"/>
        <w:rPr>
          <w:color w:val="000000"/>
          <w:szCs w:val="22"/>
        </w:rPr>
      </w:pPr>
    </w:p>
    <w:p w14:paraId="3D395163"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 xml:space="preserve">Uzglabāt bērniem </w:t>
      </w:r>
      <w:r w:rsidR="0097555D" w:rsidRPr="00CD729C">
        <w:rPr>
          <w:szCs w:val="22"/>
        </w:rPr>
        <w:t xml:space="preserve">neredzamā un </w:t>
      </w:r>
      <w:r w:rsidRPr="00CD729C">
        <w:rPr>
          <w:color w:val="000000"/>
          <w:szCs w:val="22"/>
        </w:rPr>
        <w:t>nepieejamā vietā.</w:t>
      </w:r>
    </w:p>
    <w:p w14:paraId="3D395164" w14:textId="77777777" w:rsidR="009F6C80" w:rsidRPr="00CD729C" w:rsidRDefault="009F6C80" w:rsidP="009B4BB6">
      <w:pPr>
        <w:widowControl w:val="0"/>
        <w:tabs>
          <w:tab w:val="clear" w:pos="567"/>
        </w:tabs>
        <w:spacing w:line="240" w:lineRule="auto"/>
        <w:ind w:left="567" w:hanging="567"/>
        <w:rPr>
          <w:color w:val="000000"/>
          <w:szCs w:val="22"/>
        </w:rPr>
      </w:pPr>
    </w:p>
    <w:p w14:paraId="3D395165" w14:textId="77777777" w:rsidR="009F6C80" w:rsidRPr="00CD729C" w:rsidRDefault="009F6C80" w:rsidP="009B4BB6">
      <w:pPr>
        <w:widowControl w:val="0"/>
        <w:tabs>
          <w:tab w:val="clear" w:pos="567"/>
        </w:tabs>
        <w:spacing w:line="240" w:lineRule="auto"/>
        <w:ind w:left="567" w:hanging="567"/>
        <w:rPr>
          <w:color w:val="000000"/>
          <w:szCs w:val="22"/>
        </w:rPr>
      </w:pPr>
    </w:p>
    <w:p w14:paraId="3D395166"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7.</w:t>
      </w:r>
      <w:r w:rsidRPr="00CD729C">
        <w:rPr>
          <w:b/>
          <w:color w:val="000000"/>
          <w:szCs w:val="22"/>
        </w:rPr>
        <w:tab/>
        <w:t>CITI ĪPAŠI BRĪDINĀJUMI, JA NEPIECIEŠAMS</w:t>
      </w:r>
    </w:p>
    <w:p w14:paraId="3D395167" w14:textId="77777777" w:rsidR="009F6C80" w:rsidRPr="00CD729C" w:rsidRDefault="009F6C80" w:rsidP="009B4BB6">
      <w:pPr>
        <w:widowControl w:val="0"/>
        <w:tabs>
          <w:tab w:val="clear" w:pos="567"/>
        </w:tabs>
        <w:spacing w:line="240" w:lineRule="auto"/>
        <w:ind w:left="567" w:hanging="567"/>
        <w:rPr>
          <w:color w:val="000000"/>
          <w:szCs w:val="22"/>
        </w:rPr>
      </w:pPr>
    </w:p>
    <w:p w14:paraId="3D395168"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Lietot tikai tā, kā noteicis ārsts.</w:t>
      </w:r>
    </w:p>
    <w:p w14:paraId="3D395169" w14:textId="77777777" w:rsidR="009F6C80" w:rsidRPr="00CD729C" w:rsidRDefault="009F6C80" w:rsidP="009B4BB6">
      <w:pPr>
        <w:widowControl w:val="0"/>
        <w:tabs>
          <w:tab w:val="clear" w:pos="567"/>
        </w:tabs>
        <w:spacing w:line="240" w:lineRule="auto"/>
        <w:ind w:left="567" w:hanging="567"/>
        <w:rPr>
          <w:color w:val="000000"/>
          <w:szCs w:val="22"/>
        </w:rPr>
      </w:pPr>
    </w:p>
    <w:p w14:paraId="3D39516A" w14:textId="77777777" w:rsidR="009F6C80" w:rsidRPr="00CD729C" w:rsidRDefault="009F6C80" w:rsidP="009B4BB6">
      <w:pPr>
        <w:widowControl w:val="0"/>
        <w:tabs>
          <w:tab w:val="clear" w:pos="567"/>
        </w:tabs>
        <w:spacing w:line="240" w:lineRule="auto"/>
        <w:ind w:left="567" w:hanging="567"/>
        <w:rPr>
          <w:color w:val="000000"/>
          <w:szCs w:val="22"/>
        </w:rPr>
      </w:pPr>
    </w:p>
    <w:p w14:paraId="3D39516B"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8.</w:t>
      </w:r>
      <w:r w:rsidRPr="00CD729C">
        <w:rPr>
          <w:b/>
          <w:color w:val="000000"/>
          <w:szCs w:val="22"/>
        </w:rPr>
        <w:tab/>
        <w:t>DERĪGUMA TERMIŅŠ</w:t>
      </w:r>
    </w:p>
    <w:p w14:paraId="3D39516C" w14:textId="77777777" w:rsidR="009F6C80" w:rsidRPr="00CD729C" w:rsidRDefault="009F6C80" w:rsidP="009B4BB6">
      <w:pPr>
        <w:widowControl w:val="0"/>
        <w:tabs>
          <w:tab w:val="clear" w:pos="567"/>
        </w:tabs>
        <w:spacing w:line="240" w:lineRule="auto"/>
        <w:ind w:left="567" w:hanging="567"/>
        <w:rPr>
          <w:color w:val="000000"/>
          <w:szCs w:val="22"/>
        </w:rPr>
      </w:pPr>
    </w:p>
    <w:p w14:paraId="3D39516D" w14:textId="77777777" w:rsidR="009F6C80" w:rsidRPr="00CD729C" w:rsidRDefault="00275CCD" w:rsidP="009B4BB6">
      <w:pPr>
        <w:widowControl w:val="0"/>
        <w:tabs>
          <w:tab w:val="clear" w:pos="567"/>
        </w:tabs>
        <w:spacing w:line="240" w:lineRule="auto"/>
        <w:ind w:left="567" w:hanging="567"/>
        <w:rPr>
          <w:color w:val="000000"/>
          <w:szCs w:val="22"/>
        </w:rPr>
      </w:pPr>
      <w:r>
        <w:rPr>
          <w:color w:val="000000"/>
          <w:szCs w:val="22"/>
        </w:rPr>
        <w:t>EXP</w:t>
      </w:r>
    </w:p>
    <w:p w14:paraId="3D39516E" w14:textId="77777777" w:rsidR="009F6C80" w:rsidRPr="00CD729C" w:rsidRDefault="009F6C80" w:rsidP="009B4BB6">
      <w:pPr>
        <w:widowControl w:val="0"/>
        <w:tabs>
          <w:tab w:val="clear" w:pos="567"/>
        </w:tabs>
        <w:spacing w:line="240" w:lineRule="auto"/>
        <w:ind w:left="567" w:hanging="567"/>
        <w:rPr>
          <w:color w:val="000000"/>
          <w:szCs w:val="22"/>
        </w:rPr>
      </w:pPr>
    </w:p>
    <w:p w14:paraId="3D39516F" w14:textId="77777777" w:rsidR="009F6C80" w:rsidRPr="00CD729C" w:rsidRDefault="009F6C80" w:rsidP="009B4BB6">
      <w:pPr>
        <w:widowControl w:val="0"/>
        <w:tabs>
          <w:tab w:val="clear" w:pos="567"/>
        </w:tabs>
        <w:spacing w:line="240" w:lineRule="auto"/>
        <w:ind w:left="567" w:hanging="567"/>
        <w:rPr>
          <w:color w:val="000000"/>
          <w:szCs w:val="22"/>
        </w:rPr>
      </w:pPr>
    </w:p>
    <w:p w14:paraId="3D395170" w14:textId="77777777" w:rsidR="009F6C80" w:rsidRPr="00CD729C" w:rsidRDefault="009F6C80" w:rsidP="009B4BB6">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color w:val="000000"/>
          <w:szCs w:val="22"/>
        </w:rPr>
      </w:pPr>
      <w:r w:rsidRPr="00CD729C">
        <w:rPr>
          <w:b/>
          <w:color w:val="000000"/>
          <w:szCs w:val="22"/>
        </w:rPr>
        <w:t>9.</w:t>
      </w:r>
      <w:r w:rsidRPr="00CD729C">
        <w:rPr>
          <w:b/>
          <w:color w:val="000000"/>
          <w:szCs w:val="22"/>
        </w:rPr>
        <w:tab/>
        <w:t>ĪPAŠI UZGLABĀŠANAS NOSACĪJUMI</w:t>
      </w:r>
    </w:p>
    <w:p w14:paraId="3D395171" w14:textId="77777777" w:rsidR="009F6C80" w:rsidRPr="00CD729C" w:rsidRDefault="009F6C80" w:rsidP="009B4BB6">
      <w:pPr>
        <w:keepNext/>
        <w:keepLines/>
        <w:widowControl w:val="0"/>
        <w:tabs>
          <w:tab w:val="clear" w:pos="567"/>
        </w:tabs>
        <w:spacing w:line="240" w:lineRule="auto"/>
        <w:ind w:left="567" w:hanging="567"/>
        <w:rPr>
          <w:color w:val="000000"/>
          <w:szCs w:val="22"/>
        </w:rPr>
      </w:pPr>
    </w:p>
    <w:p w14:paraId="3D395172" w14:textId="77777777" w:rsidR="009F6C80" w:rsidRPr="00CD729C" w:rsidRDefault="009F6C80" w:rsidP="009B4BB6">
      <w:pPr>
        <w:keepNext/>
        <w:keepLines/>
        <w:widowControl w:val="0"/>
        <w:tabs>
          <w:tab w:val="clear" w:pos="567"/>
        </w:tabs>
        <w:spacing w:line="240" w:lineRule="auto"/>
        <w:ind w:left="567" w:hanging="567"/>
        <w:rPr>
          <w:color w:val="000000"/>
          <w:szCs w:val="22"/>
        </w:rPr>
      </w:pPr>
      <w:r w:rsidRPr="00CD729C">
        <w:rPr>
          <w:color w:val="000000"/>
          <w:szCs w:val="22"/>
        </w:rPr>
        <w:t>Uzglabāt temperatūrā līdz 30</w:t>
      </w:r>
      <w:r w:rsidRPr="00CD729C">
        <w:rPr>
          <w:color w:val="000000"/>
          <w:szCs w:val="22"/>
        </w:rPr>
        <w:sym w:font="Symbol" w:char="F0B0"/>
      </w:r>
      <w:r w:rsidRPr="00CD729C">
        <w:rPr>
          <w:color w:val="000000"/>
          <w:szCs w:val="22"/>
        </w:rPr>
        <w:t>C. Uzglabāt oriģinālā iepakojumā</w:t>
      </w:r>
      <w:r w:rsidR="0072796A">
        <w:rPr>
          <w:color w:val="000000"/>
          <w:szCs w:val="22"/>
        </w:rPr>
        <w:t>, lai pas</w:t>
      </w:r>
      <w:r w:rsidRPr="00CD729C">
        <w:rPr>
          <w:color w:val="000000"/>
          <w:szCs w:val="22"/>
        </w:rPr>
        <w:t>argāt</w:t>
      </w:r>
      <w:r w:rsidR="0072796A">
        <w:rPr>
          <w:color w:val="000000"/>
          <w:szCs w:val="22"/>
        </w:rPr>
        <w:t>u</w:t>
      </w:r>
      <w:r w:rsidRPr="00CD729C">
        <w:rPr>
          <w:color w:val="000000"/>
          <w:szCs w:val="22"/>
        </w:rPr>
        <w:t xml:space="preserve"> no mitruma.</w:t>
      </w:r>
    </w:p>
    <w:p w14:paraId="3D395173" w14:textId="77777777" w:rsidR="009F6C80" w:rsidRPr="00CD729C" w:rsidRDefault="009F6C80" w:rsidP="009B4BB6">
      <w:pPr>
        <w:widowControl w:val="0"/>
        <w:tabs>
          <w:tab w:val="clear" w:pos="567"/>
        </w:tabs>
        <w:spacing w:line="240" w:lineRule="auto"/>
        <w:ind w:left="567" w:hanging="567"/>
        <w:rPr>
          <w:color w:val="000000"/>
          <w:szCs w:val="22"/>
        </w:rPr>
      </w:pPr>
    </w:p>
    <w:p w14:paraId="3D395174" w14:textId="77777777" w:rsidR="009F6C80" w:rsidRPr="00CD729C" w:rsidRDefault="009F6C80" w:rsidP="009B4BB6">
      <w:pPr>
        <w:widowControl w:val="0"/>
        <w:tabs>
          <w:tab w:val="clear" w:pos="567"/>
        </w:tabs>
        <w:spacing w:line="240" w:lineRule="auto"/>
        <w:ind w:left="567" w:hanging="567"/>
        <w:rPr>
          <w:color w:val="000000"/>
          <w:szCs w:val="22"/>
        </w:rPr>
      </w:pPr>
    </w:p>
    <w:p w14:paraId="3D395175" w14:textId="77777777" w:rsidR="009F6C80" w:rsidRPr="00CD729C" w:rsidRDefault="009F6C80" w:rsidP="009B4BB6">
      <w:pPr>
        <w:keepNext/>
        <w:keepLines/>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10.</w:t>
      </w:r>
      <w:r w:rsidRPr="00CD729C">
        <w:rPr>
          <w:b/>
          <w:color w:val="000000"/>
          <w:szCs w:val="22"/>
        </w:rPr>
        <w:tab/>
        <w:t>ĪPAŠI PIESARDZĪBAS PASĀKUMI, IZNĪCINOT NEIZLIETOTĀS ZĀLES VAI IZMANTOTOS MATERIĀLUS, KAS BIJUŠI SASKARĒ AR ŠĪM ZĀLĒM</w:t>
      </w:r>
      <w:r w:rsidR="0097555D" w:rsidRPr="00CD729C">
        <w:rPr>
          <w:b/>
          <w:color w:val="000000"/>
          <w:szCs w:val="22"/>
        </w:rPr>
        <w:t>,</w:t>
      </w:r>
      <w:r w:rsidRPr="00CD729C">
        <w:rPr>
          <w:b/>
          <w:color w:val="000000"/>
          <w:szCs w:val="22"/>
        </w:rPr>
        <w:t xml:space="preserve"> JA PIEMĒROJAMS</w:t>
      </w:r>
    </w:p>
    <w:p w14:paraId="3D395176" w14:textId="77777777" w:rsidR="009F6C80" w:rsidRPr="00CD729C" w:rsidRDefault="009F6C80" w:rsidP="009B4BB6">
      <w:pPr>
        <w:keepNext/>
        <w:keepLines/>
        <w:widowControl w:val="0"/>
        <w:tabs>
          <w:tab w:val="clear" w:pos="567"/>
        </w:tabs>
        <w:spacing w:line="240" w:lineRule="auto"/>
        <w:ind w:left="567" w:hanging="567"/>
        <w:rPr>
          <w:color w:val="000000"/>
          <w:szCs w:val="22"/>
        </w:rPr>
      </w:pPr>
    </w:p>
    <w:p w14:paraId="3D395177" w14:textId="77777777" w:rsidR="009F6C80" w:rsidRPr="00CD729C" w:rsidRDefault="009F6C80" w:rsidP="009B4BB6">
      <w:pPr>
        <w:widowControl w:val="0"/>
        <w:tabs>
          <w:tab w:val="clear" w:pos="567"/>
        </w:tabs>
        <w:spacing w:line="240" w:lineRule="auto"/>
        <w:ind w:left="567" w:hanging="567"/>
        <w:rPr>
          <w:color w:val="000000"/>
          <w:szCs w:val="22"/>
        </w:rPr>
      </w:pPr>
    </w:p>
    <w:p w14:paraId="3D395178" w14:textId="77777777" w:rsidR="009F6C80" w:rsidRPr="00CD729C" w:rsidRDefault="009F6C80" w:rsidP="00CC116F">
      <w:pPr>
        <w:keepNext/>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11.</w:t>
      </w:r>
      <w:r w:rsidRPr="00CD729C">
        <w:rPr>
          <w:b/>
          <w:color w:val="000000"/>
          <w:szCs w:val="22"/>
        </w:rPr>
        <w:tab/>
        <w:t>REĢISTRĀCIJAS APLIECĪBAS ĪPAŠNIEKA NOSAUKUMS UN ADRESE</w:t>
      </w:r>
    </w:p>
    <w:p w14:paraId="3D395179" w14:textId="77777777" w:rsidR="009F6C80" w:rsidRPr="00CD729C" w:rsidRDefault="009F6C80" w:rsidP="00CC116F">
      <w:pPr>
        <w:keepNext/>
        <w:widowControl w:val="0"/>
        <w:tabs>
          <w:tab w:val="clear" w:pos="567"/>
        </w:tabs>
        <w:spacing w:line="240" w:lineRule="auto"/>
        <w:ind w:left="567" w:hanging="567"/>
        <w:rPr>
          <w:color w:val="000000"/>
          <w:szCs w:val="22"/>
        </w:rPr>
      </w:pPr>
    </w:p>
    <w:p w14:paraId="3D39517A" w14:textId="77777777" w:rsidR="009F6C80" w:rsidRPr="00CD729C" w:rsidRDefault="009F6C80" w:rsidP="00CC116F">
      <w:pPr>
        <w:keepNext/>
        <w:widowControl w:val="0"/>
        <w:tabs>
          <w:tab w:val="clear" w:pos="567"/>
        </w:tabs>
        <w:spacing w:line="240" w:lineRule="auto"/>
        <w:ind w:left="567" w:hanging="567"/>
        <w:rPr>
          <w:color w:val="000000"/>
          <w:szCs w:val="22"/>
        </w:rPr>
      </w:pPr>
      <w:r w:rsidRPr="00CD729C">
        <w:rPr>
          <w:color w:val="000000"/>
          <w:szCs w:val="22"/>
        </w:rPr>
        <w:t>Novartis Europharm Limited</w:t>
      </w:r>
    </w:p>
    <w:p w14:paraId="3D39517B" w14:textId="77777777" w:rsidR="00410A76" w:rsidRPr="00EB33FE" w:rsidRDefault="00410A76" w:rsidP="009B4BB6">
      <w:pPr>
        <w:keepNext/>
        <w:widowControl w:val="0"/>
        <w:spacing w:line="240" w:lineRule="auto"/>
        <w:rPr>
          <w:color w:val="000000"/>
        </w:rPr>
      </w:pPr>
      <w:r w:rsidRPr="00EB33FE">
        <w:rPr>
          <w:color w:val="000000"/>
        </w:rPr>
        <w:t>Vista Building</w:t>
      </w:r>
    </w:p>
    <w:p w14:paraId="3D39517C" w14:textId="77777777" w:rsidR="00410A76" w:rsidRPr="00EB33FE" w:rsidRDefault="00410A76" w:rsidP="009B4BB6">
      <w:pPr>
        <w:keepNext/>
        <w:widowControl w:val="0"/>
        <w:spacing w:line="240" w:lineRule="auto"/>
        <w:rPr>
          <w:color w:val="000000"/>
        </w:rPr>
      </w:pPr>
      <w:r w:rsidRPr="00EB33FE">
        <w:rPr>
          <w:color w:val="000000"/>
        </w:rPr>
        <w:t>Elm Park, Merrion Road</w:t>
      </w:r>
    </w:p>
    <w:p w14:paraId="3D39517D" w14:textId="77777777" w:rsidR="00410A76" w:rsidRPr="00EB33FE" w:rsidRDefault="00410A76" w:rsidP="009B4BB6">
      <w:pPr>
        <w:keepNext/>
        <w:widowControl w:val="0"/>
        <w:spacing w:line="240" w:lineRule="auto"/>
        <w:rPr>
          <w:color w:val="000000"/>
        </w:rPr>
      </w:pPr>
      <w:r w:rsidRPr="00EB33FE">
        <w:rPr>
          <w:color w:val="000000"/>
        </w:rPr>
        <w:t>Dublin 4</w:t>
      </w:r>
    </w:p>
    <w:p w14:paraId="3D39517E" w14:textId="77777777" w:rsidR="009F6C80" w:rsidRPr="00CD729C" w:rsidRDefault="00410A76" w:rsidP="009B4BB6">
      <w:pPr>
        <w:widowControl w:val="0"/>
        <w:tabs>
          <w:tab w:val="clear" w:pos="567"/>
        </w:tabs>
        <w:spacing w:line="240" w:lineRule="auto"/>
        <w:ind w:left="567" w:hanging="567"/>
        <w:rPr>
          <w:color w:val="000000"/>
          <w:szCs w:val="22"/>
        </w:rPr>
      </w:pPr>
      <w:r w:rsidRPr="00EB33FE">
        <w:rPr>
          <w:color w:val="000000"/>
        </w:rPr>
        <w:t>Īrija</w:t>
      </w:r>
    </w:p>
    <w:p w14:paraId="3D39517F" w14:textId="77777777" w:rsidR="009F6C80" w:rsidRPr="00CD729C" w:rsidRDefault="009F6C80" w:rsidP="009B4BB6">
      <w:pPr>
        <w:widowControl w:val="0"/>
        <w:tabs>
          <w:tab w:val="clear" w:pos="567"/>
        </w:tabs>
        <w:spacing w:line="240" w:lineRule="auto"/>
        <w:ind w:left="567" w:hanging="567"/>
        <w:rPr>
          <w:color w:val="000000"/>
          <w:szCs w:val="22"/>
        </w:rPr>
      </w:pPr>
    </w:p>
    <w:p w14:paraId="3D395180" w14:textId="77777777" w:rsidR="009F6C80" w:rsidRPr="00CD729C" w:rsidRDefault="009F6C80" w:rsidP="009B4BB6">
      <w:pPr>
        <w:widowControl w:val="0"/>
        <w:tabs>
          <w:tab w:val="clear" w:pos="567"/>
        </w:tabs>
        <w:spacing w:line="240" w:lineRule="auto"/>
        <w:ind w:left="567" w:hanging="567"/>
        <w:rPr>
          <w:color w:val="000000"/>
          <w:szCs w:val="22"/>
        </w:rPr>
      </w:pPr>
    </w:p>
    <w:p w14:paraId="3D395181"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12.</w:t>
      </w:r>
      <w:r w:rsidRPr="00CD729C">
        <w:rPr>
          <w:b/>
          <w:color w:val="000000"/>
          <w:szCs w:val="22"/>
        </w:rPr>
        <w:tab/>
        <w:t xml:space="preserve">REĢISTRĀCIJAS </w:t>
      </w:r>
      <w:r w:rsidR="00074AB9" w:rsidRPr="00CD729C">
        <w:rPr>
          <w:b/>
          <w:szCs w:val="22"/>
        </w:rPr>
        <w:t xml:space="preserve">APLIECĪBAS </w:t>
      </w:r>
      <w:r w:rsidRPr="00CD729C">
        <w:rPr>
          <w:b/>
          <w:color w:val="000000"/>
          <w:szCs w:val="22"/>
        </w:rPr>
        <w:t>NUMURS(</w:t>
      </w:r>
      <w:r w:rsidR="0097555D" w:rsidRPr="00CD729C">
        <w:rPr>
          <w:b/>
          <w:color w:val="000000"/>
          <w:szCs w:val="22"/>
        </w:rPr>
        <w:t>-</w:t>
      </w:r>
      <w:r w:rsidRPr="00CD729C">
        <w:rPr>
          <w:b/>
          <w:color w:val="000000"/>
          <w:szCs w:val="22"/>
        </w:rPr>
        <w:t>I)</w:t>
      </w:r>
    </w:p>
    <w:p w14:paraId="3D395182" w14:textId="77777777" w:rsidR="009F6C80" w:rsidRPr="00CD729C" w:rsidRDefault="009F6C80" w:rsidP="009B4BB6">
      <w:pPr>
        <w:widowControl w:val="0"/>
        <w:tabs>
          <w:tab w:val="clear" w:pos="567"/>
        </w:tabs>
        <w:spacing w:line="240" w:lineRule="auto"/>
        <w:ind w:left="567" w:hanging="567"/>
        <w:rPr>
          <w:color w:val="000000"/>
          <w:szCs w:val="22"/>
        </w:rPr>
      </w:pPr>
    </w:p>
    <w:p w14:paraId="3D395183" w14:textId="77777777" w:rsidR="009F6C80" w:rsidRPr="00CD729C" w:rsidRDefault="009F6C80" w:rsidP="009B4BB6">
      <w:pPr>
        <w:widowControl w:val="0"/>
        <w:tabs>
          <w:tab w:val="clear" w:pos="567"/>
        </w:tabs>
        <w:spacing w:line="240" w:lineRule="auto"/>
        <w:ind w:left="2268" w:hanging="2268"/>
        <w:rPr>
          <w:color w:val="000000"/>
          <w:szCs w:val="22"/>
          <w:shd w:val="clear" w:color="auto" w:fill="D9D9D9"/>
        </w:rPr>
      </w:pPr>
      <w:r w:rsidRPr="00CD729C">
        <w:rPr>
          <w:color w:val="000000"/>
          <w:szCs w:val="22"/>
        </w:rPr>
        <w:t>EU/1/01/198/009</w:t>
      </w:r>
      <w:r w:rsidRPr="00CD729C">
        <w:rPr>
          <w:color w:val="000000"/>
          <w:szCs w:val="22"/>
        </w:rPr>
        <w:tab/>
      </w:r>
      <w:r w:rsidRPr="00CD729C">
        <w:rPr>
          <w:color w:val="000000"/>
          <w:szCs w:val="22"/>
          <w:shd w:val="clear" w:color="auto" w:fill="D9D9D9"/>
        </w:rPr>
        <w:t>10 tabletes</w:t>
      </w:r>
    </w:p>
    <w:p w14:paraId="3D395184" w14:textId="77777777" w:rsidR="009F6C80" w:rsidRPr="00CD729C" w:rsidRDefault="009F6C80" w:rsidP="009B4BB6">
      <w:pPr>
        <w:widowControl w:val="0"/>
        <w:tabs>
          <w:tab w:val="clear" w:pos="567"/>
        </w:tabs>
        <w:spacing w:line="240" w:lineRule="auto"/>
        <w:ind w:left="2268" w:hanging="2268"/>
        <w:rPr>
          <w:color w:val="000000"/>
          <w:szCs w:val="22"/>
          <w:shd w:val="clear" w:color="auto" w:fill="D9D9D9"/>
        </w:rPr>
      </w:pPr>
      <w:r w:rsidRPr="00CD729C">
        <w:rPr>
          <w:color w:val="000000"/>
          <w:szCs w:val="22"/>
          <w:shd w:val="clear" w:color="auto" w:fill="D9D9D9"/>
        </w:rPr>
        <w:t>EU/1/01/198/010</w:t>
      </w:r>
      <w:r w:rsidRPr="00CD729C">
        <w:rPr>
          <w:color w:val="000000"/>
          <w:szCs w:val="22"/>
          <w:shd w:val="clear" w:color="auto" w:fill="D9D9D9"/>
        </w:rPr>
        <w:tab/>
        <w:t>30 tabletes</w:t>
      </w:r>
    </w:p>
    <w:p w14:paraId="3D395185" w14:textId="77777777" w:rsidR="009F6C80" w:rsidRPr="00CD729C" w:rsidRDefault="009F6C80" w:rsidP="009B4BB6">
      <w:pPr>
        <w:widowControl w:val="0"/>
        <w:tabs>
          <w:tab w:val="clear" w:pos="567"/>
        </w:tabs>
        <w:spacing w:line="240" w:lineRule="auto"/>
        <w:ind w:left="2268" w:hanging="2268"/>
        <w:rPr>
          <w:color w:val="000000"/>
          <w:szCs w:val="22"/>
          <w:shd w:val="clear" w:color="auto" w:fill="D9D9D9"/>
        </w:rPr>
      </w:pPr>
      <w:r w:rsidRPr="00CD729C">
        <w:rPr>
          <w:color w:val="000000"/>
          <w:szCs w:val="22"/>
          <w:shd w:val="clear" w:color="auto" w:fill="D9D9D9"/>
        </w:rPr>
        <w:t>EU/1/01/198/013</w:t>
      </w:r>
      <w:r w:rsidRPr="00CD729C">
        <w:rPr>
          <w:color w:val="000000"/>
          <w:szCs w:val="22"/>
          <w:shd w:val="clear" w:color="auto" w:fill="D9D9D9"/>
        </w:rPr>
        <w:tab/>
        <w:t>90 tabletes</w:t>
      </w:r>
    </w:p>
    <w:p w14:paraId="3D395186" w14:textId="77777777" w:rsidR="009F6C80" w:rsidRPr="00CD729C" w:rsidRDefault="009F6C80" w:rsidP="009B4BB6">
      <w:pPr>
        <w:widowControl w:val="0"/>
        <w:tabs>
          <w:tab w:val="clear" w:pos="567"/>
        </w:tabs>
        <w:spacing w:line="240" w:lineRule="auto"/>
        <w:ind w:left="567" w:hanging="567"/>
        <w:rPr>
          <w:color w:val="000000"/>
          <w:szCs w:val="22"/>
        </w:rPr>
      </w:pPr>
    </w:p>
    <w:p w14:paraId="3D395187" w14:textId="77777777" w:rsidR="009F6C80" w:rsidRPr="00CD729C" w:rsidRDefault="009F6C80" w:rsidP="009B4BB6">
      <w:pPr>
        <w:widowControl w:val="0"/>
        <w:tabs>
          <w:tab w:val="clear" w:pos="567"/>
        </w:tabs>
        <w:spacing w:line="240" w:lineRule="auto"/>
        <w:ind w:left="567" w:hanging="567"/>
        <w:rPr>
          <w:color w:val="000000"/>
          <w:szCs w:val="22"/>
        </w:rPr>
      </w:pPr>
    </w:p>
    <w:p w14:paraId="3D395188"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13.</w:t>
      </w:r>
      <w:r w:rsidRPr="00CD729C">
        <w:rPr>
          <w:b/>
          <w:color w:val="000000"/>
          <w:szCs w:val="22"/>
        </w:rPr>
        <w:tab/>
        <w:t>SĒRIJAS NUMURS</w:t>
      </w:r>
    </w:p>
    <w:p w14:paraId="3D395189" w14:textId="77777777" w:rsidR="009F6C80" w:rsidRPr="00CD729C" w:rsidRDefault="009F6C80" w:rsidP="009B4BB6">
      <w:pPr>
        <w:widowControl w:val="0"/>
        <w:tabs>
          <w:tab w:val="clear" w:pos="567"/>
        </w:tabs>
        <w:spacing w:line="240" w:lineRule="auto"/>
        <w:ind w:left="567" w:hanging="567"/>
        <w:rPr>
          <w:color w:val="000000"/>
          <w:szCs w:val="22"/>
        </w:rPr>
      </w:pPr>
    </w:p>
    <w:p w14:paraId="3D39518A" w14:textId="77777777" w:rsidR="009F6C80" w:rsidRPr="00CD729C" w:rsidRDefault="00275CCD" w:rsidP="009B4BB6">
      <w:pPr>
        <w:widowControl w:val="0"/>
        <w:tabs>
          <w:tab w:val="clear" w:pos="567"/>
        </w:tabs>
        <w:spacing w:line="240" w:lineRule="auto"/>
        <w:ind w:left="567" w:hanging="567"/>
        <w:rPr>
          <w:color w:val="000000"/>
          <w:szCs w:val="22"/>
        </w:rPr>
      </w:pPr>
      <w:r>
        <w:rPr>
          <w:color w:val="000000"/>
          <w:szCs w:val="22"/>
        </w:rPr>
        <w:t>Lot</w:t>
      </w:r>
    </w:p>
    <w:p w14:paraId="3D39518B" w14:textId="77777777" w:rsidR="009F6C80" w:rsidRPr="00CD729C" w:rsidRDefault="009F6C80" w:rsidP="009B4BB6">
      <w:pPr>
        <w:widowControl w:val="0"/>
        <w:tabs>
          <w:tab w:val="clear" w:pos="567"/>
        </w:tabs>
        <w:spacing w:line="240" w:lineRule="auto"/>
        <w:ind w:left="567" w:hanging="567"/>
        <w:rPr>
          <w:color w:val="000000"/>
          <w:szCs w:val="22"/>
        </w:rPr>
      </w:pPr>
    </w:p>
    <w:p w14:paraId="3D39518C" w14:textId="77777777" w:rsidR="009F6C80" w:rsidRPr="00CD729C" w:rsidRDefault="009F6C80" w:rsidP="009B4BB6">
      <w:pPr>
        <w:widowControl w:val="0"/>
        <w:tabs>
          <w:tab w:val="clear" w:pos="567"/>
        </w:tabs>
        <w:spacing w:line="240" w:lineRule="auto"/>
        <w:ind w:left="567" w:hanging="567"/>
        <w:rPr>
          <w:color w:val="000000"/>
          <w:szCs w:val="22"/>
        </w:rPr>
      </w:pPr>
    </w:p>
    <w:p w14:paraId="3D39518D"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14.</w:t>
      </w:r>
      <w:r w:rsidRPr="00CD729C">
        <w:rPr>
          <w:b/>
          <w:color w:val="000000"/>
          <w:szCs w:val="22"/>
        </w:rPr>
        <w:tab/>
        <w:t>IZSNIEGŠANAS KĀRTĪBA</w:t>
      </w:r>
    </w:p>
    <w:p w14:paraId="3D39518E" w14:textId="77777777" w:rsidR="009F6C80" w:rsidRPr="00CD729C" w:rsidRDefault="009F6C80" w:rsidP="009B4BB6">
      <w:pPr>
        <w:widowControl w:val="0"/>
        <w:tabs>
          <w:tab w:val="clear" w:pos="567"/>
        </w:tabs>
        <w:spacing w:line="240" w:lineRule="auto"/>
        <w:ind w:left="567" w:hanging="567"/>
        <w:rPr>
          <w:color w:val="000000"/>
          <w:szCs w:val="22"/>
        </w:rPr>
      </w:pPr>
    </w:p>
    <w:p w14:paraId="3D39518F" w14:textId="77777777" w:rsidR="009F6C80" w:rsidRPr="00CD729C" w:rsidRDefault="009F6C80" w:rsidP="009B4BB6">
      <w:pPr>
        <w:widowControl w:val="0"/>
        <w:tabs>
          <w:tab w:val="clear" w:pos="567"/>
        </w:tabs>
        <w:spacing w:line="240" w:lineRule="auto"/>
        <w:ind w:left="567" w:hanging="567"/>
        <w:rPr>
          <w:color w:val="000000"/>
          <w:szCs w:val="22"/>
        </w:rPr>
      </w:pPr>
    </w:p>
    <w:p w14:paraId="3D395190"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15.</w:t>
      </w:r>
      <w:r w:rsidRPr="00CD729C">
        <w:rPr>
          <w:b/>
          <w:color w:val="000000"/>
          <w:szCs w:val="22"/>
        </w:rPr>
        <w:tab/>
        <w:t>NORĀDĪJUMI PAR LIETOŠANU</w:t>
      </w:r>
    </w:p>
    <w:p w14:paraId="3D395191" w14:textId="77777777" w:rsidR="009F6C80" w:rsidRPr="00CD729C" w:rsidRDefault="009F6C80" w:rsidP="009B4BB6">
      <w:pPr>
        <w:widowControl w:val="0"/>
        <w:tabs>
          <w:tab w:val="clear" w:pos="567"/>
        </w:tabs>
        <w:spacing w:line="240" w:lineRule="auto"/>
        <w:ind w:left="567" w:hanging="567"/>
        <w:rPr>
          <w:color w:val="000000"/>
          <w:szCs w:val="22"/>
          <w:u w:val="single"/>
        </w:rPr>
      </w:pPr>
    </w:p>
    <w:p w14:paraId="3D395192" w14:textId="77777777" w:rsidR="009F6C80" w:rsidRPr="00CD729C" w:rsidRDefault="009F6C80" w:rsidP="009B4BB6">
      <w:pPr>
        <w:widowControl w:val="0"/>
        <w:tabs>
          <w:tab w:val="clear" w:pos="567"/>
        </w:tabs>
        <w:spacing w:line="240" w:lineRule="auto"/>
        <w:rPr>
          <w:color w:val="000000"/>
          <w:szCs w:val="22"/>
        </w:rPr>
      </w:pPr>
    </w:p>
    <w:p w14:paraId="3D395193"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16.</w:t>
      </w:r>
      <w:r w:rsidRPr="00CD729C">
        <w:rPr>
          <w:b/>
          <w:color w:val="000000"/>
          <w:szCs w:val="22"/>
        </w:rPr>
        <w:tab/>
      </w:r>
      <w:r w:rsidRPr="00CD729C">
        <w:rPr>
          <w:b/>
          <w:color w:val="000000"/>
        </w:rPr>
        <w:t>INFORMĀCIJA BRAILA RAKSTĀ</w:t>
      </w:r>
    </w:p>
    <w:p w14:paraId="3D395194" w14:textId="77777777" w:rsidR="009F6C80" w:rsidRPr="00CD729C" w:rsidRDefault="009F6C80" w:rsidP="009B4BB6">
      <w:pPr>
        <w:widowControl w:val="0"/>
        <w:tabs>
          <w:tab w:val="clear" w:pos="567"/>
        </w:tabs>
        <w:spacing w:line="240" w:lineRule="auto"/>
        <w:rPr>
          <w:color w:val="000000"/>
          <w:szCs w:val="22"/>
          <w:u w:val="single"/>
        </w:rPr>
      </w:pPr>
    </w:p>
    <w:p w14:paraId="3D395195" w14:textId="77777777" w:rsidR="009F6C80" w:rsidRPr="00CD729C" w:rsidRDefault="009F6C80" w:rsidP="009B4BB6">
      <w:pPr>
        <w:widowControl w:val="0"/>
        <w:tabs>
          <w:tab w:val="clear" w:pos="567"/>
        </w:tabs>
        <w:spacing w:line="240" w:lineRule="auto"/>
        <w:rPr>
          <w:color w:val="000000"/>
          <w:szCs w:val="22"/>
        </w:rPr>
      </w:pPr>
      <w:r w:rsidRPr="00CD729C">
        <w:rPr>
          <w:color w:val="000000"/>
          <w:szCs w:val="22"/>
        </w:rPr>
        <w:t>Glivec 400 mg</w:t>
      </w:r>
    </w:p>
    <w:p w14:paraId="3D395196" w14:textId="77777777" w:rsidR="009F6C80" w:rsidRPr="00CD729C" w:rsidRDefault="009F6C80" w:rsidP="009B4BB6">
      <w:pPr>
        <w:widowControl w:val="0"/>
        <w:tabs>
          <w:tab w:val="clear" w:pos="567"/>
        </w:tabs>
        <w:spacing w:line="240" w:lineRule="auto"/>
        <w:rPr>
          <w:color w:val="000000"/>
          <w:szCs w:val="22"/>
        </w:rPr>
      </w:pPr>
    </w:p>
    <w:p w14:paraId="3D395197" w14:textId="77777777" w:rsidR="0072796A" w:rsidRPr="00907269" w:rsidRDefault="0072796A" w:rsidP="009B4BB6">
      <w:pPr>
        <w:widowControl w:val="0"/>
        <w:tabs>
          <w:tab w:val="clear" w:pos="567"/>
        </w:tabs>
        <w:spacing w:line="240" w:lineRule="auto"/>
        <w:rPr>
          <w:noProof/>
          <w:shd w:val="clear" w:color="auto" w:fill="CCCCCC"/>
        </w:rPr>
      </w:pPr>
    </w:p>
    <w:p w14:paraId="3D395198" w14:textId="77777777" w:rsidR="0072796A" w:rsidRPr="00907269" w:rsidRDefault="0072796A" w:rsidP="009B4BB6">
      <w:pPr>
        <w:keepNext/>
        <w:keepLines/>
        <w:widowControl w:val="0"/>
        <w:pBdr>
          <w:top w:val="single" w:sz="4" w:space="1" w:color="auto"/>
          <w:left w:val="single" w:sz="4" w:space="4" w:color="auto"/>
          <w:bottom w:val="single" w:sz="4" w:space="0" w:color="auto"/>
          <w:right w:val="single" w:sz="4" w:space="4" w:color="auto"/>
        </w:pBdr>
        <w:tabs>
          <w:tab w:val="clear" w:pos="567"/>
        </w:tabs>
        <w:spacing w:line="240" w:lineRule="auto"/>
        <w:rPr>
          <w:noProof/>
        </w:rPr>
      </w:pPr>
      <w:r w:rsidRPr="00907269">
        <w:rPr>
          <w:b/>
          <w:noProof/>
        </w:rPr>
        <w:t>17.</w:t>
      </w:r>
      <w:r w:rsidRPr="00907269">
        <w:rPr>
          <w:b/>
          <w:noProof/>
        </w:rPr>
        <w:tab/>
      </w:r>
      <w:r w:rsidRPr="00907269">
        <w:rPr>
          <w:b/>
          <w:noProof/>
          <w:lang w:bidi="lv-LV"/>
        </w:rPr>
        <w:t>UNIKĀLS IDENTIFIKATORS – 2D SVĪTRKODS</w:t>
      </w:r>
    </w:p>
    <w:p w14:paraId="3D395199" w14:textId="77777777" w:rsidR="0072796A" w:rsidRPr="00907269" w:rsidRDefault="0072796A" w:rsidP="009B4BB6">
      <w:pPr>
        <w:keepNext/>
        <w:keepLines/>
        <w:widowControl w:val="0"/>
        <w:tabs>
          <w:tab w:val="clear" w:pos="567"/>
        </w:tabs>
        <w:spacing w:line="240" w:lineRule="auto"/>
        <w:rPr>
          <w:noProof/>
        </w:rPr>
      </w:pPr>
    </w:p>
    <w:p w14:paraId="3D39519A" w14:textId="77777777" w:rsidR="0072796A" w:rsidRPr="00907269" w:rsidRDefault="0072796A" w:rsidP="009B4BB6">
      <w:pPr>
        <w:keepNext/>
        <w:keepLines/>
        <w:widowControl w:val="0"/>
        <w:tabs>
          <w:tab w:val="clear" w:pos="567"/>
        </w:tabs>
        <w:spacing w:line="240" w:lineRule="auto"/>
        <w:rPr>
          <w:noProof/>
          <w:shd w:val="pct15" w:color="auto" w:fill="auto"/>
        </w:rPr>
      </w:pPr>
      <w:r w:rsidRPr="00907269">
        <w:rPr>
          <w:noProof/>
          <w:shd w:val="pct15" w:color="auto" w:fill="auto"/>
          <w:lang w:bidi="lv-LV"/>
        </w:rPr>
        <w:t>2D svītrkods, kurā iekļauts unikāls identifikators</w:t>
      </w:r>
      <w:r w:rsidRPr="00907269">
        <w:rPr>
          <w:noProof/>
          <w:shd w:val="pct15" w:color="auto" w:fill="auto"/>
        </w:rPr>
        <w:t>.</w:t>
      </w:r>
    </w:p>
    <w:p w14:paraId="3D39519B" w14:textId="77777777" w:rsidR="0072796A" w:rsidRPr="00907269" w:rsidRDefault="0072796A" w:rsidP="009B4BB6">
      <w:pPr>
        <w:widowControl w:val="0"/>
        <w:tabs>
          <w:tab w:val="clear" w:pos="567"/>
        </w:tabs>
        <w:spacing w:line="240" w:lineRule="auto"/>
        <w:rPr>
          <w:noProof/>
          <w:shd w:val="clear" w:color="auto" w:fill="CCCCCC"/>
        </w:rPr>
      </w:pPr>
    </w:p>
    <w:p w14:paraId="3D39519C" w14:textId="77777777" w:rsidR="0072796A" w:rsidRPr="00907269" w:rsidRDefault="0072796A" w:rsidP="009B4BB6">
      <w:pPr>
        <w:widowControl w:val="0"/>
        <w:tabs>
          <w:tab w:val="clear" w:pos="567"/>
        </w:tabs>
        <w:spacing w:line="240" w:lineRule="auto"/>
        <w:rPr>
          <w:noProof/>
        </w:rPr>
      </w:pPr>
    </w:p>
    <w:p w14:paraId="3D39519D" w14:textId="77777777" w:rsidR="0072796A" w:rsidRPr="00907269" w:rsidRDefault="0072796A" w:rsidP="009B4BB6">
      <w:pPr>
        <w:keepNext/>
        <w:keepLines/>
        <w:widowControl w:val="0"/>
        <w:pBdr>
          <w:top w:val="single" w:sz="4" w:space="1" w:color="auto"/>
          <w:left w:val="single" w:sz="4" w:space="4" w:color="auto"/>
          <w:bottom w:val="single" w:sz="4" w:space="0" w:color="auto"/>
          <w:right w:val="single" w:sz="4" w:space="4" w:color="auto"/>
        </w:pBdr>
        <w:tabs>
          <w:tab w:val="clear" w:pos="567"/>
        </w:tabs>
        <w:spacing w:line="240" w:lineRule="auto"/>
        <w:rPr>
          <w:noProof/>
        </w:rPr>
      </w:pPr>
      <w:r w:rsidRPr="00907269">
        <w:rPr>
          <w:b/>
          <w:noProof/>
        </w:rPr>
        <w:t>18.</w:t>
      </w:r>
      <w:r w:rsidRPr="00907269">
        <w:rPr>
          <w:b/>
          <w:noProof/>
        </w:rPr>
        <w:tab/>
      </w:r>
      <w:r w:rsidRPr="00907269">
        <w:rPr>
          <w:b/>
          <w:noProof/>
          <w:lang w:bidi="lv-LV"/>
        </w:rPr>
        <w:t>UNIKĀLS IDENTIFIKATORS – DATI, KURUS VAR NOLASĪT PERSONA</w:t>
      </w:r>
    </w:p>
    <w:p w14:paraId="3D39519E" w14:textId="77777777" w:rsidR="0072796A" w:rsidRPr="00907269" w:rsidRDefault="0072796A" w:rsidP="009B4BB6">
      <w:pPr>
        <w:keepNext/>
        <w:keepLines/>
        <w:widowControl w:val="0"/>
        <w:tabs>
          <w:tab w:val="clear" w:pos="567"/>
        </w:tabs>
        <w:spacing w:line="240" w:lineRule="auto"/>
        <w:rPr>
          <w:noProof/>
        </w:rPr>
      </w:pPr>
    </w:p>
    <w:p w14:paraId="3D39519F" w14:textId="77777777" w:rsidR="0072796A" w:rsidRPr="00907269" w:rsidRDefault="0072796A" w:rsidP="009B4BB6">
      <w:pPr>
        <w:keepNext/>
        <w:keepLines/>
        <w:widowControl w:val="0"/>
        <w:tabs>
          <w:tab w:val="clear" w:pos="567"/>
        </w:tabs>
        <w:spacing w:line="240" w:lineRule="auto"/>
      </w:pPr>
      <w:r w:rsidRPr="00907269">
        <w:t>PC:</w:t>
      </w:r>
    </w:p>
    <w:p w14:paraId="3D3951A0" w14:textId="77777777" w:rsidR="0072796A" w:rsidRPr="00907269" w:rsidRDefault="0072796A" w:rsidP="009B4BB6">
      <w:pPr>
        <w:keepNext/>
        <w:keepLines/>
        <w:widowControl w:val="0"/>
        <w:tabs>
          <w:tab w:val="clear" w:pos="567"/>
        </w:tabs>
        <w:spacing w:line="240" w:lineRule="auto"/>
      </w:pPr>
      <w:r w:rsidRPr="00907269">
        <w:t>SN:</w:t>
      </w:r>
    </w:p>
    <w:p w14:paraId="3D3951A1" w14:textId="77777777" w:rsidR="0072796A" w:rsidRPr="00562DEF" w:rsidRDefault="0072796A" w:rsidP="009B4BB6">
      <w:pPr>
        <w:keepNext/>
        <w:keepLines/>
        <w:widowControl w:val="0"/>
        <w:tabs>
          <w:tab w:val="clear" w:pos="567"/>
        </w:tabs>
        <w:spacing w:line="240" w:lineRule="auto"/>
        <w:rPr>
          <w:noProof/>
          <w:shd w:val="clear" w:color="auto" w:fill="CCCCCC"/>
        </w:rPr>
      </w:pPr>
      <w:r w:rsidRPr="00907269">
        <w:t>NN:</w:t>
      </w:r>
    </w:p>
    <w:p w14:paraId="3D3951A2" w14:textId="77777777" w:rsidR="009F6C80" w:rsidRPr="00CD729C" w:rsidRDefault="009F6C80" w:rsidP="009B4BB6">
      <w:pPr>
        <w:widowControl w:val="0"/>
        <w:tabs>
          <w:tab w:val="clear" w:pos="567"/>
        </w:tabs>
        <w:spacing w:line="240" w:lineRule="auto"/>
        <w:ind w:left="567" w:hanging="567"/>
        <w:rPr>
          <w:color w:val="000000"/>
          <w:szCs w:val="22"/>
          <w:u w:val="single"/>
        </w:rPr>
      </w:pPr>
    </w:p>
    <w:p w14:paraId="3D3951A3" w14:textId="77777777" w:rsidR="009F6C80" w:rsidRPr="00CD729C" w:rsidRDefault="009F6C80" w:rsidP="009B4BB6">
      <w:pPr>
        <w:widowControl w:val="0"/>
        <w:tabs>
          <w:tab w:val="clear" w:pos="567"/>
        </w:tabs>
        <w:spacing w:line="240" w:lineRule="auto"/>
        <w:ind w:left="567" w:hanging="567"/>
        <w:rPr>
          <w:color w:val="000000"/>
          <w:szCs w:val="22"/>
        </w:rPr>
      </w:pPr>
      <w:r w:rsidRPr="00CD729C">
        <w:rPr>
          <w:b/>
          <w:color w:val="000000"/>
          <w:szCs w:val="22"/>
          <w:u w:val="single"/>
        </w:rPr>
        <w:br w:type="page"/>
      </w:r>
    </w:p>
    <w:p w14:paraId="3D3951A4" w14:textId="77777777" w:rsidR="00CC116F" w:rsidRPr="00CC116F" w:rsidRDefault="00CC116F" w:rsidP="00CC116F">
      <w:pPr>
        <w:widowControl w:val="0"/>
        <w:tabs>
          <w:tab w:val="clear" w:pos="567"/>
        </w:tabs>
        <w:spacing w:line="240" w:lineRule="auto"/>
        <w:ind w:left="567" w:hanging="567"/>
        <w:rPr>
          <w:color w:val="000000"/>
          <w:szCs w:val="22"/>
        </w:rPr>
      </w:pPr>
    </w:p>
    <w:p w14:paraId="3D3951A5"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color w:val="000000"/>
          <w:szCs w:val="22"/>
        </w:rPr>
      </w:pPr>
      <w:r w:rsidRPr="00CD729C">
        <w:rPr>
          <w:b/>
          <w:color w:val="000000"/>
          <w:szCs w:val="22"/>
        </w:rPr>
        <w:t>MINIMĀLĀ INFORMĀCIJA, KAS JĀNORĀDA UZ BLISTERA VAI PLĀKSNĪTES</w:t>
      </w:r>
    </w:p>
    <w:p w14:paraId="3D3951A6"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color w:val="000000"/>
          <w:szCs w:val="22"/>
        </w:rPr>
      </w:pPr>
    </w:p>
    <w:p w14:paraId="3D3951A7"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color w:val="000000"/>
          <w:szCs w:val="22"/>
        </w:rPr>
      </w:pPr>
      <w:r w:rsidRPr="00CD729C">
        <w:rPr>
          <w:b/>
          <w:color w:val="000000"/>
          <w:szCs w:val="22"/>
        </w:rPr>
        <w:t>BLISTERI</w:t>
      </w:r>
    </w:p>
    <w:p w14:paraId="3D3951A8" w14:textId="77777777" w:rsidR="009F6C80" w:rsidRPr="00CD729C" w:rsidRDefault="009F6C80" w:rsidP="009B4BB6">
      <w:pPr>
        <w:widowControl w:val="0"/>
        <w:tabs>
          <w:tab w:val="clear" w:pos="567"/>
        </w:tabs>
        <w:spacing w:line="240" w:lineRule="auto"/>
        <w:ind w:left="567" w:hanging="567"/>
        <w:rPr>
          <w:color w:val="000000"/>
          <w:szCs w:val="22"/>
        </w:rPr>
      </w:pPr>
    </w:p>
    <w:p w14:paraId="3D3951A9" w14:textId="77777777" w:rsidR="009F6C80" w:rsidRPr="00CD729C" w:rsidRDefault="009F6C80" w:rsidP="009B4BB6">
      <w:pPr>
        <w:widowControl w:val="0"/>
        <w:tabs>
          <w:tab w:val="clear" w:pos="567"/>
        </w:tabs>
        <w:spacing w:line="240" w:lineRule="auto"/>
        <w:ind w:left="567" w:hanging="567"/>
        <w:rPr>
          <w:color w:val="000000"/>
          <w:szCs w:val="22"/>
        </w:rPr>
      </w:pPr>
    </w:p>
    <w:p w14:paraId="3D3951AA"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1.</w:t>
      </w:r>
      <w:r w:rsidRPr="00CD729C">
        <w:rPr>
          <w:b/>
          <w:color w:val="000000"/>
          <w:szCs w:val="22"/>
        </w:rPr>
        <w:tab/>
        <w:t>ZĀĻU NOSAUKUMS</w:t>
      </w:r>
    </w:p>
    <w:p w14:paraId="3D3951AB" w14:textId="77777777" w:rsidR="009F6C80" w:rsidRPr="00CD729C" w:rsidRDefault="009F6C80" w:rsidP="009B4BB6">
      <w:pPr>
        <w:widowControl w:val="0"/>
        <w:tabs>
          <w:tab w:val="clear" w:pos="567"/>
        </w:tabs>
        <w:spacing w:line="240" w:lineRule="auto"/>
        <w:ind w:left="567" w:hanging="567"/>
        <w:rPr>
          <w:color w:val="000000"/>
          <w:szCs w:val="22"/>
        </w:rPr>
      </w:pPr>
    </w:p>
    <w:p w14:paraId="3D3951AC"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Glivec 400 mg tabletes</w:t>
      </w:r>
    </w:p>
    <w:p w14:paraId="3D3951AD" w14:textId="77777777" w:rsidR="009F6C80" w:rsidRPr="00AC1BAD" w:rsidRDefault="001727D3" w:rsidP="009B4BB6">
      <w:pPr>
        <w:widowControl w:val="0"/>
        <w:tabs>
          <w:tab w:val="clear" w:pos="567"/>
        </w:tabs>
        <w:spacing w:line="240" w:lineRule="auto"/>
        <w:ind w:left="567" w:hanging="567"/>
        <w:rPr>
          <w:i/>
          <w:color w:val="000000"/>
          <w:szCs w:val="22"/>
        </w:rPr>
      </w:pPr>
      <w:r w:rsidRPr="00AC1BAD">
        <w:rPr>
          <w:i/>
          <w:color w:val="000000"/>
          <w:szCs w:val="22"/>
        </w:rPr>
        <w:t>i</w:t>
      </w:r>
      <w:r w:rsidR="009F6C80" w:rsidRPr="00AC1BAD">
        <w:rPr>
          <w:i/>
          <w:color w:val="000000"/>
          <w:szCs w:val="22"/>
        </w:rPr>
        <w:t>matinib</w:t>
      </w:r>
      <w:r w:rsidR="0072796A" w:rsidRPr="00AC1BAD">
        <w:rPr>
          <w:i/>
          <w:color w:val="000000"/>
          <w:szCs w:val="22"/>
        </w:rPr>
        <w:t>um</w:t>
      </w:r>
    </w:p>
    <w:p w14:paraId="3D3951AE" w14:textId="77777777" w:rsidR="009F6C80" w:rsidRPr="00CD729C" w:rsidRDefault="009F6C80" w:rsidP="009B4BB6">
      <w:pPr>
        <w:widowControl w:val="0"/>
        <w:tabs>
          <w:tab w:val="clear" w:pos="567"/>
        </w:tabs>
        <w:spacing w:line="240" w:lineRule="auto"/>
        <w:ind w:left="567" w:hanging="567"/>
        <w:rPr>
          <w:color w:val="000000"/>
          <w:szCs w:val="22"/>
        </w:rPr>
      </w:pPr>
    </w:p>
    <w:p w14:paraId="3D3951AF" w14:textId="77777777" w:rsidR="009F6C80" w:rsidRPr="00CD729C" w:rsidRDefault="009F6C80" w:rsidP="009B4BB6">
      <w:pPr>
        <w:widowControl w:val="0"/>
        <w:tabs>
          <w:tab w:val="clear" w:pos="567"/>
        </w:tabs>
        <w:spacing w:line="240" w:lineRule="auto"/>
        <w:ind w:left="567" w:hanging="567"/>
        <w:rPr>
          <w:color w:val="000000"/>
          <w:szCs w:val="22"/>
        </w:rPr>
      </w:pPr>
    </w:p>
    <w:p w14:paraId="3D3951B0"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2.</w:t>
      </w:r>
      <w:r w:rsidRPr="00CD729C">
        <w:rPr>
          <w:b/>
          <w:color w:val="000000"/>
          <w:szCs w:val="22"/>
        </w:rPr>
        <w:tab/>
        <w:t>REĢISTRĀCIJAS APLIECĪBAS ĪPAŠNIEKA NOSAUKUMS</w:t>
      </w:r>
    </w:p>
    <w:p w14:paraId="3D3951B1" w14:textId="77777777" w:rsidR="009F6C80" w:rsidRPr="00CD729C" w:rsidRDefault="009F6C80" w:rsidP="009B4BB6">
      <w:pPr>
        <w:widowControl w:val="0"/>
        <w:tabs>
          <w:tab w:val="clear" w:pos="567"/>
        </w:tabs>
        <w:spacing w:line="240" w:lineRule="auto"/>
        <w:ind w:left="567" w:hanging="567"/>
        <w:rPr>
          <w:color w:val="000000"/>
          <w:szCs w:val="22"/>
        </w:rPr>
      </w:pPr>
    </w:p>
    <w:p w14:paraId="3D3951B2"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Novartis Europharm Limited</w:t>
      </w:r>
    </w:p>
    <w:p w14:paraId="3D3951B3" w14:textId="77777777" w:rsidR="009F6C80" w:rsidRPr="00CD729C" w:rsidRDefault="009F6C80" w:rsidP="009B4BB6">
      <w:pPr>
        <w:widowControl w:val="0"/>
        <w:tabs>
          <w:tab w:val="clear" w:pos="567"/>
        </w:tabs>
        <w:spacing w:line="240" w:lineRule="auto"/>
        <w:ind w:left="567" w:hanging="567"/>
        <w:rPr>
          <w:color w:val="000000"/>
          <w:szCs w:val="22"/>
        </w:rPr>
      </w:pPr>
    </w:p>
    <w:p w14:paraId="3D3951B4" w14:textId="77777777" w:rsidR="009F6C80" w:rsidRPr="00CD729C" w:rsidRDefault="009F6C80" w:rsidP="009B4BB6">
      <w:pPr>
        <w:widowControl w:val="0"/>
        <w:tabs>
          <w:tab w:val="clear" w:pos="567"/>
        </w:tabs>
        <w:spacing w:line="240" w:lineRule="auto"/>
        <w:ind w:left="567" w:hanging="567"/>
        <w:rPr>
          <w:color w:val="000000"/>
          <w:szCs w:val="22"/>
        </w:rPr>
      </w:pPr>
    </w:p>
    <w:p w14:paraId="3D3951B5"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3.</w:t>
      </w:r>
      <w:r w:rsidRPr="00CD729C">
        <w:rPr>
          <w:b/>
          <w:color w:val="000000"/>
          <w:szCs w:val="22"/>
        </w:rPr>
        <w:tab/>
        <w:t>DERĪGUMA TERMIŅŠ</w:t>
      </w:r>
    </w:p>
    <w:p w14:paraId="3D3951B6" w14:textId="77777777" w:rsidR="009F6C80" w:rsidRPr="00CD729C" w:rsidRDefault="009F6C80" w:rsidP="009B4BB6">
      <w:pPr>
        <w:widowControl w:val="0"/>
        <w:tabs>
          <w:tab w:val="clear" w:pos="567"/>
        </w:tabs>
        <w:spacing w:line="240" w:lineRule="auto"/>
        <w:ind w:left="567" w:hanging="567"/>
        <w:rPr>
          <w:color w:val="000000"/>
          <w:szCs w:val="22"/>
        </w:rPr>
      </w:pPr>
    </w:p>
    <w:p w14:paraId="3D3951B7"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t>EXP</w:t>
      </w:r>
    </w:p>
    <w:p w14:paraId="3D3951B8" w14:textId="77777777" w:rsidR="009F6C80" w:rsidRPr="00CD729C" w:rsidRDefault="009F6C80" w:rsidP="009B4BB6">
      <w:pPr>
        <w:widowControl w:val="0"/>
        <w:tabs>
          <w:tab w:val="clear" w:pos="567"/>
        </w:tabs>
        <w:spacing w:line="240" w:lineRule="auto"/>
        <w:ind w:left="567" w:hanging="567"/>
        <w:rPr>
          <w:color w:val="000000"/>
          <w:szCs w:val="22"/>
        </w:rPr>
      </w:pPr>
    </w:p>
    <w:p w14:paraId="3D3951B9" w14:textId="77777777" w:rsidR="009F6C80" w:rsidRPr="00CD729C" w:rsidRDefault="009F6C80" w:rsidP="009B4BB6">
      <w:pPr>
        <w:widowControl w:val="0"/>
        <w:tabs>
          <w:tab w:val="clear" w:pos="567"/>
        </w:tabs>
        <w:spacing w:line="240" w:lineRule="auto"/>
        <w:ind w:left="567" w:hanging="567"/>
        <w:rPr>
          <w:color w:val="000000"/>
          <w:szCs w:val="22"/>
        </w:rPr>
      </w:pPr>
    </w:p>
    <w:p w14:paraId="3D3951BA"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color w:val="000000"/>
          <w:szCs w:val="22"/>
        </w:rPr>
      </w:pPr>
      <w:r w:rsidRPr="00CD729C">
        <w:rPr>
          <w:b/>
          <w:color w:val="000000"/>
          <w:szCs w:val="22"/>
        </w:rPr>
        <w:t>4.</w:t>
      </w:r>
      <w:r w:rsidRPr="00CD729C">
        <w:rPr>
          <w:b/>
          <w:color w:val="000000"/>
          <w:szCs w:val="22"/>
        </w:rPr>
        <w:tab/>
        <w:t>SĒRIJAS NUMURS</w:t>
      </w:r>
    </w:p>
    <w:p w14:paraId="3D3951BB" w14:textId="77777777" w:rsidR="009F6C80" w:rsidRPr="00CD729C" w:rsidRDefault="009F6C80" w:rsidP="009B4BB6">
      <w:pPr>
        <w:widowControl w:val="0"/>
        <w:tabs>
          <w:tab w:val="clear" w:pos="567"/>
        </w:tabs>
        <w:spacing w:line="240" w:lineRule="auto"/>
        <w:ind w:left="567" w:hanging="567"/>
        <w:rPr>
          <w:color w:val="000000"/>
          <w:szCs w:val="22"/>
        </w:rPr>
      </w:pPr>
    </w:p>
    <w:p w14:paraId="3D3951BC" w14:textId="77777777" w:rsidR="009F6C80" w:rsidRPr="00CD729C" w:rsidRDefault="009F6C80" w:rsidP="009B4BB6">
      <w:pPr>
        <w:widowControl w:val="0"/>
        <w:tabs>
          <w:tab w:val="clear" w:pos="567"/>
        </w:tabs>
        <w:spacing w:line="240" w:lineRule="auto"/>
        <w:rPr>
          <w:color w:val="000000"/>
          <w:szCs w:val="22"/>
        </w:rPr>
      </w:pPr>
      <w:r w:rsidRPr="00CD729C">
        <w:rPr>
          <w:color w:val="000000"/>
          <w:szCs w:val="22"/>
        </w:rPr>
        <w:t>Lot</w:t>
      </w:r>
    </w:p>
    <w:p w14:paraId="3D3951BD" w14:textId="77777777" w:rsidR="009F6C80" w:rsidRPr="00CD729C" w:rsidRDefault="009F6C80" w:rsidP="009B4BB6">
      <w:pPr>
        <w:widowControl w:val="0"/>
        <w:tabs>
          <w:tab w:val="clear" w:pos="567"/>
        </w:tabs>
        <w:spacing w:line="240" w:lineRule="auto"/>
        <w:rPr>
          <w:color w:val="000000"/>
          <w:szCs w:val="22"/>
        </w:rPr>
      </w:pPr>
    </w:p>
    <w:p w14:paraId="3D3951BE" w14:textId="77777777" w:rsidR="009F6C80" w:rsidRPr="00CD729C" w:rsidRDefault="009F6C80" w:rsidP="009B4BB6">
      <w:pPr>
        <w:widowControl w:val="0"/>
        <w:tabs>
          <w:tab w:val="clear" w:pos="567"/>
        </w:tabs>
        <w:spacing w:line="240" w:lineRule="auto"/>
        <w:rPr>
          <w:color w:val="000000"/>
          <w:szCs w:val="22"/>
        </w:rPr>
      </w:pPr>
    </w:p>
    <w:p w14:paraId="3D3951BF" w14:textId="77777777" w:rsidR="009F6C80" w:rsidRPr="00CD729C" w:rsidRDefault="009F6C80" w:rsidP="009B4BB6">
      <w:pPr>
        <w:widowControl w:val="0"/>
        <w:pBdr>
          <w:top w:val="single" w:sz="4" w:space="1" w:color="auto"/>
          <w:left w:val="single" w:sz="4" w:space="4" w:color="auto"/>
          <w:bottom w:val="single" w:sz="4" w:space="1" w:color="auto"/>
          <w:right w:val="single" w:sz="4" w:space="4" w:color="auto"/>
        </w:pBdr>
        <w:tabs>
          <w:tab w:val="clear" w:pos="567"/>
          <w:tab w:val="left" w:pos="142"/>
        </w:tabs>
        <w:spacing w:line="240" w:lineRule="auto"/>
        <w:ind w:left="567" w:hanging="567"/>
        <w:rPr>
          <w:b/>
        </w:rPr>
      </w:pPr>
      <w:r w:rsidRPr="00CD729C">
        <w:rPr>
          <w:b/>
        </w:rPr>
        <w:t>5.</w:t>
      </w:r>
      <w:r w:rsidRPr="00CD729C">
        <w:rPr>
          <w:b/>
        </w:rPr>
        <w:tab/>
        <w:t>CITA</w:t>
      </w:r>
    </w:p>
    <w:p w14:paraId="3D3951C0" w14:textId="77777777" w:rsidR="009F6C80" w:rsidRPr="00CD729C" w:rsidRDefault="009F6C80" w:rsidP="009B4BB6">
      <w:pPr>
        <w:widowControl w:val="0"/>
        <w:tabs>
          <w:tab w:val="clear" w:pos="567"/>
        </w:tabs>
        <w:spacing w:line="240" w:lineRule="auto"/>
        <w:ind w:left="567" w:hanging="567"/>
        <w:rPr>
          <w:color w:val="000000"/>
          <w:szCs w:val="22"/>
        </w:rPr>
      </w:pPr>
    </w:p>
    <w:p w14:paraId="3D3951C1" w14:textId="77777777" w:rsidR="009F6C80" w:rsidRPr="00CD729C" w:rsidRDefault="009F6C80" w:rsidP="009B4BB6">
      <w:pPr>
        <w:widowControl w:val="0"/>
        <w:tabs>
          <w:tab w:val="clear" w:pos="567"/>
        </w:tabs>
        <w:spacing w:line="240" w:lineRule="auto"/>
        <w:ind w:left="567" w:hanging="567"/>
        <w:rPr>
          <w:color w:val="000000"/>
          <w:szCs w:val="22"/>
        </w:rPr>
      </w:pPr>
      <w:r w:rsidRPr="00CD729C">
        <w:rPr>
          <w:color w:val="000000"/>
          <w:szCs w:val="22"/>
        </w:rPr>
        <w:br w:type="page"/>
      </w:r>
    </w:p>
    <w:p w14:paraId="3D3951C2" w14:textId="77777777" w:rsidR="009F6C80" w:rsidRPr="00CD729C" w:rsidRDefault="009F6C80" w:rsidP="009B4BB6">
      <w:pPr>
        <w:widowControl w:val="0"/>
        <w:tabs>
          <w:tab w:val="clear" w:pos="567"/>
        </w:tabs>
        <w:spacing w:line="240" w:lineRule="auto"/>
        <w:ind w:left="567" w:hanging="567"/>
        <w:rPr>
          <w:color w:val="000000"/>
          <w:szCs w:val="22"/>
        </w:rPr>
      </w:pPr>
    </w:p>
    <w:p w14:paraId="3D3951C3" w14:textId="77777777" w:rsidR="009F6C80" w:rsidRPr="00CD729C" w:rsidRDefault="009F6C80" w:rsidP="009B4BB6">
      <w:pPr>
        <w:widowControl w:val="0"/>
        <w:tabs>
          <w:tab w:val="clear" w:pos="567"/>
        </w:tabs>
        <w:spacing w:line="240" w:lineRule="auto"/>
        <w:ind w:left="567" w:hanging="567"/>
        <w:rPr>
          <w:color w:val="000000"/>
          <w:szCs w:val="22"/>
        </w:rPr>
      </w:pPr>
    </w:p>
    <w:p w14:paraId="3D3951C4" w14:textId="77777777" w:rsidR="009F6C80" w:rsidRPr="00CD729C" w:rsidRDefault="009F6C80" w:rsidP="009B4BB6">
      <w:pPr>
        <w:widowControl w:val="0"/>
        <w:tabs>
          <w:tab w:val="clear" w:pos="567"/>
        </w:tabs>
        <w:spacing w:line="240" w:lineRule="auto"/>
        <w:ind w:left="567" w:hanging="567"/>
        <w:rPr>
          <w:color w:val="000000"/>
          <w:szCs w:val="22"/>
        </w:rPr>
      </w:pPr>
    </w:p>
    <w:p w14:paraId="3D3951C5" w14:textId="77777777" w:rsidR="009F6C80" w:rsidRPr="00CD729C" w:rsidRDefault="009F6C80" w:rsidP="009B4BB6">
      <w:pPr>
        <w:widowControl w:val="0"/>
        <w:tabs>
          <w:tab w:val="clear" w:pos="567"/>
        </w:tabs>
        <w:spacing w:line="240" w:lineRule="auto"/>
        <w:ind w:left="567" w:hanging="567"/>
        <w:rPr>
          <w:color w:val="000000"/>
          <w:szCs w:val="22"/>
        </w:rPr>
      </w:pPr>
    </w:p>
    <w:p w14:paraId="3D3951C6" w14:textId="77777777" w:rsidR="009F6C80" w:rsidRPr="00CD729C" w:rsidRDefault="009F6C80" w:rsidP="009B4BB6">
      <w:pPr>
        <w:widowControl w:val="0"/>
        <w:tabs>
          <w:tab w:val="clear" w:pos="567"/>
        </w:tabs>
        <w:spacing w:line="240" w:lineRule="auto"/>
        <w:ind w:left="567" w:hanging="567"/>
        <w:rPr>
          <w:color w:val="000000"/>
          <w:szCs w:val="22"/>
        </w:rPr>
      </w:pPr>
    </w:p>
    <w:p w14:paraId="3D3951C7" w14:textId="77777777" w:rsidR="009F6C80" w:rsidRPr="00CD729C" w:rsidRDefault="009F6C80" w:rsidP="009B4BB6">
      <w:pPr>
        <w:widowControl w:val="0"/>
        <w:tabs>
          <w:tab w:val="clear" w:pos="567"/>
        </w:tabs>
        <w:spacing w:line="240" w:lineRule="auto"/>
        <w:ind w:left="567" w:hanging="567"/>
        <w:rPr>
          <w:color w:val="000000"/>
          <w:szCs w:val="22"/>
        </w:rPr>
      </w:pPr>
    </w:p>
    <w:p w14:paraId="3D3951C8" w14:textId="77777777" w:rsidR="009F6C80" w:rsidRPr="00CD729C" w:rsidRDefault="009F6C80" w:rsidP="009B4BB6">
      <w:pPr>
        <w:widowControl w:val="0"/>
        <w:tabs>
          <w:tab w:val="clear" w:pos="567"/>
        </w:tabs>
        <w:spacing w:line="240" w:lineRule="auto"/>
        <w:ind w:left="567" w:hanging="567"/>
        <w:rPr>
          <w:color w:val="000000"/>
          <w:szCs w:val="22"/>
        </w:rPr>
      </w:pPr>
    </w:p>
    <w:p w14:paraId="3D3951C9" w14:textId="77777777" w:rsidR="009F6C80" w:rsidRPr="00CD729C" w:rsidRDefault="009F6C80" w:rsidP="009B4BB6">
      <w:pPr>
        <w:widowControl w:val="0"/>
        <w:tabs>
          <w:tab w:val="clear" w:pos="567"/>
        </w:tabs>
        <w:spacing w:line="240" w:lineRule="auto"/>
        <w:ind w:left="567" w:hanging="567"/>
        <w:rPr>
          <w:color w:val="000000"/>
          <w:szCs w:val="22"/>
        </w:rPr>
      </w:pPr>
    </w:p>
    <w:p w14:paraId="3D3951CA" w14:textId="77777777" w:rsidR="009F6C80" w:rsidRPr="00CD729C" w:rsidRDefault="009F6C80" w:rsidP="009B4BB6">
      <w:pPr>
        <w:widowControl w:val="0"/>
        <w:tabs>
          <w:tab w:val="clear" w:pos="567"/>
        </w:tabs>
        <w:spacing w:line="240" w:lineRule="auto"/>
        <w:ind w:left="567" w:hanging="567"/>
        <w:rPr>
          <w:color w:val="000000"/>
          <w:szCs w:val="22"/>
        </w:rPr>
      </w:pPr>
    </w:p>
    <w:p w14:paraId="3D3951CB" w14:textId="77777777" w:rsidR="009F6C80" w:rsidRPr="00CD729C" w:rsidRDefault="009F6C80" w:rsidP="009B4BB6">
      <w:pPr>
        <w:widowControl w:val="0"/>
        <w:tabs>
          <w:tab w:val="clear" w:pos="567"/>
        </w:tabs>
        <w:spacing w:line="240" w:lineRule="auto"/>
        <w:ind w:left="567" w:hanging="567"/>
        <w:rPr>
          <w:color w:val="000000"/>
          <w:szCs w:val="22"/>
        </w:rPr>
      </w:pPr>
    </w:p>
    <w:p w14:paraId="3D3951CC" w14:textId="77777777" w:rsidR="009F6C80" w:rsidRPr="00CD729C" w:rsidRDefault="009F6C80" w:rsidP="009B4BB6">
      <w:pPr>
        <w:widowControl w:val="0"/>
        <w:tabs>
          <w:tab w:val="clear" w:pos="567"/>
        </w:tabs>
        <w:spacing w:line="240" w:lineRule="auto"/>
        <w:ind w:left="567" w:hanging="567"/>
        <w:rPr>
          <w:color w:val="000000"/>
          <w:szCs w:val="22"/>
        </w:rPr>
      </w:pPr>
    </w:p>
    <w:p w14:paraId="3D3951CD" w14:textId="77777777" w:rsidR="009F6C80" w:rsidRDefault="009F6C80" w:rsidP="009B4BB6">
      <w:pPr>
        <w:widowControl w:val="0"/>
        <w:tabs>
          <w:tab w:val="clear" w:pos="567"/>
        </w:tabs>
        <w:spacing w:line="240" w:lineRule="auto"/>
        <w:ind w:left="567" w:hanging="567"/>
        <w:rPr>
          <w:color w:val="000000"/>
          <w:szCs w:val="22"/>
        </w:rPr>
      </w:pPr>
    </w:p>
    <w:p w14:paraId="3D3951CE" w14:textId="77777777" w:rsidR="00CC116F" w:rsidRPr="00CD729C" w:rsidRDefault="00CC116F" w:rsidP="009B4BB6">
      <w:pPr>
        <w:widowControl w:val="0"/>
        <w:tabs>
          <w:tab w:val="clear" w:pos="567"/>
        </w:tabs>
        <w:spacing w:line="240" w:lineRule="auto"/>
        <w:ind w:left="567" w:hanging="567"/>
        <w:rPr>
          <w:color w:val="000000"/>
          <w:szCs w:val="22"/>
        </w:rPr>
      </w:pPr>
    </w:p>
    <w:p w14:paraId="3D3951CF" w14:textId="77777777" w:rsidR="009F6C80" w:rsidRPr="00CD729C" w:rsidRDefault="009F6C80" w:rsidP="009B4BB6">
      <w:pPr>
        <w:widowControl w:val="0"/>
        <w:tabs>
          <w:tab w:val="clear" w:pos="567"/>
        </w:tabs>
        <w:spacing w:line="240" w:lineRule="auto"/>
        <w:ind w:left="567" w:hanging="567"/>
        <w:rPr>
          <w:color w:val="000000"/>
          <w:szCs w:val="22"/>
        </w:rPr>
      </w:pPr>
    </w:p>
    <w:p w14:paraId="3D3951D0" w14:textId="77777777" w:rsidR="009F6C80" w:rsidRPr="00CD729C" w:rsidRDefault="009F6C80" w:rsidP="009B4BB6">
      <w:pPr>
        <w:widowControl w:val="0"/>
        <w:tabs>
          <w:tab w:val="clear" w:pos="567"/>
        </w:tabs>
        <w:spacing w:line="240" w:lineRule="auto"/>
        <w:ind w:left="567" w:hanging="567"/>
        <w:rPr>
          <w:color w:val="000000"/>
          <w:szCs w:val="22"/>
        </w:rPr>
      </w:pPr>
    </w:p>
    <w:p w14:paraId="3D3951D1" w14:textId="77777777" w:rsidR="009F6C80" w:rsidRPr="00CD729C" w:rsidRDefault="009F6C80" w:rsidP="009B4BB6">
      <w:pPr>
        <w:widowControl w:val="0"/>
        <w:tabs>
          <w:tab w:val="clear" w:pos="567"/>
        </w:tabs>
        <w:spacing w:line="240" w:lineRule="auto"/>
        <w:ind w:left="567" w:hanging="567"/>
        <w:rPr>
          <w:color w:val="000000"/>
          <w:szCs w:val="22"/>
        </w:rPr>
      </w:pPr>
    </w:p>
    <w:p w14:paraId="3D3951D2" w14:textId="77777777" w:rsidR="009F6C80" w:rsidRPr="00CD729C" w:rsidRDefault="009F6C80" w:rsidP="009B4BB6">
      <w:pPr>
        <w:widowControl w:val="0"/>
        <w:tabs>
          <w:tab w:val="clear" w:pos="567"/>
        </w:tabs>
        <w:spacing w:line="240" w:lineRule="auto"/>
        <w:ind w:left="567" w:hanging="567"/>
        <w:rPr>
          <w:color w:val="000000"/>
          <w:szCs w:val="22"/>
        </w:rPr>
      </w:pPr>
    </w:p>
    <w:p w14:paraId="3D3951D3" w14:textId="77777777" w:rsidR="009F6C80" w:rsidRPr="00CD729C" w:rsidRDefault="009F6C80" w:rsidP="009B4BB6">
      <w:pPr>
        <w:widowControl w:val="0"/>
        <w:tabs>
          <w:tab w:val="clear" w:pos="567"/>
        </w:tabs>
        <w:spacing w:line="240" w:lineRule="auto"/>
        <w:ind w:left="567" w:hanging="567"/>
        <w:rPr>
          <w:color w:val="000000"/>
          <w:szCs w:val="22"/>
        </w:rPr>
      </w:pPr>
    </w:p>
    <w:p w14:paraId="3D3951D4" w14:textId="77777777" w:rsidR="009F6C80" w:rsidRPr="00CD729C" w:rsidRDefault="009F6C80" w:rsidP="009B4BB6">
      <w:pPr>
        <w:widowControl w:val="0"/>
        <w:tabs>
          <w:tab w:val="clear" w:pos="567"/>
        </w:tabs>
        <w:spacing w:line="240" w:lineRule="auto"/>
        <w:ind w:left="567" w:hanging="567"/>
        <w:rPr>
          <w:color w:val="000000"/>
          <w:szCs w:val="22"/>
        </w:rPr>
      </w:pPr>
    </w:p>
    <w:p w14:paraId="3D3951D5" w14:textId="77777777" w:rsidR="009F6C80" w:rsidRPr="00CD729C" w:rsidRDefault="009F6C80" w:rsidP="009B4BB6">
      <w:pPr>
        <w:widowControl w:val="0"/>
        <w:tabs>
          <w:tab w:val="clear" w:pos="567"/>
        </w:tabs>
        <w:spacing w:line="240" w:lineRule="auto"/>
        <w:rPr>
          <w:color w:val="000000"/>
          <w:szCs w:val="22"/>
        </w:rPr>
      </w:pPr>
    </w:p>
    <w:p w14:paraId="3D3951D6" w14:textId="77777777" w:rsidR="009F6C80" w:rsidRPr="00CD729C" w:rsidRDefault="009F6C80" w:rsidP="009B4BB6">
      <w:pPr>
        <w:widowControl w:val="0"/>
        <w:tabs>
          <w:tab w:val="clear" w:pos="567"/>
        </w:tabs>
        <w:spacing w:line="240" w:lineRule="auto"/>
        <w:rPr>
          <w:color w:val="000000"/>
          <w:szCs w:val="22"/>
        </w:rPr>
      </w:pPr>
    </w:p>
    <w:p w14:paraId="3D3951D7" w14:textId="77777777" w:rsidR="009F6C80" w:rsidRPr="00CD729C" w:rsidRDefault="009F6C80" w:rsidP="009B4BB6">
      <w:pPr>
        <w:widowControl w:val="0"/>
        <w:tabs>
          <w:tab w:val="clear" w:pos="567"/>
        </w:tabs>
        <w:spacing w:line="240" w:lineRule="auto"/>
        <w:rPr>
          <w:color w:val="000000"/>
          <w:szCs w:val="22"/>
        </w:rPr>
      </w:pPr>
    </w:p>
    <w:p w14:paraId="3D3951D8" w14:textId="77777777" w:rsidR="009F6C80" w:rsidRPr="00CD729C" w:rsidRDefault="009F6C80" w:rsidP="009B4BB6">
      <w:pPr>
        <w:widowControl w:val="0"/>
        <w:tabs>
          <w:tab w:val="clear" w:pos="567"/>
        </w:tabs>
        <w:spacing w:line="240" w:lineRule="auto"/>
        <w:rPr>
          <w:color w:val="000000"/>
          <w:szCs w:val="22"/>
        </w:rPr>
      </w:pPr>
    </w:p>
    <w:p w14:paraId="3D3951D9" w14:textId="77777777" w:rsidR="009F6C80" w:rsidRPr="00CD729C" w:rsidRDefault="009F6C80" w:rsidP="009B4BB6">
      <w:pPr>
        <w:widowControl w:val="0"/>
        <w:tabs>
          <w:tab w:val="clear" w:pos="567"/>
        </w:tabs>
        <w:spacing w:line="240" w:lineRule="auto"/>
        <w:ind w:left="567" w:hanging="567"/>
        <w:jc w:val="center"/>
        <w:rPr>
          <w:color w:val="000000"/>
          <w:szCs w:val="22"/>
        </w:rPr>
      </w:pPr>
      <w:r w:rsidRPr="00CD729C">
        <w:rPr>
          <w:b/>
          <w:color w:val="000000"/>
          <w:szCs w:val="22"/>
        </w:rPr>
        <w:t>B. LIETOŠANAS INSTRUKCIJA</w:t>
      </w:r>
    </w:p>
    <w:p w14:paraId="3D395364" w14:textId="77777777" w:rsidR="009F6C80" w:rsidRPr="00CD729C" w:rsidRDefault="009F6C80" w:rsidP="009B4BB6">
      <w:pPr>
        <w:widowControl w:val="0"/>
        <w:tabs>
          <w:tab w:val="clear" w:pos="567"/>
        </w:tabs>
        <w:spacing w:line="240" w:lineRule="auto"/>
        <w:ind w:left="567" w:hanging="567"/>
        <w:jc w:val="center"/>
        <w:rPr>
          <w:color w:val="000000"/>
          <w:szCs w:val="22"/>
        </w:rPr>
      </w:pPr>
      <w:r w:rsidRPr="00CD729C">
        <w:rPr>
          <w:color w:val="000000"/>
          <w:szCs w:val="22"/>
        </w:rPr>
        <w:br w:type="page"/>
      </w:r>
      <w:r w:rsidR="005F30AB" w:rsidRPr="00CD729C">
        <w:rPr>
          <w:b/>
        </w:rPr>
        <w:t>Lietošanas instrukcija: informācija lietotājam</w:t>
      </w:r>
    </w:p>
    <w:p w14:paraId="3D395365" w14:textId="77777777" w:rsidR="009F6C80" w:rsidRPr="00CD729C" w:rsidRDefault="009F6C80" w:rsidP="009B4BB6">
      <w:pPr>
        <w:widowControl w:val="0"/>
        <w:tabs>
          <w:tab w:val="clear" w:pos="567"/>
        </w:tabs>
        <w:spacing w:line="240" w:lineRule="auto"/>
        <w:jc w:val="center"/>
        <w:rPr>
          <w:color w:val="000000"/>
          <w:szCs w:val="22"/>
        </w:rPr>
      </w:pPr>
    </w:p>
    <w:p w14:paraId="3D395366" w14:textId="77777777" w:rsidR="009F6C80" w:rsidRPr="00CD729C" w:rsidRDefault="009F6C80" w:rsidP="009B4BB6">
      <w:pPr>
        <w:widowControl w:val="0"/>
        <w:tabs>
          <w:tab w:val="clear" w:pos="567"/>
        </w:tabs>
        <w:spacing w:line="240" w:lineRule="auto"/>
        <w:jc w:val="center"/>
        <w:rPr>
          <w:color w:val="000000"/>
          <w:szCs w:val="22"/>
        </w:rPr>
      </w:pPr>
      <w:r w:rsidRPr="00CD729C">
        <w:rPr>
          <w:b/>
          <w:color w:val="000000"/>
          <w:szCs w:val="22"/>
        </w:rPr>
        <w:t>Glivec 100 mg cietās kapsulas</w:t>
      </w:r>
    </w:p>
    <w:p w14:paraId="3D395367" w14:textId="77777777" w:rsidR="009F6C80" w:rsidRPr="00AC1BAD" w:rsidRDefault="00B53E28" w:rsidP="009B4BB6">
      <w:pPr>
        <w:widowControl w:val="0"/>
        <w:tabs>
          <w:tab w:val="clear" w:pos="567"/>
        </w:tabs>
        <w:spacing w:line="240" w:lineRule="auto"/>
        <w:jc w:val="center"/>
        <w:rPr>
          <w:i/>
          <w:color w:val="000000"/>
          <w:szCs w:val="22"/>
        </w:rPr>
      </w:pPr>
      <w:r w:rsidRPr="00AC1BAD">
        <w:rPr>
          <w:i/>
          <w:color w:val="000000"/>
          <w:szCs w:val="22"/>
        </w:rPr>
        <w:t>i</w:t>
      </w:r>
      <w:r w:rsidR="009F6C80" w:rsidRPr="00AC1BAD">
        <w:rPr>
          <w:i/>
          <w:color w:val="000000"/>
          <w:szCs w:val="22"/>
        </w:rPr>
        <w:t>matinib</w:t>
      </w:r>
      <w:r w:rsidR="006A7EB7" w:rsidRPr="00AC1BAD">
        <w:rPr>
          <w:i/>
          <w:color w:val="000000"/>
          <w:szCs w:val="22"/>
        </w:rPr>
        <w:t>um</w:t>
      </w:r>
    </w:p>
    <w:p w14:paraId="3D395368" w14:textId="77777777" w:rsidR="009F6C80" w:rsidRPr="00CD729C" w:rsidRDefault="009F6C80" w:rsidP="009B4BB6">
      <w:pPr>
        <w:widowControl w:val="0"/>
        <w:tabs>
          <w:tab w:val="clear" w:pos="567"/>
        </w:tabs>
        <w:spacing w:line="240" w:lineRule="auto"/>
        <w:ind w:left="567" w:hanging="567"/>
        <w:rPr>
          <w:color w:val="000000"/>
          <w:szCs w:val="22"/>
        </w:rPr>
      </w:pPr>
    </w:p>
    <w:p w14:paraId="3D395369" w14:textId="77777777" w:rsidR="00320AAC" w:rsidRPr="00CD729C" w:rsidRDefault="00EB334D" w:rsidP="009B4BB6">
      <w:pPr>
        <w:widowControl w:val="0"/>
        <w:spacing w:line="240" w:lineRule="auto"/>
        <w:rPr>
          <w:snapToGrid w:val="0"/>
          <w:szCs w:val="22"/>
          <w:lang w:eastAsia="zh-CN"/>
        </w:rPr>
      </w:pPr>
      <w:r w:rsidRPr="00CD729C">
        <w:rPr>
          <w:noProof/>
          <w:lang w:val="en-GB" w:eastAsia="en-GB"/>
        </w:rPr>
        <w:drawing>
          <wp:inline distT="0" distB="0" distL="0" distR="0" wp14:anchorId="3D39583A" wp14:editId="3D39583B">
            <wp:extent cx="198120" cy="172720"/>
            <wp:effectExtent l="0" t="0" r="0" b="0"/>
            <wp:docPr id="8"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20" cy="172720"/>
                    </a:xfrm>
                    <a:prstGeom prst="rect">
                      <a:avLst/>
                    </a:prstGeom>
                    <a:noFill/>
                    <a:ln>
                      <a:noFill/>
                    </a:ln>
                  </pic:spPr>
                </pic:pic>
              </a:graphicData>
            </a:graphic>
          </wp:inline>
        </w:drawing>
      </w:r>
      <w:r w:rsidR="00320AAC" w:rsidRPr="00CD729C">
        <w:rPr>
          <w:snapToGrid w:val="0"/>
          <w:szCs w:val="22"/>
          <w:lang w:eastAsia="zh-CN"/>
        </w:rPr>
        <w:t>Šīm zālēm tiek piemērota papildu uzraudzība. Tādējādi būs iespējams ātri identificēt jaunāko informāciju par šo zāļu drošumu. Jūs varat palīdzēt, ziņojot par jebkādām novērotajām blakusparādībām. Par to, kā ziņot par blakusparādībām, skatīt 4. punkta beigās.</w:t>
      </w:r>
    </w:p>
    <w:p w14:paraId="3D39536A" w14:textId="77777777" w:rsidR="009F6C80" w:rsidRPr="00CD729C" w:rsidRDefault="009F6C80" w:rsidP="009B4BB6">
      <w:pPr>
        <w:widowControl w:val="0"/>
        <w:tabs>
          <w:tab w:val="clear" w:pos="567"/>
        </w:tabs>
        <w:spacing w:line="240" w:lineRule="auto"/>
        <w:ind w:left="567" w:hanging="567"/>
        <w:rPr>
          <w:color w:val="000000"/>
          <w:szCs w:val="22"/>
        </w:rPr>
      </w:pPr>
    </w:p>
    <w:p w14:paraId="3D39536B" w14:textId="77777777" w:rsidR="008328A8" w:rsidRPr="00CD729C" w:rsidRDefault="008328A8" w:rsidP="009B4BB6">
      <w:pPr>
        <w:widowControl w:val="0"/>
        <w:spacing w:line="240" w:lineRule="auto"/>
        <w:ind w:left="567" w:hanging="567"/>
        <w:rPr>
          <w:color w:val="000000"/>
          <w:szCs w:val="22"/>
        </w:rPr>
      </w:pPr>
      <w:r w:rsidRPr="00CD729C">
        <w:rPr>
          <w:b/>
          <w:color w:val="000000"/>
          <w:szCs w:val="22"/>
        </w:rPr>
        <w:t>Pirms zāļu lietošanas uzmanīgi izlasiet visu instrukciju</w:t>
      </w:r>
      <w:r w:rsidRPr="00CD729C">
        <w:rPr>
          <w:b/>
          <w:szCs w:val="24"/>
        </w:rPr>
        <w:t>, jo tā satur Jums svarīgu informāciju</w:t>
      </w:r>
      <w:r w:rsidRPr="00CD729C">
        <w:rPr>
          <w:b/>
          <w:color w:val="000000"/>
          <w:szCs w:val="22"/>
        </w:rPr>
        <w:t>.</w:t>
      </w:r>
    </w:p>
    <w:p w14:paraId="3D39536C" w14:textId="77777777" w:rsidR="008328A8" w:rsidRPr="00CD729C" w:rsidRDefault="008328A8" w:rsidP="009B4BB6">
      <w:pPr>
        <w:widowControl w:val="0"/>
        <w:tabs>
          <w:tab w:val="clear" w:pos="567"/>
        </w:tabs>
        <w:spacing w:line="240" w:lineRule="auto"/>
        <w:ind w:left="567" w:hanging="567"/>
        <w:rPr>
          <w:color w:val="000000"/>
          <w:szCs w:val="22"/>
        </w:rPr>
      </w:pPr>
      <w:r w:rsidRPr="00CD729C">
        <w:rPr>
          <w:color w:val="000000"/>
          <w:szCs w:val="22"/>
        </w:rPr>
        <w:t>-</w:t>
      </w:r>
      <w:r w:rsidRPr="00CD729C">
        <w:rPr>
          <w:color w:val="000000"/>
          <w:szCs w:val="22"/>
        </w:rPr>
        <w:tab/>
        <w:t>Saglabājiet šo instrukciju! Iespējams, ka vēlāk to vajadzēs pārlasīt.</w:t>
      </w:r>
    </w:p>
    <w:p w14:paraId="3D39536D" w14:textId="77777777" w:rsidR="008328A8" w:rsidRPr="00CD729C" w:rsidRDefault="008328A8" w:rsidP="009B4BB6">
      <w:pPr>
        <w:widowControl w:val="0"/>
        <w:tabs>
          <w:tab w:val="clear" w:pos="567"/>
        </w:tabs>
        <w:spacing w:line="240" w:lineRule="auto"/>
        <w:ind w:left="567" w:hanging="567"/>
        <w:rPr>
          <w:color w:val="000000"/>
        </w:rPr>
      </w:pPr>
      <w:r w:rsidRPr="00CD729C">
        <w:rPr>
          <w:color w:val="000000"/>
        </w:rPr>
        <w:t>-</w:t>
      </w:r>
      <w:r w:rsidRPr="00CD729C">
        <w:rPr>
          <w:color w:val="000000"/>
        </w:rPr>
        <w:tab/>
        <w:t>Ja Jums rodas jebkādi jautājumi, vaicājiet ārstam, farmaceitam vai medmāsai.</w:t>
      </w:r>
    </w:p>
    <w:p w14:paraId="3D39536E" w14:textId="77777777" w:rsidR="008328A8" w:rsidRPr="00CD729C" w:rsidRDefault="008328A8" w:rsidP="009B4BB6">
      <w:pPr>
        <w:widowControl w:val="0"/>
        <w:tabs>
          <w:tab w:val="clear" w:pos="567"/>
        </w:tabs>
        <w:spacing w:line="240" w:lineRule="auto"/>
        <w:ind w:left="567" w:hanging="567"/>
        <w:rPr>
          <w:color w:val="000000"/>
          <w:szCs w:val="22"/>
        </w:rPr>
      </w:pPr>
      <w:r w:rsidRPr="00CD729C">
        <w:rPr>
          <w:color w:val="000000"/>
          <w:szCs w:val="22"/>
        </w:rPr>
        <w:t>-</w:t>
      </w:r>
      <w:r w:rsidRPr="00CD729C">
        <w:rPr>
          <w:color w:val="000000"/>
          <w:szCs w:val="22"/>
        </w:rPr>
        <w:tab/>
        <w:t xml:space="preserve">Šīs zāles ir parakstītas </w:t>
      </w:r>
      <w:r w:rsidRPr="00CD729C">
        <w:rPr>
          <w:szCs w:val="22"/>
        </w:rPr>
        <w:t xml:space="preserve">tikai </w:t>
      </w:r>
      <w:r w:rsidRPr="00CD729C">
        <w:rPr>
          <w:color w:val="000000"/>
          <w:szCs w:val="22"/>
        </w:rPr>
        <w:t xml:space="preserve">Jums. Nedodiet tās citiem. </w:t>
      </w:r>
      <w:r w:rsidRPr="00CD729C">
        <w:rPr>
          <w:color w:val="000000"/>
        </w:rPr>
        <w:t xml:space="preserve">Tās var nodarīt ļaunumu pat tad, ja šiem cilvēkiem ir </w:t>
      </w:r>
      <w:r w:rsidRPr="00CD729C">
        <w:rPr>
          <w:szCs w:val="22"/>
        </w:rPr>
        <w:t>līdzīgas slimības pazīmes</w:t>
      </w:r>
      <w:r w:rsidRPr="00CD729C">
        <w:rPr>
          <w:color w:val="000000"/>
        </w:rPr>
        <w:t>.</w:t>
      </w:r>
    </w:p>
    <w:p w14:paraId="3D39536F" w14:textId="77777777" w:rsidR="008328A8" w:rsidRPr="00CD729C" w:rsidRDefault="008328A8" w:rsidP="009B4BB6">
      <w:pPr>
        <w:widowControl w:val="0"/>
        <w:tabs>
          <w:tab w:val="clear" w:pos="567"/>
        </w:tabs>
        <w:spacing w:line="240" w:lineRule="auto"/>
        <w:ind w:left="567" w:hanging="567"/>
        <w:rPr>
          <w:color w:val="000000"/>
        </w:rPr>
      </w:pPr>
      <w:r w:rsidRPr="00CD729C">
        <w:rPr>
          <w:color w:val="000000"/>
        </w:rPr>
        <w:t>-</w:t>
      </w:r>
      <w:r w:rsidRPr="00CD729C">
        <w:rPr>
          <w:color w:val="000000"/>
        </w:rPr>
        <w:tab/>
      </w:r>
      <w:r w:rsidRPr="00CD729C">
        <w:rPr>
          <w:szCs w:val="22"/>
        </w:rPr>
        <w:t xml:space="preserve">Ja Jums </w:t>
      </w:r>
      <w:r w:rsidR="00C21DCA" w:rsidRPr="00CD729C">
        <w:rPr>
          <w:szCs w:val="22"/>
        </w:rPr>
        <w:t xml:space="preserve">rodas </w:t>
      </w:r>
      <w:r w:rsidRPr="00CD729C">
        <w:rPr>
          <w:szCs w:val="22"/>
        </w:rPr>
        <w:t xml:space="preserve">jebkādas blakusparādības, konsultējieties ar ārstu, farmaceitu vai medmāsu. Tas attiecas arī uz iespējamām blakusparādībām, kas </w:t>
      </w:r>
      <w:r w:rsidR="00C21DCA" w:rsidRPr="00CD729C">
        <w:rPr>
          <w:szCs w:val="22"/>
        </w:rPr>
        <w:t xml:space="preserve">nav minētas </w:t>
      </w:r>
      <w:r w:rsidRPr="00CD729C">
        <w:rPr>
          <w:szCs w:val="22"/>
        </w:rPr>
        <w:t>šajā instrukcijā.</w:t>
      </w:r>
      <w:r w:rsidR="00C21DCA" w:rsidRPr="00CD729C">
        <w:rPr>
          <w:szCs w:val="22"/>
        </w:rPr>
        <w:t xml:space="preserve"> </w:t>
      </w:r>
      <w:r w:rsidR="00C21DCA" w:rsidRPr="00CD729C">
        <w:rPr>
          <w:snapToGrid w:val="0"/>
          <w:szCs w:val="22"/>
        </w:rPr>
        <w:t>Skatīt 4. punktu.</w:t>
      </w:r>
    </w:p>
    <w:p w14:paraId="3D395370" w14:textId="77777777" w:rsidR="008328A8" w:rsidRPr="00CD729C" w:rsidRDefault="008328A8" w:rsidP="009B4BB6">
      <w:pPr>
        <w:widowControl w:val="0"/>
        <w:numPr>
          <w:ilvl w:val="12"/>
          <w:numId w:val="0"/>
        </w:numPr>
        <w:tabs>
          <w:tab w:val="clear" w:pos="567"/>
        </w:tabs>
        <w:spacing w:line="240" w:lineRule="auto"/>
        <w:ind w:left="567" w:hanging="567"/>
        <w:rPr>
          <w:color w:val="000000"/>
          <w:szCs w:val="22"/>
        </w:rPr>
      </w:pPr>
    </w:p>
    <w:p w14:paraId="3D395371" w14:textId="77777777" w:rsidR="008328A8" w:rsidRPr="00CD729C" w:rsidRDefault="008328A8" w:rsidP="009B4BB6">
      <w:pPr>
        <w:widowControl w:val="0"/>
        <w:numPr>
          <w:ilvl w:val="12"/>
          <w:numId w:val="0"/>
        </w:numPr>
        <w:tabs>
          <w:tab w:val="clear" w:pos="567"/>
        </w:tabs>
        <w:spacing w:line="240" w:lineRule="auto"/>
        <w:ind w:left="567" w:hanging="567"/>
        <w:rPr>
          <w:color w:val="000000"/>
          <w:szCs w:val="22"/>
        </w:rPr>
      </w:pPr>
    </w:p>
    <w:p w14:paraId="3D395372" w14:textId="77777777" w:rsidR="008328A8" w:rsidRPr="00CD729C" w:rsidRDefault="008328A8" w:rsidP="00CC116F">
      <w:pPr>
        <w:keepNext/>
        <w:widowControl w:val="0"/>
        <w:numPr>
          <w:ilvl w:val="12"/>
          <w:numId w:val="0"/>
        </w:numPr>
        <w:tabs>
          <w:tab w:val="clear" w:pos="567"/>
        </w:tabs>
        <w:spacing w:line="240" w:lineRule="auto"/>
        <w:ind w:left="567" w:hanging="567"/>
        <w:rPr>
          <w:color w:val="000000"/>
          <w:szCs w:val="22"/>
        </w:rPr>
      </w:pPr>
      <w:r w:rsidRPr="00CD729C">
        <w:rPr>
          <w:b/>
          <w:color w:val="000000"/>
          <w:szCs w:val="22"/>
        </w:rPr>
        <w:t>Šajā instrukcijā varat uzzināt</w:t>
      </w:r>
    </w:p>
    <w:p w14:paraId="3D395373" w14:textId="77777777" w:rsidR="008328A8" w:rsidRPr="00CD729C" w:rsidRDefault="008328A8" w:rsidP="00CC116F">
      <w:pPr>
        <w:keepNext/>
        <w:widowControl w:val="0"/>
        <w:tabs>
          <w:tab w:val="clear" w:pos="567"/>
        </w:tabs>
        <w:spacing w:line="240" w:lineRule="auto"/>
        <w:ind w:left="567" w:hanging="567"/>
        <w:rPr>
          <w:color w:val="000000"/>
          <w:szCs w:val="22"/>
        </w:rPr>
      </w:pPr>
      <w:r w:rsidRPr="00CD729C">
        <w:rPr>
          <w:color w:val="000000"/>
          <w:szCs w:val="22"/>
        </w:rPr>
        <w:t>1.</w:t>
      </w:r>
      <w:r w:rsidRPr="00CD729C">
        <w:rPr>
          <w:color w:val="000000"/>
          <w:szCs w:val="22"/>
        </w:rPr>
        <w:tab/>
        <w:t>Kas ir Glivec un kādam nolūkam t</w:t>
      </w:r>
      <w:r w:rsidR="00202D1D" w:rsidRPr="00CD729C">
        <w:rPr>
          <w:color w:val="000000"/>
          <w:szCs w:val="22"/>
        </w:rPr>
        <w:t>o</w:t>
      </w:r>
      <w:r w:rsidRPr="00CD729C">
        <w:rPr>
          <w:color w:val="000000"/>
          <w:szCs w:val="22"/>
        </w:rPr>
        <w:t xml:space="preserve"> lieto</w:t>
      </w:r>
    </w:p>
    <w:p w14:paraId="3D395374" w14:textId="77777777" w:rsidR="008328A8" w:rsidRPr="00CD729C" w:rsidRDefault="008328A8" w:rsidP="00CC116F">
      <w:pPr>
        <w:keepNext/>
        <w:widowControl w:val="0"/>
        <w:tabs>
          <w:tab w:val="clear" w:pos="567"/>
        </w:tabs>
        <w:spacing w:line="240" w:lineRule="auto"/>
        <w:ind w:left="567" w:hanging="567"/>
        <w:rPr>
          <w:color w:val="000000"/>
          <w:szCs w:val="22"/>
        </w:rPr>
      </w:pPr>
      <w:r w:rsidRPr="00CD729C">
        <w:rPr>
          <w:color w:val="000000"/>
          <w:szCs w:val="22"/>
        </w:rPr>
        <w:t>2.</w:t>
      </w:r>
      <w:r w:rsidRPr="00CD729C">
        <w:rPr>
          <w:color w:val="000000"/>
          <w:szCs w:val="22"/>
        </w:rPr>
        <w:tab/>
      </w:r>
      <w:r w:rsidRPr="00CD729C">
        <w:rPr>
          <w:szCs w:val="22"/>
        </w:rPr>
        <w:t xml:space="preserve">Kas </w:t>
      </w:r>
      <w:r w:rsidR="00202D1D" w:rsidRPr="00CD729C">
        <w:rPr>
          <w:szCs w:val="22"/>
        </w:rPr>
        <w:t xml:space="preserve">Jums </w:t>
      </w:r>
      <w:r w:rsidRPr="00CD729C">
        <w:rPr>
          <w:szCs w:val="22"/>
        </w:rPr>
        <w:t>jāzina p</w:t>
      </w:r>
      <w:r w:rsidRPr="00CD729C">
        <w:rPr>
          <w:color w:val="000000"/>
          <w:szCs w:val="22"/>
        </w:rPr>
        <w:t>irms Glivec lietošanas</w:t>
      </w:r>
    </w:p>
    <w:p w14:paraId="3D395375" w14:textId="77777777" w:rsidR="008328A8" w:rsidRPr="00CD729C" w:rsidRDefault="008328A8" w:rsidP="00CC116F">
      <w:pPr>
        <w:keepNext/>
        <w:widowControl w:val="0"/>
        <w:tabs>
          <w:tab w:val="clear" w:pos="567"/>
        </w:tabs>
        <w:spacing w:line="240" w:lineRule="auto"/>
        <w:ind w:left="567" w:hanging="567"/>
        <w:rPr>
          <w:color w:val="000000"/>
          <w:szCs w:val="22"/>
        </w:rPr>
      </w:pPr>
      <w:r w:rsidRPr="00CD729C">
        <w:rPr>
          <w:color w:val="000000"/>
          <w:szCs w:val="22"/>
        </w:rPr>
        <w:t>3.</w:t>
      </w:r>
      <w:r w:rsidRPr="00CD729C">
        <w:rPr>
          <w:color w:val="000000"/>
          <w:szCs w:val="22"/>
        </w:rPr>
        <w:tab/>
        <w:t>Kā lietot Glivec</w:t>
      </w:r>
    </w:p>
    <w:p w14:paraId="3D395376" w14:textId="77777777" w:rsidR="008328A8" w:rsidRPr="00CD729C" w:rsidRDefault="008328A8" w:rsidP="00CC116F">
      <w:pPr>
        <w:keepNext/>
        <w:widowControl w:val="0"/>
        <w:tabs>
          <w:tab w:val="clear" w:pos="567"/>
        </w:tabs>
        <w:spacing w:line="240" w:lineRule="auto"/>
        <w:ind w:left="567" w:hanging="567"/>
        <w:rPr>
          <w:color w:val="000000"/>
          <w:szCs w:val="22"/>
        </w:rPr>
      </w:pPr>
      <w:r w:rsidRPr="00CD729C">
        <w:rPr>
          <w:color w:val="000000"/>
          <w:szCs w:val="22"/>
        </w:rPr>
        <w:t>4.</w:t>
      </w:r>
      <w:r w:rsidRPr="00CD729C">
        <w:rPr>
          <w:color w:val="000000"/>
          <w:szCs w:val="22"/>
        </w:rPr>
        <w:tab/>
        <w:t>Iespējamās blakusparādības</w:t>
      </w:r>
    </w:p>
    <w:p w14:paraId="3D395377" w14:textId="77777777" w:rsidR="008328A8" w:rsidRPr="00CD729C" w:rsidRDefault="008328A8" w:rsidP="00CC116F">
      <w:pPr>
        <w:keepNext/>
        <w:widowControl w:val="0"/>
        <w:tabs>
          <w:tab w:val="clear" w:pos="567"/>
        </w:tabs>
        <w:spacing w:line="240" w:lineRule="auto"/>
        <w:ind w:left="567" w:hanging="567"/>
        <w:rPr>
          <w:color w:val="000000"/>
          <w:szCs w:val="22"/>
        </w:rPr>
      </w:pPr>
      <w:r w:rsidRPr="00CD729C">
        <w:rPr>
          <w:color w:val="000000"/>
          <w:szCs w:val="22"/>
        </w:rPr>
        <w:t>5.</w:t>
      </w:r>
      <w:r w:rsidRPr="00CD729C">
        <w:rPr>
          <w:color w:val="000000"/>
          <w:szCs w:val="22"/>
        </w:rPr>
        <w:tab/>
        <w:t>Kā uzglabāt Glivec</w:t>
      </w:r>
    </w:p>
    <w:p w14:paraId="3D395378" w14:textId="77777777" w:rsidR="008328A8" w:rsidRPr="00CD729C" w:rsidRDefault="008328A8" w:rsidP="009B4BB6">
      <w:pPr>
        <w:widowControl w:val="0"/>
        <w:tabs>
          <w:tab w:val="clear" w:pos="567"/>
        </w:tabs>
        <w:spacing w:line="240" w:lineRule="auto"/>
        <w:ind w:left="567" w:hanging="567"/>
        <w:rPr>
          <w:color w:val="000000"/>
          <w:szCs w:val="22"/>
        </w:rPr>
      </w:pPr>
      <w:r w:rsidRPr="00CD729C">
        <w:rPr>
          <w:color w:val="000000"/>
          <w:szCs w:val="22"/>
        </w:rPr>
        <w:t>6.</w:t>
      </w:r>
      <w:r w:rsidRPr="00CD729C">
        <w:rPr>
          <w:color w:val="000000"/>
          <w:szCs w:val="22"/>
        </w:rPr>
        <w:tab/>
        <w:t>Iepakojuma saturs un cita informācija</w:t>
      </w:r>
    </w:p>
    <w:p w14:paraId="3D395379" w14:textId="77777777" w:rsidR="008328A8" w:rsidRPr="00CD729C" w:rsidRDefault="008328A8" w:rsidP="009B4BB6">
      <w:pPr>
        <w:widowControl w:val="0"/>
        <w:numPr>
          <w:ilvl w:val="12"/>
          <w:numId w:val="0"/>
        </w:numPr>
        <w:tabs>
          <w:tab w:val="clear" w:pos="567"/>
        </w:tabs>
        <w:spacing w:line="240" w:lineRule="auto"/>
        <w:ind w:left="567" w:hanging="567"/>
        <w:rPr>
          <w:color w:val="000000"/>
          <w:szCs w:val="22"/>
        </w:rPr>
      </w:pPr>
    </w:p>
    <w:p w14:paraId="3D39537A" w14:textId="77777777" w:rsidR="008328A8" w:rsidRPr="00CD729C" w:rsidRDefault="008328A8" w:rsidP="009B4BB6">
      <w:pPr>
        <w:widowControl w:val="0"/>
        <w:numPr>
          <w:ilvl w:val="12"/>
          <w:numId w:val="0"/>
        </w:numPr>
        <w:tabs>
          <w:tab w:val="clear" w:pos="567"/>
        </w:tabs>
        <w:spacing w:line="240" w:lineRule="auto"/>
        <w:ind w:left="567" w:hanging="567"/>
        <w:rPr>
          <w:color w:val="000000"/>
          <w:szCs w:val="22"/>
        </w:rPr>
      </w:pPr>
    </w:p>
    <w:p w14:paraId="3D39537B" w14:textId="77777777" w:rsidR="008328A8" w:rsidRPr="00CD729C" w:rsidRDefault="008328A8" w:rsidP="009B4BB6">
      <w:pPr>
        <w:keepNext/>
        <w:widowControl w:val="0"/>
        <w:numPr>
          <w:ilvl w:val="12"/>
          <w:numId w:val="0"/>
        </w:numPr>
        <w:tabs>
          <w:tab w:val="clear" w:pos="567"/>
        </w:tabs>
        <w:spacing w:line="240" w:lineRule="auto"/>
        <w:ind w:left="567" w:hanging="567"/>
        <w:rPr>
          <w:color w:val="000000"/>
          <w:szCs w:val="22"/>
        </w:rPr>
      </w:pPr>
      <w:r w:rsidRPr="00CD729C">
        <w:rPr>
          <w:b/>
          <w:color w:val="000000"/>
          <w:szCs w:val="22"/>
        </w:rPr>
        <w:t>1.</w:t>
      </w:r>
      <w:r w:rsidRPr="00CD729C">
        <w:rPr>
          <w:b/>
          <w:color w:val="000000"/>
          <w:szCs w:val="22"/>
        </w:rPr>
        <w:tab/>
        <w:t>Kas ir Glivec un kādam nolūkam t</w:t>
      </w:r>
      <w:r w:rsidR="00202D1D" w:rsidRPr="00CD729C">
        <w:rPr>
          <w:b/>
          <w:color w:val="000000"/>
          <w:szCs w:val="22"/>
        </w:rPr>
        <w:t>o</w:t>
      </w:r>
      <w:r w:rsidRPr="00CD729C">
        <w:rPr>
          <w:b/>
          <w:color w:val="000000"/>
          <w:szCs w:val="22"/>
        </w:rPr>
        <w:t xml:space="preserve"> lieto</w:t>
      </w:r>
    </w:p>
    <w:p w14:paraId="3D39537C" w14:textId="77777777" w:rsidR="008328A8" w:rsidRPr="00CD729C" w:rsidRDefault="008328A8" w:rsidP="009B4BB6">
      <w:pPr>
        <w:keepNext/>
        <w:widowControl w:val="0"/>
        <w:numPr>
          <w:ilvl w:val="12"/>
          <w:numId w:val="0"/>
        </w:numPr>
        <w:tabs>
          <w:tab w:val="clear" w:pos="567"/>
        </w:tabs>
        <w:spacing w:line="240" w:lineRule="auto"/>
        <w:ind w:left="567" w:hanging="567"/>
        <w:rPr>
          <w:color w:val="000000"/>
          <w:szCs w:val="22"/>
        </w:rPr>
      </w:pPr>
    </w:p>
    <w:p w14:paraId="3D39537D" w14:textId="77777777" w:rsidR="008328A8" w:rsidRPr="00CD729C" w:rsidRDefault="008328A8" w:rsidP="009B4BB6">
      <w:pPr>
        <w:pStyle w:val="Text"/>
        <w:widowControl w:val="0"/>
        <w:spacing w:before="0"/>
        <w:jc w:val="left"/>
        <w:rPr>
          <w:color w:val="000000"/>
          <w:sz w:val="22"/>
          <w:szCs w:val="22"/>
          <w:lang w:val="lv-LV"/>
        </w:rPr>
      </w:pPr>
      <w:r w:rsidRPr="00CD729C">
        <w:rPr>
          <w:color w:val="000000"/>
          <w:sz w:val="22"/>
          <w:szCs w:val="22"/>
          <w:lang w:val="lv-LV"/>
        </w:rPr>
        <w:t>Glivec ir zāles, kuras satur aktīvo vielu, ko sauc par imatinibu. Zemāk uzskaitīto slimību gadījumā šīs zāles kavē patoloģisko šūnu augšanu. Dažas no šīm slimībām ir saistītas arī ar vēzi.</w:t>
      </w:r>
    </w:p>
    <w:p w14:paraId="3D39537E" w14:textId="77777777" w:rsidR="008328A8" w:rsidRPr="00CD729C" w:rsidRDefault="008328A8" w:rsidP="009B4BB6">
      <w:pPr>
        <w:pStyle w:val="Text"/>
        <w:widowControl w:val="0"/>
        <w:spacing w:before="0"/>
        <w:jc w:val="left"/>
        <w:rPr>
          <w:color w:val="000000"/>
          <w:sz w:val="22"/>
          <w:szCs w:val="22"/>
          <w:lang w:val="lv-LV"/>
        </w:rPr>
      </w:pPr>
    </w:p>
    <w:p w14:paraId="3D39537F" w14:textId="77777777" w:rsidR="008328A8" w:rsidRPr="00CD729C" w:rsidRDefault="008328A8" w:rsidP="009B4BB6">
      <w:pPr>
        <w:keepNext/>
        <w:widowControl w:val="0"/>
        <w:numPr>
          <w:ilvl w:val="12"/>
          <w:numId w:val="0"/>
        </w:numPr>
        <w:tabs>
          <w:tab w:val="clear" w:pos="567"/>
        </w:tabs>
        <w:spacing w:line="240" w:lineRule="auto"/>
        <w:ind w:left="567" w:hanging="567"/>
        <w:rPr>
          <w:b/>
          <w:bCs/>
          <w:color w:val="000000"/>
          <w:szCs w:val="22"/>
        </w:rPr>
      </w:pPr>
      <w:r w:rsidRPr="00CD729C">
        <w:rPr>
          <w:b/>
          <w:bCs/>
          <w:color w:val="000000"/>
          <w:szCs w:val="22"/>
        </w:rPr>
        <w:t>Glivec ir indicēts pieaugušajiem un bērniem:</w:t>
      </w:r>
    </w:p>
    <w:p w14:paraId="3D395380" w14:textId="77777777" w:rsidR="008328A8" w:rsidRPr="00CD729C" w:rsidRDefault="008328A8" w:rsidP="009B4BB6">
      <w:pPr>
        <w:keepNext/>
        <w:widowControl w:val="0"/>
        <w:numPr>
          <w:ilvl w:val="12"/>
          <w:numId w:val="0"/>
        </w:numPr>
        <w:tabs>
          <w:tab w:val="clear" w:pos="567"/>
        </w:tabs>
        <w:spacing w:line="240" w:lineRule="auto"/>
        <w:ind w:left="567" w:hanging="567"/>
        <w:rPr>
          <w:color w:val="000000"/>
          <w:szCs w:val="22"/>
        </w:rPr>
      </w:pPr>
    </w:p>
    <w:p w14:paraId="3D395381" w14:textId="77777777" w:rsidR="008328A8" w:rsidRPr="00CD729C" w:rsidRDefault="008328A8" w:rsidP="009B4BB6">
      <w:pPr>
        <w:widowControl w:val="0"/>
        <w:numPr>
          <w:ilvl w:val="0"/>
          <w:numId w:val="18"/>
        </w:numPr>
        <w:tabs>
          <w:tab w:val="clear" w:pos="360"/>
          <w:tab w:val="num" w:pos="567"/>
        </w:tabs>
        <w:spacing w:line="240" w:lineRule="auto"/>
        <w:ind w:left="567" w:hanging="567"/>
        <w:rPr>
          <w:color w:val="000000"/>
          <w:szCs w:val="22"/>
        </w:rPr>
      </w:pPr>
      <w:r w:rsidRPr="00CD729C">
        <w:rPr>
          <w:b/>
          <w:bCs/>
          <w:color w:val="000000"/>
          <w:szCs w:val="22"/>
        </w:rPr>
        <w:t>Hroniskas mieloleikozes (</w:t>
      </w:r>
      <w:r w:rsidRPr="00CD729C">
        <w:rPr>
          <w:b/>
          <w:bCs/>
          <w:i/>
          <w:color w:val="000000"/>
          <w:szCs w:val="22"/>
        </w:rPr>
        <w:t>Chronic Myeloid Leukaemia</w:t>
      </w:r>
      <w:r w:rsidRPr="00CD729C">
        <w:rPr>
          <w:b/>
          <w:bCs/>
          <w:color w:val="000000"/>
          <w:szCs w:val="22"/>
        </w:rPr>
        <w:t xml:space="preserve"> - CML) ārstēšanai.</w:t>
      </w:r>
      <w:r w:rsidRPr="00CD729C">
        <w:rPr>
          <w:color w:val="000000"/>
          <w:szCs w:val="22"/>
        </w:rPr>
        <w:t xml:space="preserve"> Leikoze ir balto asins šūnu vēzis. Parasti šīs baltās šūnas palīdz organismam cīnīties ar infekciju. Hroniska mieloleikoze ir leikozes forma, kuras gadījumā sākas noteikta veida patoloģisku balto asins šūnu (kuras sauc par mieloīdajām šūnām) nekontrolēta augšana.</w:t>
      </w:r>
    </w:p>
    <w:p w14:paraId="3D395382" w14:textId="77777777" w:rsidR="00891892" w:rsidRPr="00CD729C" w:rsidRDefault="00891892" w:rsidP="009B4BB6">
      <w:pPr>
        <w:widowControl w:val="0"/>
        <w:numPr>
          <w:ilvl w:val="0"/>
          <w:numId w:val="18"/>
        </w:numPr>
        <w:tabs>
          <w:tab w:val="clear" w:pos="360"/>
          <w:tab w:val="num" w:pos="567"/>
        </w:tabs>
        <w:spacing w:line="240" w:lineRule="auto"/>
        <w:ind w:left="567" w:hanging="567"/>
        <w:rPr>
          <w:color w:val="000000"/>
          <w:szCs w:val="22"/>
        </w:rPr>
      </w:pPr>
      <w:r w:rsidRPr="00CD729C">
        <w:rPr>
          <w:b/>
          <w:bCs/>
          <w:color w:val="000000"/>
          <w:szCs w:val="22"/>
        </w:rPr>
        <w:t>Filadelfijas hromosomas pozitīvas akūtas limfoblastiskās leikozes (Ph-pozitīva ALL (</w:t>
      </w:r>
      <w:r w:rsidRPr="00CD729C">
        <w:rPr>
          <w:b/>
          <w:bCs/>
          <w:i/>
          <w:color w:val="000000"/>
          <w:szCs w:val="22"/>
        </w:rPr>
        <w:t>acute lymphoblastic leukemia</w:t>
      </w:r>
      <w:r w:rsidRPr="00CD729C">
        <w:rPr>
          <w:b/>
          <w:bCs/>
          <w:color w:val="000000"/>
          <w:szCs w:val="22"/>
        </w:rPr>
        <w:t>)) ārstēšanai.</w:t>
      </w:r>
      <w:r w:rsidRPr="00CD729C">
        <w:rPr>
          <w:color w:val="000000"/>
          <w:szCs w:val="22"/>
        </w:rPr>
        <w:t xml:space="preserve"> Leikoze ir balto asins šūnu vēzis. Šīs baltās šūnas parasti palīdz organismam cīnīties ar infekciju. Akūta limfoblastiska leikoze ir leikozes veids, kad nekontrolēti sāk augt noteikta veida patoloģiskas baltās šūnas (limfoblasti). Glivec nomāc šo šūnu augšanu.</w:t>
      </w:r>
    </w:p>
    <w:p w14:paraId="3D395383"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384" w14:textId="77777777" w:rsidR="008328A8" w:rsidRPr="00CD729C" w:rsidRDefault="008328A8" w:rsidP="009B4BB6">
      <w:pPr>
        <w:keepNext/>
        <w:widowControl w:val="0"/>
        <w:numPr>
          <w:ilvl w:val="12"/>
          <w:numId w:val="0"/>
        </w:numPr>
        <w:tabs>
          <w:tab w:val="clear" w:pos="567"/>
        </w:tabs>
        <w:spacing w:line="240" w:lineRule="auto"/>
        <w:rPr>
          <w:b/>
          <w:bCs/>
          <w:color w:val="000000"/>
          <w:szCs w:val="22"/>
        </w:rPr>
      </w:pPr>
      <w:r w:rsidRPr="00CD729C">
        <w:rPr>
          <w:b/>
          <w:bCs/>
          <w:color w:val="000000"/>
          <w:szCs w:val="22"/>
        </w:rPr>
        <w:t>Glivec ir arī indicēts pieaugušiem:</w:t>
      </w:r>
    </w:p>
    <w:p w14:paraId="3D395385" w14:textId="77777777" w:rsidR="008328A8" w:rsidRPr="00CD729C" w:rsidRDefault="008328A8" w:rsidP="009B4BB6">
      <w:pPr>
        <w:keepNext/>
        <w:widowControl w:val="0"/>
        <w:numPr>
          <w:ilvl w:val="12"/>
          <w:numId w:val="0"/>
        </w:numPr>
        <w:tabs>
          <w:tab w:val="clear" w:pos="567"/>
        </w:tabs>
        <w:spacing w:line="240" w:lineRule="auto"/>
        <w:rPr>
          <w:color w:val="000000"/>
          <w:szCs w:val="22"/>
        </w:rPr>
      </w:pPr>
    </w:p>
    <w:p w14:paraId="3D395386" w14:textId="77777777" w:rsidR="008328A8" w:rsidRPr="00CD729C" w:rsidRDefault="008328A8" w:rsidP="009B4BB6">
      <w:pPr>
        <w:pStyle w:val="Listlevel1"/>
        <w:widowControl w:val="0"/>
        <w:numPr>
          <w:ilvl w:val="0"/>
          <w:numId w:val="18"/>
        </w:numPr>
        <w:tabs>
          <w:tab w:val="clear" w:pos="360"/>
          <w:tab w:val="num" w:pos="567"/>
        </w:tabs>
        <w:spacing w:before="0" w:after="0"/>
        <w:ind w:left="567" w:hanging="567"/>
        <w:rPr>
          <w:color w:val="000000"/>
          <w:sz w:val="22"/>
          <w:szCs w:val="22"/>
          <w:lang w:val="lv-LV"/>
        </w:rPr>
      </w:pPr>
      <w:r w:rsidRPr="00CD729C">
        <w:rPr>
          <w:b/>
          <w:bCs/>
          <w:color w:val="000000"/>
          <w:sz w:val="22"/>
          <w:szCs w:val="22"/>
          <w:lang w:val="lv-LV"/>
        </w:rPr>
        <w:t>Mielodisplastiskas/mieloproliferatīvas slimības (</w:t>
      </w:r>
      <w:r w:rsidRPr="00CD729C">
        <w:rPr>
          <w:b/>
          <w:bCs/>
          <w:i/>
          <w:color w:val="000000"/>
          <w:sz w:val="22"/>
          <w:szCs w:val="22"/>
          <w:lang w:val="lv-LV"/>
        </w:rPr>
        <w:t>Myelodysplastic/myeloproliferative diseases</w:t>
      </w:r>
      <w:r w:rsidRPr="00CD729C">
        <w:rPr>
          <w:b/>
          <w:bCs/>
          <w:color w:val="000000"/>
          <w:sz w:val="22"/>
          <w:szCs w:val="22"/>
          <w:lang w:val="lv-LV"/>
        </w:rPr>
        <w:t xml:space="preserve"> - MDS/MPD) ārstēšanai.</w:t>
      </w:r>
      <w:r w:rsidRPr="00CD729C">
        <w:rPr>
          <w:color w:val="000000"/>
          <w:sz w:val="22"/>
          <w:szCs w:val="22"/>
          <w:lang w:val="lv-LV"/>
        </w:rPr>
        <w:t xml:space="preserve"> Šī ir asins slimību grupa, kad nekontrolēti sāk augt dažas asins šūnas. Šo slimību noteiktu apakštipu gadījumā Glivec nomāc šo šūnu augšanu.</w:t>
      </w:r>
    </w:p>
    <w:p w14:paraId="3D395387" w14:textId="77777777" w:rsidR="008328A8" w:rsidRPr="00CD729C" w:rsidRDefault="008328A8" w:rsidP="009B4BB6">
      <w:pPr>
        <w:pStyle w:val="Listlevel1"/>
        <w:widowControl w:val="0"/>
        <w:numPr>
          <w:ilvl w:val="0"/>
          <w:numId w:val="18"/>
        </w:numPr>
        <w:tabs>
          <w:tab w:val="clear" w:pos="360"/>
          <w:tab w:val="num" w:pos="567"/>
        </w:tabs>
        <w:spacing w:before="0" w:after="0"/>
        <w:ind w:left="567" w:hanging="567"/>
        <w:rPr>
          <w:color w:val="000000"/>
          <w:sz w:val="22"/>
          <w:szCs w:val="22"/>
          <w:lang w:val="lv-LV"/>
        </w:rPr>
      </w:pPr>
      <w:r w:rsidRPr="00CD729C">
        <w:rPr>
          <w:b/>
          <w:bCs/>
          <w:color w:val="000000"/>
          <w:sz w:val="22"/>
          <w:szCs w:val="22"/>
          <w:lang w:val="lv-LV"/>
        </w:rPr>
        <w:t>Hipereozinofīliskā sindroma (HES) un vai hroniskas eozinofīlas leikozes (CEL) ārstēšanai.</w:t>
      </w:r>
      <w:r w:rsidRPr="00CD729C">
        <w:rPr>
          <w:color w:val="000000"/>
          <w:sz w:val="22"/>
          <w:szCs w:val="22"/>
          <w:lang w:val="lv-LV"/>
        </w:rPr>
        <w:t xml:space="preserve"> Šīs ir asins slimības, kuru gadījumā notiek dažu asins šūnu (ko sauc par eozinofīliem) nekontrolēta augšana. Šo slimību noteiktu apakštipu gadījumā Glivec nomāc šo šūnu augšanu.</w:t>
      </w:r>
    </w:p>
    <w:p w14:paraId="3D395388" w14:textId="77777777" w:rsidR="008328A8" w:rsidRPr="00CD729C" w:rsidRDefault="008328A8" w:rsidP="009B4BB6">
      <w:pPr>
        <w:widowControl w:val="0"/>
        <w:numPr>
          <w:ilvl w:val="0"/>
          <w:numId w:val="18"/>
        </w:numPr>
        <w:tabs>
          <w:tab w:val="clear" w:pos="360"/>
          <w:tab w:val="num" w:pos="567"/>
        </w:tabs>
        <w:spacing w:line="240" w:lineRule="auto"/>
        <w:ind w:left="567" w:hanging="567"/>
        <w:rPr>
          <w:color w:val="000000"/>
          <w:szCs w:val="22"/>
        </w:rPr>
      </w:pPr>
      <w:r w:rsidRPr="00CD729C">
        <w:rPr>
          <w:b/>
          <w:bCs/>
          <w:color w:val="000000"/>
          <w:szCs w:val="22"/>
        </w:rPr>
        <w:t>Ļaundabīgu kuņģa – zarnu trakta stromas audzēju (</w:t>
      </w:r>
      <w:r w:rsidRPr="00CD729C">
        <w:rPr>
          <w:b/>
          <w:bCs/>
          <w:i/>
          <w:color w:val="000000"/>
          <w:szCs w:val="22"/>
        </w:rPr>
        <w:t>Gastrointestinal Stromal Tumor</w:t>
      </w:r>
      <w:r w:rsidRPr="00CD729C">
        <w:rPr>
          <w:b/>
          <w:bCs/>
          <w:color w:val="000000"/>
          <w:szCs w:val="22"/>
        </w:rPr>
        <w:t xml:space="preserve"> -GIST) ārstēšanai.</w:t>
      </w:r>
      <w:r w:rsidRPr="00CD729C">
        <w:rPr>
          <w:color w:val="000000"/>
          <w:szCs w:val="22"/>
        </w:rPr>
        <w:t xml:space="preserve"> GIST</w:t>
      </w:r>
      <w:r w:rsidRPr="00CD729C">
        <w:rPr>
          <w:i/>
          <w:color w:val="000000"/>
          <w:szCs w:val="22"/>
        </w:rPr>
        <w:t xml:space="preserve"> </w:t>
      </w:r>
      <w:r w:rsidRPr="00CD729C">
        <w:rPr>
          <w:color w:val="000000"/>
          <w:szCs w:val="22"/>
        </w:rPr>
        <w:t>ir kuņģa un zarnu audzējs. Tas rodas, nekontrolēti augot šos orgānus atbalstošo audu šūnām.</w:t>
      </w:r>
    </w:p>
    <w:p w14:paraId="3D395389" w14:textId="77777777" w:rsidR="008328A8" w:rsidRPr="00CD729C" w:rsidRDefault="008328A8" w:rsidP="009B4BB6">
      <w:pPr>
        <w:keepNext/>
        <w:widowControl w:val="0"/>
        <w:numPr>
          <w:ilvl w:val="0"/>
          <w:numId w:val="18"/>
        </w:numPr>
        <w:tabs>
          <w:tab w:val="clear" w:pos="360"/>
          <w:tab w:val="num" w:pos="567"/>
        </w:tabs>
        <w:spacing w:line="240" w:lineRule="auto"/>
        <w:ind w:left="567" w:hanging="567"/>
        <w:rPr>
          <w:color w:val="000000"/>
          <w:szCs w:val="22"/>
        </w:rPr>
      </w:pPr>
      <w:r w:rsidRPr="00CD729C">
        <w:rPr>
          <w:b/>
          <w:bCs/>
          <w:i/>
          <w:color w:val="000000"/>
          <w:szCs w:val="22"/>
        </w:rPr>
        <w:t>Dermatofibrosarcoma protuberans</w:t>
      </w:r>
      <w:r w:rsidRPr="00CD729C">
        <w:rPr>
          <w:b/>
          <w:bCs/>
          <w:color w:val="000000"/>
          <w:szCs w:val="22"/>
        </w:rPr>
        <w:t xml:space="preserve"> (DFSP).</w:t>
      </w:r>
      <w:r w:rsidRPr="00CD729C">
        <w:rPr>
          <w:color w:val="000000"/>
          <w:szCs w:val="22"/>
        </w:rPr>
        <w:t xml:space="preserve"> DFSP ir zemādas audu vēzis, kura gadījumā dažas šūnas sāk nekontrolēti augt. Glivec nomāc šo šūnu augšanu.</w:t>
      </w:r>
    </w:p>
    <w:p w14:paraId="3D39538A" w14:textId="77777777" w:rsidR="008328A8" w:rsidRPr="00CD729C" w:rsidRDefault="008328A8" w:rsidP="009B4BB6">
      <w:pPr>
        <w:widowControl w:val="0"/>
        <w:numPr>
          <w:ilvl w:val="12"/>
          <w:numId w:val="0"/>
        </w:numPr>
        <w:tabs>
          <w:tab w:val="clear" w:pos="567"/>
        </w:tabs>
        <w:spacing w:line="240" w:lineRule="auto"/>
        <w:rPr>
          <w:color w:val="000000"/>
          <w:szCs w:val="22"/>
        </w:rPr>
      </w:pPr>
      <w:r w:rsidRPr="00CD729C">
        <w:rPr>
          <w:color w:val="000000"/>
          <w:szCs w:val="22"/>
        </w:rPr>
        <w:t>Turpmāk šajā lietošanas instrukcijā aprakstot šīs slimības, mēs izmantosim iepriekš minētos saīsinājumus.</w:t>
      </w:r>
    </w:p>
    <w:p w14:paraId="3D39538B"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38C" w14:textId="77777777" w:rsidR="008328A8" w:rsidRPr="00CD729C" w:rsidRDefault="008328A8" w:rsidP="009B4BB6">
      <w:pPr>
        <w:widowControl w:val="0"/>
        <w:numPr>
          <w:ilvl w:val="12"/>
          <w:numId w:val="0"/>
        </w:numPr>
        <w:tabs>
          <w:tab w:val="clear" w:pos="567"/>
        </w:tabs>
        <w:spacing w:line="240" w:lineRule="auto"/>
        <w:rPr>
          <w:color w:val="000000"/>
          <w:szCs w:val="22"/>
        </w:rPr>
      </w:pPr>
      <w:r w:rsidRPr="00CD729C">
        <w:rPr>
          <w:color w:val="000000"/>
          <w:szCs w:val="22"/>
        </w:rPr>
        <w:t>Ja Jums ir kādi jautājumi par Glivec iedarbību vai kādēļ šīs zāles Jums ir nozīmētas, jautājiet savam ārstam.</w:t>
      </w:r>
    </w:p>
    <w:p w14:paraId="3D39538D"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38E"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38F" w14:textId="77777777" w:rsidR="008328A8" w:rsidRPr="00CD729C" w:rsidRDefault="008328A8" w:rsidP="009B4BB6">
      <w:pPr>
        <w:keepNext/>
        <w:widowControl w:val="0"/>
        <w:numPr>
          <w:ilvl w:val="12"/>
          <w:numId w:val="0"/>
        </w:numPr>
        <w:tabs>
          <w:tab w:val="clear" w:pos="567"/>
        </w:tabs>
        <w:spacing w:line="240" w:lineRule="auto"/>
        <w:ind w:left="567" w:hanging="567"/>
        <w:rPr>
          <w:color w:val="000000"/>
          <w:szCs w:val="22"/>
        </w:rPr>
      </w:pPr>
      <w:r w:rsidRPr="00CD729C">
        <w:rPr>
          <w:b/>
          <w:color w:val="000000"/>
          <w:szCs w:val="22"/>
        </w:rPr>
        <w:t>2.</w:t>
      </w:r>
      <w:r w:rsidRPr="00CD729C">
        <w:rPr>
          <w:b/>
          <w:color w:val="000000"/>
          <w:szCs w:val="22"/>
        </w:rPr>
        <w:tab/>
        <w:t xml:space="preserve">Kas </w:t>
      </w:r>
      <w:r w:rsidR="006B2AC8" w:rsidRPr="00CD729C">
        <w:rPr>
          <w:b/>
          <w:color w:val="000000"/>
          <w:szCs w:val="22"/>
        </w:rPr>
        <w:t xml:space="preserve">Jums </w:t>
      </w:r>
      <w:r w:rsidRPr="00CD729C">
        <w:rPr>
          <w:b/>
          <w:color w:val="000000"/>
          <w:szCs w:val="22"/>
        </w:rPr>
        <w:t>jāzina pirms Glivec lietošanas</w:t>
      </w:r>
    </w:p>
    <w:p w14:paraId="3D395390" w14:textId="77777777" w:rsidR="008328A8" w:rsidRPr="00CD729C" w:rsidRDefault="008328A8" w:rsidP="009B4BB6">
      <w:pPr>
        <w:keepNext/>
        <w:widowControl w:val="0"/>
        <w:numPr>
          <w:ilvl w:val="12"/>
          <w:numId w:val="0"/>
        </w:numPr>
        <w:tabs>
          <w:tab w:val="clear" w:pos="567"/>
        </w:tabs>
        <w:spacing w:line="240" w:lineRule="auto"/>
        <w:ind w:left="567" w:hanging="567"/>
        <w:rPr>
          <w:color w:val="000000"/>
          <w:szCs w:val="22"/>
        </w:rPr>
      </w:pPr>
    </w:p>
    <w:p w14:paraId="3D395391" w14:textId="77777777" w:rsidR="008328A8" w:rsidRPr="00CD729C" w:rsidRDefault="008328A8" w:rsidP="009B4BB6">
      <w:pPr>
        <w:widowControl w:val="0"/>
        <w:numPr>
          <w:ilvl w:val="12"/>
          <w:numId w:val="0"/>
        </w:numPr>
        <w:tabs>
          <w:tab w:val="clear" w:pos="567"/>
        </w:tabs>
        <w:spacing w:line="240" w:lineRule="auto"/>
        <w:rPr>
          <w:color w:val="000000"/>
          <w:szCs w:val="22"/>
        </w:rPr>
      </w:pPr>
      <w:r w:rsidRPr="00CD729C">
        <w:rPr>
          <w:color w:val="000000"/>
          <w:szCs w:val="22"/>
        </w:rPr>
        <w:t>Glivec Jums var nozīmēt tikai ārsts, kam ir pieredze zāļu, kas paredzētas asins vēža vai norobežotu audzēju ārstēšanai.</w:t>
      </w:r>
    </w:p>
    <w:p w14:paraId="3D395392"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393" w14:textId="77777777" w:rsidR="008328A8" w:rsidRPr="00CD729C" w:rsidRDefault="008328A8" w:rsidP="009B4BB6">
      <w:pPr>
        <w:widowControl w:val="0"/>
        <w:numPr>
          <w:ilvl w:val="12"/>
          <w:numId w:val="0"/>
        </w:numPr>
        <w:tabs>
          <w:tab w:val="clear" w:pos="567"/>
        </w:tabs>
        <w:spacing w:line="240" w:lineRule="auto"/>
        <w:rPr>
          <w:color w:val="000000"/>
          <w:szCs w:val="22"/>
        </w:rPr>
      </w:pPr>
      <w:r w:rsidRPr="00CD729C">
        <w:rPr>
          <w:color w:val="000000"/>
          <w:szCs w:val="22"/>
        </w:rPr>
        <w:t>Rūpīgi ievērojiet visus sava ārsta norādījumus pat tad, ja tie atšķiras no vispārējās informācijas, kas atrodama šajā instrukcijā.</w:t>
      </w:r>
    </w:p>
    <w:p w14:paraId="3D395394"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395" w14:textId="77777777" w:rsidR="008328A8" w:rsidRPr="00CD729C" w:rsidRDefault="008328A8" w:rsidP="009B4BB6">
      <w:pPr>
        <w:pStyle w:val="BodyText2"/>
        <w:keepNext/>
        <w:widowControl w:val="0"/>
        <w:numPr>
          <w:ilvl w:val="12"/>
          <w:numId w:val="0"/>
        </w:numPr>
        <w:tabs>
          <w:tab w:val="clear" w:pos="567"/>
        </w:tabs>
        <w:spacing w:line="240" w:lineRule="auto"/>
        <w:rPr>
          <w:color w:val="000000"/>
          <w:szCs w:val="22"/>
        </w:rPr>
      </w:pPr>
      <w:r w:rsidRPr="00CD729C">
        <w:rPr>
          <w:color w:val="000000"/>
          <w:szCs w:val="22"/>
        </w:rPr>
        <w:t>Nelietojiet Glivec šādos gadījumos</w:t>
      </w:r>
    </w:p>
    <w:p w14:paraId="3D395396" w14:textId="77777777" w:rsidR="008328A8" w:rsidRPr="00CD729C" w:rsidRDefault="008328A8" w:rsidP="009B4BB6">
      <w:pPr>
        <w:keepNext/>
        <w:widowControl w:val="0"/>
        <w:numPr>
          <w:ilvl w:val="0"/>
          <w:numId w:val="2"/>
        </w:numPr>
        <w:tabs>
          <w:tab w:val="clear" w:pos="360"/>
          <w:tab w:val="clear" w:pos="567"/>
        </w:tabs>
        <w:spacing w:line="240" w:lineRule="auto"/>
        <w:ind w:left="567" w:hanging="567"/>
        <w:rPr>
          <w:color w:val="000000"/>
          <w:szCs w:val="22"/>
        </w:rPr>
      </w:pPr>
      <w:r w:rsidRPr="00CD729C">
        <w:rPr>
          <w:color w:val="000000"/>
          <w:szCs w:val="22"/>
        </w:rPr>
        <w:t xml:space="preserve">ja Jums ir alerģija pret imatinibu vai kādu citu </w:t>
      </w:r>
      <w:r w:rsidRPr="00CD729C">
        <w:rPr>
          <w:szCs w:val="22"/>
        </w:rPr>
        <w:t>(6.</w:t>
      </w:r>
      <w:r w:rsidR="006B2AC8" w:rsidRPr="00CD729C">
        <w:rPr>
          <w:szCs w:val="22"/>
        </w:rPr>
        <w:t xml:space="preserve"> punktā </w:t>
      </w:r>
      <w:r w:rsidRPr="00CD729C">
        <w:rPr>
          <w:szCs w:val="22"/>
        </w:rPr>
        <w:t>minēto) šo zāļu sastāvdaļu</w:t>
      </w:r>
      <w:r w:rsidRPr="00CD729C">
        <w:rPr>
          <w:color w:val="000000"/>
          <w:szCs w:val="22"/>
        </w:rPr>
        <w:t>.</w:t>
      </w:r>
    </w:p>
    <w:p w14:paraId="3D395397" w14:textId="77777777" w:rsidR="008328A8" w:rsidRPr="00CD729C" w:rsidRDefault="008328A8" w:rsidP="009B4BB6">
      <w:pPr>
        <w:widowControl w:val="0"/>
        <w:numPr>
          <w:ilvl w:val="12"/>
          <w:numId w:val="0"/>
        </w:numPr>
        <w:tabs>
          <w:tab w:val="clear" w:pos="567"/>
        </w:tabs>
        <w:spacing w:line="240" w:lineRule="auto"/>
        <w:rPr>
          <w:color w:val="000000"/>
          <w:szCs w:val="22"/>
        </w:rPr>
      </w:pPr>
      <w:r w:rsidRPr="00CD729C">
        <w:rPr>
          <w:color w:val="000000"/>
          <w:szCs w:val="22"/>
        </w:rPr>
        <w:t xml:space="preserve">Ja tas attiecas uz Jums, </w:t>
      </w:r>
      <w:r w:rsidRPr="00CD729C">
        <w:rPr>
          <w:b/>
          <w:color w:val="000000"/>
          <w:szCs w:val="22"/>
        </w:rPr>
        <w:t>nelietojiet Glivec un pastāstiet par to savam ārstam</w:t>
      </w:r>
      <w:r w:rsidRPr="00CD729C">
        <w:rPr>
          <w:color w:val="000000"/>
          <w:szCs w:val="22"/>
        </w:rPr>
        <w:t>.</w:t>
      </w:r>
    </w:p>
    <w:p w14:paraId="3D395398" w14:textId="77777777" w:rsidR="008328A8" w:rsidRPr="00CD729C" w:rsidRDefault="008328A8" w:rsidP="009B4BB6">
      <w:pPr>
        <w:widowControl w:val="0"/>
        <w:tabs>
          <w:tab w:val="clear" w:pos="567"/>
        </w:tabs>
        <w:spacing w:line="240" w:lineRule="auto"/>
        <w:rPr>
          <w:color w:val="000000"/>
          <w:szCs w:val="22"/>
        </w:rPr>
      </w:pPr>
    </w:p>
    <w:p w14:paraId="3D395399" w14:textId="77777777" w:rsidR="008328A8" w:rsidRPr="00CD729C" w:rsidRDefault="008328A8" w:rsidP="009B4BB6">
      <w:pPr>
        <w:widowControl w:val="0"/>
        <w:tabs>
          <w:tab w:val="clear" w:pos="567"/>
        </w:tabs>
        <w:spacing w:line="240" w:lineRule="auto"/>
        <w:rPr>
          <w:color w:val="000000"/>
          <w:szCs w:val="22"/>
        </w:rPr>
      </w:pPr>
      <w:r w:rsidRPr="00CD729C">
        <w:rPr>
          <w:color w:val="000000"/>
          <w:szCs w:val="22"/>
        </w:rPr>
        <w:t>Informējiet savu ārstu, ja Jūs domājat, ka Jums varētu būt alerģija, bet neesat par to drošs.</w:t>
      </w:r>
    </w:p>
    <w:p w14:paraId="3D39539A" w14:textId="77777777" w:rsidR="008328A8" w:rsidRPr="00CD729C" w:rsidRDefault="008328A8" w:rsidP="009B4BB6">
      <w:pPr>
        <w:widowControl w:val="0"/>
        <w:spacing w:line="240" w:lineRule="auto"/>
        <w:rPr>
          <w:color w:val="000000"/>
          <w:szCs w:val="22"/>
        </w:rPr>
      </w:pPr>
    </w:p>
    <w:p w14:paraId="3D39539B" w14:textId="77777777" w:rsidR="008328A8" w:rsidRPr="00CD729C" w:rsidRDefault="008328A8" w:rsidP="009B4BB6">
      <w:pPr>
        <w:keepNext/>
        <w:widowControl w:val="0"/>
        <w:numPr>
          <w:ilvl w:val="12"/>
          <w:numId w:val="0"/>
        </w:numPr>
        <w:tabs>
          <w:tab w:val="clear" w:pos="567"/>
        </w:tabs>
        <w:spacing w:line="240" w:lineRule="auto"/>
        <w:ind w:left="567" w:hanging="567"/>
        <w:rPr>
          <w:b/>
          <w:color w:val="000000"/>
          <w:szCs w:val="22"/>
        </w:rPr>
      </w:pPr>
      <w:r w:rsidRPr="00CD729C">
        <w:rPr>
          <w:b/>
          <w:color w:val="000000"/>
          <w:szCs w:val="22"/>
        </w:rPr>
        <w:t>Brīdinājumi un piesardzība lietošanā</w:t>
      </w:r>
    </w:p>
    <w:p w14:paraId="3D39539C" w14:textId="77777777" w:rsidR="008328A8" w:rsidRPr="00CD729C" w:rsidRDefault="008328A8" w:rsidP="009B4BB6">
      <w:pPr>
        <w:keepNext/>
        <w:widowControl w:val="0"/>
        <w:tabs>
          <w:tab w:val="clear" w:pos="567"/>
        </w:tabs>
        <w:spacing w:line="240" w:lineRule="auto"/>
        <w:rPr>
          <w:color w:val="000000"/>
          <w:szCs w:val="22"/>
        </w:rPr>
      </w:pPr>
      <w:r w:rsidRPr="00CD729C">
        <w:rPr>
          <w:color w:val="000000"/>
          <w:szCs w:val="22"/>
        </w:rPr>
        <w:t>Pirms Glivec lietošanas konsultējieties ar ārstu:</w:t>
      </w:r>
    </w:p>
    <w:p w14:paraId="3D39539D" w14:textId="77777777" w:rsidR="008328A8" w:rsidRPr="00CD729C" w:rsidRDefault="008328A8" w:rsidP="009B4BB6">
      <w:pPr>
        <w:widowControl w:val="0"/>
        <w:numPr>
          <w:ilvl w:val="0"/>
          <w:numId w:val="2"/>
        </w:numPr>
        <w:tabs>
          <w:tab w:val="clear" w:pos="360"/>
          <w:tab w:val="clear" w:pos="567"/>
        </w:tabs>
        <w:spacing w:line="240" w:lineRule="auto"/>
        <w:ind w:left="567" w:hanging="567"/>
        <w:rPr>
          <w:color w:val="000000"/>
          <w:szCs w:val="22"/>
        </w:rPr>
      </w:pPr>
      <w:r w:rsidRPr="00CD729C">
        <w:rPr>
          <w:color w:val="000000"/>
          <w:szCs w:val="22"/>
        </w:rPr>
        <w:t>ja Jums ir vai ir bijusi aknu, nieru vai sirds slimība,</w:t>
      </w:r>
    </w:p>
    <w:p w14:paraId="3D39539E" w14:textId="77777777" w:rsidR="005E6C32" w:rsidRDefault="008328A8" w:rsidP="009B4BB6">
      <w:pPr>
        <w:widowControl w:val="0"/>
        <w:numPr>
          <w:ilvl w:val="0"/>
          <w:numId w:val="2"/>
        </w:numPr>
        <w:tabs>
          <w:tab w:val="clear" w:pos="360"/>
          <w:tab w:val="clear" w:pos="567"/>
        </w:tabs>
        <w:spacing w:line="240" w:lineRule="auto"/>
        <w:ind w:left="567" w:hanging="567"/>
        <w:rPr>
          <w:color w:val="000000"/>
          <w:szCs w:val="22"/>
        </w:rPr>
      </w:pPr>
      <w:r w:rsidRPr="00CD729C">
        <w:rPr>
          <w:color w:val="000000"/>
          <w:szCs w:val="22"/>
        </w:rPr>
        <w:t>ja Jūs lietojat zāles levotiroksīnu sakarā ar izoperētu vairogdziedzeri</w:t>
      </w:r>
      <w:r w:rsidR="005E6C32">
        <w:rPr>
          <w:color w:val="000000"/>
          <w:szCs w:val="22"/>
        </w:rPr>
        <w:t>,</w:t>
      </w:r>
    </w:p>
    <w:p w14:paraId="3D39539F" w14:textId="77777777" w:rsidR="008328A8" w:rsidRDefault="005E6C32" w:rsidP="009B4BB6">
      <w:pPr>
        <w:widowControl w:val="0"/>
        <w:numPr>
          <w:ilvl w:val="0"/>
          <w:numId w:val="2"/>
        </w:numPr>
        <w:tabs>
          <w:tab w:val="clear" w:pos="360"/>
          <w:tab w:val="clear" w:pos="567"/>
        </w:tabs>
        <w:spacing w:line="240" w:lineRule="auto"/>
        <w:ind w:left="567" w:hanging="567"/>
        <w:rPr>
          <w:color w:val="000000"/>
          <w:szCs w:val="22"/>
        </w:rPr>
      </w:pPr>
      <w:r w:rsidRPr="00675AE0">
        <w:rPr>
          <w:szCs w:val="22"/>
        </w:rPr>
        <w:t>ja Jums kādreiz ir bijusi vai šobrī</w:t>
      </w:r>
      <w:r w:rsidRPr="004F181B">
        <w:rPr>
          <w:szCs w:val="22"/>
        </w:rPr>
        <w:t>d varētu būt B hepatīta vīrusa infekcija. Tas ir tādēļ, ka Tasigna var izraisīt B hepatīta atkārtošanos, kas dažos gadījumos var izraisīt nāvi. Pirms ārstēšanas uzsākšanas ārsts rūpīgi izmeklēs pacientus, vai viņiem nav šīs infekcijas pazīmju</w:t>
      </w:r>
      <w:r w:rsidR="008328A8" w:rsidRPr="00CD729C">
        <w:rPr>
          <w:color w:val="000000"/>
          <w:szCs w:val="22"/>
        </w:rPr>
        <w:t>.</w:t>
      </w:r>
    </w:p>
    <w:p w14:paraId="3D3953A0" w14:textId="77777777" w:rsidR="00B53E28" w:rsidRPr="00CD729C" w:rsidRDefault="00B53E28" w:rsidP="009B4BB6">
      <w:pPr>
        <w:widowControl w:val="0"/>
        <w:numPr>
          <w:ilvl w:val="0"/>
          <w:numId w:val="2"/>
        </w:numPr>
        <w:tabs>
          <w:tab w:val="clear" w:pos="360"/>
          <w:tab w:val="clear" w:pos="567"/>
        </w:tabs>
        <w:spacing w:line="240" w:lineRule="auto"/>
        <w:ind w:left="567" w:hanging="567"/>
        <w:rPr>
          <w:color w:val="000000"/>
          <w:szCs w:val="22"/>
        </w:rPr>
      </w:pPr>
      <w:r>
        <w:rPr>
          <w:szCs w:val="22"/>
        </w:rPr>
        <w:t>ja Jums veidojas zilumi, ir asiņošana, drudzis, nogurums un apjukuma sajūta, lietojot Glivec, konsultējieties ar ārstu. Tās var būt asinsvadu bojājuma pazīmes, ko sauc par trombotisku mikroangiopātiju (TMA).</w:t>
      </w:r>
    </w:p>
    <w:p w14:paraId="3D3953A1" w14:textId="77777777" w:rsidR="008328A8" w:rsidRDefault="008328A8" w:rsidP="009B4BB6">
      <w:pPr>
        <w:widowControl w:val="0"/>
        <w:numPr>
          <w:ilvl w:val="12"/>
          <w:numId w:val="0"/>
        </w:numPr>
        <w:tabs>
          <w:tab w:val="clear" w:pos="567"/>
        </w:tabs>
        <w:spacing w:line="240" w:lineRule="auto"/>
        <w:rPr>
          <w:color w:val="000000"/>
          <w:szCs w:val="22"/>
        </w:rPr>
      </w:pPr>
      <w:r w:rsidRPr="00CD729C">
        <w:rPr>
          <w:color w:val="000000"/>
          <w:szCs w:val="22"/>
        </w:rPr>
        <w:t xml:space="preserve">Ja jebkurš no minētajiem apstākļiem attiecas uz Jums, </w:t>
      </w:r>
      <w:r w:rsidRPr="00CD729C">
        <w:rPr>
          <w:b/>
          <w:color w:val="000000"/>
          <w:szCs w:val="22"/>
        </w:rPr>
        <w:t>pirms Glivec lietošanas pastāstiet par to savam ārstam</w:t>
      </w:r>
      <w:r w:rsidRPr="00CD729C">
        <w:rPr>
          <w:color w:val="000000"/>
          <w:szCs w:val="22"/>
        </w:rPr>
        <w:t>.</w:t>
      </w:r>
    </w:p>
    <w:p w14:paraId="3D3953A2" w14:textId="77777777" w:rsidR="00E021A1" w:rsidRDefault="00E021A1" w:rsidP="009B4BB6">
      <w:pPr>
        <w:widowControl w:val="0"/>
        <w:numPr>
          <w:ilvl w:val="12"/>
          <w:numId w:val="0"/>
        </w:numPr>
        <w:tabs>
          <w:tab w:val="clear" w:pos="567"/>
        </w:tabs>
        <w:spacing w:line="240" w:lineRule="auto"/>
        <w:rPr>
          <w:color w:val="000000"/>
          <w:szCs w:val="22"/>
        </w:rPr>
      </w:pPr>
    </w:p>
    <w:p w14:paraId="3D3953A3" w14:textId="77777777" w:rsidR="00E021A1" w:rsidRPr="00CD729C" w:rsidRDefault="00E021A1" w:rsidP="009B4BB6">
      <w:pPr>
        <w:widowControl w:val="0"/>
        <w:numPr>
          <w:ilvl w:val="12"/>
          <w:numId w:val="0"/>
        </w:numPr>
        <w:tabs>
          <w:tab w:val="clear" w:pos="567"/>
        </w:tabs>
        <w:spacing w:line="240" w:lineRule="auto"/>
        <w:rPr>
          <w:color w:val="000000"/>
          <w:szCs w:val="22"/>
        </w:rPr>
      </w:pPr>
      <w:r>
        <w:rPr>
          <w:color w:val="000000"/>
          <w:szCs w:val="22"/>
        </w:rPr>
        <w:t xml:space="preserve">Glivec lietošanas laikā Jūs varat kļūt jutīgāks pret saules stariem. Saules iedarbībai </w:t>
      </w:r>
      <w:r w:rsidR="00B40010">
        <w:rPr>
          <w:color w:val="000000"/>
          <w:szCs w:val="22"/>
        </w:rPr>
        <w:t xml:space="preserve">pakļautās </w:t>
      </w:r>
      <w:r>
        <w:rPr>
          <w:color w:val="000000"/>
          <w:szCs w:val="22"/>
        </w:rPr>
        <w:t>atklātās ķermeņa daļas ir svarīgi apsegt un lietot sauļošanās krēmu ar augstu saules aizsardzības faktoru (</w:t>
      </w:r>
      <w:r w:rsidRPr="00DF7DD8">
        <w:rPr>
          <w:i/>
          <w:color w:val="000000"/>
          <w:szCs w:val="22"/>
        </w:rPr>
        <w:t>SPF</w:t>
      </w:r>
      <w:r>
        <w:rPr>
          <w:color w:val="000000"/>
          <w:szCs w:val="22"/>
        </w:rPr>
        <w:t>). Šie piesardzības pasākumi ir piemērojami arī bērniem.</w:t>
      </w:r>
    </w:p>
    <w:p w14:paraId="3D3953A4"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3A5" w14:textId="77777777" w:rsidR="008328A8" w:rsidRPr="00CD729C" w:rsidRDefault="008328A8" w:rsidP="009B4BB6">
      <w:pPr>
        <w:pStyle w:val="Text"/>
        <w:widowControl w:val="0"/>
        <w:spacing w:before="0"/>
        <w:jc w:val="left"/>
        <w:rPr>
          <w:color w:val="000000"/>
          <w:sz w:val="22"/>
          <w:szCs w:val="22"/>
          <w:lang w:val="lv-LV"/>
        </w:rPr>
      </w:pPr>
      <w:r w:rsidRPr="00CD729C">
        <w:rPr>
          <w:bCs/>
          <w:color w:val="000000"/>
          <w:sz w:val="22"/>
          <w:szCs w:val="22"/>
          <w:lang w:val="lv-LV"/>
        </w:rPr>
        <w:t xml:space="preserve">Ja </w:t>
      </w:r>
      <w:r w:rsidRPr="00CD729C">
        <w:rPr>
          <w:b/>
          <w:color w:val="000000"/>
          <w:sz w:val="22"/>
          <w:szCs w:val="22"/>
          <w:lang w:val="lv-LV"/>
        </w:rPr>
        <w:t xml:space="preserve">ārstēšanas laikā ar Glivec </w:t>
      </w:r>
      <w:r w:rsidRPr="00CD729C">
        <w:rPr>
          <w:bCs/>
          <w:color w:val="000000"/>
          <w:sz w:val="22"/>
          <w:szCs w:val="22"/>
          <w:lang w:val="lv-LV"/>
        </w:rPr>
        <w:t xml:space="preserve">Jūs strauji pieņematies svarā, </w:t>
      </w:r>
      <w:r w:rsidRPr="00CD729C">
        <w:rPr>
          <w:b/>
          <w:color w:val="000000"/>
          <w:sz w:val="22"/>
          <w:szCs w:val="22"/>
          <w:lang w:val="lv-LV"/>
        </w:rPr>
        <w:t>nekavējoties pastāstiet par to savam ārstam</w:t>
      </w:r>
      <w:r w:rsidRPr="00CD729C">
        <w:rPr>
          <w:bCs/>
          <w:color w:val="000000"/>
          <w:sz w:val="22"/>
          <w:szCs w:val="22"/>
          <w:lang w:val="lv-LV"/>
        </w:rPr>
        <w:t>.</w:t>
      </w:r>
      <w:r w:rsidRPr="00CD729C">
        <w:rPr>
          <w:b/>
          <w:color w:val="000000"/>
          <w:sz w:val="22"/>
          <w:szCs w:val="22"/>
          <w:lang w:val="lv-LV"/>
        </w:rPr>
        <w:t xml:space="preserve"> </w:t>
      </w:r>
      <w:r w:rsidRPr="00CD729C">
        <w:rPr>
          <w:color w:val="000000"/>
          <w:sz w:val="22"/>
          <w:szCs w:val="22"/>
          <w:lang w:val="lv-LV"/>
        </w:rPr>
        <w:t>Glivec var likt Jūsu organismam uzkrāt šķidrumu (smaga šķidruma aizture).</w:t>
      </w:r>
    </w:p>
    <w:p w14:paraId="3D3953A6"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3A7" w14:textId="77777777" w:rsidR="008328A8" w:rsidRPr="00CD729C" w:rsidRDefault="008328A8" w:rsidP="009B4BB6">
      <w:pPr>
        <w:widowControl w:val="0"/>
        <w:numPr>
          <w:ilvl w:val="12"/>
          <w:numId w:val="0"/>
        </w:numPr>
        <w:tabs>
          <w:tab w:val="clear" w:pos="567"/>
        </w:tabs>
        <w:spacing w:line="240" w:lineRule="auto"/>
        <w:rPr>
          <w:color w:val="000000"/>
          <w:szCs w:val="22"/>
        </w:rPr>
      </w:pPr>
      <w:r w:rsidRPr="00CD729C">
        <w:rPr>
          <w:color w:val="000000"/>
          <w:szCs w:val="22"/>
        </w:rPr>
        <w:t>Glivec lietošanas laikā, Jūsu ārsts Jūs regulāri pārbaudīs, vai zāles iedarbojas. Jums izdarīs arī asins analīzes un Jūs regulāri svērs.</w:t>
      </w:r>
    </w:p>
    <w:p w14:paraId="3D3953A8" w14:textId="77777777" w:rsidR="008328A8" w:rsidRPr="00CD729C" w:rsidRDefault="008328A8" w:rsidP="009B4BB6">
      <w:pPr>
        <w:widowControl w:val="0"/>
        <w:numPr>
          <w:ilvl w:val="12"/>
          <w:numId w:val="0"/>
        </w:numPr>
        <w:tabs>
          <w:tab w:val="clear" w:pos="567"/>
        </w:tabs>
        <w:spacing w:line="240" w:lineRule="auto"/>
        <w:rPr>
          <w:color w:val="000000"/>
        </w:rPr>
      </w:pPr>
    </w:p>
    <w:p w14:paraId="3D3953A9" w14:textId="77777777" w:rsidR="008328A8" w:rsidRPr="00CD729C" w:rsidRDefault="008328A8" w:rsidP="009B4BB6">
      <w:pPr>
        <w:keepNext/>
        <w:widowControl w:val="0"/>
        <w:numPr>
          <w:ilvl w:val="12"/>
          <w:numId w:val="0"/>
        </w:numPr>
        <w:tabs>
          <w:tab w:val="clear" w:pos="567"/>
        </w:tabs>
        <w:spacing w:line="240" w:lineRule="auto"/>
        <w:ind w:left="567" w:hanging="567"/>
        <w:rPr>
          <w:b/>
          <w:szCs w:val="22"/>
        </w:rPr>
      </w:pPr>
      <w:r w:rsidRPr="00CD729C">
        <w:rPr>
          <w:b/>
          <w:szCs w:val="22"/>
        </w:rPr>
        <w:t>Bērni un pusaudži</w:t>
      </w:r>
    </w:p>
    <w:p w14:paraId="3D3953AA" w14:textId="77777777" w:rsidR="008328A8" w:rsidRPr="00CD729C" w:rsidRDefault="008328A8" w:rsidP="009B4BB6">
      <w:pPr>
        <w:widowControl w:val="0"/>
        <w:numPr>
          <w:ilvl w:val="12"/>
          <w:numId w:val="0"/>
        </w:numPr>
        <w:tabs>
          <w:tab w:val="clear" w:pos="567"/>
        </w:tabs>
        <w:spacing w:line="240" w:lineRule="auto"/>
        <w:rPr>
          <w:color w:val="000000"/>
          <w:szCs w:val="22"/>
        </w:rPr>
      </w:pPr>
      <w:r w:rsidRPr="00CD729C">
        <w:rPr>
          <w:color w:val="000000"/>
          <w:szCs w:val="22"/>
        </w:rPr>
        <w:t xml:space="preserve">Glivec lieto arī CML ārstēšanai bērniem. </w:t>
      </w:r>
      <w:r w:rsidRPr="00CD729C">
        <w:rPr>
          <w:color w:val="000000"/>
        </w:rPr>
        <w:t xml:space="preserve">Nav pieredzes lietošanai bērniem </w:t>
      </w:r>
      <w:r w:rsidRPr="00CD729C">
        <w:rPr>
          <w:color w:val="000000"/>
          <w:szCs w:val="22"/>
        </w:rPr>
        <w:t xml:space="preserve">ar CML līdz 2 gadu vecumam. </w:t>
      </w:r>
      <w:r w:rsidRPr="00CD729C">
        <w:rPr>
          <w:color w:val="000000"/>
        </w:rPr>
        <w:t xml:space="preserve">Pieredze </w:t>
      </w:r>
      <w:r w:rsidR="00A82506" w:rsidRPr="00CD729C">
        <w:rPr>
          <w:color w:val="000000"/>
        </w:rPr>
        <w:t xml:space="preserve">par </w:t>
      </w:r>
      <w:r w:rsidRPr="00CD729C">
        <w:rPr>
          <w:color w:val="000000"/>
        </w:rPr>
        <w:t>lietošan</w:t>
      </w:r>
      <w:r w:rsidR="00A82506" w:rsidRPr="00CD729C">
        <w:rPr>
          <w:color w:val="000000"/>
        </w:rPr>
        <w:t>u</w:t>
      </w:r>
      <w:r w:rsidRPr="00CD729C">
        <w:rPr>
          <w:color w:val="000000"/>
        </w:rPr>
        <w:t xml:space="preserve"> bērniem </w:t>
      </w:r>
      <w:r w:rsidRPr="00CD729C">
        <w:rPr>
          <w:color w:val="000000"/>
          <w:szCs w:val="22"/>
        </w:rPr>
        <w:t xml:space="preserve">ar Ph-pozitīvu ALL </w:t>
      </w:r>
      <w:r w:rsidRPr="00CD729C">
        <w:rPr>
          <w:color w:val="000000"/>
        </w:rPr>
        <w:t>ir ierobežota</w:t>
      </w:r>
      <w:r w:rsidR="00A82506" w:rsidRPr="00CD729C">
        <w:rPr>
          <w:color w:val="000000"/>
        </w:rPr>
        <w:t xml:space="preserve"> un</w:t>
      </w:r>
      <w:r w:rsidR="00A82506" w:rsidRPr="00CD729C">
        <w:rPr>
          <w:color w:val="000000"/>
          <w:szCs w:val="22"/>
        </w:rPr>
        <w:t xml:space="preserve"> </w:t>
      </w:r>
      <w:r w:rsidR="00A82506" w:rsidRPr="00CD729C">
        <w:rPr>
          <w:color w:val="000000"/>
        </w:rPr>
        <w:t xml:space="preserve">bērniem </w:t>
      </w:r>
      <w:r w:rsidR="00A82506" w:rsidRPr="00CD729C">
        <w:rPr>
          <w:color w:val="000000"/>
          <w:szCs w:val="22"/>
        </w:rPr>
        <w:t>ar MDS/MPD, DFSP, GIST un HES/CEL ir ļoti ierobežota</w:t>
      </w:r>
      <w:r w:rsidRPr="00CD729C">
        <w:rPr>
          <w:color w:val="000000"/>
          <w:szCs w:val="22"/>
        </w:rPr>
        <w:t>.</w:t>
      </w:r>
    </w:p>
    <w:p w14:paraId="3D3953AB" w14:textId="77777777" w:rsidR="008328A8" w:rsidRPr="00CD729C" w:rsidRDefault="008328A8" w:rsidP="009B4BB6">
      <w:pPr>
        <w:pStyle w:val="EndnoteText"/>
        <w:widowControl w:val="0"/>
        <w:numPr>
          <w:ilvl w:val="12"/>
          <w:numId w:val="0"/>
        </w:numPr>
        <w:tabs>
          <w:tab w:val="clear" w:pos="567"/>
        </w:tabs>
        <w:rPr>
          <w:color w:val="000000"/>
          <w:szCs w:val="22"/>
        </w:rPr>
      </w:pPr>
    </w:p>
    <w:p w14:paraId="3D3953AC" w14:textId="77777777" w:rsidR="008328A8" w:rsidRPr="00CD729C" w:rsidRDefault="008328A8" w:rsidP="009B4BB6">
      <w:pPr>
        <w:pStyle w:val="EndnoteText"/>
        <w:widowControl w:val="0"/>
        <w:numPr>
          <w:ilvl w:val="12"/>
          <w:numId w:val="0"/>
        </w:numPr>
        <w:tabs>
          <w:tab w:val="clear" w:pos="567"/>
        </w:tabs>
        <w:rPr>
          <w:color w:val="000000"/>
          <w:szCs w:val="22"/>
        </w:rPr>
      </w:pPr>
      <w:r w:rsidRPr="00CD729C">
        <w:rPr>
          <w:color w:val="000000"/>
          <w:szCs w:val="22"/>
        </w:rPr>
        <w:t>Dažiem bērniem un pusaudžiem Glivec lietošanas laikā var novērot palēninātu augšanu. Jūsu ārsts regulāro vizīšu laikā pārbaudīs bērna augšanu.</w:t>
      </w:r>
    </w:p>
    <w:p w14:paraId="3D3953AD"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3AE" w14:textId="77777777" w:rsidR="008328A8" w:rsidRPr="00CD729C" w:rsidRDefault="008328A8" w:rsidP="009B4BB6">
      <w:pPr>
        <w:keepNext/>
        <w:widowControl w:val="0"/>
        <w:numPr>
          <w:ilvl w:val="12"/>
          <w:numId w:val="0"/>
        </w:numPr>
        <w:tabs>
          <w:tab w:val="clear" w:pos="567"/>
        </w:tabs>
        <w:spacing w:line="240" w:lineRule="auto"/>
        <w:ind w:left="567" w:hanging="567"/>
        <w:rPr>
          <w:color w:val="000000"/>
        </w:rPr>
      </w:pPr>
      <w:r w:rsidRPr="00CD729C">
        <w:rPr>
          <w:b/>
          <w:color w:val="000000"/>
        </w:rPr>
        <w:t>Citas zāles un Glivec</w:t>
      </w:r>
    </w:p>
    <w:p w14:paraId="3D3953AF" w14:textId="77777777" w:rsidR="008328A8" w:rsidRPr="00CD729C" w:rsidRDefault="008328A8" w:rsidP="009B4BB6">
      <w:pPr>
        <w:widowControl w:val="0"/>
        <w:numPr>
          <w:ilvl w:val="12"/>
          <w:numId w:val="0"/>
        </w:numPr>
        <w:tabs>
          <w:tab w:val="clear" w:pos="567"/>
        </w:tabs>
        <w:spacing w:line="240" w:lineRule="auto"/>
        <w:rPr>
          <w:color w:val="000000"/>
        </w:rPr>
      </w:pPr>
      <w:r w:rsidRPr="00CD729C">
        <w:rPr>
          <w:color w:val="000000"/>
        </w:rPr>
        <w:t>Pastāstiet ārstam vai farmaceitam par visām zālēm, kuras lietojat</w:t>
      </w:r>
      <w:r w:rsidR="006A7EB7">
        <w:rPr>
          <w:color w:val="000000"/>
        </w:rPr>
        <w:t>,</w:t>
      </w:r>
      <w:r w:rsidRPr="00CD729C">
        <w:rPr>
          <w:color w:val="000000"/>
        </w:rPr>
        <w:t xml:space="preserve"> pēdējā laikā esat lietojis </w:t>
      </w:r>
      <w:r w:rsidRPr="00CD729C">
        <w:rPr>
          <w:szCs w:val="22"/>
        </w:rPr>
        <w:t>vai varētu lietot</w:t>
      </w:r>
      <w:r w:rsidRPr="00CD729C">
        <w:rPr>
          <w:color w:val="000000"/>
        </w:rPr>
        <w:t xml:space="preserve">, ieskaitot zāles, ko var iegādāties bez receptes (piemēram, paracetamolu), tai skaitā </w:t>
      </w:r>
      <w:r w:rsidRPr="00CD729C">
        <w:rPr>
          <w:color w:val="000000"/>
          <w:szCs w:val="22"/>
        </w:rPr>
        <w:t>arī augu izcelsmes preparātus (piemēram, asinszāli)</w:t>
      </w:r>
      <w:r w:rsidRPr="00CD729C">
        <w:rPr>
          <w:color w:val="000000"/>
        </w:rPr>
        <w:t>. Dažas zāles var mijiedarboties ar Glivec, ja tās lieto kopā. Šīs zāles var pavājināt vai pastiprināt Glivec iedarbību, pastiprināt Glivec izraisītās blakusparādības vai arī padarīt Glivec lietošanu mazāk efektīvu</w:t>
      </w:r>
      <w:r w:rsidRPr="00CD729C">
        <w:rPr>
          <w:color w:val="000000"/>
          <w:szCs w:val="22"/>
        </w:rPr>
        <w:t>. Tieši tāpat arī Glivec var iedarboties uz dažām zālēm.</w:t>
      </w:r>
    </w:p>
    <w:p w14:paraId="3D3953B0" w14:textId="77777777" w:rsidR="008915A2" w:rsidRPr="00CD729C" w:rsidRDefault="008915A2" w:rsidP="009B4BB6">
      <w:pPr>
        <w:widowControl w:val="0"/>
        <w:numPr>
          <w:ilvl w:val="12"/>
          <w:numId w:val="0"/>
        </w:numPr>
        <w:tabs>
          <w:tab w:val="clear" w:pos="567"/>
        </w:tabs>
        <w:spacing w:line="240" w:lineRule="auto"/>
        <w:rPr>
          <w:color w:val="000000"/>
          <w:szCs w:val="22"/>
        </w:rPr>
      </w:pPr>
    </w:p>
    <w:p w14:paraId="3D3953B1" w14:textId="77777777" w:rsidR="008915A2" w:rsidRPr="00CD729C" w:rsidRDefault="008915A2" w:rsidP="009B4BB6">
      <w:pPr>
        <w:widowControl w:val="0"/>
        <w:numPr>
          <w:ilvl w:val="12"/>
          <w:numId w:val="0"/>
        </w:numPr>
        <w:tabs>
          <w:tab w:val="clear" w:pos="567"/>
        </w:tabs>
        <w:spacing w:line="240" w:lineRule="auto"/>
        <w:rPr>
          <w:color w:val="000000"/>
          <w:szCs w:val="22"/>
        </w:rPr>
      </w:pPr>
      <w:r w:rsidRPr="00CD729C">
        <w:rPr>
          <w:color w:val="000000"/>
          <w:szCs w:val="22"/>
        </w:rPr>
        <w:t>Ja Jūs lietojiet zāles, kas novērš asins recekļu veidošanos, pastāstiet par to savam ārstam.</w:t>
      </w:r>
    </w:p>
    <w:p w14:paraId="3D3953B2" w14:textId="77777777" w:rsidR="008915A2" w:rsidRPr="00CD729C" w:rsidRDefault="008915A2" w:rsidP="009B4BB6">
      <w:pPr>
        <w:widowControl w:val="0"/>
        <w:numPr>
          <w:ilvl w:val="12"/>
          <w:numId w:val="0"/>
        </w:numPr>
        <w:tabs>
          <w:tab w:val="clear" w:pos="567"/>
        </w:tabs>
        <w:spacing w:line="240" w:lineRule="auto"/>
        <w:rPr>
          <w:color w:val="000000"/>
          <w:szCs w:val="22"/>
        </w:rPr>
      </w:pPr>
    </w:p>
    <w:p w14:paraId="3D3953B3" w14:textId="77777777" w:rsidR="008328A8" w:rsidRPr="00CD729C" w:rsidRDefault="008328A8" w:rsidP="009B4BB6">
      <w:pPr>
        <w:keepNext/>
        <w:widowControl w:val="0"/>
        <w:numPr>
          <w:ilvl w:val="12"/>
          <w:numId w:val="0"/>
        </w:numPr>
        <w:tabs>
          <w:tab w:val="clear" w:pos="567"/>
        </w:tabs>
        <w:spacing w:line="240" w:lineRule="auto"/>
        <w:rPr>
          <w:b/>
          <w:color w:val="000000"/>
          <w:szCs w:val="22"/>
        </w:rPr>
      </w:pPr>
      <w:r w:rsidRPr="00CD729C">
        <w:rPr>
          <w:b/>
          <w:color w:val="000000"/>
          <w:szCs w:val="22"/>
        </w:rPr>
        <w:t xml:space="preserve">Grūtniecība, </w:t>
      </w:r>
      <w:r w:rsidR="006B2AC8" w:rsidRPr="00CD729C">
        <w:rPr>
          <w:b/>
          <w:snapToGrid w:val="0"/>
          <w:szCs w:val="22"/>
        </w:rPr>
        <w:t>barošana ar krūti</w:t>
      </w:r>
      <w:r w:rsidRPr="00CD729C">
        <w:rPr>
          <w:b/>
          <w:color w:val="000000"/>
        </w:rPr>
        <w:t xml:space="preserve"> un fertilitāte</w:t>
      </w:r>
    </w:p>
    <w:p w14:paraId="3D3953B4" w14:textId="77777777" w:rsidR="008328A8" w:rsidRPr="00CD729C" w:rsidRDefault="008328A8" w:rsidP="009B4BB6">
      <w:pPr>
        <w:widowControl w:val="0"/>
        <w:numPr>
          <w:ilvl w:val="0"/>
          <w:numId w:val="19"/>
        </w:numPr>
        <w:tabs>
          <w:tab w:val="clear" w:pos="720"/>
          <w:tab w:val="num" w:pos="567"/>
        </w:tabs>
        <w:spacing w:line="240" w:lineRule="auto"/>
        <w:ind w:left="567" w:hanging="567"/>
        <w:rPr>
          <w:color w:val="000000"/>
          <w:szCs w:val="22"/>
        </w:rPr>
      </w:pPr>
      <w:r w:rsidRPr="00CD729C">
        <w:rPr>
          <w:color w:val="000000"/>
          <w:szCs w:val="22"/>
        </w:rPr>
        <w:t xml:space="preserve">Ja </w:t>
      </w:r>
      <w:r w:rsidR="006B2AC8" w:rsidRPr="00CD729C">
        <w:rPr>
          <w:szCs w:val="22"/>
        </w:rPr>
        <w:t xml:space="preserve">Jūs esat grūtniece </w:t>
      </w:r>
      <w:r w:rsidRPr="00CD729C">
        <w:rPr>
          <w:color w:val="000000"/>
          <w:szCs w:val="22"/>
        </w:rPr>
        <w:t>vai barojat bērnu ar krūti, ja domājat, ka Jums varētu būt grūtniecība vai plānojat grūtniecību, pirms šo zāļu lietošanas konsultējieties ar ārstu.</w:t>
      </w:r>
    </w:p>
    <w:p w14:paraId="3D3953B5" w14:textId="77777777" w:rsidR="008328A8" w:rsidRPr="00CD729C" w:rsidRDefault="008328A8" w:rsidP="009B4BB6">
      <w:pPr>
        <w:widowControl w:val="0"/>
        <w:numPr>
          <w:ilvl w:val="0"/>
          <w:numId w:val="19"/>
        </w:numPr>
        <w:tabs>
          <w:tab w:val="clear" w:pos="720"/>
          <w:tab w:val="num" w:pos="567"/>
        </w:tabs>
        <w:spacing w:line="240" w:lineRule="auto"/>
        <w:ind w:left="567" w:hanging="567"/>
        <w:rPr>
          <w:color w:val="000000"/>
          <w:szCs w:val="22"/>
        </w:rPr>
      </w:pPr>
      <w:r w:rsidRPr="00CD729C">
        <w:rPr>
          <w:color w:val="000000"/>
          <w:szCs w:val="22"/>
        </w:rPr>
        <w:t>Ja vien tas nav viennozīmīgi nepieciešams, grūtniecības laikā Glivec lietot nav atļauts, jo tas var kaitēt Jūsu bērnam. Jūsu ārsts pārrunās ar Jums iespējamo risku lietojot Glivec grūtniecības laikā.</w:t>
      </w:r>
    </w:p>
    <w:p w14:paraId="3D3953B6" w14:textId="77777777" w:rsidR="008328A8" w:rsidRPr="00CD729C" w:rsidRDefault="008328A8" w:rsidP="009B4BB6">
      <w:pPr>
        <w:widowControl w:val="0"/>
        <w:numPr>
          <w:ilvl w:val="0"/>
          <w:numId w:val="19"/>
        </w:numPr>
        <w:tabs>
          <w:tab w:val="clear" w:pos="720"/>
          <w:tab w:val="num" w:pos="567"/>
        </w:tabs>
        <w:spacing w:line="240" w:lineRule="auto"/>
        <w:ind w:left="567" w:hanging="567"/>
        <w:rPr>
          <w:color w:val="000000"/>
          <w:szCs w:val="22"/>
        </w:rPr>
      </w:pPr>
      <w:r w:rsidRPr="00CD729C">
        <w:rPr>
          <w:color w:val="000000"/>
          <w:szCs w:val="22"/>
        </w:rPr>
        <w:t xml:space="preserve">Sievietēm, kam grūtniecība ir iespējama, terapijas laikā </w:t>
      </w:r>
      <w:r w:rsidR="00F922BD">
        <w:rPr>
          <w:color w:val="000000"/>
          <w:szCs w:val="22"/>
        </w:rPr>
        <w:t xml:space="preserve">un 15 dienas pēc ārstēšanas pārtraukšanas </w:t>
      </w:r>
      <w:r w:rsidRPr="00CD729C">
        <w:rPr>
          <w:color w:val="000000"/>
          <w:szCs w:val="22"/>
        </w:rPr>
        <w:t>ieteicams izmantot efektīvu kontracepcijas metodi.</w:t>
      </w:r>
    </w:p>
    <w:p w14:paraId="3D3953B7" w14:textId="77777777" w:rsidR="008328A8" w:rsidRPr="00CD729C" w:rsidRDefault="008328A8" w:rsidP="009B4BB6">
      <w:pPr>
        <w:widowControl w:val="0"/>
        <w:numPr>
          <w:ilvl w:val="0"/>
          <w:numId w:val="19"/>
        </w:numPr>
        <w:tabs>
          <w:tab w:val="clear" w:pos="720"/>
          <w:tab w:val="num" w:pos="567"/>
        </w:tabs>
        <w:spacing w:line="240" w:lineRule="auto"/>
        <w:ind w:left="567" w:hanging="567"/>
        <w:rPr>
          <w:color w:val="000000"/>
          <w:szCs w:val="22"/>
        </w:rPr>
      </w:pPr>
      <w:r w:rsidRPr="00CD729C">
        <w:rPr>
          <w:color w:val="000000"/>
          <w:szCs w:val="22"/>
        </w:rPr>
        <w:t>Laikā, kad ārstējaties ar Glivec</w:t>
      </w:r>
      <w:r w:rsidR="00F922BD">
        <w:rPr>
          <w:color w:val="000000"/>
          <w:szCs w:val="22"/>
        </w:rPr>
        <w:t xml:space="preserve"> un 15 dienas pēc ārstēšanas pārtraukšanas</w:t>
      </w:r>
      <w:r w:rsidRPr="00CD729C">
        <w:rPr>
          <w:color w:val="000000"/>
          <w:szCs w:val="22"/>
        </w:rPr>
        <w:t>, bērnu ar krūti nebarojiet</w:t>
      </w:r>
      <w:r w:rsidR="00F922BD">
        <w:rPr>
          <w:color w:val="000000"/>
          <w:szCs w:val="22"/>
        </w:rPr>
        <w:t>, jo tas var kaitēt Jūsu bērnam</w:t>
      </w:r>
      <w:r w:rsidRPr="00CD729C">
        <w:rPr>
          <w:color w:val="000000"/>
          <w:szCs w:val="22"/>
        </w:rPr>
        <w:t>.</w:t>
      </w:r>
    </w:p>
    <w:p w14:paraId="3D3953B8" w14:textId="77777777" w:rsidR="008328A8" w:rsidRPr="00CD729C" w:rsidRDefault="008328A8" w:rsidP="009B4BB6">
      <w:pPr>
        <w:widowControl w:val="0"/>
        <w:numPr>
          <w:ilvl w:val="0"/>
          <w:numId w:val="19"/>
        </w:numPr>
        <w:tabs>
          <w:tab w:val="clear" w:pos="720"/>
          <w:tab w:val="num" w:pos="567"/>
        </w:tabs>
        <w:spacing w:line="240" w:lineRule="auto"/>
        <w:ind w:left="567" w:hanging="567"/>
        <w:rPr>
          <w:color w:val="000000"/>
          <w:szCs w:val="22"/>
        </w:rPr>
      </w:pPr>
      <w:r w:rsidRPr="00CD729C">
        <w:rPr>
          <w:color w:val="000000"/>
          <w:szCs w:val="22"/>
        </w:rPr>
        <w:t>Pacientiem, kuriem Glivec lietošanas laikā ir bažas par savu auglību, ieteicams konsultēties ar savu ārstu.</w:t>
      </w:r>
    </w:p>
    <w:p w14:paraId="3D3953B9" w14:textId="77777777" w:rsidR="008328A8" w:rsidRPr="00CD729C" w:rsidRDefault="008328A8" w:rsidP="009B4BB6">
      <w:pPr>
        <w:widowControl w:val="0"/>
        <w:spacing w:line="240" w:lineRule="auto"/>
        <w:rPr>
          <w:color w:val="000000"/>
          <w:szCs w:val="22"/>
        </w:rPr>
      </w:pPr>
    </w:p>
    <w:p w14:paraId="3D3953BA" w14:textId="77777777" w:rsidR="008328A8" w:rsidRPr="00CD729C" w:rsidRDefault="008328A8" w:rsidP="009B4BB6">
      <w:pPr>
        <w:keepNext/>
        <w:widowControl w:val="0"/>
        <w:numPr>
          <w:ilvl w:val="12"/>
          <w:numId w:val="0"/>
        </w:numPr>
        <w:tabs>
          <w:tab w:val="clear" w:pos="567"/>
        </w:tabs>
        <w:spacing w:line="240" w:lineRule="auto"/>
        <w:ind w:left="567" w:hanging="567"/>
        <w:rPr>
          <w:b/>
          <w:color w:val="000000"/>
          <w:szCs w:val="22"/>
        </w:rPr>
      </w:pPr>
      <w:r w:rsidRPr="00CD729C">
        <w:rPr>
          <w:b/>
          <w:color w:val="000000"/>
          <w:szCs w:val="22"/>
        </w:rPr>
        <w:t>Transportlīdzekļu vadīšana un mehānismu apkalpošana</w:t>
      </w:r>
    </w:p>
    <w:p w14:paraId="3D3953BB" w14:textId="77777777" w:rsidR="008328A8" w:rsidRPr="00CD729C" w:rsidRDefault="008328A8" w:rsidP="009B4BB6">
      <w:pPr>
        <w:widowControl w:val="0"/>
        <w:numPr>
          <w:ilvl w:val="12"/>
          <w:numId w:val="0"/>
        </w:numPr>
        <w:tabs>
          <w:tab w:val="clear" w:pos="567"/>
        </w:tabs>
        <w:spacing w:line="240" w:lineRule="auto"/>
        <w:rPr>
          <w:color w:val="000000"/>
          <w:szCs w:val="22"/>
        </w:rPr>
      </w:pPr>
      <w:r w:rsidRPr="00CD729C">
        <w:rPr>
          <w:color w:val="000000"/>
        </w:rPr>
        <w:t>Šo zāļu lietošanas laikā Jums var attīstīties reibonis vai miegainība, vai redze kļūst neskaidra. Ja Jums rodas kāds no šiem simptomiem, nevadiet transportlīdzekļus un nelietojiet ierīces un mehānismus līdz brīdim, kad atkal jutīsieties labi.</w:t>
      </w:r>
    </w:p>
    <w:p w14:paraId="3D3953BC" w14:textId="77777777" w:rsidR="009F6C80" w:rsidRPr="00CD729C" w:rsidRDefault="009F6C80" w:rsidP="009B4BB6">
      <w:pPr>
        <w:widowControl w:val="0"/>
        <w:numPr>
          <w:ilvl w:val="12"/>
          <w:numId w:val="0"/>
        </w:numPr>
        <w:tabs>
          <w:tab w:val="clear" w:pos="567"/>
        </w:tabs>
        <w:spacing w:line="240" w:lineRule="auto"/>
        <w:ind w:left="567" w:hanging="567"/>
        <w:rPr>
          <w:color w:val="000000"/>
          <w:szCs w:val="22"/>
        </w:rPr>
      </w:pPr>
    </w:p>
    <w:p w14:paraId="3D3953BD" w14:textId="77777777" w:rsidR="009F6C80" w:rsidRPr="00CD729C" w:rsidRDefault="009F6C80" w:rsidP="009B4BB6">
      <w:pPr>
        <w:widowControl w:val="0"/>
        <w:numPr>
          <w:ilvl w:val="12"/>
          <w:numId w:val="0"/>
        </w:numPr>
        <w:tabs>
          <w:tab w:val="clear" w:pos="567"/>
        </w:tabs>
        <w:spacing w:line="240" w:lineRule="auto"/>
        <w:ind w:left="567" w:hanging="567"/>
        <w:rPr>
          <w:color w:val="000000"/>
          <w:szCs w:val="22"/>
        </w:rPr>
      </w:pPr>
    </w:p>
    <w:p w14:paraId="3D3953BE" w14:textId="77777777" w:rsidR="009F6C80" w:rsidRPr="00CD729C" w:rsidRDefault="009F6C80" w:rsidP="009B4BB6">
      <w:pPr>
        <w:keepNext/>
        <w:widowControl w:val="0"/>
        <w:numPr>
          <w:ilvl w:val="12"/>
          <w:numId w:val="0"/>
        </w:numPr>
        <w:tabs>
          <w:tab w:val="clear" w:pos="567"/>
        </w:tabs>
        <w:spacing w:line="240" w:lineRule="auto"/>
        <w:ind w:left="567" w:hanging="567"/>
        <w:rPr>
          <w:color w:val="000000"/>
          <w:szCs w:val="22"/>
        </w:rPr>
      </w:pPr>
      <w:r w:rsidRPr="00CD729C">
        <w:rPr>
          <w:b/>
          <w:color w:val="000000"/>
          <w:szCs w:val="22"/>
        </w:rPr>
        <w:t>3.</w:t>
      </w:r>
      <w:r w:rsidRPr="00CD729C">
        <w:rPr>
          <w:b/>
          <w:color w:val="000000"/>
          <w:szCs w:val="22"/>
        </w:rPr>
        <w:tab/>
      </w:r>
      <w:r w:rsidR="003B6C16" w:rsidRPr="00CD729C">
        <w:rPr>
          <w:b/>
          <w:color w:val="000000"/>
          <w:szCs w:val="22"/>
        </w:rPr>
        <w:t>Kā lietot Glivec</w:t>
      </w:r>
    </w:p>
    <w:p w14:paraId="3D3953BF" w14:textId="77777777" w:rsidR="009F6C80" w:rsidRPr="00CD729C" w:rsidRDefault="009F6C80" w:rsidP="009B4BB6">
      <w:pPr>
        <w:keepNext/>
        <w:widowControl w:val="0"/>
        <w:numPr>
          <w:ilvl w:val="12"/>
          <w:numId w:val="0"/>
        </w:numPr>
        <w:tabs>
          <w:tab w:val="clear" w:pos="567"/>
        </w:tabs>
        <w:spacing w:line="240" w:lineRule="auto"/>
        <w:ind w:left="567" w:hanging="567"/>
        <w:rPr>
          <w:color w:val="000000"/>
          <w:szCs w:val="22"/>
        </w:rPr>
      </w:pPr>
    </w:p>
    <w:p w14:paraId="3D3953C0" w14:textId="77777777" w:rsidR="009F6C80" w:rsidRPr="00CD729C" w:rsidRDefault="009F6C80" w:rsidP="009B4BB6">
      <w:pPr>
        <w:pStyle w:val="Text"/>
        <w:widowControl w:val="0"/>
        <w:spacing w:before="0"/>
        <w:jc w:val="left"/>
        <w:rPr>
          <w:rFonts w:cs="Helv"/>
          <w:sz w:val="22"/>
          <w:szCs w:val="22"/>
          <w:lang w:val="lv-LV" w:bidi="th-TH"/>
        </w:rPr>
      </w:pPr>
      <w:r w:rsidRPr="00CD729C">
        <w:rPr>
          <w:rFonts w:cs="Helv"/>
          <w:sz w:val="22"/>
          <w:szCs w:val="22"/>
          <w:lang w:val="lv-LV" w:bidi="th-TH"/>
        </w:rPr>
        <w:t>Jūsu ārsts Jums parakstījis Glivec, jo Jūs ciešat no smagas slimības. Glivec var Jums palīdzēt cīnīties ar šo slimību.</w:t>
      </w:r>
    </w:p>
    <w:p w14:paraId="3D3953C1" w14:textId="77777777" w:rsidR="009F6C80" w:rsidRPr="00CD729C" w:rsidRDefault="009F6C80" w:rsidP="009B4BB6">
      <w:pPr>
        <w:pStyle w:val="Text"/>
        <w:widowControl w:val="0"/>
        <w:spacing w:before="0"/>
        <w:jc w:val="left"/>
        <w:rPr>
          <w:rFonts w:cs="Helv"/>
          <w:sz w:val="22"/>
          <w:szCs w:val="22"/>
          <w:lang w:val="lv-LV" w:bidi="th-TH"/>
        </w:rPr>
      </w:pPr>
    </w:p>
    <w:p w14:paraId="3D3953C2" w14:textId="77777777" w:rsidR="009F6C80" w:rsidRPr="00CD729C" w:rsidRDefault="009F6C80" w:rsidP="009B4BB6">
      <w:pPr>
        <w:widowControl w:val="0"/>
        <w:numPr>
          <w:ilvl w:val="12"/>
          <w:numId w:val="0"/>
        </w:numPr>
        <w:tabs>
          <w:tab w:val="clear" w:pos="567"/>
        </w:tabs>
        <w:spacing w:line="240" w:lineRule="auto"/>
        <w:rPr>
          <w:color w:val="000000"/>
          <w:szCs w:val="22"/>
        </w:rPr>
      </w:pPr>
      <w:r w:rsidRPr="00CD729C">
        <w:rPr>
          <w:color w:val="000000"/>
        </w:rPr>
        <w:t xml:space="preserve">Tomēr vienmēr lietojiet </w:t>
      </w:r>
      <w:r w:rsidR="003B6C16" w:rsidRPr="00CD729C">
        <w:rPr>
          <w:color w:val="000000"/>
        </w:rPr>
        <w:t xml:space="preserve">šīs zāles </w:t>
      </w:r>
      <w:r w:rsidR="006B2AC8" w:rsidRPr="00CD729C">
        <w:t>tieši tā, kā ārsts Jums teicis</w:t>
      </w:r>
      <w:r w:rsidRPr="00CD729C">
        <w:rPr>
          <w:color w:val="000000"/>
        </w:rPr>
        <w:t xml:space="preserve">. Svarīgi, lai Jūs visu laiku ievērotu sava ārsta </w:t>
      </w:r>
      <w:r w:rsidR="003B6C16" w:rsidRPr="00CD729C">
        <w:rPr>
          <w:color w:val="000000"/>
        </w:rPr>
        <w:t xml:space="preserve">vai farmaceita </w:t>
      </w:r>
      <w:r w:rsidRPr="00CD729C">
        <w:rPr>
          <w:color w:val="000000"/>
        </w:rPr>
        <w:t>norādījumus. Neskaidrību gadījumā vaicājiet ārstam vai farmaceitam.</w:t>
      </w:r>
    </w:p>
    <w:p w14:paraId="3D3953C3" w14:textId="77777777" w:rsidR="009F6C80" w:rsidRPr="00CD729C" w:rsidRDefault="009F6C80" w:rsidP="009B4BB6">
      <w:pPr>
        <w:widowControl w:val="0"/>
        <w:numPr>
          <w:ilvl w:val="12"/>
          <w:numId w:val="0"/>
        </w:numPr>
        <w:tabs>
          <w:tab w:val="clear" w:pos="567"/>
        </w:tabs>
        <w:spacing w:line="240" w:lineRule="auto"/>
        <w:ind w:left="567" w:hanging="567"/>
        <w:rPr>
          <w:color w:val="000000"/>
          <w:szCs w:val="22"/>
        </w:rPr>
      </w:pPr>
    </w:p>
    <w:p w14:paraId="3D3953C4" w14:textId="77777777" w:rsidR="009F6C80" w:rsidRPr="00CD729C" w:rsidRDefault="009F6C80" w:rsidP="009B4BB6">
      <w:pPr>
        <w:widowControl w:val="0"/>
        <w:numPr>
          <w:ilvl w:val="12"/>
          <w:numId w:val="0"/>
        </w:numPr>
        <w:tabs>
          <w:tab w:val="clear" w:pos="567"/>
        </w:tabs>
        <w:spacing w:line="240" w:lineRule="auto"/>
        <w:rPr>
          <w:color w:val="000000"/>
          <w:szCs w:val="22"/>
        </w:rPr>
      </w:pPr>
      <w:r w:rsidRPr="00CD729C">
        <w:rPr>
          <w:color w:val="000000"/>
          <w:szCs w:val="22"/>
        </w:rPr>
        <w:t>Nepārtrauciet Glivec lietošanu, ja vien to nav licis darīt Jūsu ārsts. Ja Jūs nevarat lietot zāles kā norādījis Jūsu ārsts vai, ja Jūs jūtat, ka to lietošana Jums vairs nav nepieciešama, nekavējoties sazinieties ar savu ārstu.</w:t>
      </w:r>
    </w:p>
    <w:p w14:paraId="3D3953C5" w14:textId="77777777" w:rsidR="009F6C80" w:rsidRPr="00CD729C" w:rsidRDefault="009F6C80" w:rsidP="009B4BB6">
      <w:pPr>
        <w:widowControl w:val="0"/>
        <w:numPr>
          <w:ilvl w:val="12"/>
          <w:numId w:val="0"/>
        </w:numPr>
        <w:tabs>
          <w:tab w:val="clear" w:pos="567"/>
        </w:tabs>
        <w:spacing w:line="240" w:lineRule="auto"/>
        <w:ind w:left="567" w:hanging="567"/>
        <w:rPr>
          <w:color w:val="000000"/>
          <w:szCs w:val="22"/>
        </w:rPr>
      </w:pPr>
    </w:p>
    <w:p w14:paraId="3D3953C6" w14:textId="77777777" w:rsidR="009F6C80" w:rsidRPr="00CD729C" w:rsidRDefault="009F6C80" w:rsidP="009B4BB6">
      <w:pPr>
        <w:pStyle w:val="ParastaisTreknraksts"/>
        <w:keepNext/>
        <w:widowControl w:val="0"/>
        <w:numPr>
          <w:ilvl w:val="12"/>
          <w:numId w:val="0"/>
        </w:numPr>
        <w:ind w:left="567" w:hanging="567"/>
        <w:rPr>
          <w:color w:val="000000"/>
          <w:szCs w:val="22"/>
        </w:rPr>
      </w:pPr>
      <w:r w:rsidRPr="00CD729C">
        <w:rPr>
          <w:color w:val="000000"/>
          <w:szCs w:val="22"/>
        </w:rPr>
        <w:t xml:space="preserve">Cik daudz </w:t>
      </w:r>
      <w:r w:rsidR="003B6C16" w:rsidRPr="00CD729C">
        <w:rPr>
          <w:color w:val="000000"/>
          <w:szCs w:val="22"/>
        </w:rPr>
        <w:t xml:space="preserve">Glivec </w:t>
      </w:r>
      <w:r w:rsidRPr="00CD729C">
        <w:rPr>
          <w:color w:val="000000"/>
          <w:szCs w:val="22"/>
        </w:rPr>
        <w:t>lietot</w:t>
      </w:r>
    </w:p>
    <w:p w14:paraId="3D3953C7" w14:textId="77777777" w:rsidR="009F6C80" w:rsidRPr="00CD729C" w:rsidRDefault="009F6C80" w:rsidP="009B4BB6">
      <w:pPr>
        <w:keepNext/>
        <w:widowControl w:val="0"/>
        <w:numPr>
          <w:ilvl w:val="12"/>
          <w:numId w:val="0"/>
        </w:numPr>
        <w:tabs>
          <w:tab w:val="clear" w:pos="567"/>
        </w:tabs>
        <w:spacing w:line="240" w:lineRule="auto"/>
        <w:ind w:left="567" w:hanging="567"/>
        <w:rPr>
          <w:color w:val="000000"/>
          <w:szCs w:val="22"/>
        </w:rPr>
      </w:pPr>
    </w:p>
    <w:p w14:paraId="3D3953C8" w14:textId="77777777" w:rsidR="009F6C80" w:rsidRPr="00CD729C" w:rsidRDefault="009F6C80" w:rsidP="009B4BB6">
      <w:pPr>
        <w:keepNext/>
        <w:widowControl w:val="0"/>
        <w:numPr>
          <w:ilvl w:val="12"/>
          <w:numId w:val="0"/>
        </w:numPr>
        <w:tabs>
          <w:tab w:val="clear" w:pos="567"/>
        </w:tabs>
        <w:spacing w:line="240" w:lineRule="auto"/>
        <w:ind w:left="567" w:hanging="567"/>
        <w:rPr>
          <w:b/>
          <w:bCs/>
          <w:color w:val="000000"/>
          <w:szCs w:val="22"/>
        </w:rPr>
      </w:pPr>
      <w:r w:rsidRPr="00CD729C">
        <w:rPr>
          <w:b/>
          <w:bCs/>
          <w:color w:val="000000"/>
          <w:szCs w:val="22"/>
        </w:rPr>
        <w:t>Lietošana pieaugušajiem</w:t>
      </w:r>
    </w:p>
    <w:p w14:paraId="3D3953C9" w14:textId="77777777" w:rsidR="009F6C80" w:rsidRPr="00CD729C" w:rsidRDefault="009F6C80" w:rsidP="009B4BB6">
      <w:pPr>
        <w:widowControl w:val="0"/>
        <w:numPr>
          <w:ilvl w:val="12"/>
          <w:numId w:val="0"/>
        </w:numPr>
        <w:tabs>
          <w:tab w:val="clear" w:pos="567"/>
        </w:tabs>
        <w:spacing w:line="240" w:lineRule="auto"/>
        <w:rPr>
          <w:color w:val="000000"/>
          <w:szCs w:val="22"/>
        </w:rPr>
      </w:pPr>
      <w:r w:rsidRPr="00CD729C">
        <w:rPr>
          <w:color w:val="000000"/>
          <w:szCs w:val="22"/>
        </w:rPr>
        <w:t>Cik tieši daudz Glivec kapsulu jālieto, Jums pateiks ārsts.</w:t>
      </w:r>
    </w:p>
    <w:p w14:paraId="3D3953CA"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3CB" w14:textId="77777777" w:rsidR="009F6C80" w:rsidRPr="00CD729C" w:rsidRDefault="009F6C80" w:rsidP="009B4BB6">
      <w:pPr>
        <w:keepNext/>
        <w:widowControl w:val="0"/>
        <w:numPr>
          <w:ilvl w:val="0"/>
          <w:numId w:val="20"/>
        </w:numPr>
        <w:tabs>
          <w:tab w:val="clear" w:pos="360"/>
          <w:tab w:val="num" w:pos="567"/>
        </w:tabs>
        <w:spacing w:line="240" w:lineRule="auto"/>
        <w:rPr>
          <w:b/>
          <w:bCs/>
          <w:color w:val="000000"/>
          <w:szCs w:val="22"/>
        </w:rPr>
      </w:pPr>
      <w:r w:rsidRPr="00CD729C">
        <w:rPr>
          <w:b/>
          <w:bCs/>
          <w:color w:val="000000"/>
          <w:szCs w:val="22"/>
        </w:rPr>
        <w:t>Ja Jums ārstē CML:</w:t>
      </w:r>
    </w:p>
    <w:p w14:paraId="3D3953CC" w14:textId="77777777" w:rsidR="009F6C80" w:rsidRPr="00CD729C" w:rsidRDefault="009F6C80" w:rsidP="009B4BB6">
      <w:pPr>
        <w:keepNext/>
        <w:widowControl w:val="0"/>
        <w:tabs>
          <w:tab w:val="clear" w:pos="567"/>
        </w:tabs>
        <w:spacing w:line="240" w:lineRule="auto"/>
        <w:ind w:left="567"/>
        <w:rPr>
          <w:color w:val="000000"/>
          <w:szCs w:val="22"/>
        </w:rPr>
      </w:pPr>
      <w:r w:rsidRPr="00CD729C">
        <w:rPr>
          <w:color w:val="000000"/>
          <w:szCs w:val="22"/>
        </w:rPr>
        <w:t>Atkarībā no Jūsu slimības smaguma pakāpes sākuma deva parasti ir vai nu 400 mg vai 600 mg:</w:t>
      </w:r>
    </w:p>
    <w:p w14:paraId="3D3953CD" w14:textId="77777777" w:rsidR="009F6C80" w:rsidRPr="00CD729C" w:rsidRDefault="009F6C80" w:rsidP="00CC116F">
      <w:pPr>
        <w:keepNext/>
        <w:widowControl w:val="0"/>
        <w:tabs>
          <w:tab w:val="clear" w:pos="567"/>
        </w:tabs>
        <w:spacing w:line="240" w:lineRule="auto"/>
        <w:ind w:left="1134" w:hanging="567"/>
        <w:rPr>
          <w:color w:val="000000"/>
          <w:szCs w:val="22"/>
        </w:rPr>
      </w:pPr>
      <w:r w:rsidRPr="00CD729C">
        <w:rPr>
          <w:color w:val="000000"/>
          <w:szCs w:val="22"/>
        </w:rPr>
        <w:t>-</w:t>
      </w:r>
      <w:r w:rsidRPr="00CD729C">
        <w:rPr>
          <w:color w:val="000000"/>
          <w:szCs w:val="22"/>
        </w:rPr>
        <w:tab/>
      </w:r>
      <w:r w:rsidRPr="00CD729C">
        <w:rPr>
          <w:b/>
          <w:bCs/>
          <w:color w:val="000000"/>
          <w:szCs w:val="22"/>
        </w:rPr>
        <w:t>400 mg</w:t>
      </w:r>
      <w:r w:rsidRPr="00CD729C">
        <w:rPr>
          <w:color w:val="000000"/>
          <w:szCs w:val="22"/>
        </w:rPr>
        <w:t xml:space="preserve">, ko lieto kā 4 kapsulas </w:t>
      </w:r>
      <w:r w:rsidRPr="00CD729C">
        <w:rPr>
          <w:b/>
          <w:bCs/>
          <w:color w:val="000000"/>
          <w:szCs w:val="22"/>
        </w:rPr>
        <w:t>vienu</w:t>
      </w:r>
      <w:r w:rsidRPr="00CD729C">
        <w:rPr>
          <w:color w:val="000000"/>
          <w:szCs w:val="22"/>
        </w:rPr>
        <w:t xml:space="preserve"> reizi dienā,</w:t>
      </w:r>
    </w:p>
    <w:p w14:paraId="3D3953CE" w14:textId="77777777" w:rsidR="009F6C80" w:rsidRPr="00CD729C" w:rsidRDefault="009F6C80" w:rsidP="009B4BB6">
      <w:pPr>
        <w:widowControl w:val="0"/>
        <w:numPr>
          <w:ilvl w:val="12"/>
          <w:numId w:val="0"/>
        </w:numPr>
        <w:tabs>
          <w:tab w:val="clear" w:pos="567"/>
        </w:tabs>
        <w:spacing w:line="240" w:lineRule="auto"/>
        <w:ind w:left="1134" w:hanging="567"/>
        <w:rPr>
          <w:color w:val="000000"/>
          <w:szCs w:val="22"/>
        </w:rPr>
      </w:pPr>
      <w:r w:rsidRPr="00CD729C">
        <w:rPr>
          <w:color w:val="000000"/>
          <w:szCs w:val="22"/>
        </w:rPr>
        <w:t>-</w:t>
      </w:r>
      <w:r w:rsidRPr="00CD729C">
        <w:rPr>
          <w:color w:val="000000"/>
          <w:szCs w:val="22"/>
        </w:rPr>
        <w:tab/>
      </w:r>
      <w:r w:rsidRPr="00CD729C">
        <w:rPr>
          <w:b/>
          <w:bCs/>
          <w:color w:val="000000"/>
          <w:szCs w:val="22"/>
        </w:rPr>
        <w:t>600 mg</w:t>
      </w:r>
      <w:r w:rsidRPr="00CD729C">
        <w:rPr>
          <w:color w:val="000000"/>
          <w:szCs w:val="22"/>
        </w:rPr>
        <w:t xml:space="preserve">, ko lieto kā 6 kapsulas </w:t>
      </w:r>
      <w:r w:rsidRPr="00CD729C">
        <w:rPr>
          <w:b/>
          <w:bCs/>
          <w:color w:val="000000"/>
          <w:szCs w:val="22"/>
        </w:rPr>
        <w:t>vienu</w:t>
      </w:r>
      <w:r w:rsidRPr="00CD729C">
        <w:rPr>
          <w:color w:val="000000"/>
          <w:szCs w:val="22"/>
        </w:rPr>
        <w:t xml:space="preserve"> reizi dienā.</w:t>
      </w:r>
    </w:p>
    <w:p w14:paraId="3D3953CF"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3D0" w14:textId="77777777" w:rsidR="009F6C80" w:rsidRPr="00CD729C" w:rsidRDefault="009F6C80" w:rsidP="009B4BB6">
      <w:pPr>
        <w:keepNext/>
        <w:widowControl w:val="0"/>
        <w:numPr>
          <w:ilvl w:val="0"/>
          <w:numId w:val="20"/>
        </w:numPr>
        <w:tabs>
          <w:tab w:val="clear" w:pos="360"/>
          <w:tab w:val="num" w:pos="567"/>
        </w:tabs>
        <w:spacing w:line="240" w:lineRule="auto"/>
        <w:ind w:left="567" w:hanging="567"/>
        <w:rPr>
          <w:b/>
          <w:bCs/>
          <w:color w:val="000000"/>
          <w:szCs w:val="22"/>
        </w:rPr>
      </w:pPr>
      <w:r w:rsidRPr="00CD729C">
        <w:rPr>
          <w:b/>
          <w:bCs/>
          <w:color w:val="000000"/>
          <w:szCs w:val="22"/>
        </w:rPr>
        <w:t>Ja Jums ārstē GIST:</w:t>
      </w:r>
    </w:p>
    <w:p w14:paraId="3D3953D1" w14:textId="77777777" w:rsidR="009F6C80" w:rsidRPr="00CD729C" w:rsidRDefault="009F6C80" w:rsidP="009B4BB6">
      <w:pPr>
        <w:widowControl w:val="0"/>
        <w:tabs>
          <w:tab w:val="clear" w:pos="567"/>
        </w:tabs>
        <w:spacing w:line="240" w:lineRule="auto"/>
        <w:ind w:left="567"/>
        <w:rPr>
          <w:color w:val="000000"/>
          <w:szCs w:val="22"/>
        </w:rPr>
      </w:pPr>
      <w:r w:rsidRPr="00CD729C">
        <w:rPr>
          <w:color w:val="000000"/>
          <w:szCs w:val="22"/>
        </w:rPr>
        <w:t xml:space="preserve">Sākuma deva ir 400 mg, ko lieto kā 4 kapsulas </w:t>
      </w:r>
      <w:r w:rsidRPr="00CD729C">
        <w:rPr>
          <w:b/>
          <w:bCs/>
          <w:color w:val="000000"/>
          <w:szCs w:val="22"/>
        </w:rPr>
        <w:t>vienu</w:t>
      </w:r>
      <w:r w:rsidRPr="00CD729C">
        <w:rPr>
          <w:color w:val="000000"/>
          <w:szCs w:val="22"/>
        </w:rPr>
        <w:t xml:space="preserve"> reizi dienā.</w:t>
      </w:r>
    </w:p>
    <w:p w14:paraId="3D3953D2"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3D3" w14:textId="77777777" w:rsidR="009F6C80" w:rsidRPr="00CD729C" w:rsidRDefault="009F6C80" w:rsidP="009B4BB6">
      <w:pPr>
        <w:widowControl w:val="0"/>
        <w:numPr>
          <w:ilvl w:val="12"/>
          <w:numId w:val="0"/>
        </w:numPr>
        <w:tabs>
          <w:tab w:val="clear" w:pos="567"/>
        </w:tabs>
        <w:spacing w:line="240" w:lineRule="auto"/>
        <w:rPr>
          <w:color w:val="000000"/>
          <w:szCs w:val="22"/>
        </w:rPr>
      </w:pPr>
      <w:r w:rsidRPr="00CD729C">
        <w:rPr>
          <w:color w:val="000000"/>
          <w:szCs w:val="22"/>
        </w:rPr>
        <w:t>CML un GIST gadījumā Jūsu ārsts var ordinēt lielāku vai mazāku devu, atkarībā no Jūsu reakcijas uz ārstēšanu. Ja Jūsu dienas deva ir 800 mg (8 kapsulas), Jums jālieto 4 kapsulas no rīta un 4 kapsulas vakarā.</w:t>
      </w:r>
    </w:p>
    <w:p w14:paraId="3D3953D4"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3D5" w14:textId="77777777" w:rsidR="009F6C80" w:rsidRPr="00CD729C" w:rsidRDefault="009F6C80" w:rsidP="009B4BB6">
      <w:pPr>
        <w:keepNext/>
        <w:widowControl w:val="0"/>
        <w:numPr>
          <w:ilvl w:val="0"/>
          <w:numId w:val="20"/>
        </w:numPr>
        <w:tabs>
          <w:tab w:val="clear" w:pos="360"/>
          <w:tab w:val="num" w:pos="567"/>
        </w:tabs>
        <w:spacing w:line="240" w:lineRule="auto"/>
        <w:ind w:left="567" w:hanging="567"/>
        <w:rPr>
          <w:b/>
          <w:bCs/>
          <w:color w:val="000000"/>
          <w:szCs w:val="22"/>
        </w:rPr>
      </w:pPr>
      <w:r w:rsidRPr="00CD729C">
        <w:rPr>
          <w:b/>
          <w:bCs/>
          <w:color w:val="000000"/>
          <w:szCs w:val="22"/>
        </w:rPr>
        <w:t>Ja Jums ārstē Ph-pozitīvu ALL:</w:t>
      </w:r>
    </w:p>
    <w:p w14:paraId="3D3953D6" w14:textId="77777777" w:rsidR="009F6C80" w:rsidRPr="00CD729C" w:rsidRDefault="009F6C80" w:rsidP="009B4BB6">
      <w:pPr>
        <w:widowControl w:val="0"/>
        <w:numPr>
          <w:ilvl w:val="12"/>
          <w:numId w:val="0"/>
        </w:numPr>
        <w:tabs>
          <w:tab w:val="clear" w:pos="567"/>
        </w:tabs>
        <w:spacing w:line="240" w:lineRule="auto"/>
        <w:ind w:left="567"/>
        <w:rPr>
          <w:color w:val="000000"/>
          <w:szCs w:val="22"/>
        </w:rPr>
      </w:pPr>
      <w:r w:rsidRPr="00CD729C">
        <w:rPr>
          <w:color w:val="000000"/>
          <w:szCs w:val="22"/>
        </w:rPr>
        <w:t xml:space="preserve">Sākuma deva ir 600 mg, kas jālieto kā 6 kapsulas </w:t>
      </w:r>
      <w:r w:rsidRPr="00CD729C">
        <w:rPr>
          <w:b/>
          <w:bCs/>
          <w:color w:val="000000"/>
          <w:szCs w:val="22"/>
        </w:rPr>
        <w:t>vienu</w:t>
      </w:r>
      <w:r w:rsidRPr="00CD729C">
        <w:rPr>
          <w:color w:val="000000"/>
          <w:szCs w:val="22"/>
        </w:rPr>
        <w:t xml:space="preserve"> reizi dienā.</w:t>
      </w:r>
    </w:p>
    <w:p w14:paraId="3D3953D7" w14:textId="77777777" w:rsidR="009F6C80" w:rsidRPr="00CD729C" w:rsidRDefault="009F6C80" w:rsidP="009B4BB6">
      <w:pPr>
        <w:pStyle w:val="Listlevel1"/>
        <w:widowControl w:val="0"/>
        <w:tabs>
          <w:tab w:val="left" w:pos="720"/>
        </w:tabs>
        <w:spacing w:before="0" w:after="0"/>
        <w:ind w:left="0" w:firstLine="0"/>
        <w:rPr>
          <w:color w:val="000000"/>
          <w:sz w:val="22"/>
          <w:szCs w:val="22"/>
          <w:lang w:val="lv-LV"/>
        </w:rPr>
      </w:pPr>
    </w:p>
    <w:p w14:paraId="3D3953D8" w14:textId="77777777" w:rsidR="009F6C80" w:rsidRPr="00CD729C" w:rsidRDefault="009F6C80" w:rsidP="009B4BB6">
      <w:pPr>
        <w:keepNext/>
        <w:widowControl w:val="0"/>
        <w:numPr>
          <w:ilvl w:val="0"/>
          <w:numId w:val="20"/>
        </w:numPr>
        <w:tabs>
          <w:tab w:val="clear" w:pos="360"/>
          <w:tab w:val="num" w:pos="567"/>
        </w:tabs>
        <w:spacing w:line="240" w:lineRule="auto"/>
        <w:ind w:left="567" w:hanging="567"/>
        <w:rPr>
          <w:b/>
          <w:bCs/>
          <w:color w:val="000000"/>
          <w:szCs w:val="22"/>
        </w:rPr>
      </w:pPr>
      <w:r w:rsidRPr="00CD729C">
        <w:rPr>
          <w:b/>
          <w:bCs/>
          <w:color w:val="000000"/>
          <w:szCs w:val="22"/>
        </w:rPr>
        <w:t>Ja Jums ārstē MDS/MDP:</w:t>
      </w:r>
    </w:p>
    <w:p w14:paraId="3D3953D9" w14:textId="77777777" w:rsidR="009F6C80" w:rsidRPr="00CD729C" w:rsidRDefault="009F6C80" w:rsidP="009B4BB6">
      <w:pPr>
        <w:widowControl w:val="0"/>
        <w:numPr>
          <w:ilvl w:val="12"/>
          <w:numId w:val="0"/>
        </w:numPr>
        <w:tabs>
          <w:tab w:val="clear" w:pos="567"/>
        </w:tabs>
        <w:spacing w:line="240" w:lineRule="auto"/>
        <w:ind w:left="567"/>
        <w:rPr>
          <w:color w:val="000000"/>
          <w:szCs w:val="22"/>
        </w:rPr>
      </w:pPr>
      <w:r w:rsidRPr="00CD729C">
        <w:rPr>
          <w:color w:val="000000"/>
          <w:szCs w:val="22"/>
        </w:rPr>
        <w:t xml:space="preserve">Sākuma deva ir 400 mg, kas jālieto kā 4 kapsulas </w:t>
      </w:r>
      <w:r w:rsidRPr="00CD729C">
        <w:rPr>
          <w:b/>
          <w:bCs/>
          <w:color w:val="000000"/>
          <w:szCs w:val="22"/>
        </w:rPr>
        <w:t>vienu</w:t>
      </w:r>
      <w:r w:rsidRPr="00CD729C">
        <w:rPr>
          <w:color w:val="000000"/>
          <w:szCs w:val="22"/>
        </w:rPr>
        <w:t xml:space="preserve"> reizi dienā.</w:t>
      </w:r>
    </w:p>
    <w:p w14:paraId="3D3953DA"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3DB" w14:textId="77777777" w:rsidR="009F6C80" w:rsidRPr="00CD729C" w:rsidRDefault="009F6C80" w:rsidP="009B4BB6">
      <w:pPr>
        <w:keepNext/>
        <w:widowControl w:val="0"/>
        <w:numPr>
          <w:ilvl w:val="0"/>
          <w:numId w:val="20"/>
        </w:numPr>
        <w:tabs>
          <w:tab w:val="clear" w:pos="360"/>
          <w:tab w:val="num" w:pos="567"/>
        </w:tabs>
        <w:spacing w:line="240" w:lineRule="auto"/>
        <w:ind w:left="567" w:hanging="567"/>
        <w:rPr>
          <w:b/>
          <w:bCs/>
          <w:color w:val="000000"/>
          <w:szCs w:val="22"/>
        </w:rPr>
      </w:pPr>
      <w:r w:rsidRPr="00CD729C">
        <w:rPr>
          <w:b/>
          <w:bCs/>
          <w:color w:val="000000"/>
          <w:szCs w:val="22"/>
        </w:rPr>
        <w:t>Ja Jums ārstē HES/CEL:</w:t>
      </w:r>
    </w:p>
    <w:p w14:paraId="3D3953DC" w14:textId="77777777" w:rsidR="009F6C80" w:rsidRPr="00CD729C" w:rsidRDefault="009F6C80" w:rsidP="009B4BB6">
      <w:pPr>
        <w:widowControl w:val="0"/>
        <w:numPr>
          <w:ilvl w:val="12"/>
          <w:numId w:val="0"/>
        </w:numPr>
        <w:tabs>
          <w:tab w:val="clear" w:pos="567"/>
        </w:tabs>
        <w:spacing w:line="240" w:lineRule="auto"/>
        <w:ind w:left="567"/>
        <w:rPr>
          <w:color w:val="000000"/>
          <w:szCs w:val="22"/>
        </w:rPr>
      </w:pPr>
      <w:r w:rsidRPr="00CD729C">
        <w:rPr>
          <w:color w:val="000000"/>
          <w:szCs w:val="22"/>
        </w:rPr>
        <w:t xml:space="preserve">Sākuma deva ir 100 mg, ko jālieto kā viena kapsula </w:t>
      </w:r>
      <w:r w:rsidRPr="00CD729C">
        <w:rPr>
          <w:b/>
          <w:bCs/>
          <w:color w:val="000000"/>
          <w:szCs w:val="22"/>
        </w:rPr>
        <w:t>vienu</w:t>
      </w:r>
      <w:r w:rsidRPr="00CD729C">
        <w:rPr>
          <w:color w:val="000000"/>
          <w:szCs w:val="22"/>
        </w:rPr>
        <w:t xml:space="preserve"> reizi dienā. Jūsu ārsts var izlemt palielināt devu līdz 400 mg, ko jālieto kā 4 kapsulas </w:t>
      </w:r>
      <w:r w:rsidRPr="00CD729C">
        <w:rPr>
          <w:b/>
          <w:bCs/>
          <w:color w:val="000000"/>
          <w:szCs w:val="22"/>
        </w:rPr>
        <w:t>vienu</w:t>
      </w:r>
      <w:r w:rsidRPr="00CD729C">
        <w:rPr>
          <w:color w:val="000000"/>
          <w:szCs w:val="22"/>
        </w:rPr>
        <w:t xml:space="preserve"> reizi dienā, atkarībā no tā, kāda Jums ir atbildreakcija uz terapiju.</w:t>
      </w:r>
    </w:p>
    <w:p w14:paraId="3D3953DD"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3DE" w14:textId="77777777" w:rsidR="009F6C80" w:rsidRPr="00CD729C" w:rsidRDefault="009F6C80" w:rsidP="009B4BB6">
      <w:pPr>
        <w:keepNext/>
        <w:widowControl w:val="0"/>
        <w:numPr>
          <w:ilvl w:val="0"/>
          <w:numId w:val="20"/>
        </w:numPr>
        <w:tabs>
          <w:tab w:val="clear" w:pos="360"/>
          <w:tab w:val="num" w:pos="567"/>
        </w:tabs>
        <w:spacing w:line="240" w:lineRule="auto"/>
        <w:ind w:left="567" w:hanging="567"/>
        <w:rPr>
          <w:b/>
          <w:bCs/>
          <w:color w:val="000000"/>
          <w:szCs w:val="22"/>
        </w:rPr>
      </w:pPr>
      <w:r w:rsidRPr="00CD729C">
        <w:rPr>
          <w:b/>
          <w:bCs/>
          <w:color w:val="000000"/>
          <w:szCs w:val="22"/>
        </w:rPr>
        <w:t>Ja Jums ārstē DFSP:</w:t>
      </w:r>
    </w:p>
    <w:p w14:paraId="3D3953DF" w14:textId="77777777" w:rsidR="009F6C80" w:rsidRPr="00CD729C" w:rsidRDefault="009F6C80" w:rsidP="009B4BB6">
      <w:pPr>
        <w:widowControl w:val="0"/>
        <w:numPr>
          <w:ilvl w:val="12"/>
          <w:numId w:val="0"/>
        </w:numPr>
        <w:tabs>
          <w:tab w:val="clear" w:pos="567"/>
        </w:tabs>
        <w:spacing w:line="240" w:lineRule="auto"/>
        <w:ind w:left="567"/>
        <w:rPr>
          <w:color w:val="000000"/>
          <w:szCs w:val="22"/>
        </w:rPr>
      </w:pPr>
      <w:r w:rsidRPr="00CD729C">
        <w:rPr>
          <w:color w:val="000000"/>
          <w:szCs w:val="22"/>
        </w:rPr>
        <w:t>Deva ir 800 mg dienā (8 kapsulas), kas jālieto kā 4 kapsulas no rīta un 4 kapsulas vakarā).</w:t>
      </w:r>
    </w:p>
    <w:p w14:paraId="3D3953E0"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3E1" w14:textId="77777777" w:rsidR="009F6C80" w:rsidRPr="00CD729C" w:rsidRDefault="009F6C80" w:rsidP="009B4BB6">
      <w:pPr>
        <w:keepNext/>
        <w:widowControl w:val="0"/>
        <w:numPr>
          <w:ilvl w:val="12"/>
          <w:numId w:val="0"/>
        </w:numPr>
        <w:tabs>
          <w:tab w:val="clear" w:pos="567"/>
        </w:tabs>
        <w:spacing w:line="240" w:lineRule="auto"/>
        <w:rPr>
          <w:b/>
          <w:bCs/>
          <w:color w:val="000000"/>
          <w:szCs w:val="22"/>
        </w:rPr>
      </w:pPr>
      <w:r w:rsidRPr="00CD729C">
        <w:rPr>
          <w:b/>
          <w:bCs/>
          <w:color w:val="000000"/>
          <w:szCs w:val="22"/>
        </w:rPr>
        <w:t>Lietošana bērniem</w:t>
      </w:r>
      <w:r w:rsidR="003B6C16" w:rsidRPr="00CD729C">
        <w:rPr>
          <w:b/>
          <w:bCs/>
          <w:color w:val="000000"/>
          <w:szCs w:val="22"/>
        </w:rPr>
        <w:t xml:space="preserve"> un pusaudžiem</w:t>
      </w:r>
    </w:p>
    <w:p w14:paraId="3D3953E2" w14:textId="77777777" w:rsidR="009F6C80" w:rsidRPr="00CD729C" w:rsidRDefault="009F6C80" w:rsidP="009B4BB6">
      <w:pPr>
        <w:widowControl w:val="0"/>
        <w:numPr>
          <w:ilvl w:val="12"/>
          <w:numId w:val="0"/>
        </w:numPr>
        <w:tabs>
          <w:tab w:val="clear" w:pos="567"/>
        </w:tabs>
        <w:spacing w:line="240" w:lineRule="auto"/>
        <w:rPr>
          <w:color w:val="000000"/>
          <w:szCs w:val="22"/>
        </w:rPr>
      </w:pPr>
      <w:r w:rsidRPr="00CD729C">
        <w:rPr>
          <w:color w:val="000000"/>
          <w:szCs w:val="22"/>
        </w:rPr>
        <w:t>Cik daudz Glivec kapsulu Jūsu bērnam ir jādod, Jums pateiks ārsts. Lietotais Glivec daudzums ir atkarīgs no bērna stāvokļa, ķermeņa masas un auguma. Bērnam kopējā Glivec dienas deva nedrīkst pārsniegt 800 mg</w:t>
      </w:r>
      <w:r w:rsidR="000D4E1E" w:rsidRPr="00CD729C">
        <w:rPr>
          <w:color w:val="000000"/>
          <w:szCs w:val="22"/>
        </w:rPr>
        <w:t xml:space="preserve"> CML gadījumā un 600 mg Ph+ALL gadījumā</w:t>
      </w:r>
      <w:r w:rsidRPr="00CD729C">
        <w:rPr>
          <w:color w:val="000000"/>
          <w:szCs w:val="22"/>
        </w:rPr>
        <w:t>. Zāļu devu bērnam var dot reizi dienā vai sadalīt to divās daļās (puse no rīta un puse vakarā).</w:t>
      </w:r>
    </w:p>
    <w:p w14:paraId="3D3953E3"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3E4" w14:textId="77777777" w:rsidR="009F6C80" w:rsidRPr="00CD729C" w:rsidRDefault="009F6C80" w:rsidP="009B4BB6">
      <w:pPr>
        <w:keepNext/>
        <w:widowControl w:val="0"/>
        <w:numPr>
          <w:ilvl w:val="12"/>
          <w:numId w:val="0"/>
        </w:numPr>
        <w:tabs>
          <w:tab w:val="clear" w:pos="567"/>
        </w:tabs>
        <w:spacing w:line="240" w:lineRule="auto"/>
        <w:ind w:left="567" w:hanging="567"/>
        <w:rPr>
          <w:b/>
          <w:color w:val="000000"/>
          <w:szCs w:val="22"/>
        </w:rPr>
      </w:pPr>
      <w:r w:rsidRPr="00CD729C">
        <w:rPr>
          <w:b/>
          <w:color w:val="000000"/>
          <w:szCs w:val="22"/>
        </w:rPr>
        <w:t>Kad un kā lietot Glivec</w:t>
      </w:r>
    </w:p>
    <w:p w14:paraId="3D3953E5" w14:textId="77777777" w:rsidR="009F6C80" w:rsidRPr="00CD729C" w:rsidRDefault="009F6C80" w:rsidP="009B4BB6">
      <w:pPr>
        <w:widowControl w:val="0"/>
        <w:numPr>
          <w:ilvl w:val="0"/>
          <w:numId w:val="21"/>
        </w:numPr>
        <w:tabs>
          <w:tab w:val="clear" w:pos="360"/>
          <w:tab w:val="num" w:pos="567"/>
          <w:tab w:val="left" w:pos="2977"/>
        </w:tabs>
        <w:spacing w:line="240" w:lineRule="auto"/>
        <w:ind w:left="567" w:hanging="567"/>
        <w:rPr>
          <w:bCs/>
          <w:color w:val="000000"/>
          <w:szCs w:val="22"/>
        </w:rPr>
      </w:pPr>
      <w:r w:rsidRPr="00CD729C">
        <w:rPr>
          <w:b/>
          <w:color w:val="000000"/>
          <w:szCs w:val="22"/>
        </w:rPr>
        <w:t xml:space="preserve">Lietojiet Glivec kopā ar ēdienu. </w:t>
      </w:r>
      <w:r w:rsidRPr="00CD729C">
        <w:rPr>
          <w:bCs/>
          <w:color w:val="000000"/>
          <w:szCs w:val="22"/>
        </w:rPr>
        <w:t>Tas Glivec lietošanas laikā Jums palīdzēs aizsargāt Jūsu kuņģi.</w:t>
      </w:r>
    </w:p>
    <w:p w14:paraId="3D3953E6" w14:textId="77777777" w:rsidR="009F6C80" w:rsidRPr="00CD729C" w:rsidRDefault="009F6C80" w:rsidP="009B4BB6">
      <w:pPr>
        <w:widowControl w:val="0"/>
        <w:numPr>
          <w:ilvl w:val="0"/>
          <w:numId w:val="21"/>
        </w:numPr>
        <w:tabs>
          <w:tab w:val="clear" w:pos="360"/>
          <w:tab w:val="num" w:pos="567"/>
        </w:tabs>
        <w:spacing w:line="240" w:lineRule="auto"/>
        <w:ind w:left="567" w:hanging="567"/>
        <w:rPr>
          <w:color w:val="000000"/>
          <w:szCs w:val="22"/>
        </w:rPr>
      </w:pPr>
      <w:r w:rsidRPr="00CD729C">
        <w:rPr>
          <w:b/>
          <w:color w:val="000000"/>
          <w:szCs w:val="22"/>
        </w:rPr>
        <w:t>Norijiet kapsulas veselas, uzdzerot lielu glāzi ūdens</w:t>
      </w:r>
      <w:r w:rsidRPr="00CD729C">
        <w:rPr>
          <w:color w:val="000000"/>
          <w:szCs w:val="22"/>
        </w:rPr>
        <w:t>. Kapsulas neatveriet un nesaspiediet, ja vien Jums nav grūti tās norīt (piemēram, bērniem).</w:t>
      </w:r>
    </w:p>
    <w:p w14:paraId="3D3953E7" w14:textId="77777777" w:rsidR="009F6C80" w:rsidRPr="00CD729C" w:rsidRDefault="009F6C80" w:rsidP="009B4BB6">
      <w:pPr>
        <w:widowControl w:val="0"/>
        <w:numPr>
          <w:ilvl w:val="0"/>
          <w:numId w:val="21"/>
        </w:numPr>
        <w:tabs>
          <w:tab w:val="clear" w:pos="360"/>
          <w:tab w:val="num" w:pos="567"/>
        </w:tabs>
        <w:spacing w:line="240" w:lineRule="auto"/>
        <w:ind w:left="567" w:hanging="567"/>
        <w:rPr>
          <w:color w:val="000000"/>
          <w:szCs w:val="22"/>
        </w:rPr>
      </w:pPr>
      <w:r w:rsidRPr="00CD729C">
        <w:rPr>
          <w:color w:val="000000"/>
          <w:szCs w:val="22"/>
        </w:rPr>
        <w:t>Ja Jums ir grūtības norīt kapsulas, Jūs varat tās atvērt un saturu izšķīdināt glāzē negāzēta ūdens vai ābolu sulas.</w:t>
      </w:r>
    </w:p>
    <w:p w14:paraId="3D3953E8" w14:textId="77777777" w:rsidR="009F6C80" w:rsidRPr="00CD729C" w:rsidRDefault="009F6C80" w:rsidP="009B4BB6">
      <w:pPr>
        <w:widowControl w:val="0"/>
        <w:numPr>
          <w:ilvl w:val="0"/>
          <w:numId w:val="21"/>
        </w:numPr>
        <w:tabs>
          <w:tab w:val="clear" w:pos="360"/>
          <w:tab w:val="num" w:pos="567"/>
        </w:tabs>
        <w:spacing w:line="240" w:lineRule="auto"/>
        <w:ind w:left="567" w:hanging="567"/>
        <w:rPr>
          <w:color w:val="000000"/>
          <w:szCs w:val="22"/>
        </w:rPr>
      </w:pPr>
      <w:r w:rsidRPr="00CD729C">
        <w:rPr>
          <w:color w:val="000000"/>
          <w:szCs w:val="22"/>
        </w:rPr>
        <w:t>Ja esat grūtniece vai ja Jums grūtniecība ir iespējama un Jums jāatver kapsulas, ar kapsulu saturu ir jāapietas piesardzīgi, lai tas nenonāktu saskarē ar ādu/acīm un lai tas netiktu ieelpots. Pēc kapsulu atvēršanas Jums tūlīt jāmazgā rokas.</w:t>
      </w:r>
    </w:p>
    <w:p w14:paraId="3D3953E9"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3EA" w14:textId="77777777" w:rsidR="009F6C80" w:rsidRPr="00CD729C" w:rsidRDefault="009F6C80" w:rsidP="009B4BB6">
      <w:pPr>
        <w:keepNext/>
        <w:widowControl w:val="0"/>
        <w:numPr>
          <w:ilvl w:val="12"/>
          <w:numId w:val="0"/>
        </w:numPr>
        <w:tabs>
          <w:tab w:val="clear" w:pos="567"/>
        </w:tabs>
        <w:spacing w:line="240" w:lineRule="auto"/>
        <w:rPr>
          <w:b/>
          <w:color w:val="000000"/>
          <w:szCs w:val="22"/>
        </w:rPr>
      </w:pPr>
      <w:r w:rsidRPr="00CD729C">
        <w:rPr>
          <w:b/>
          <w:color w:val="000000"/>
          <w:szCs w:val="22"/>
        </w:rPr>
        <w:t>Cik ilgi jālieto Glivec</w:t>
      </w:r>
    </w:p>
    <w:p w14:paraId="3D3953EB" w14:textId="77777777" w:rsidR="009F6C80" w:rsidRPr="00CD729C" w:rsidRDefault="009F6C80" w:rsidP="009B4BB6">
      <w:pPr>
        <w:widowControl w:val="0"/>
        <w:numPr>
          <w:ilvl w:val="12"/>
          <w:numId w:val="0"/>
        </w:numPr>
        <w:tabs>
          <w:tab w:val="clear" w:pos="567"/>
        </w:tabs>
        <w:spacing w:line="240" w:lineRule="auto"/>
        <w:rPr>
          <w:color w:val="000000"/>
          <w:szCs w:val="22"/>
        </w:rPr>
      </w:pPr>
      <w:r w:rsidRPr="00CD729C">
        <w:rPr>
          <w:color w:val="000000"/>
          <w:szCs w:val="22"/>
        </w:rPr>
        <w:t>Turpiniet lietot Glivec katru dienu tik ilgi, cik norādījis Jūsu ārsts.</w:t>
      </w:r>
    </w:p>
    <w:p w14:paraId="3D3953EC"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3ED" w14:textId="77777777" w:rsidR="009F6C80" w:rsidRPr="00CD729C" w:rsidRDefault="009F6C80" w:rsidP="009B4BB6">
      <w:pPr>
        <w:keepNext/>
        <w:widowControl w:val="0"/>
        <w:numPr>
          <w:ilvl w:val="12"/>
          <w:numId w:val="0"/>
        </w:numPr>
        <w:tabs>
          <w:tab w:val="clear" w:pos="567"/>
        </w:tabs>
        <w:spacing w:line="240" w:lineRule="auto"/>
        <w:ind w:left="567" w:hanging="567"/>
        <w:rPr>
          <w:color w:val="000000"/>
          <w:szCs w:val="22"/>
        </w:rPr>
      </w:pPr>
      <w:r w:rsidRPr="00CD729C">
        <w:rPr>
          <w:b/>
          <w:color w:val="000000"/>
          <w:szCs w:val="22"/>
        </w:rPr>
        <w:t>Ja esat lietojis Glivec vairāk nekā noteikts</w:t>
      </w:r>
    </w:p>
    <w:p w14:paraId="3D3953EE" w14:textId="77777777" w:rsidR="009F6C80" w:rsidRPr="00CD729C" w:rsidRDefault="009F6C80" w:rsidP="009B4BB6">
      <w:pPr>
        <w:pStyle w:val="Text"/>
        <w:widowControl w:val="0"/>
        <w:spacing w:before="0"/>
        <w:jc w:val="left"/>
        <w:rPr>
          <w:color w:val="000000"/>
          <w:sz w:val="22"/>
          <w:szCs w:val="22"/>
          <w:lang w:val="lv-LV"/>
        </w:rPr>
      </w:pPr>
      <w:r w:rsidRPr="00CD729C">
        <w:rPr>
          <w:color w:val="000000"/>
          <w:sz w:val="22"/>
          <w:szCs w:val="22"/>
          <w:lang w:val="lv-LV"/>
        </w:rPr>
        <w:t xml:space="preserve">Ja nejauši esat lietojis pārāk daudz kapsulu, </w:t>
      </w:r>
      <w:r w:rsidRPr="00CD729C">
        <w:rPr>
          <w:b/>
          <w:color w:val="000000"/>
          <w:sz w:val="22"/>
          <w:szCs w:val="22"/>
          <w:lang w:val="lv-LV"/>
        </w:rPr>
        <w:t xml:space="preserve">tūlīt </w:t>
      </w:r>
      <w:r w:rsidRPr="00CD729C">
        <w:rPr>
          <w:color w:val="000000"/>
          <w:sz w:val="22"/>
          <w:szCs w:val="22"/>
          <w:lang w:val="lv-LV"/>
        </w:rPr>
        <w:t>konsultējieties ar savu ārstu. Jums var būt nepieciešama medicīniska palīdzība. Paņemiet līdzi zāļu iepakojumu.</w:t>
      </w:r>
    </w:p>
    <w:p w14:paraId="3D3953EF" w14:textId="77777777" w:rsidR="009F6C80" w:rsidRPr="00CD729C" w:rsidRDefault="009F6C80" w:rsidP="009B4BB6">
      <w:pPr>
        <w:pStyle w:val="Text"/>
        <w:widowControl w:val="0"/>
        <w:spacing w:before="0"/>
        <w:jc w:val="left"/>
        <w:rPr>
          <w:color w:val="000000"/>
          <w:sz w:val="22"/>
          <w:szCs w:val="22"/>
          <w:lang w:val="lv-LV"/>
        </w:rPr>
      </w:pPr>
    </w:p>
    <w:p w14:paraId="3D3953F0" w14:textId="77777777" w:rsidR="009F6C80" w:rsidRPr="00CD729C" w:rsidRDefault="009F6C80" w:rsidP="009B4BB6">
      <w:pPr>
        <w:pStyle w:val="Text"/>
        <w:keepNext/>
        <w:widowControl w:val="0"/>
        <w:spacing w:before="0"/>
        <w:jc w:val="left"/>
        <w:rPr>
          <w:b/>
          <w:color w:val="000000"/>
          <w:sz w:val="22"/>
          <w:szCs w:val="22"/>
          <w:lang w:val="lv-LV"/>
        </w:rPr>
      </w:pPr>
      <w:r w:rsidRPr="00CD729C">
        <w:rPr>
          <w:b/>
          <w:color w:val="000000"/>
          <w:sz w:val="22"/>
          <w:szCs w:val="22"/>
          <w:lang w:val="lv-LV"/>
        </w:rPr>
        <w:t>Ja esat aizmirsis lietot Glivec</w:t>
      </w:r>
    </w:p>
    <w:p w14:paraId="3D3953F1" w14:textId="77777777" w:rsidR="009F6C80" w:rsidRPr="00CD729C" w:rsidRDefault="009F6C80" w:rsidP="009B4BB6">
      <w:pPr>
        <w:widowControl w:val="0"/>
        <w:numPr>
          <w:ilvl w:val="0"/>
          <w:numId w:val="22"/>
        </w:numPr>
        <w:tabs>
          <w:tab w:val="clear" w:pos="720"/>
          <w:tab w:val="num" w:pos="567"/>
        </w:tabs>
        <w:spacing w:line="240" w:lineRule="auto"/>
        <w:ind w:left="567" w:right="-2" w:hanging="567"/>
        <w:rPr>
          <w:color w:val="000000"/>
          <w:szCs w:val="22"/>
        </w:rPr>
      </w:pPr>
      <w:r w:rsidRPr="00CD729C">
        <w:rPr>
          <w:color w:val="000000"/>
          <w:szCs w:val="22"/>
        </w:rPr>
        <w:t>Ja esat aizmirsis lietot devu, iedzeriet to tiklīdz atceraties. Tomēr, ja gandrīz pienācis laiks nākamajai devai, izlaidiet aizmirsto devu.</w:t>
      </w:r>
    </w:p>
    <w:p w14:paraId="3D3953F2" w14:textId="77777777" w:rsidR="009F6C80" w:rsidRPr="00CD729C" w:rsidRDefault="009F6C80" w:rsidP="009B4BB6">
      <w:pPr>
        <w:widowControl w:val="0"/>
        <w:numPr>
          <w:ilvl w:val="0"/>
          <w:numId w:val="22"/>
        </w:numPr>
        <w:tabs>
          <w:tab w:val="clear" w:pos="720"/>
          <w:tab w:val="num" w:pos="567"/>
        </w:tabs>
        <w:spacing w:line="240" w:lineRule="auto"/>
        <w:ind w:left="567" w:right="-2" w:hanging="567"/>
        <w:rPr>
          <w:color w:val="000000"/>
          <w:szCs w:val="22"/>
        </w:rPr>
      </w:pPr>
      <w:r w:rsidRPr="00CD729C">
        <w:rPr>
          <w:color w:val="000000"/>
          <w:szCs w:val="22"/>
        </w:rPr>
        <w:t>Tad lietojiet nākamo devu plānotajā laikā.</w:t>
      </w:r>
    </w:p>
    <w:p w14:paraId="3D3953F3" w14:textId="77777777" w:rsidR="009F6C80" w:rsidRPr="00CD729C" w:rsidRDefault="009F6C80" w:rsidP="009B4BB6">
      <w:pPr>
        <w:widowControl w:val="0"/>
        <w:numPr>
          <w:ilvl w:val="0"/>
          <w:numId w:val="22"/>
        </w:numPr>
        <w:tabs>
          <w:tab w:val="clear" w:pos="720"/>
          <w:tab w:val="num" w:pos="567"/>
        </w:tabs>
        <w:spacing w:line="240" w:lineRule="auto"/>
        <w:ind w:left="567" w:right="-2" w:hanging="567"/>
        <w:rPr>
          <w:color w:val="000000"/>
          <w:szCs w:val="22"/>
        </w:rPr>
      </w:pPr>
      <w:r w:rsidRPr="00CD729C">
        <w:rPr>
          <w:color w:val="000000"/>
          <w:szCs w:val="22"/>
        </w:rPr>
        <w:t>Nelietojiet dubultu devu, lai aizvietotu aizmirsto devu.</w:t>
      </w:r>
    </w:p>
    <w:p w14:paraId="3D3953F4" w14:textId="77777777" w:rsidR="009F6C80" w:rsidRPr="00CD729C" w:rsidRDefault="009F6C80" w:rsidP="009B4BB6">
      <w:pPr>
        <w:widowControl w:val="0"/>
        <w:numPr>
          <w:ilvl w:val="12"/>
          <w:numId w:val="0"/>
        </w:numPr>
        <w:tabs>
          <w:tab w:val="clear" w:pos="567"/>
        </w:tabs>
        <w:spacing w:line="240" w:lineRule="auto"/>
        <w:ind w:right="-2"/>
        <w:rPr>
          <w:color w:val="000000"/>
          <w:szCs w:val="22"/>
        </w:rPr>
      </w:pPr>
    </w:p>
    <w:p w14:paraId="3D3953F5" w14:textId="77777777" w:rsidR="009F6C80" w:rsidRPr="00CD729C" w:rsidRDefault="009F6C80" w:rsidP="009B4BB6">
      <w:pPr>
        <w:widowControl w:val="0"/>
        <w:numPr>
          <w:ilvl w:val="12"/>
          <w:numId w:val="0"/>
        </w:numPr>
        <w:tabs>
          <w:tab w:val="clear" w:pos="567"/>
        </w:tabs>
        <w:spacing w:line="240" w:lineRule="auto"/>
        <w:ind w:right="-2"/>
        <w:rPr>
          <w:color w:val="000000"/>
          <w:szCs w:val="22"/>
        </w:rPr>
      </w:pPr>
      <w:r w:rsidRPr="00CD729C">
        <w:rPr>
          <w:color w:val="000000"/>
          <w:szCs w:val="22"/>
        </w:rPr>
        <w:t>Ja Jums</w:t>
      </w:r>
      <w:r w:rsidRPr="00CD729C">
        <w:rPr>
          <w:color w:val="000000"/>
        </w:rPr>
        <w:t xml:space="preserve"> ir kādi jautājumi par šo zāļu lietošanu, jautājiet ārstam</w:t>
      </w:r>
      <w:r w:rsidR="003B6C16" w:rsidRPr="00CD729C">
        <w:rPr>
          <w:color w:val="000000"/>
        </w:rPr>
        <w:t>,</w:t>
      </w:r>
      <w:r w:rsidRPr="00CD729C">
        <w:rPr>
          <w:color w:val="000000"/>
        </w:rPr>
        <w:t xml:space="preserve"> farmaceitam</w:t>
      </w:r>
      <w:r w:rsidR="003B6C16" w:rsidRPr="00CD729C">
        <w:rPr>
          <w:color w:val="000000"/>
        </w:rPr>
        <w:t xml:space="preserve"> </w:t>
      </w:r>
      <w:r w:rsidR="003B6C16" w:rsidRPr="00CD729C">
        <w:rPr>
          <w:szCs w:val="22"/>
        </w:rPr>
        <w:t>vai medmāsai</w:t>
      </w:r>
      <w:r w:rsidRPr="00CD729C">
        <w:rPr>
          <w:color w:val="000000"/>
        </w:rPr>
        <w:t>.</w:t>
      </w:r>
    </w:p>
    <w:p w14:paraId="3D3953F6" w14:textId="77777777" w:rsidR="009F6C80" w:rsidRPr="00CD729C" w:rsidRDefault="009F6C80" w:rsidP="009B4BB6">
      <w:pPr>
        <w:pStyle w:val="EndnoteText"/>
        <w:widowControl w:val="0"/>
        <w:numPr>
          <w:ilvl w:val="12"/>
          <w:numId w:val="0"/>
        </w:numPr>
        <w:tabs>
          <w:tab w:val="clear" w:pos="567"/>
        </w:tabs>
        <w:rPr>
          <w:color w:val="000000"/>
          <w:szCs w:val="22"/>
        </w:rPr>
      </w:pPr>
    </w:p>
    <w:p w14:paraId="3D3953F7" w14:textId="77777777" w:rsidR="009F6C80" w:rsidRPr="00CD729C" w:rsidRDefault="009F6C80" w:rsidP="009B4BB6">
      <w:pPr>
        <w:widowControl w:val="0"/>
        <w:spacing w:line="240" w:lineRule="auto"/>
        <w:rPr>
          <w:color w:val="000000"/>
          <w:szCs w:val="22"/>
        </w:rPr>
      </w:pPr>
    </w:p>
    <w:p w14:paraId="3D3953F8" w14:textId="77777777" w:rsidR="009E01F8" w:rsidRPr="00CD729C" w:rsidRDefault="009E01F8" w:rsidP="009B4BB6">
      <w:pPr>
        <w:keepNext/>
        <w:widowControl w:val="0"/>
        <w:tabs>
          <w:tab w:val="clear" w:pos="567"/>
        </w:tabs>
        <w:spacing w:line="240" w:lineRule="auto"/>
        <w:ind w:left="567" w:hanging="567"/>
        <w:jc w:val="both"/>
        <w:rPr>
          <w:b/>
          <w:color w:val="000000"/>
          <w:szCs w:val="22"/>
        </w:rPr>
      </w:pPr>
      <w:r w:rsidRPr="00CD729C">
        <w:rPr>
          <w:b/>
          <w:color w:val="000000"/>
          <w:szCs w:val="22"/>
        </w:rPr>
        <w:t>4.</w:t>
      </w:r>
      <w:r w:rsidRPr="00CD729C">
        <w:rPr>
          <w:b/>
          <w:color w:val="000000"/>
          <w:szCs w:val="22"/>
        </w:rPr>
        <w:tab/>
        <w:t>Iespējamās blakusparādības</w:t>
      </w:r>
    </w:p>
    <w:p w14:paraId="3D3953F9" w14:textId="77777777" w:rsidR="009E01F8" w:rsidRPr="00CD729C" w:rsidRDefault="009E01F8" w:rsidP="009B4BB6">
      <w:pPr>
        <w:keepNext/>
        <w:widowControl w:val="0"/>
        <w:tabs>
          <w:tab w:val="clear" w:pos="567"/>
        </w:tabs>
        <w:spacing w:line="240" w:lineRule="auto"/>
        <w:ind w:left="567" w:hanging="567"/>
        <w:rPr>
          <w:color w:val="000000"/>
          <w:szCs w:val="22"/>
        </w:rPr>
      </w:pPr>
    </w:p>
    <w:p w14:paraId="3D3953FA" w14:textId="77777777" w:rsidR="009E01F8" w:rsidRPr="00CD729C" w:rsidRDefault="009E01F8" w:rsidP="009B4BB6">
      <w:pPr>
        <w:widowControl w:val="0"/>
        <w:numPr>
          <w:ilvl w:val="12"/>
          <w:numId w:val="0"/>
        </w:numPr>
        <w:tabs>
          <w:tab w:val="clear" w:pos="567"/>
        </w:tabs>
        <w:spacing w:line="240" w:lineRule="auto"/>
        <w:rPr>
          <w:color w:val="000000"/>
          <w:szCs w:val="22"/>
        </w:rPr>
      </w:pPr>
      <w:r w:rsidRPr="00CD729C">
        <w:rPr>
          <w:color w:val="000000"/>
        </w:rPr>
        <w:t xml:space="preserve">Tāpat kā visas zāles, </w:t>
      </w:r>
      <w:r w:rsidRPr="00CD729C">
        <w:rPr>
          <w:color w:val="000000"/>
          <w:szCs w:val="22"/>
        </w:rPr>
        <w:t xml:space="preserve">šīs zāles </w:t>
      </w:r>
      <w:r w:rsidRPr="00CD729C">
        <w:rPr>
          <w:color w:val="000000"/>
        </w:rPr>
        <w:t>var izraisīt blakusparādības, kaut arī ne visiem tās izpaužas</w:t>
      </w:r>
      <w:r w:rsidRPr="00CD729C">
        <w:rPr>
          <w:color w:val="000000"/>
          <w:szCs w:val="22"/>
        </w:rPr>
        <w:t>. Parasti to izpausmes ir vieglas vai vidēji smagas.</w:t>
      </w:r>
    </w:p>
    <w:p w14:paraId="3D3953FB" w14:textId="77777777" w:rsidR="009E01F8" w:rsidRPr="00CD729C" w:rsidRDefault="009E01F8" w:rsidP="009B4BB6">
      <w:pPr>
        <w:pStyle w:val="Text"/>
        <w:widowControl w:val="0"/>
        <w:spacing w:before="0"/>
        <w:jc w:val="left"/>
        <w:rPr>
          <w:color w:val="000000"/>
          <w:sz w:val="22"/>
          <w:szCs w:val="22"/>
          <w:lang w:val="lv-LV"/>
        </w:rPr>
      </w:pPr>
    </w:p>
    <w:p w14:paraId="3D3953FC" w14:textId="77777777" w:rsidR="009E01F8" w:rsidRPr="00CD729C" w:rsidRDefault="009E01F8" w:rsidP="00CC116F">
      <w:pPr>
        <w:keepNext/>
        <w:widowControl w:val="0"/>
        <w:numPr>
          <w:ilvl w:val="12"/>
          <w:numId w:val="0"/>
        </w:numPr>
        <w:tabs>
          <w:tab w:val="clear" w:pos="567"/>
        </w:tabs>
        <w:spacing w:line="240" w:lineRule="auto"/>
        <w:rPr>
          <w:b/>
          <w:bCs/>
          <w:color w:val="000000"/>
          <w:szCs w:val="22"/>
        </w:rPr>
      </w:pPr>
      <w:r w:rsidRPr="00CD729C">
        <w:rPr>
          <w:b/>
          <w:bCs/>
          <w:color w:val="000000"/>
          <w:szCs w:val="22"/>
        </w:rPr>
        <w:t>Dažas parādības var būt nopietnas. Nekavējoties pastāstiet savam ārstam, ja Jums attīstās sekojošas blakusparādības:</w:t>
      </w:r>
    </w:p>
    <w:p w14:paraId="3D3953FD" w14:textId="77777777" w:rsidR="009E01F8" w:rsidRPr="00CD729C" w:rsidRDefault="009E01F8" w:rsidP="00CC116F">
      <w:pPr>
        <w:keepNext/>
        <w:widowControl w:val="0"/>
        <w:numPr>
          <w:ilvl w:val="12"/>
          <w:numId w:val="0"/>
        </w:numPr>
        <w:tabs>
          <w:tab w:val="clear" w:pos="567"/>
        </w:tabs>
        <w:spacing w:line="240" w:lineRule="auto"/>
        <w:rPr>
          <w:color w:val="000000"/>
          <w:szCs w:val="22"/>
        </w:rPr>
      </w:pPr>
    </w:p>
    <w:p w14:paraId="3D3953FE" w14:textId="77777777" w:rsidR="009E01F8" w:rsidRPr="00CD729C" w:rsidRDefault="009E01F8" w:rsidP="009B4BB6">
      <w:pPr>
        <w:pStyle w:val="BodyText2"/>
        <w:keepNext/>
        <w:widowControl w:val="0"/>
        <w:numPr>
          <w:ilvl w:val="12"/>
          <w:numId w:val="0"/>
        </w:numPr>
        <w:tabs>
          <w:tab w:val="clear" w:pos="567"/>
        </w:tabs>
        <w:spacing w:line="240" w:lineRule="auto"/>
        <w:rPr>
          <w:b w:val="0"/>
          <w:color w:val="000000"/>
          <w:szCs w:val="22"/>
        </w:rPr>
      </w:pPr>
      <w:r w:rsidRPr="00CD729C">
        <w:rPr>
          <w:color w:val="000000"/>
          <w:szCs w:val="22"/>
        </w:rPr>
        <w:t>Ļoti biežas</w:t>
      </w:r>
      <w:r w:rsidRPr="00CD729C">
        <w:rPr>
          <w:b w:val="0"/>
          <w:color w:val="000000"/>
          <w:szCs w:val="22"/>
        </w:rPr>
        <w:t xml:space="preserve"> (</w:t>
      </w:r>
      <w:r w:rsidRPr="00CD729C">
        <w:rPr>
          <w:b w:val="0"/>
          <w:szCs w:val="22"/>
        </w:rPr>
        <w:t>var attīstīties vairāk kā 1 cilvēkam no katriem 10 cilvēkiem)</w:t>
      </w:r>
      <w:r w:rsidRPr="00CD729C">
        <w:rPr>
          <w:b w:val="0"/>
          <w:color w:val="000000"/>
          <w:szCs w:val="22"/>
        </w:rPr>
        <w:t xml:space="preserve"> </w:t>
      </w:r>
      <w:r w:rsidRPr="00CD729C">
        <w:rPr>
          <w:color w:val="000000"/>
          <w:szCs w:val="22"/>
        </w:rPr>
        <w:t>un biežas</w:t>
      </w:r>
      <w:r w:rsidRPr="00CD729C">
        <w:rPr>
          <w:b w:val="0"/>
          <w:color w:val="000000"/>
          <w:szCs w:val="22"/>
        </w:rPr>
        <w:t xml:space="preserve"> (</w:t>
      </w:r>
      <w:r w:rsidRPr="00CD729C">
        <w:rPr>
          <w:b w:val="0"/>
          <w:szCs w:val="22"/>
        </w:rPr>
        <w:t>var attīstīties mazāk kā 1 cilvēkam no katriem 10 cilvēkiem):</w:t>
      </w:r>
    </w:p>
    <w:p w14:paraId="3D3953FF" w14:textId="77777777" w:rsidR="009E01F8" w:rsidRPr="00CD729C" w:rsidRDefault="00241371"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s</w:t>
      </w:r>
      <w:r w:rsidR="009E01F8" w:rsidRPr="00CD729C">
        <w:rPr>
          <w:color w:val="000000"/>
          <w:szCs w:val="22"/>
        </w:rPr>
        <w:t>trauja ķermeņa masas palielināšanās. Glivec var izraisīt ūdens uzkrāšanos Jūsu organismā (smagu šķidruma aizturi).</w:t>
      </w:r>
    </w:p>
    <w:p w14:paraId="3D395400" w14:textId="77777777" w:rsidR="009E01F8" w:rsidRPr="00CD729C" w:rsidRDefault="00241371"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i</w:t>
      </w:r>
      <w:r w:rsidR="009E01F8" w:rsidRPr="00CD729C">
        <w:rPr>
          <w:color w:val="000000"/>
          <w:szCs w:val="22"/>
        </w:rPr>
        <w:t>nfekcijas pazīmes, piemēram, drudzis, spēcīgi drebuļi, kakla iekaisums vai čūlas mutē. Glivec Jūsu asinīs var ievērojami samazināt balto asins šūnu skaitu, tāpēc Jums biežāk var attīstīties infekcijas.</w:t>
      </w:r>
    </w:p>
    <w:p w14:paraId="3D395401" w14:textId="77777777" w:rsidR="009E01F8" w:rsidRPr="00CD729C" w:rsidRDefault="00241371"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n</w:t>
      </w:r>
      <w:r w:rsidR="009E01F8" w:rsidRPr="00CD729C">
        <w:rPr>
          <w:color w:val="000000"/>
          <w:szCs w:val="22"/>
        </w:rPr>
        <w:t>egaidīti radusies asiņošana vai zilumi (kad Jūs neesat sevi savainojuši).</w:t>
      </w:r>
    </w:p>
    <w:p w14:paraId="3D395402" w14:textId="77777777" w:rsidR="009E01F8" w:rsidRPr="00CD729C" w:rsidRDefault="009E01F8" w:rsidP="009B4BB6">
      <w:pPr>
        <w:widowControl w:val="0"/>
        <w:tabs>
          <w:tab w:val="clear" w:pos="567"/>
        </w:tabs>
        <w:spacing w:line="240" w:lineRule="auto"/>
        <w:rPr>
          <w:color w:val="000000"/>
          <w:szCs w:val="22"/>
        </w:rPr>
      </w:pPr>
    </w:p>
    <w:p w14:paraId="3D395403" w14:textId="77777777" w:rsidR="009E01F8" w:rsidRPr="00CD729C" w:rsidRDefault="009E01F8" w:rsidP="009B4BB6">
      <w:pPr>
        <w:keepNext/>
        <w:widowControl w:val="0"/>
        <w:tabs>
          <w:tab w:val="clear" w:pos="567"/>
        </w:tabs>
        <w:spacing w:line="240" w:lineRule="auto"/>
        <w:rPr>
          <w:bCs/>
          <w:color w:val="000000"/>
          <w:szCs w:val="22"/>
        </w:rPr>
      </w:pPr>
      <w:r w:rsidRPr="00CD729C">
        <w:rPr>
          <w:b/>
          <w:bCs/>
          <w:color w:val="000000"/>
          <w:szCs w:val="22"/>
        </w:rPr>
        <w:t>Retākas</w:t>
      </w:r>
      <w:r w:rsidRPr="00CD729C">
        <w:rPr>
          <w:bCs/>
          <w:color w:val="000000"/>
          <w:szCs w:val="22"/>
        </w:rPr>
        <w:t xml:space="preserve"> </w:t>
      </w:r>
      <w:r w:rsidRPr="00CD729C">
        <w:rPr>
          <w:bCs/>
          <w:color w:val="000000"/>
        </w:rPr>
        <w:t>(</w:t>
      </w:r>
      <w:r w:rsidRPr="00CD729C">
        <w:rPr>
          <w:szCs w:val="22"/>
        </w:rPr>
        <w:t>var attīstīties mazāk kā 1 cilvēkam no katriem 100 cilvēkiem</w:t>
      </w:r>
      <w:r w:rsidRPr="00CD729C">
        <w:rPr>
          <w:bCs/>
          <w:color w:val="000000"/>
        </w:rPr>
        <w:t>)</w:t>
      </w:r>
      <w:r w:rsidRPr="00CD729C">
        <w:rPr>
          <w:b/>
          <w:bCs/>
          <w:color w:val="000000"/>
          <w:szCs w:val="22"/>
        </w:rPr>
        <w:t xml:space="preserve"> un retas </w:t>
      </w:r>
      <w:r w:rsidRPr="00CD729C">
        <w:rPr>
          <w:bCs/>
          <w:color w:val="000000"/>
          <w:szCs w:val="22"/>
        </w:rPr>
        <w:t>(</w:t>
      </w:r>
      <w:r w:rsidRPr="00CD729C">
        <w:rPr>
          <w:szCs w:val="22"/>
        </w:rPr>
        <w:t>var attīstīties ne vairāk kā 1 cilvēkam no katriem 1 000 cilvēkiem):</w:t>
      </w:r>
    </w:p>
    <w:p w14:paraId="3D395404"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bCs/>
          <w:color w:val="000000"/>
          <w:szCs w:val="22"/>
        </w:rPr>
        <w:t>s</w:t>
      </w:r>
      <w:r w:rsidR="009E01F8" w:rsidRPr="00CD729C">
        <w:rPr>
          <w:bCs/>
          <w:color w:val="000000"/>
          <w:szCs w:val="22"/>
        </w:rPr>
        <w:t xml:space="preserve">āpes krūtīs, </w:t>
      </w:r>
      <w:r w:rsidR="009E01F8" w:rsidRPr="00CD729C">
        <w:rPr>
          <w:color w:val="000000"/>
          <w:szCs w:val="22"/>
        </w:rPr>
        <w:t>neregulāra sirdsdarbība (sirds problēmu pazīmes).</w:t>
      </w:r>
    </w:p>
    <w:p w14:paraId="3D395405"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bCs/>
          <w:color w:val="000000"/>
          <w:szCs w:val="22"/>
        </w:rPr>
        <w:t>k</w:t>
      </w:r>
      <w:r w:rsidR="009E01F8" w:rsidRPr="00CD729C">
        <w:rPr>
          <w:bCs/>
          <w:color w:val="000000"/>
          <w:szCs w:val="22"/>
        </w:rPr>
        <w:t xml:space="preserve">lepus, apgrūtināta elpošana </w:t>
      </w:r>
      <w:r w:rsidR="009E01F8" w:rsidRPr="00CD729C">
        <w:rPr>
          <w:color w:val="000000"/>
          <w:szCs w:val="22"/>
        </w:rPr>
        <w:t>vai sāpīga elpošana (plaušu problēmu pazīmes).</w:t>
      </w:r>
    </w:p>
    <w:p w14:paraId="3D395406"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bCs/>
          <w:color w:val="000000"/>
          <w:szCs w:val="22"/>
        </w:rPr>
        <w:t>v</w:t>
      </w:r>
      <w:r w:rsidR="009E01F8" w:rsidRPr="00CD729C">
        <w:rPr>
          <w:bCs/>
          <w:color w:val="000000"/>
          <w:szCs w:val="22"/>
        </w:rPr>
        <w:t>iegls apjukums, reibonis vai ģībonis (zema asinsspiediena pazīmes).</w:t>
      </w:r>
    </w:p>
    <w:p w14:paraId="3D395407"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bCs/>
          <w:color w:val="000000"/>
          <w:szCs w:val="22"/>
        </w:rPr>
        <w:t>s</w:t>
      </w:r>
      <w:r w:rsidR="009E01F8" w:rsidRPr="00CD729C">
        <w:rPr>
          <w:bCs/>
          <w:color w:val="000000"/>
          <w:szCs w:val="22"/>
        </w:rPr>
        <w:t xml:space="preserve">likta dūša, ēstgribas zudums, tumšas krāsas urīns, </w:t>
      </w:r>
      <w:r w:rsidR="009E01F8" w:rsidRPr="00CD729C">
        <w:rPr>
          <w:color w:val="000000"/>
          <w:szCs w:val="22"/>
        </w:rPr>
        <w:t>ādas vai acu dzelte (aknu problēmu pazīmes).</w:t>
      </w:r>
    </w:p>
    <w:p w14:paraId="3D395408"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i</w:t>
      </w:r>
      <w:r w:rsidR="009E01F8" w:rsidRPr="00CD729C">
        <w:rPr>
          <w:color w:val="000000"/>
          <w:szCs w:val="22"/>
        </w:rPr>
        <w:t>zsitumi, ādas apsārtums ar pūšļiem uz lūpām, acīm, ādas vai mutē, ādas lobīšanās, drudzis, sarkani vai violeti ādas laukumi ar pacēlumu, nieze, dedzinoša sajūta, pustulāri izsitumi (ādas problēmu pazīmes).</w:t>
      </w:r>
    </w:p>
    <w:p w14:paraId="3D395409"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s</w:t>
      </w:r>
      <w:r w:rsidR="009E01F8" w:rsidRPr="00CD729C">
        <w:rPr>
          <w:color w:val="000000"/>
          <w:szCs w:val="22"/>
        </w:rPr>
        <w:t>tipras sāpes vēderā, asinis atvemtajās masās, izkārnījumos vai urīnā, melni izkārnījumi (kuņģa-zarnu trakta problēmu pazīmes).</w:t>
      </w:r>
    </w:p>
    <w:p w14:paraId="3D39540A"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s</w:t>
      </w:r>
      <w:r w:rsidR="009E01F8" w:rsidRPr="00CD729C">
        <w:rPr>
          <w:color w:val="000000"/>
          <w:szCs w:val="22"/>
        </w:rPr>
        <w:t>tipri samazināta urīna izdalīšanās, slāpes (nieru problēmu pazīmes).</w:t>
      </w:r>
    </w:p>
    <w:p w14:paraId="3D39540B"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s</w:t>
      </w:r>
      <w:r w:rsidR="009E01F8" w:rsidRPr="00CD729C">
        <w:rPr>
          <w:color w:val="000000"/>
          <w:szCs w:val="22"/>
        </w:rPr>
        <w:t>likta dūša ar caureju un vemšanu, sāpes vēderā vai drudzis (zarnu problēmu pazīmes).</w:t>
      </w:r>
    </w:p>
    <w:p w14:paraId="3D39540C" w14:textId="77777777" w:rsidR="009E01F8" w:rsidRPr="00CD729C" w:rsidRDefault="00652DF5" w:rsidP="009B4BB6">
      <w:pPr>
        <w:widowControl w:val="0"/>
        <w:numPr>
          <w:ilvl w:val="0"/>
          <w:numId w:val="3"/>
        </w:numPr>
        <w:tabs>
          <w:tab w:val="clear" w:pos="360"/>
          <w:tab w:val="num" w:pos="567"/>
        </w:tabs>
        <w:spacing w:line="240" w:lineRule="auto"/>
        <w:ind w:left="567" w:hanging="567"/>
        <w:rPr>
          <w:color w:val="000000"/>
          <w:szCs w:val="22"/>
        </w:rPr>
      </w:pPr>
      <w:r w:rsidRPr="00CD729C">
        <w:rPr>
          <w:color w:val="000000"/>
          <w:szCs w:val="22"/>
        </w:rPr>
        <w:t>s</w:t>
      </w:r>
      <w:r w:rsidR="009E01F8" w:rsidRPr="00CD729C">
        <w:rPr>
          <w:color w:val="000000"/>
          <w:szCs w:val="22"/>
        </w:rPr>
        <w:t>tipras galvassāpes, ekstremitāšu vai sejas vājums vai paralīze, runas traucējumi, pēkšņs samaņas zudums (nervu sistēmas problēmu pazīmes, piemēram asiņošana vai tūska galvaskausā/smadzenēs).</w:t>
      </w:r>
    </w:p>
    <w:p w14:paraId="3D39540D"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b</w:t>
      </w:r>
      <w:r w:rsidR="009E01F8" w:rsidRPr="00CD729C">
        <w:rPr>
          <w:color w:val="000000"/>
          <w:szCs w:val="22"/>
        </w:rPr>
        <w:t>āla ādas krāsa, nogurums, elpas trūkums un tumšs urīns (zema sarkano asins šūnu līmeņa pazīme).</w:t>
      </w:r>
    </w:p>
    <w:p w14:paraId="3D39540E"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s</w:t>
      </w:r>
      <w:r w:rsidR="009E01F8" w:rsidRPr="00CD729C">
        <w:rPr>
          <w:color w:val="000000"/>
          <w:szCs w:val="22"/>
        </w:rPr>
        <w:t>āpes acīs vai redzes traucējumi, asiņošana acīs.</w:t>
      </w:r>
    </w:p>
    <w:p w14:paraId="3D39540F"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s</w:t>
      </w:r>
      <w:r w:rsidR="009E01F8" w:rsidRPr="00CD729C">
        <w:rPr>
          <w:color w:val="000000"/>
          <w:szCs w:val="22"/>
        </w:rPr>
        <w:t>āpes gūžās vai grūtības staigāt.</w:t>
      </w:r>
    </w:p>
    <w:p w14:paraId="3D395410"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n</w:t>
      </w:r>
      <w:r w:rsidR="009E01F8" w:rsidRPr="00CD729C">
        <w:rPr>
          <w:color w:val="000000"/>
          <w:szCs w:val="22"/>
        </w:rPr>
        <w:t>ejutīgi vai auksti kāju un roku pirksti (Reino sindroma pazīmes).</w:t>
      </w:r>
    </w:p>
    <w:p w14:paraId="3D395411"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p</w:t>
      </w:r>
      <w:r w:rsidR="009E01F8" w:rsidRPr="00CD729C">
        <w:rPr>
          <w:color w:val="000000"/>
          <w:szCs w:val="22"/>
        </w:rPr>
        <w:t>ēkšņs ādas pietūkums vai apsārtums (ādas iekaisuma, ko sauc par celulītu, pazīmes).</w:t>
      </w:r>
    </w:p>
    <w:p w14:paraId="3D395412"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d</w:t>
      </w:r>
      <w:r w:rsidR="009E01F8" w:rsidRPr="00CD729C">
        <w:rPr>
          <w:color w:val="000000"/>
          <w:szCs w:val="22"/>
        </w:rPr>
        <w:t>zirdes traucējumi.</w:t>
      </w:r>
    </w:p>
    <w:p w14:paraId="3D395413"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bCs/>
          <w:szCs w:val="22"/>
        </w:rPr>
        <w:t>m</w:t>
      </w:r>
      <w:r w:rsidR="009E01F8" w:rsidRPr="00CD729C">
        <w:rPr>
          <w:bCs/>
          <w:szCs w:val="22"/>
        </w:rPr>
        <w:t>uskuļu vājums un spazmas ar izmainītu sirds ritmu (kālija daudzuma izmaiņu Jūsu asinīs pazīmes).</w:t>
      </w:r>
    </w:p>
    <w:p w14:paraId="3D395414"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bCs/>
          <w:szCs w:val="22"/>
        </w:rPr>
        <w:t>z</w:t>
      </w:r>
      <w:r w:rsidR="009E01F8" w:rsidRPr="00CD729C">
        <w:rPr>
          <w:bCs/>
          <w:szCs w:val="22"/>
        </w:rPr>
        <w:t>ilumu veidošanās.</w:t>
      </w:r>
    </w:p>
    <w:p w14:paraId="3D395415" w14:textId="77777777" w:rsidR="009E01F8" w:rsidRPr="00CD729C" w:rsidRDefault="00652DF5" w:rsidP="009B4BB6">
      <w:pPr>
        <w:widowControl w:val="0"/>
        <w:numPr>
          <w:ilvl w:val="0"/>
          <w:numId w:val="3"/>
        </w:numPr>
        <w:tabs>
          <w:tab w:val="clear" w:pos="360"/>
          <w:tab w:val="clear" w:pos="567"/>
        </w:tabs>
        <w:spacing w:line="240" w:lineRule="auto"/>
        <w:ind w:left="567" w:hanging="567"/>
        <w:rPr>
          <w:color w:val="000000"/>
          <w:szCs w:val="22"/>
        </w:rPr>
      </w:pPr>
      <w:r w:rsidRPr="00CD729C">
        <w:rPr>
          <w:szCs w:val="22"/>
        </w:rPr>
        <w:t>s</w:t>
      </w:r>
      <w:r w:rsidR="009E01F8" w:rsidRPr="00CD729C">
        <w:rPr>
          <w:szCs w:val="22"/>
        </w:rPr>
        <w:t>āpes vēderā un slikta dūša.</w:t>
      </w:r>
    </w:p>
    <w:p w14:paraId="3D395416" w14:textId="77777777" w:rsidR="009E01F8" w:rsidRPr="00CD729C" w:rsidRDefault="00652DF5" w:rsidP="009B4BB6">
      <w:pPr>
        <w:pStyle w:val="Listlevel1"/>
        <w:widowControl w:val="0"/>
        <w:numPr>
          <w:ilvl w:val="0"/>
          <w:numId w:val="16"/>
        </w:numPr>
        <w:tabs>
          <w:tab w:val="clear" w:pos="360"/>
        </w:tabs>
        <w:spacing w:before="0" w:after="0"/>
        <w:ind w:left="567" w:hanging="567"/>
        <w:rPr>
          <w:bCs/>
          <w:sz w:val="22"/>
          <w:szCs w:val="22"/>
          <w:lang w:val="lv-LV"/>
        </w:rPr>
      </w:pPr>
      <w:r w:rsidRPr="00CD729C">
        <w:rPr>
          <w:bCs/>
          <w:sz w:val="22"/>
          <w:szCs w:val="22"/>
          <w:lang w:val="lv-LV"/>
        </w:rPr>
        <w:t>m</w:t>
      </w:r>
      <w:r w:rsidR="009E01F8" w:rsidRPr="00CD729C">
        <w:rPr>
          <w:bCs/>
          <w:sz w:val="22"/>
          <w:szCs w:val="22"/>
          <w:lang w:val="lv-LV"/>
        </w:rPr>
        <w:t>uskuļu spazmas un drudzis, sarkanbrūns urīns, sāpes muskuļos vai muskuļu vājums (muskuļu problēmu pazīmes).</w:t>
      </w:r>
    </w:p>
    <w:p w14:paraId="3D395417" w14:textId="77777777" w:rsidR="009E01F8" w:rsidRPr="00CD729C" w:rsidRDefault="00652DF5" w:rsidP="009B4BB6">
      <w:pPr>
        <w:widowControl w:val="0"/>
        <w:numPr>
          <w:ilvl w:val="0"/>
          <w:numId w:val="16"/>
        </w:numPr>
        <w:tabs>
          <w:tab w:val="clear" w:pos="360"/>
          <w:tab w:val="clear" w:pos="567"/>
        </w:tabs>
        <w:autoSpaceDE w:val="0"/>
        <w:autoSpaceDN w:val="0"/>
        <w:adjustRightInd w:val="0"/>
        <w:spacing w:line="240" w:lineRule="auto"/>
        <w:ind w:left="567" w:hanging="567"/>
        <w:rPr>
          <w:color w:val="000000"/>
          <w:szCs w:val="22"/>
          <w:lang w:bidi="th-TH"/>
        </w:rPr>
      </w:pPr>
      <w:r w:rsidRPr="00CD729C">
        <w:rPr>
          <w:szCs w:val="22"/>
          <w:lang w:bidi="th-TH"/>
        </w:rPr>
        <w:t>s</w:t>
      </w:r>
      <w:r w:rsidR="009E01F8" w:rsidRPr="00CD729C">
        <w:rPr>
          <w:szCs w:val="22"/>
          <w:lang w:bidi="th-TH"/>
        </w:rPr>
        <w:t xml:space="preserve">āpes iegurnī, ko reizēm pavada slikta dūša un vemšana, negaidīti radusies asiņošana no maksts, </w:t>
      </w:r>
      <w:r w:rsidR="009E01F8" w:rsidRPr="00CD729C">
        <w:rPr>
          <w:color w:val="000000"/>
          <w:szCs w:val="22"/>
          <w:lang w:bidi="th-TH"/>
        </w:rPr>
        <w:t xml:space="preserve">reibonis vai ģībonis dēļ pazemināta asinsspiediena </w:t>
      </w:r>
      <w:r w:rsidR="009E01F8" w:rsidRPr="00CD729C">
        <w:rPr>
          <w:szCs w:val="22"/>
          <w:lang w:bidi="th-TH"/>
        </w:rPr>
        <w:t>(olnīcu vai dzemdes problēmu pazīmes</w:t>
      </w:r>
      <w:r w:rsidR="009E01F8" w:rsidRPr="00CD729C">
        <w:rPr>
          <w:color w:val="000000"/>
          <w:szCs w:val="22"/>
          <w:lang w:bidi="th-TH"/>
        </w:rPr>
        <w:t>).</w:t>
      </w:r>
    </w:p>
    <w:p w14:paraId="3D395418" w14:textId="77777777" w:rsidR="00B53E28" w:rsidRPr="00AC1BAD" w:rsidRDefault="00652DF5" w:rsidP="009B4BB6">
      <w:pPr>
        <w:widowControl w:val="0"/>
        <w:numPr>
          <w:ilvl w:val="0"/>
          <w:numId w:val="16"/>
        </w:numPr>
        <w:tabs>
          <w:tab w:val="clear" w:pos="360"/>
          <w:tab w:val="num" w:pos="567"/>
        </w:tabs>
        <w:autoSpaceDE w:val="0"/>
        <w:autoSpaceDN w:val="0"/>
        <w:adjustRightInd w:val="0"/>
        <w:spacing w:line="240" w:lineRule="auto"/>
        <w:ind w:left="567" w:hanging="567"/>
        <w:rPr>
          <w:color w:val="000000"/>
          <w:szCs w:val="22"/>
          <w:lang w:bidi="th-TH"/>
        </w:rPr>
      </w:pPr>
      <w:r w:rsidRPr="005C000F">
        <w:rPr>
          <w:szCs w:val="22"/>
        </w:rPr>
        <w:t>s</w:t>
      </w:r>
      <w:r w:rsidR="009E01F8" w:rsidRPr="005C000F">
        <w:rPr>
          <w:szCs w:val="22"/>
        </w:rPr>
        <w:t xml:space="preserve">likta dūša, elpas trūkums, neregulāra sirdsdarbība, duļķains urīns, nogurums un/vai diskomforta sajūta locītavās, kas saistīta ar izmainītiem laboratorisko pārbaužu rezultātiem (piemēram, paaugstinātu kālija, urīnskābes un </w:t>
      </w:r>
      <w:r w:rsidR="00986A48" w:rsidRPr="005C000F">
        <w:rPr>
          <w:szCs w:val="22"/>
        </w:rPr>
        <w:t xml:space="preserve">kalcija </w:t>
      </w:r>
      <w:r w:rsidR="009E01F8" w:rsidRPr="005C000F">
        <w:rPr>
          <w:szCs w:val="22"/>
        </w:rPr>
        <w:t xml:space="preserve">līmeni un pazeminātu </w:t>
      </w:r>
      <w:r w:rsidR="00986A48" w:rsidRPr="005C000F">
        <w:rPr>
          <w:szCs w:val="22"/>
        </w:rPr>
        <w:t xml:space="preserve">fosfātu </w:t>
      </w:r>
      <w:r w:rsidR="009E01F8" w:rsidRPr="005C000F">
        <w:rPr>
          <w:szCs w:val="22"/>
        </w:rPr>
        <w:t>līmeni asinīs)</w:t>
      </w:r>
      <w:r w:rsidR="00EF4777" w:rsidRPr="005C000F">
        <w:rPr>
          <w:szCs w:val="22"/>
        </w:rPr>
        <w:t>.</w:t>
      </w:r>
    </w:p>
    <w:p w14:paraId="3D395419" w14:textId="77777777" w:rsidR="009E01F8" w:rsidRPr="00CD729C" w:rsidRDefault="00B53E28" w:rsidP="009B4BB6">
      <w:pPr>
        <w:widowControl w:val="0"/>
        <w:numPr>
          <w:ilvl w:val="0"/>
          <w:numId w:val="16"/>
        </w:numPr>
        <w:tabs>
          <w:tab w:val="clear" w:pos="360"/>
          <w:tab w:val="num" w:pos="567"/>
        </w:tabs>
        <w:autoSpaceDE w:val="0"/>
        <w:autoSpaceDN w:val="0"/>
        <w:adjustRightInd w:val="0"/>
        <w:spacing w:line="240" w:lineRule="auto"/>
        <w:ind w:left="567" w:hanging="567"/>
        <w:rPr>
          <w:color w:val="000000"/>
          <w:szCs w:val="22"/>
          <w:lang w:bidi="th-TH"/>
        </w:rPr>
      </w:pPr>
      <w:r w:rsidRPr="005C000F">
        <w:rPr>
          <w:szCs w:val="22"/>
        </w:rPr>
        <w:t>asins trombi</w:t>
      </w:r>
      <w:r>
        <w:rPr>
          <w:szCs w:val="22"/>
        </w:rPr>
        <w:t xml:space="preserve"> mazajos asinsvados (trombotiska mikroangiopātija)</w:t>
      </w:r>
      <w:r w:rsidR="009E01F8" w:rsidRPr="00CD729C">
        <w:rPr>
          <w:szCs w:val="22"/>
        </w:rPr>
        <w:t>.</w:t>
      </w:r>
    </w:p>
    <w:p w14:paraId="3D39541A" w14:textId="77777777" w:rsidR="00244695" w:rsidRPr="00CD729C" w:rsidRDefault="00244695" w:rsidP="009B4BB6">
      <w:pPr>
        <w:widowControl w:val="0"/>
        <w:tabs>
          <w:tab w:val="clear" w:pos="567"/>
        </w:tabs>
        <w:spacing w:line="240" w:lineRule="auto"/>
        <w:rPr>
          <w:color w:val="000000"/>
          <w:szCs w:val="22"/>
        </w:rPr>
      </w:pPr>
    </w:p>
    <w:p w14:paraId="3D39541B" w14:textId="77777777" w:rsidR="00244695" w:rsidRPr="00CD729C" w:rsidRDefault="00244695" w:rsidP="009B4BB6">
      <w:pPr>
        <w:keepNext/>
        <w:widowControl w:val="0"/>
        <w:tabs>
          <w:tab w:val="clear" w:pos="567"/>
        </w:tabs>
        <w:spacing w:line="240" w:lineRule="auto"/>
        <w:rPr>
          <w:color w:val="000000"/>
          <w:szCs w:val="22"/>
        </w:rPr>
      </w:pPr>
      <w:r w:rsidRPr="00CD729C">
        <w:rPr>
          <w:b/>
          <w:color w:val="000000"/>
          <w:szCs w:val="22"/>
        </w:rPr>
        <w:t>Nav zināmi</w:t>
      </w:r>
      <w:r w:rsidR="00986A48" w:rsidRPr="00CD729C">
        <w:rPr>
          <w:b/>
          <w:color w:val="000000"/>
          <w:szCs w:val="22"/>
        </w:rPr>
        <w:t xml:space="preserve"> </w:t>
      </w:r>
      <w:r w:rsidR="00986A48" w:rsidRPr="00CD729C">
        <w:rPr>
          <w:bCs/>
          <w:szCs w:val="22"/>
        </w:rPr>
        <w:t>(biežumu nevar noteikt pēc pieejamiem datiem)</w:t>
      </w:r>
      <w:r w:rsidRPr="00CD729C">
        <w:rPr>
          <w:color w:val="000000"/>
          <w:szCs w:val="22"/>
        </w:rPr>
        <w:t>:</w:t>
      </w:r>
    </w:p>
    <w:p w14:paraId="3D39541C" w14:textId="77777777" w:rsidR="00244695" w:rsidRDefault="00185C80" w:rsidP="009B4BB6">
      <w:pPr>
        <w:widowControl w:val="0"/>
        <w:numPr>
          <w:ilvl w:val="0"/>
          <w:numId w:val="34"/>
        </w:numPr>
        <w:tabs>
          <w:tab w:val="clear" w:pos="357"/>
          <w:tab w:val="num" w:pos="567"/>
        </w:tabs>
        <w:spacing w:line="240" w:lineRule="auto"/>
        <w:ind w:left="567" w:hanging="567"/>
        <w:rPr>
          <w:szCs w:val="22"/>
        </w:rPr>
      </w:pPr>
      <w:r w:rsidRPr="00CD729C">
        <w:rPr>
          <w:szCs w:val="22"/>
        </w:rPr>
        <w:t>p</w:t>
      </w:r>
      <w:r w:rsidR="00244695" w:rsidRPr="00CD729C">
        <w:rPr>
          <w:szCs w:val="22"/>
        </w:rPr>
        <w:t>laš</w:t>
      </w:r>
      <w:r w:rsidRPr="00CD729C">
        <w:rPr>
          <w:szCs w:val="22"/>
        </w:rPr>
        <w:t>i, izteikti</w:t>
      </w:r>
      <w:r w:rsidR="00244695" w:rsidRPr="00CD729C">
        <w:rPr>
          <w:szCs w:val="22"/>
        </w:rPr>
        <w:t xml:space="preserve"> izsitumi, slikta dūša, drudzis, palielināts noteikta veida balto asins šūnu skaits vai dzeltena ādas vai acu krāsa (dzeltes pazīmes) kombinācijā ar elpas trūkumu, sāpēm/diskomforta sajūtu krūtīs, stipri samazinātu urīna izdalīšanos un slāpēm u.c. (ar ārstēšanu saistītas alerģiskas reakcijas pazīmes).</w:t>
      </w:r>
    </w:p>
    <w:p w14:paraId="3D39541D" w14:textId="77777777" w:rsidR="00A51961" w:rsidRDefault="00A51961" w:rsidP="009B4BB6">
      <w:pPr>
        <w:widowControl w:val="0"/>
        <w:numPr>
          <w:ilvl w:val="0"/>
          <w:numId w:val="34"/>
        </w:numPr>
        <w:tabs>
          <w:tab w:val="clear" w:pos="357"/>
          <w:tab w:val="num" w:pos="567"/>
        </w:tabs>
        <w:spacing w:line="240" w:lineRule="auto"/>
        <w:ind w:left="567" w:hanging="567"/>
        <w:rPr>
          <w:szCs w:val="22"/>
        </w:rPr>
      </w:pPr>
      <w:r>
        <w:rPr>
          <w:szCs w:val="22"/>
        </w:rPr>
        <w:t>hroniska nieru mazspēja.</w:t>
      </w:r>
    </w:p>
    <w:p w14:paraId="3D39541E" w14:textId="77777777" w:rsidR="005E6C32" w:rsidRPr="00CD729C" w:rsidRDefault="005E6C32" w:rsidP="009B4BB6">
      <w:pPr>
        <w:widowControl w:val="0"/>
        <w:numPr>
          <w:ilvl w:val="0"/>
          <w:numId w:val="34"/>
        </w:numPr>
        <w:tabs>
          <w:tab w:val="clear" w:pos="357"/>
          <w:tab w:val="num" w:pos="567"/>
        </w:tabs>
        <w:spacing w:line="240" w:lineRule="auto"/>
        <w:ind w:left="567" w:hanging="567"/>
        <w:rPr>
          <w:szCs w:val="22"/>
        </w:rPr>
      </w:pPr>
      <w:r>
        <w:rPr>
          <w:bCs/>
          <w:color w:val="000000"/>
          <w:szCs w:val="22"/>
        </w:rPr>
        <w:t>B hepatīta infekcijas atkārtošanāš (reaktivācija), ja iepriekš bijis B hepatīts (aknu infekcija).</w:t>
      </w:r>
    </w:p>
    <w:p w14:paraId="3D39541F" w14:textId="77777777" w:rsidR="00244695" w:rsidRPr="00CD729C" w:rsidRDefault="00244695" w:rsidP="009B4BB6">
      <w:pPr>
        <w:widowControl w:val="0"/>
        <w:tabs>
          <w:tab w:val="clear" w:pos="567"/>
        </w:tabs>
        <w:spacing w:line="240" w:lineRule="auto"/>
        <w:rPr>
          <w:color w:val="000000"/>
          <w:szCs w:val="22"/>
        </w:rPr>
      </w:pPr>
    </w:p>
    <w:p w14:paraId="3D395420"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 xml:space="preserve">Ja Jums attīstās kāda no minētajām blakusparādībām, </w:t>
      </w:r>
      <w:r w:rsidRPr="00CD729C">
        <w:rPr>
          <w:b/>
          <w:bCs/>
          <w:color w:val="000000"/>
          <w:szCs w:val="22"/>
        </w:rPr>
        <w:t>nekavējoties pastāstiet par to savam ārstam</w:t>
      </w:r>
      <w:r w:rsidRPr="00CD729C">
        <w:rPr>
          <w:color w:val="000000"/>
          <w:szCs w:val="22"/>
        </w:rPr>
        <w:t>.</w:t>
      </w:r>
    </w:p>
    <w:p w14:paraId="3D395421" w14:textId="77777777" w:rsidR="009E01F8" w:rsidRPr="00CD729C" w:rsidRDefault="009E01F8" w:rsidP="009B4BB6">
      <w:pPr>
        <w:widowControl w:val="0"/>
        <w:tabs>
          <w:tab w:val="clear" w:pos="567"/>
        </w:tabs>
        <w:spacing w:line="240" w:lineRule="auto"/>
        <w:rPr>
          <w:color w:val="000000"/>
          <w:szCs w:val="22"/>
        </w:rPr>
      </w:pPr>
    </w:p>
    <w:p w14:paraId="3D395422" w14:textId="77777777" w:rsidR="009E01F8" w:rsidRPr="00CD729C" w:rsidRDefault="009E01F8" w:rsidP="009B4BB6">
      <w:pPr>
        <w:keepNext/>
        <w:widowControl w:val="0"/>
        <w:tabs>
          <w:tab w:val="clear" w:pos="567"/>
        </w:tabs>
        <w:spacing w:line="240" w:lineRule="auto"/>
        <w:rPr>
          <w:b/>
          <w:bCs/>
          <w:color w:val="000000"/>
          <w:szCs w:val="22"/>
        </w:rPr>
      </w:pPr>
      <w:r w:rsidRPr="00CD729C">
        <w:rPr>
          <w:b/>
          <w:bCs/>
          <w:color w:val="000000"/>
          <w:szCs w:val="22"/>
        </w:rPr>
        <w:t>Citas blakusparādības var būt:</w:t>
      </w:r>
    </w:p>
    <w:p w14:paraId="3D395423" w14:textId="77777777" w:rsidR="009E01F8" w:rsidRPr="00CD729C" w:rsidRDefault="009E01F8" w:rsidP="009B4BB6">
      <w:pPr>
        <w:keepNext/>
        <w:widowControl w:val="0"/>
        <w:tabs>
          <w:tab w:val="clear" w:pos="567"/>
        </w:tabs>
        <w:spacing w:line="240" w:lineRule="auto"/>
        <w:rPr>
          <w:color w:val="000000"/>
          <w:szCs w:val="22"/>
        </w:rPr>
      </w:pPr>
    </w:p>
    <w:p w14:paraId="3D395424" w14:textId="77777777" w:rsidR="009E01F8" w:rsidRPr="00CD729C" w:rsidRDefault="009E01F8" w:rsidP="009B4BB6">
      <w:pPr>
        <w:pStyle w:val="Text"/>
        <w:keepNext/>
        <w:widowControl w:val="0"/>
        <w:spacing w:before="0"/>
        <w:rPr>
          <w:color w:val="000000"/>
          <w:sz w:val="22"/>
          <w:szCs w:val="22"/>
          <w:lang w:val="lv-LV"/>
        </w:rPr>
      </w:pPr>
      <w:r w:rsidRPr="00CD729C">
        <w:rPr>
          <w:b/>
          <w:color w:val="000000"/>
          <w:sz w:val="22"/>
          <w:szCs w:val="22"/>
          <w:lang w:val="lv-LV"/>
        </w:rPr>
        <w:t>Ļoti biežas</w:t>
      </w:r>
      <w:r w:rsidRPr="00CD729C">
        <w:rPr>
          <w:color w:val="000000"/>
          <w:sz w:val="22"/>
          <w:szCs w:val="22"/>
          <w:lang w:val="lv-LV"/>
        </w:rPr>
        <w:t xml:space="preserve"> </w:t>
      </w:r>
      <w:r w:rsidRPr="00CD729C">
        <w:rPr>
          <w:sz w:val="22"/>
          <w:szCs w:val="22"/>
          <w:lang w:val="lv-LV"/>
        </w:rPr>
        <w:t>(var attīstīties vairāk kā 1 cilvēkam no katriem 10 cilvēkiem):</w:t>
      </w:r>
    </w:p>
    <w:p w14:paraId="3D395425" w14:textId="77777777" w:rsidR="009E01F8" w:rsidRPr="00CD729C" w:rsidRDefault="00652DF5" w:rsidP="009B4BB6">
      <w:pPr>
        <w:pStyle w:val="Text"/>
        <w:widowControl w:val="0"/>
        <w:numPr>
          <w:ilvl w:val="0"/>
          <w:numId w:val="25"/>
        </w:numPr>
        <w:tabs>
          <w:tab w:val="clear" w:pos="357"/>
          <w:tab w:val="num" w:pos="567"/>
        </w:tabs>
        <w:spacing w:before="0"/>
        <w:ind w:left="567" w:hanging="567"/>
        <w:jc w:val="left"/>
        <w:rPr>
          <w:color w:val="000000"/>
          <w:sz w:val="22"/>
          <w:szCs w:val="22"/>
          <w:lang w:val="lv-LV"/>
        </w:rPr>
      </w:pPr>
      <w:r w:rsidRPr="00CD729C">
        <w:rPr>
          <w:color w:val="000000"/>
          <w:sz w:val="22"/>
          <w:szCs w:val="22"/>
          <w:lang w:val="lv-LV"/>
        </w:rPr>
        <w:t>g</w:t>
      </w:r>
      <w:r w:rsidR="009E01F8" w:rsidRPr="00CD729C">
        <w:rPr>
          <w:color w:val="000000"/>
          <w:sz w:val="22"/>
          <w:szCs w:val="22"/>
          <w:lang w:val="lv-LV"/>
        </w:rPr>
        <w:t>alvassāpes vai nogurums.</w:t>
      </w:r>
    </w:p>
    <w:p w14:paraId="3D395426" w14:textId="77777777" w:rsidR="009E01F8" w:rsidRPr="00CD729C" w:rsidRDefault="00652DF5" w:rsidP="009B4BB6">
      <w:pPr>
        <w:pStyle w:val="Text"/>
        <w:widowControl w:val="0"/>
        <w:numPr>
          <w:ilvl w:val="0"/>
          <w:numId w:val="24"/>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s</w:t>
      </w:r>
      <w:r w:rsidR="009E01F8" w:rsidRPr="00CD729C">
        <w:rPr>
          <w:color w:val="000000"/>
          <w:sz w:val="22"/>
          <w:szCs w:val="22"/>
          <w:lang w:val="lv-LV"/>
        </w:rPr>
        <w:t>likta dūša, vemšana, caureja vai gremošanas traucējumi.</w:t>
      </w:r>
    </w:p>
    <w:p w14:paraId="3D395427" w14:textId="77777777" w:rsidR="009E01F8" w:rsidRPr="00CD729C" w:rsidRDefault="00652DF5" w:rsidP="009B4BB6">
      <w:pPr>
        <w:pStyle w:val="Text"/>
        <w:widowControl w:val="0"/>
        <w:numPr>
          <w:ilvl w:val="0"/>
          <w:numId w:val="24"/>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i</w:t>
      </w:r>
      <w:r w:rsidR="009E01F8" w:rsidRPr="00CD729C">
        <w:rPr>
          <w:color w:val="000000"/>
          <w:sz w:val="22"/>
          <w:szCs w:val="22"/>
          <w:lang w:val="lv-LV"/>
        </w:rPr>
        <w:t>zsitumi.</w:t>
      </w:r>
    </w:p>
    <w:p w14:paraId="3D395428" w14:textId="77777777" w:rsidR="009E01F8" w:rsidRPr="00CD729C" w:rsidRDefault="00652DF5" w:rsidP="009B4BB6">
      <w:pPr>
        <w:pStyle w:val="Text"/>
        <w:widowControl w:val="0"/>
        <w:numPr>
          <w:ilvl w:val="0"/>
          <w:numId w:val="24"/>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m</w:t>
      </w:r>
      <w:r w:rsidR="009E01F8" w:rsidRPr="00CD729C">
        <w:rPr>
          <w:color w:val="000000"/>
          <w:sz w:val="22"/>
          <w:szCs w:val="22"/>
          <w:lang w:val="lv-LV"/>
        </w:rPr>
        <w:t>uskuļu krampji vai locītavu, muskuļu vai kaulu sāpes</w:t>
      </w:r>
      <w:r w:rsidR="006A7EB7" w:rsidRPr="006A7EB7">
        <w:rPr>
          <w:color w:val="000000"/>
          <w:sz w:val="22"/>
          <w:szCs w:val="22"/>
          <w:lang w:val="lv-LV"/>
        </w:rPr>
        <w:t xml:space="preserve"> </w:t>
      </w:r>
      <w:r w:rsidR="006A7EB7">
        <w:rPr>
          <w:color w:val="000000"/>
          <w:sz w:val="22"/>
          <w:szCs w:val="22"/>
          <w:lang w:val="lv-LV"/>
        </w:rPr>
        <w:t>ārstēšanas ar Glivec laikā vai pēc Glivec lietošanas pārtraukšanas</w:t>
      </w:r>
      <w:r w:rsidR="009E01F8" w:rsidRPr="00CD729C">
        <w:rPr>
          <w:color w:val="000000"/>
          <w:sz w:val="22"/>
          <w:szCs w:val="22"/>
          <w:lang w:val="lv-LV"/>
        </w:rPr>
        <w:t>.</w:t>
      </w:r>
    </w:p>
    <w:p w14:paraId="3D395429" w14:textId="77777777" w:rsidR="009E01F8" w:rsidRPr="00CD729C" w:rsidRDefault="00652DF5" w:rsidP="009B4BB6">
      <w:pPr>
        <w:pStyle w:val="Text"/>
        <w:widowControl w:val="0"/>
        <w:numPr>
          <w:ilvl w:val="0"/>
          <w:numId w:val="24"/>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t</w:t>
      </w:r>
      <w:r w:rsidR="009E01F8" w:rsidRPr="00CD729C">
        <w:rPr>
          <w:color w:val="000000"/>
          <w:sz w:val="22"/>
          <w:szCs w:val="22"/>
          <w:lang w:val="lv-LV"/>
        </w:rPr>
        <w:t>ūska, piemēram, potīšu tūska vai pietūkušas acis.</w:t>
      </w:r>
    </w:p>
    <w:p w14:paraId="3D39542A" w14:textId="77777777" w:rsidR="009E01F8" w:rsidRPr="00CD729C" w:rsidRDefault="00652DF5" w:rsidP="009B4BB6">
      <w:pPr>
        <w:pStyle w:val="Text"/>
        <w:keepNext/>
        <w:widowControl w:val="0"/>
        <w:numPr>
          <w:ilvl w:val="0"/>
          <w:numId w:val="24"/>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ķ</w:t>
      </w:r>
      <w:r w:rsidR="009E01F8" w:rsidRPr="00CD729C">
        <w:rPr>
          <w:color w:val="000000"/>
          <w:sz w:val="22"/>
          <w:szCs w:val="22"/>
          <w:lang w:val="lv-LV"/>
        </w:rPr>
        <w:t>ermeņa masas palielināšanās.</w:t>
      </w:r>
    </w:p>
    <w:p w14:paraId="3D39542B"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 xml:space="preserve">Ja jebkura no šīm parādībām ir smaga, </w:t>
      </w:r>
      <w:r w:rsidRPr="00CD729C">
        <w:rPr>
          <w:b/>
          <w:color w:val="000000"/>
          <w:szCs w:val="22"/>
        </w:rPr>
        <w:t>pastāstiet par to savam ārstam</w:t>
      </w:r>
      <w:r w:rsidRPr="00CD729C">
        <w:rPr>
          <w:color w:val="000000"/>
          <w:szCs w:val="22"/>
        </w:rPr>
        <w:t>.</w:t>
      </w:r>
    </w:p>
    <w:p w14:paraId="3D39542C" w14:textId="77777777" w:rsidR="009E01F8" w:rsidRPr="00CD729C" w:rsidRDefault="009E01F8" w:rsidP="009B4BB6">
      <w:pPr>
        <w:widowControl w:val="0"/>
        <w:tabs>
          <w:tab w:val="clear" w:pos="567"/>
        </w:tabs>
        <w:spacing w:line="240" w:lineRule="auto"/>
        <w:rPr>
          <w:color w:val="000000"/>
          <w:szCs w:val="22"/>
        </w:rPr>
      </w:pPr>
    </w:p>
    <w:p w14:paraId="3D39542D" w14:textId="77777777" w:rsidR="009E01F8" w:rsidRPr="00CD729C" w:rsidRDefault="009E01F8" w:rsidP="009B4BB6">
      <w:pPr>
        <w:pStyle w:val="Text"/>
        <w:keepNext/>
        <w:widowControl w:val="0"/>
        <w:spacing w:before="0"/>
        <w:rPr>
          <w:color w:val="000000"/>
          <w:sz w:val="22"/>
          <w:szCs w:val="22"/>
          <w:lang w:val="lv-LV"/>
        </w:rPr>
      </w:pPr>
      <w:r w:rsidRPr="00CD729C">
        <w:rPr>
          <w:b/>
          <w:color w:val="000000"/>
          <w:sz w:val="22"/>
          <w:szCs w:val="22"/>
          <w:lang w:val="lv-LV"/>
        </w:rPr>
        <w:t>Biežas</w:t>
      </w:r>
      <w:r w:rsidRPr="00CD729C">
        <w:rPr>
          <w:color w:val="000000"/>
          <w:sz w:val="22"/>
          <w:szCs w:val="22"/>
          <w:lang w:val="lv-LV"/>
        </w:rPr>
        <w:t xml:space="preserve"> </w:t>
      </w:r>
      <w:r w:rsidRPr="00CD729C">
        <w:rPr>
          <w:color w:val="000000"/>
          <w:szCs w:val="22"/>
          <w:lang w:val="lv-LV"/>
        </w:rPr>
        <w:t>(</w:t>
      </w:r>
      <w:r w:rsidRPr="00CD729C">
        <w:rPr>
          <w:sz w:val="22"/>
          <w:szCs w:val="22"/>
          <w:lang w:val="lv-LV"/>
        </w:rPr>
        <w:t>var attīstīties mazāk kā 1 cilvēkam no katriem 10 cilvēkiem</w:t>
      </w:r>
      <w:r w:rsidRPr="00CD729C">
        <w:rPr>
          <w:szCs w:val="22"/>
          <w:lang w:val="lv-LV"/>
        </w:rPr>
        <w:t>):</w:t>
      </w:r>
    </w:p>
    <w:p w14:paraId="3D39542E" w14:textId="77777777" w:rsidR="009E01F8" w:rsidRPr="00CD729C" w:rsidRDefault="00652DF5" w:rsidP="009B4BB6">
      <w:pPr>
        <w:pStyle w:val="Text"/>
        <w:widowControl w:val="0"/>
        <w:numPr>
          <w:ilvl w:val="0"/>
          <w:numId w:val="27"/>
        </w:numPr>
        <w:tabs>
          <w:tab w:val="clear" w:pos="357"/>
        </w:tabs>
        <w:spacing w:before="0"/>
        <w:ind w:left="567" w:hanging="567"/>
        <w:jc w:val="left"/>
        <w:rPr>
          <w:color w:val="000000"/>
          <w:sz w:val="22"/>
          <w:szCs w:val="22"/>
          <w:lang w:val="lv-LV"/>
        </w:rPr>
      </w:pPr>
      <w:r w:rsidRPr="00CD729C">
        <w:rPr>
          <w:color w:val="000000"/>
          <w:sz w:val="22"/>
          <w:szCs w:val="22"/>
          <w:lang w:val="lv-LV"/>
        </w:rPr>
        <w:t>ē</w:t>
      </w:r>
      <w:r w:rsidR="009E01F8" w:rsidRPr="00CD729C">
        <w:rPr>
          <w:color w:val="000000"/>
          <w:sz w:val="22"/>
          <w:szCs w:val="22"/>
          <w:lang w:val="lv-LV"/>
        </w:rPr>
        <w:t>stgribas zudums, samazināta ķermeņa masa vai garšas sajūtas traucējumi.</w:t>
      </w:r>
    </w:p>
    <w:p w14:paraId="3D39542F" w14:textId="77777777" w:rsidR="009E01F8" w:rsidRPr="00CD729C" w:rsidRDefault="00652DF5"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r</w:t>
      </w:r>
      <w:r w:rsidR="009E01F8" w:rsidRPr="00CD729C">
        <w:rPr>
          <w:color w:val="000000"/>
          <w:sz w:val="22"/>
          <w:szCs w:val="22"/>
          <w:lang w:val="lv-LV"/>
        </w:rPr>
        <w:t>eiboņi vai vājums.</w:t>
      </w:r>
    </w:p>
    <w:p w14:paraId="3D395430" w14:textId="77777777" w:rsidR="009E01F8" w:rsidRPr="00CD729C" w:rsidRDefault="00652DF5"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m</w:t>
      </w:r>
      <w:r w:rsidR="009E01F8" w:rsidRPr="00CD729C">
        <w:rPr>
          <w:color w:val="000000"/>
          <w:sz w:val="22"/>
          <w:szCs w:val="22"/>
          <w:lang w:val="lv-LV"/>
        </w:rPr>
        <w:t>iega traucējumi (bezmiegs).</w:t>
      </w:r>
    </w:p>
    <w:p w14:paraId="3D395431" w14:textId="77777777" w:rsidR="009E01F8" w:rsidRPr="00CD729C" w:rsidRDefault="00652DF5"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i</w:t>
      </w:r>
      <w:r w:rsidR="009E01F8" w:rsidRPr="00CD729C">
        <w:rPr>
          <w:color w:val="000000"/>
          <w:sz w:val="22"/>
          <w:szCs w:val="22"/>
          <w:lang w:val="lv-LV"/>
        </w:rPr>
        <w:t>zdalījumi no acīm un nieze, apsārtums un pietūkums (konjunktivīts), pastiprināta asaru izdale vai neskaidra redze.</w:t>
      </w:r>
    </w:p>
    <w:p w14:paraId="3D395432" w14:textId="77777777" w:rsidR="009E01F8" w:rsidRPr="00CD729C" w:rsidRDefault="00652DF5"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d</w:t>
      </w:r>
      <w:r w:rsidR="009E01F8" w:rsidRPr="00CD729C">
        <w:rPr>
          <w:color w:val="000000"/>
          <w:sz w:val="22"/>
          <w:szCs w:val="22"/>
          <w:lang w:val="lv-LV"/>
        </w:rPr>
        <w:t>eguna asiņošana.</w:t>
      </w:r>
    </w:p>
    <w:p w14:paraId="3D395433" w14:textId="77777777" w:rsidR="009E01F8" w:rsidRPr="00CD729C" w:rsidRDefault="00652DF5"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s</w:t>
      </w:r>
      <w:r w:rsidR="009E01F8" w:rsidRPr="00CD729C">
        <w:rPr>
          <w:color w:val="000000"/>
          <w:sz w:val="22"/>
          <w:szCs w:val="22"/>
          <w:lang w:val="lv-LV"/>
        </w:rPr>
        <w:t>āpes vēderā vai tūska, gāzu uzkrāšanās, grēmas vai aizcietējums.</w:t>
      </w:r>
    </w:p>
    <w:p w14:paraId="3D395434" w14:textId="77777777" w:rsidR="009E01F8" w:rsidRPr="00CD729C" w:rsidRDefault="00652DF5"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n</w:t>
      </w:r>
      <w:r w:rsidR="009E01F8" w:rsidRPr="00CD729C">
        <w:rPr>
          <w:color w:val="000000"/>
          <w:sz w:val="22"/>
          <w:szCs w:val="22"/>
          <w:lang w:val="lv-LV"/>
        </w:rPr>
        <w:t>ieze.</w:t>
      </w:r>
    </w:p>
    <w:p w14:paraId="3D395435" w14:textId="77777777" w:rsidR="009E01F8" w:rsidRPr="00CD729C" w:rsidRDefault="00652DF5"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n</w:t>
      </w:r>
      <w:r w:rsidR="009E01F8" w:rsidRPr="00CD729C">
        <w:rPr>
          <w:color w:val="000000"/>
          <w:sz w:val="22"/>
          <w:szCs w:val="22"/>
          <w:lang w:val="lv-LV"/>
        </w:rPr>
        <w:t>eparasta matu izkrišana vai tie kļūst retāki.</w:t>
      </w:r>
    </w:p>
    <w:p w14:paraId="3D395436" w14:textId="77777777" w:rsidR="009E01F8" w:rsidRPr="00CD729C" w:rsidRDefault="00652DF5"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r</w:t>
      </w:r>
      <w:r w:rsidR="009E01F8" w:rsidRPr="00CD729C">
        <w:rPr>
          <w:color w:val="000000"/>
          <w:sz w:val="22"/>
          <w:szCs w:val="22"/>
          <w:lang w:val="lv-LV"/>
        </w:rPr>
        <w:t>oku vai kāju nejutība.</w:t>
      </w:r>
    </w:p>
    <w:p w14:paraId="3D395437" w14:textId="77777777" w:rsidR="009E01F8" w:rsidRPr="00CD729C" w:rsidRDefault="00652DF5"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č</w:t>
      </w:r>
      <w:r w:rsidR="009E01F8" w:rsidRPr="00CD729C">
        <w:rPr>
          <w:color w:val="000000"/>
          <w:sz w:val="22"/>
          <w:szCs w:val="22"/>
          <w:lang w:val="lv-LV"/>
        </w:rPr>
        <w:t>ūlas mutē.</w:t>
      </w:r>
    </w:p>
    <w:p w14:paraId="3D395438" w14:textId="77777777" w:rsidR="009E01F8" w:rsidRPr="00CD729C" w:rsidRDefault="00652DF5"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l</w:t>
      </w:r>
      <w:r w:rsidR="009E01F8" w:rsidRPr="00CD729C">
        <w:rPr>
          <w:color w:val="000000"/>
          <w:sz w:val="22"/>
          <w:szCs w:val="22"/>
          <w:lang w:val="lv-LV"/>
        </w:rPr>
        <w:t>ocītavu sāpes un locītavu pietūkums.</w:t>
      </w:r>
    </w:p>
    <w:p w14:paraId="3D395439" w14:textId="77777777" w:rsidR="009E01F8" w:rsidRPr="00CD729C" w:rsidRDefault="00652DF5"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s</w:t>
      </w:r>
      <w:r w:rsidR="009E01F8" w:rsidRPr="00CD729C">
        <w:rPr>
          <w:color w:val="000000"/>
          <w:sz w:val="22"/>
          <w:szCs w:val="22"/>
          <w:lang w:val="lv-LV"/>
        </w:rPr>
        <w:t>ausa mute, sausa āda vai sausuma sajūta acīs.</w:t>
      </w:r>
    </w:p>
    <w:p w14:paraId="3D39543A" w14:textId="77777777" w:rsidR="009E01F8" w:rsidRPr="00CD729C" w:rsidRDefault="00652DF5"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s</w:t>
      </w:r>
      <w:r w:rsidR="009E01F8" w:rsidRPr="00CD729C">
        <w:rPr>
          <w:color w:val="000000"/>
          <w:sz w:val="22"/>
          <w:szCs w:val="22"/>
          <w:lang w:val="lv-LV"/>
        </w:rPr>
        <w:t>amazināts vai palielināts ādas jutīgums.</w:t>
      </w:r>
    </w:p>
    <w:p w14:paraId="3D39543B" w14:textId="77777777" w:rsidR="009E01F8" w:rsidRPr="00CD729C" w:rsidRDefault="00652DF5" w:rsidP="009B4BB6">
      <w:pPr>
        <w:pStyle w:val="Text"/>
        <w:keepN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k</w:t>
      </w:r>
      <w:r w:rsidR="009E01F8" w:rsidRPr="00CD729C">
        <w:rPr>
          <w:color w:val="000000"/>
          <w:sz w:val="22"/>
          <w:szCs w:val="22"/>
          <w:lang w:val="lv-LV"/>
        </w:rPr>
        <w:t>arstuma viļņi, drebuļi vai svīšana naktī.</w:t>
      </w:r>
    </w:p>
    <w:p w14:paraId="3D39543C"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 xml:space="preserve">Ja jebkura no šīm parādībām ir smaga, </w:t>
      </w:r>
      <w:r w:rsidRPr="00CD729C">
        <w:rPr>
          <w:b/>
          <w:color w:val="000000"/>
          <w:szCs w:val="22"/>
        </w:rPr>
        <w:t>pastāstiet par to savam ārstam</w:t>
      </w:r>
      <w:r w:rsidRPr="00CD729C">
        <w:rPr>
          <w:color w:val="000000"/>
          <w:szCs w:val="22"/>
        </w:rPr>
        <w:t>.</w:t>
      </w:r>
    </w:p>
    <w:p w14:paraId="3D39543D" w14:textId="77777777" w:rsidR="009E01F8" w:rsidRPr="00CD729C" w:rsidRDefault="009E01F8" w:rsidP="009B4BB6">
      <w:pPr>
        <w:pStyle w:val="Text"/>
        <w:widowControl w:val="0"/>
        <w:spacing w:before="0"/>
        <w:jc w:val="left"/>
        <w:rPr>
          <w:sz w:val="22"/>
          <w:szCs w:val="22"/>
          <w:lang w:val="lv-LV"/>
        </w:rPr>
      </w:pPr>
    </w:p>
    <w:p w14:paraId="3D39543E" w14:textId="77777777" w:rsidR="009E01F8" w:rsidRPr="00CD729C" w:rsidRDefault="009E01F8" w:rsidP="009B4BB6">
      <w:pPr>
        <w:pStyle w:val="Text"/>
        <w:keepNext/>
        <w:widowControl w:val="0"/>
        <w:spacing w:before="0"/>
        <w:jc w:val="left"/>
        <w:rPr>
          <w:bCs/>
          <w:sz w:val="22"/>
          <w:szCs w:val="22"/>
          <w:lang w:val="lv-LV"/>
        </w:rPr>
      </w:pPr>
      <w:r w:rsidRPr="00CD729C">
        <w:rPr>
          <w:b/>
          <w:bCs/>
          <w:sz w:val="22"/>
          <w:szCs w:val="22"/>
          <w:lang w:val="lv-LV"/>
        </w:rPr>
        <w:t>Nav zināmi</w:t>
      </w:r>
      <w:r w:rsidRPr="00CD729C">
        <w:rPr>
          <w:bCs/>
          <w:sz w:val="22"/>
          <w:szCs w:val="22"/>
          <w:lang w:val="lv-LV"/>
        </w:rPr>
        <w:t xml:space="preserve"> (biežumu nevar noteikt pēc pieejamiem datiem):</w:t>
      </w:r>
    </w:p>
    <w:p w14:paraId="3D39543F" w14:textId="77777777" w:rsidR="009E01F8" w:rsidRDefault="00652DF5" w:rsidP="009B4BB6">
      <w:pPr>
        <w:pStyle w:val="Text"/>
        <w:widowControl w:val="0"/>
        <w:numPr>
          <w:ilvl w:val="0"/>
          <w:numId w:val="34"/>
        </w:numPr>
        <w:tabs>
          <w:tab w:val="clear" w:pos="357"/>
          <w:tab w:val="num" w:pos="567"/>
        </w:tabs>
        <w:spacing w:before="0"/>
        <w:ind w:left="567" w:hanging="567"/>
        <w:jc w:val="left"/>
        <w:rPr>
          <w:sz w:val="22"/>
          <w:szCs w:val="22"/>
          <w:lang w:val="lv-LV"/>
        </w:rPr>
      </w:pPr>
      <w:r w:rsidRPr="00CD729C">
        <w:rPr>
          <w:sz w:val="22"/>
          <w:szCs w:val="22"/>
          <w:lang w:val="lv-LV"/>
        </w:rPr>
        <w:t>p</w:t>
      </w:r>
      <w:r w:rsidR="009E01F8" w:rsidRPr="00CD729C">
        <w:rPr>
          <w:sz w:val="22"/>
          <w:szCs w:val="22"/>
          <w:lang w:val="lv-LV"/>
        </w:rPr>
        <w:t>laukstu un pēdu apsārtums un/vai pietūkums, ko var pavadīt tirpšana un dedzinoša sajūta.</w:t>
      </w:r>
    </w:p>
    <w:p w14:paraId="3D395440" w14:textId="77777777" w:rsidR="00220E8E" w:rsidRPr="00CD729C" w:rsidRDefault="00220E8E" w:rsidP="009B4BB6">
      <w:pPr>
        <w:pStyle w:val="Text"/>
        <w:widowControl w:val="0"/>
        <w:numPr>
          <w:ilvl w:val="0"/>
          <w:numId w:val="34"/>
        </w:numPr>
        <w:tabs>
          <w:tab w:val="clear" w:pos="357"/>
          <w:tab w:val="num" w:pos="567"/>
        </w:tabs>
        <w:spacing w:before="0"/>
        <w:ind w:left="567" w:hanging="567"/>
        <w:jc w:val="left"/>
        <w:rPr>
          <w:sz w:val="22"/>
          <w:szCs w:val="22"/>
          <w:lang w:val="lv-LV"/>
        </w:rPr>
      </w:pPr>
      <w:r>
        <w:rPr>
          <w:sz w:val="22"/>
          <w:szCs w:val="22"/>
          <w:lang w:val="lv-LV"/>
        </w:rPr>
        <w:t>sāpīgi un/vai pūšļveida ādas bojājumi.</w:t>
      </w:r>
    </w:p>
    <w:p w14:paraId="3D395441" w14:textId="77777777" w:rsidR="009E01F8" w:rsidRPr="00CD729C" w:rsidRDefault="00652DF5" w:rsidP="009B4BB6">
      <w:pPr>
        <w:pStyle w:val="Text"/>
        <w:keepNext/>
        <w:widowControl w:val="0"/>
        <w:numPr>
          <w:ilvl w:val="0"/>
          <w:numId w:val="34"/>
        </w:numPr>
        <w:tabs>
          <w:tab w:val="clear" w:pos="357"/>
        </w:tabs>
        <w:spacing w:before="0"/>
        <w:ind w:left="567" w:hanging="567"/>
        <w:jc w:val="left"/>
        <w:rPr>
          <w:sz w:val="22"/>
          <w:szCs w:val="22"/>
          <w:lang w:val="lv-LV"/>
        </w:rPr>
      </w:pPr>
      <w:r w:rsidRPr="00CD729C">
        <w:rPr>
          <w:sz w:val="22"/>
          <w:szCs w:val="22"/>
          <w:lang w:val="lv-LV"/>
        </w:rPr>
        <w:t>a</w:t>
      </w:r>
      <w:r w:rsidR="009E01F8" w:rsidRPr="00CD729C">
        <w:rPr>
          <w:sz w:val="22"/>
          <w:szCs w:val="22"/>
          <w:lang w:val="lv-LV"/>
        </w:rPr>
        <w:t>ugšanas aizture bērniem un pusaudžiem.</w:t>
      </w:r>
    </w:p>
    <w:p w14:paraId="3D395442" w14:textId="77777777" w:rsidR="009E01F8" w:rsidRPr="00CD729C" w:rsidRDefault="009E01F8" w:rsidP="009B4BB6">
      <w:pPr>
        <w:pStyle w:val="Text"/>
        <w:widowControl w:val="0"/>
        <w:spacing w:before="0"/>
        <w:jc w:val="left"/>
        <w:rPr>
          <w:color w:val="000000"/>
          <w:sz w:val="22"/>
          <w:szCs w:val="22"/>
          <w:lang w:val="lv-LV"/>
        </w:rPr>
      </w:pPr>
      <w:r w:rsidRPr="00CD729C">
        <w:rPr>
          <w:color w:val="000000"/>
          <w:sz w:val="22"/>
          <w:szCs w:val="22"/>
          <w:lang w:val="lv-LV"/>
        </w:rPr>
        <w:t xml:space="preserve">Ja Jums attīstās kāda no minētajām blakusparādībām, </w:t>
      </w:r>
      <w:r w:rsidRPr="00CD729C">
        <w:rPr>
          <w:b/>
          <w:bCs/>
          <w:color w:val="000000"/>
          <w:sz w:val="22"/>
          <w:szCs w:val="22"/>
          <w:lang w:val="lv-LV"/>
        </w:rPr>
        <w:t>pastāstiet par to savam ārstam</w:t>
      </w:r>
      <w:r w:rsidRPr="00CD729C">
        <w:rPr>
          <w:b/>
          <w:color w:val="000000"/>
          <w:sz w:val="22"/>
          <w:szCs w:val="22"/>
          <w:lang w:val="lv-LV"/>
        </w:rPr>
        <w:t>.</w:t>
      </w:r>
    </w:p>
    <w:p w14:paraId="3D395443" w14:textId="77777777" w:rsidR="009E01F8" w:rsidRPr="00CD729C" w:rsidRDefault="009E01F8" w:rsidP="009B4BB6">
      <w:pPr>
        <w:widowControl w:val="0"/>
        <w:numPr>
          <w:ilvl w:val="12"/>
          <w:numId w:val="0"/>
        </w:numPr>
        <w:spacing w:line="240" w:lineRule="auto"/>
        <w:outlineLvl w:val="0"/>
      </w:pPr>
    </w:p>
    <w:p w14:paraId="3D395444" w14:textId="77777777" w:rsidR="009E01F8" w:rsidRPr="00CD729C" w:rsidRDefault="009E01F8" w:rsidP="009B4BB6">
      <w:pPr>
        <w:keepNext/>
        <w:widowControl w:val="0"/>
        <w:numPr>
          <w:ilvl w:val="12"/>
          <w:numId w:val="0"/>
        </w:numPr>
        <w:spacing w:line="240" w:lineRule="auto"/>
        <w:outlineLvl w:val="0"/>
        <w:rPr>
          <w:b/>
        </w:rPr>
      </w:pPr>
      <w:r w:rsidRPr="00CD729C">
        <w:rPr>
          <w:b/>
        </w:rPr>
        <w:t>Ziņošana par blakusparādībām</w:t>
      </w:r>
    </w:p>
    <w:p w14:paraId="3D395445" w14:textId="77777777" w:rsidR="009E01F8" w:rsidRPr="00CD729C" w:rsidRDefault="009E01F8" w:rsidP="009B4BB6">
      <w:pPr>
        <w:widowControl w:val="0"/>
        <w:numPr>
          <w:ilvl w:val="12"/>
          <w:numId w:val="0"/>
        </w:numPr>
        <w:spacing w:line="240" w:lineRule="auto"/>
      </w:pPr>
      <w:r w:rsidRPr="00CD729C">
        <w:rPr>
          <w:color w:val="000000"/>
          <w:szCs w:val="22"/>
        </w:rPr>
        <w:t xml:space="preserve">Ja Jums rodas jebkādas blakusparādības, konsultējieties ar ārstu, farmaceitu vai medmāsu. Tas attiecas arī uz iespējamajām blakusparādībām, kas nav minētas šajā instrukcijā. </w:t>
      </w:r>
      <w:r w:rsidRPr="00CD729C">
        <w:rPr>
          <w:snapToGrid w:val="0"/>
          <w:szCs w:val="22"/>
        </w:rPr>
        <w:t>Jūs varat ziņot par blakusparādībām arī tieši,</w:t>
      </w:r>
      <w:r w:rsidRPr="00055B57">
        <w:rPr>
          <w:snapToGrid w:val="0"/>
          <w:szCs w:val="22"/>
        </w:rPr>
        <w:t xml:space="preserve"> izmantojot </w:t>
      </w:r>
      <w:hyperlink r:id="rId16" w:history="1">
        <w:r w:rsidRPr="00CD729C">
          <w:rPr>
            <w:rStyle w:val="Hyperlink"/>
            <w:snapToGrid w:val="0"/>
            <w:szCs w:val="22"/>
            <w:shd w:val="pct15" w:color="auto" w:fill="auto"/>
          </w:rPr>
          <w:t>V pielikumā</w:t>
        </w:r>
      </w:hyperlink>
      <w:r w:rsidRPr="00CD729C">
        <w:rPr>
          <w:snapToGrid w:val="0"/>
          <w:szCs w:val="22"/>
          <w:shd w:val="pct15" w:color="auto" w:fill="auto"/>
        </w:rPr>
        <w:t xml:space="preserve"> minēto nacionālās ziņošanas sistēmas kontaktinformāciju</w:t>
      </w:r>
      <w:r w:rsidRPr="00CD729C">
        <w:rPr>
          <w:snapToGrid w:val="0"/>
          <w:szCs w:val="22"/>
        </w:rPr>
        <w:t>. Ziņojot par blakusparādībām, Jūs varat palīdzēt nodrošināt daudz plašāku informāciju par šo zāļu drošumu.</w:t>
      </w:r>
    </w:p>
    <w:p w14:paraId="3D395446" w14:textId="77777777" w:rsidR="009E01F8" w:rsidRPr="00CD729C" w:rsidRDefault="009E01F8" w:rsidP="009B4BB6">
      <w:pPr>
        <w:widowControl w:val="0"/>
        <w:numPr>
          <w:ilvl w:val="12"/>
          <w:numId w:val="0"/>
        </w:numPr>
        <w:tabs>
          <w:tab w:val="clear" w:pos="567"/>
        </w:tabs>
        <w:spacing w:line="240" w:lineRule="auto"/>
        <w:ind w:left="567" w:hanging="567"/>
        <w:rPr>
          <w:color w:val="000000"/>
          <w:szCs w:val="22"/>
        </w:rPr>
      </w:pPr>
    </w:p>
    <w:p w14:paraId="3D395447" w14:textId="77777777" w:rsidR="009E01F8" w:rsidRPr="00CD729C" w:rsidRDefault="009E01F8" w:rsidP="009B4BB6">
      <w:pPr>
        <w:widowControl w:val="0"/>
        <w:numPr>
          <w:ilvl w:val="12"/>
          <w:numId w:val="0"/>
        </w:numPr>
        <w:tabs>
          <w:tab w:val="clear" w:pos="567"/>
        </w:tabs>
        <w:spacing w:line="240" w:lineRule="auto"/>
        <w:ind w:left="567" w:hanging="567"/>
        <w:rPr>
          <w:color w:val="000000"/>
          <w:szCs w:val="22"/>
        </w:rPr>
      </w:pPr>
    </w:p>
    <w:p w14:paraId="3D395448" w14:textId="77777777" w:rsidR="008328A8" w:rsidRPr="00CD729C" w:rsidRDefault="008328A8" w:rsidP="009B4BB6">
      <w:pPr>
        <w:keepNext/>
        <w:widowControl w:val="0"/>
        <w:numPr>
          <w:ilvl w:val="12"/>
          <w:numId w:val="0"/>
        </w:numPr>
        <w:tabs>
          <w:tab w:val="clear" w:pos="567"/>
        </w:tabs>
        <w:spacing w:line="240" w:lineRule="auto"/>
        <w:ind w:left="567" w:hanging="567"/>
        <w:rPr>
          <w:color w:val="000000"/>
          <w:szCs w:val="22"/>
        </w:rPr>
      </w:pPr>
      <w:r w:rsidRPr="00CD729C">
        <w:rPr>
          <w:b/>
          <w:color w:val="000000"/>
          <w:szCs w:val="22"/>
        </w:rPr>
        <w:t>5.</w:t>
      </w:r>
      <w:r w:rsidRPr="00CD729C">
        <w:rPr>
          <w:b/>
          <w:color w:val="000000"/>
          <w:szCs w:val="22"/>
        </w:rPr>
        <w:tab/>
        <w:t>Kā uzglabāt Glivec</w:t>
      </w:r>
    </w:p>
    <w:p w14:paraId="3D395449" w14:textId="77777777" w:rsidR="008328A8" w:rsidRPr="00CD729C" w:rsidRDefault="008328A8" w:rsidP="009B4BB6">
      <w:pPr>
        <w:keepNext/>
        <w:widowControl w:val="0"/>
        <w:numPr>
          <w:ilvl w:val="12"/>
          <w:numId w:val="0"/>
        </w:numPr>
        <w:tabs>
          <w:tab w:val="clear" w:pos="567"/>
        </w:tabs>
        <w:spacing w:line="240" w:lineRule="auto"/>
        <w:ind w:left="567" w:hanging="567"/>
        <w:rPr>
          <w:color w:val="000000"/>
          <w:szCs w:val="22"/>
        </w:rPr>
      </w:pPr>
    </w:p>
    <w:p w14:paraId="3D39544A" w14:textId="77777777" w:rsidR="008328A8" w:rsidRPr="00CD729C" w:rsidRDefault="008328A8" w:rsidP="009B4BB6">
      <w:pPr>
        <w:widowControl w:val="0"/>
        <w:numPr>
          <w:ilvl w:val="0"/>
          <w:numId w:val="4"/>
        </w:numPr>
        <w:tabs>
          <w:tab w:val="clear" w:pos="360"/>
          <w:tab w:val="clear" w:pos="567"/>
        </w:tabs>
        <w:spacing w:line="240" w:lineRule="auto"/>
        <w:ind w:left="567" w:hanging="567"/>
        <w:rPr>
          <w:color w:val="000000"/>
          <w:szCs w:val="22"/>
        </w:rPr>
      </w:pPr>
      <w:r w:rsidRPr="00CD729C">
        <w:rPr>
          <w:color w:val="000000"/>
          <w:szCs w:val="22"/>
        </w:rPr>
        <w:t xml:space="preserve">Uzglabāt šīs zāles bērniem </w:t>
      </w:r>
      <w:r w:rsidRPr="00CD729C">
        <w:rPr>
          <w:szCs w:val="22"/>
        </w:rPr>
        <w:t xml:space="preserve">neredzamā un </w:t>
      </w:r>
      <w:r w:rsidRPr="00CD729C">
        <w:rPr>
          <w:color w:val="000000"/>
          <w:szCs w:val="22"/>
        </w:rPr>
        <w:t>nepieejamā vietā</w:t>
      </w:r>
      <w:r w:rsidR="00C62E82">
        <w:rPr>
          <w:color w:val="000000"/>
          <w:szCs w:val="22"/>
        </w:rPr>
        <w:t>.</w:t>
      </w:r>
    </w:p>
    <w:p w14:paraId="3D39544B" w14:textId="77777777" w:rsidR="008328A8" w:rsidRPr="00CD729C" w:rsidRDefault="008328A8" w:rsidP="009B4BB6">
      <w:pPr>
        <w:widowControl w:val="0"/>
        <w:numPr>
          <w:ilvl w:val="0"/>
          <w:numId w:val="4"/>
        </w:numPr>
        <w:tabs>
          <w:tab w:val="clear" w:pos="360"/>
          <w:tab w:val="clear" w:pos="567"/>
        </w:tabs>
        <w:spacing w:line="240" w:lineRule="auto"/>
        <w:ind w:left="567" w:hanging="567"/>
        <w:rPr>
          <w:color w:val="000000"/>
          <w:szCs w:val="22"/>
        </w:rPr>
      </w:pPr>
      <w:r w:rsidRPr="00CD729C">
        <w:rPr>
          <w:color w:val="000000"/>
          <w:szCs w:val="22"/>
        </w:rPr>
        <w:t xml:space="preserve">Nelietot </w:t>
      </w:r>
      <w:r w:rsidRPr="00CD729C">
        <w:rPr>
          <w:szCs w:val="22"/>
        </w:rPr>
        <w:t xml:space="preserve">šīs zāles </w:t>
      </w:r>
      <w:r w:rsidRPr="00CD729C">
        <w:rPr>
          <w:color w:val="000000"/>
        </w:rPr>
        <w:t>pēc derīguma termiņa beigām, kas norādīts uz kastītes</w:t>
      </w:r>
      <w:r w:rsidR="00B40010">
        <w:rPr>
          <w:color w:val="000000"/>
        </w:rPr>
        <w:t xml:space="preserve"> pēc “EXP</w:t>
      </w:r>
      <w:r w:rsidR="00220E8E">
        <w:rPr>
          <w:color w:val="000000"/>
        </w:rPr>
        <w:t>”</w:t>
      </w:r>
      <w:r w:rsidR="00C62E82">
        <w:rPr>
          <w:color w:val="000000"/>
          <w:szCs w:val="22"/>
        </w:rPr>
        <w:t>.</w:t>
      </w:r>
    </w:p>
    <w:p w14:paraId="3D39544C" w14:textId="77777777" w:rsidR="008328A8" w:rsidRPr="00CD729C" w:rsidRDefault="008328A8" w:rsidP="009B4BB6">
      <w:pPr>
        <w:widowControl w:val="0"/>
        <w:numPr>
          <w:ilvl w:val="0"/>
          <w:numId w:val="4"/>
        </w:numPr>
        <w:tabs>
          <w:tab w:val="clear" w:pos="360"/>
          <w:tab w:val="clear" w:pos="567"/>
        </w:tabs>
        <w:spacing w:line="240" w:lineRule="auto"/>
        <w:ind w:left="567" w:hanging="567"/>
        <w:rPr>
          <w:color w:val="000000"/>
          <w:szCs w:val="22"/>
        </w:rPr>
      </w:pPr>
      <w:r w:rsidRPr="00CD729C">
        <w:rPr>
          <w:color w:val="000000"/>
          <w:szCs w:val="22"/>
        </w:rPr>
        <w:t>Uzglabāt temperatūrā līdz 30</w:t>
      </w:r>
      <w:r w:rsidRPr="00CD729C">
        <w:rPr>
          <w:color w:val="000000"/>
          <w:szCs w:val="22"/>
        </w:rPr>
        <w:sym w:font="Symbol" w:char="F0B0"/>
      </w:r>
      <w:r w:rsidRPr="00CD729C">
        <w:rPr>
          <w:color w:val="000000"/>
          <w:szCs w:val="22"/>
        </w:rPr>
        <w:t>C</w:t>
      </w:r>
      <w:r w:rsidR="00C62E82">
        <w:rPr>
          <w:color w:val="000000"/>
          <w:szCs w:val="22"/>
        </w:rPr>
        <w:t>.</w:t>
      </w:r>
    </w:p>
    <w:p w14:paraId="3D39544D" w14:textId="77777777" w:rsidR="008328A8" w:rsidRPr="00CD729C" w:rsidRDefault="008328A8" w:rsidP="009B4BB6">
      <w:pPr>
        <w:widowControl w:val="0"/>
        <w:numPr>
          <w:ilvl w:val="0"/>
          <w:numId w:val="4"/>
        </w:numPr>
        <w:tabs>
          <w:tab w:val="clear" w:pos="360"/>
          <w:tab w:val="clear" w:pos="567"/>
        </w:tabs>
        <w:spacing w:line="240" w:lineRule="auto"/>
        <w:ind w:left="567" w:hanging="567"/>
        <w:rPr>
          <w:color w:val="000000"/>
          <w:szCs w:val="22"/>
        </w:rPr>
      </w:pPr>
      <w:r w:rsidRPr="00CD729C">
        <w:rPr>
          <w:color w:val="000000"/>
          <w:szCs w:val="22"/>
        </w:rPr>
        <w:t>Uzglabāt oriģinālā iepakojumā</w:t>
      </w:r>
      <w:r w:rsidR="006A7EB7">
        <w:rPr>
          <w:color w:val="000000"/>
          <w:szCs w:val="22"/>
        </w:rPr>
        <w:t>, lai pas</w:t>
      </w:r>
      <w:r w:rsidRPr="00CD729C">
        <w:rPr>
          <w:color w:val="000000"/>
          <w:szCs w:val="22"/>
        </w:rPr>
        <w:t>argāt</w:t>
      </w:r>
      <w:r w:rsidR="006A7EB7">
        <w:rPr>
          <w:color w:val="000000"/>
          <w:szCs w:val="22"/>
        </w:rPr>
        <w:t>u</w:t>
      </w:r>
      <w:r w:rsidRPr="00CD729C">
        <w:rPr>
          <w:color w:val="000000"/>
          <w:szCs w:val="22"/>
        </w:rPr>
        <w:t xml:space="preserve"> no mitruma</w:t>
      </w:r>
      <w:r w:rsidR="00C62E82">
        <w:rPr>
          <w:color w:val="000000"/>
          <w:szCs w:val="22"/>
        </w:rPr>
        <w:t>.</w:t>
      </w:r>
    </w:p>
    <w:p w14:paraId="3D39544E" w14:textId="77777777" w:rsidR="008328A8" w:rsidRPr="00CD729C" w:rsidRDefault="008328A8" w:rsidP="009B4BB6">
      <w:pPr>
        <w:widowControl w:val="0"/>
        <w:numPr>
          <w:ilvl w:val="0"/>
          <w:numId w:val="4"/>
        </w:numPr>
        <w:tabs>
          <w:tab w:val="clear" w:pos="360"/>
          <w:tab w:val="clear" w:pos="567"/>
        </w:tabs>
        <w:spacing w:line="240" w:lineRule="auto"/>
        <w:ind w:left="567" w:hanging="567"/>
        <w:rPr>
          <w:color w:val="000000"/>
          <w:szCs w:val="22"/>
        </w:rPr>
      </w:pPr>
      <w:r w:rsidRPr="00CD729C">
        <w:rPr>
          <w:color w:val="000000"/>
          <w:szCs w:val="22"/>
        </w:rPr>
        <w:t>Nelietot nevienu iepakojumu, kas ir bojāts vai ar atvēršanas pazīmēm</w:t>
      </w:r>
      <w:r w:rsidR="00C62E82">
        <w:rPr>
          <w:color w:val="000000"/>
          <w:szCs w:val="22"/>
        </w:rPr>
        <w:t>.</w:t>
      </w:r>
    </w:p>
    <w:p w14:paraId="3D39544F" w14:textId="77777777" w:rsidR="00891892" w:rsidRPr="00CD729C" w:rsidRDefault="00891892" w:rsidP="009B4BB6">
      <w:pPr>
        <w:widowControl w:val="0"/>
        <w:numPr>
          <w:ilvl w:val="0"/>
          <w:numId w:val="4"/>
        </w:numPr>
        <w:tabs>
          <w:tab w:val="clear" w:pos="360"/>
          <w:tab w:val="num" w:pos="567"/>
        </w:tabs>
        <w:spacing w:line="240" w:lineRule="auto"/>
        <w:ind w:left="567" w:hanging="567"/>
        <w:rPr>
          <w:color w:val="000000"/>
          <w:szCs w:val="22"/>
        </w:rPr>
      </w:pPr>
      <w:r w:rsidRPr="00CD729C">
        <w:rPr>
          <w:color w:val="000000"/>
          <w:szCs w:val="22"/>
        </w:rPr>
        <w:t>Neizmetiet zāles kanalizācijā vai sadzīves atkritumos. Vaicājiet farmaceitam, kā izmest zāles, kuras vairs nelietojat. Šie pasākumi palīdzēs aizsargāt apkārtējo vidi.</w:t>
      </w:r>
    </w:p>
    <w:p w14:paraId="3D395450" w14:textId="77777777" w:rsidR="009F6C80" w:rsidRPr="00CD729C" w:rsidRDefault="009F6C80" w:rsidP="009B4BB6">
      <w:pPr>
        <w:widowControl w:val="0"/>
        <w:tabs>
          <w:tab w:val="clear" w:pos="567"/>
        </w:tabs>
        <w:spacing w:line="240" w:lineRule="auto"/>
        <w:rPr>
          <w:color w:val="000000"/>
          <w:szCs w:val="22"/>
        </w:rPr>
      </w:pPr>
    </w:p>
    <w:p w14:paraId="3D395451" w14:textId="77777777" w:rsidR="009F6C80" w:rsidRPr="00CD729C" w:rsidRDefault="009F6C80" w:rsidP="009B4BB6">
      <w:pPr>
        <w:widowControl w:val="0"/>
        <w:tabs>
          <w:tab w:val="clear" w:pos="567"/>
        </w:tabs>
        <w:spacing w:line="240" w:lineRule="auto"/>
        <w:rPr>
          <w:color w:val="000000"/>
          <w:szCs w:val="22"/>
        </w:rPr>
      </w:pPr>
    </w:p>
    <w:p w14:paraId="3D395452" w14:textId="77777777" w:rsidR="009F6C80" w:rsidRPr="00CD729C" w:rsidRDefault="009F6C80" w:rsidP="009B4BB6">
      <w:pPr>
        <w:keepNext/>
        <w:widowControl w:val="0"/>
        <w:numPr>
          <w:ilvl w:val="12"/>
          <w:numId w:val="0"/>
        </w:numPr>
        <w:tabs>
          <w:tab w:val="clear" w:pos="567"/>
        </w:tabs>
        <w:spacing w:line="240" w:lineRule="auto"/>
        <w:ind w:left="567" w:hanging="567"/>
        <w:rPr>
          <w:b/>
          <w:color w:val="000000"/>
          <w:szCs w:val="22"/>
        </w:rPr>
      </w:pPr>
      <w:r w:rsidRPr="00CD729C">
        <w:rPr>
          <w:b/>
          <w:color w:val="000000"/>
          <w:szCs w:val="22"/>
        </w:rPr>
        <w:t>6.</w:t>
      </w:r>
      <w:r w:rsidRPr="00CD729C">
        <w:rPr>
          <w:b/>
          <w:color w:val="000000"/>
          <w:szCs w:val="22"/>
        </w:rPr>
        <w:tab/>
      </w:r>
      <w:r w:rsidR="003B6C16" w:rsidRPr="00CD729C">
        <w:rPr>
          <w:b/>
          <w:color w:val="000000"/>
          <w:szCs w:val="22"/>
        </w:rPr>
        <w:t>Iepakojuma saturs un cita informācija</w:t>
      </w:r>
    </w:p>
    <w:p w14:paraId="3D395453" w14:textId="77777777" w:rsidR="009F6C80" w:rsidRPr="00CD729C" w:rsidRDefault="009F6C80" w:rsidP="009B4BB6">
      <w:pPr>
        <w:keepNext/>
        <w:widowControl w:val="0"/>
        <w:numPr>
          <w:ilvl w:val="12"/>
          <w:numId w:val="0"/>
        </w:numPr>
        <w:tabs>
          <w:tab w:val="clear" w:pos="567"/>
        </w:tabs>
        <w:spacing w:line="240" w:lineRule="auto"/>
        <w:ind w:left="567" w:hanging="567"/>
        <w:rPr>
          <w:color w:val="000000"/>
        </w:rPr>
      </w:pPr>
    </w:p>
    <w:p w14:paraId="3D395454" w14:textId="77777777" w:rsidR="009F6C80" w:rsidRPr="00CD729C" w:rsidRDefault="009F6C80" w:rsidP="009B4BB6">
      <w:pPr>
        <w:keepNext/>
        <w:widowControl w:val="0"/>
        <w:numPr>
          <w:ilvl w:val="12"/>
          <w:numId w:val="0"/>
        </w:numPr>
        <w:tabs>
          <w:tab w:val="clear" w:pos="567"/>
        </w:tabs>
        <w:spacing w:line="240" w:lineRule="auto"/>
        <w:ind w:left="567" w:hanging="567"/>
        <w:rPr>
          <w:b/>
          <w:color w:val="000000"/>
        </w:rPr>
      </w:pPr>
      <w:r w:rsidRPr="00CD729C">
        <w:rPr>
          <w:b/>
          <w:color w:val="000000"/>
        </w:rPr>
        <w:t>Ko Glivec satur</w:t>
      </w:r>
    </w:p>
    <w:p w14:paraId="3D395455" w14:textId="77777777" w:rsidR="009F6C80" w:rsidRPr="00CD729C" w:rsidRDefault="009F6C80" w:rsidP="009B4BB6">
      <w:pPr>
        <w:widowControl w:val="0"/>
        <w:numPr>
          <w:ilvl w:val="0"/>
          <w:numId w:val="9"/>
        </w:numPr>
        <w:tabs>
          <w:tab w:val="clear" w:pos="567"/>
        </w:tabs>
        <w:spacing w:line="240" w:lineRule="auto"/>
        <w:ind w:left="567" w:hanging="567"/>
        <w:rPr>
          <w:color w:val="000000"/>
        </w:rPr>
      </w:pPr>
      <w:r w:rsidRPr="00CD729C">
        <w:rPr>
          <w:color w:val="000000"/>
        </w:rPr>
        <w:t xml:space="preserve">Aktīvā viela ir </w:t>
      </w:r>
      <w:r w:rsidRPr="00CD729C">
        <w:rPr>
          <w:color w:val="000000"/>
          <w:szCs w:val="22"/>
        </w:rPr>
        <w:t xml:space="preserve">imatiniba </w:t>
      </w:r>
      <w:r w:rsidRPr="00CD729C">
        <w:rPr>
          <w:i/>
          <w:iCs/>
          <w:color w:val="000000"/>
          <w:szCs w:val="22"/>
        </w:rPr>
        <w:t xml:space="preserve"> </w:t>
      </w:r>
      <w:r w:rsidRPr="00CD729C">
        <w:rPr>
          <w:color w:val="000000"/>
          <w:szCs w:val="22"/>
        </w:rPr>
        <w:t>me</w:t>
      </w:r>
      <w:r w:rsidR="006A7EB7">
        <w:rPr>
          <w:color w:val="000000"/>
          <w:szCs w:val="22"/>
        </w:rPr>
        <w:t>s</w:t>
      </w:r>
      <w:r w:rsidRPr="00CD729C">
        <w:rPr>
          <w:color w:val="000000"/>
          <w:szCs w:val="22"/>
        </w:rPr>
        <w:t>ilāts. Viena Glivec kapsula satur 100 mg imatiniba (me</w:t>
      </w:r>
      <w:r w:rsidR="00AD510A">
        <w:rPr>
          <w:color w:val="000000"/>
          <w:szCs w:val="22"/>
        </w:rPr>
        <w:t>s</w:t>
      </w:r>
      <w:r w:rsidRPr="00CD729C">
        <w:rPr>
          <w:color w:val="000000"/>
          <w:szCs w:val="22"/>
        </w:rPr>
        <w:t>ilāta formā).</w:t>
      </w:r>
    </w:p>
    <w:p w14:paraId="3D395456" w14:textId="77777777" w:rsidR="009F6C80" w:rsidRPr="00CD729C" w:rsidRDefault="009F6C80" w:rsidP="009B4BB6">
      <w:pPr>
        <w:widowControl w:val="0"/>
        <w:numPr>
          <w:ilvl w:val="0"/>
          <w:numId w:val="9"/>
        </w:numPr>
        <w:tabs>
          <w:tab w:val="clear" w:pos="567"/>
        </w:tabs>
        <w:spacing w:line="240" w:lineRule="auto"/>
        <w:ind w:left="567" w:hanging="567"/>
        <w:rPr>
          <w:color w:val="000000"/>
        </w:rPr>
      </w:pPr>
      <w:r w:rsidRPr="00CD729C">
        <w:rPr>
          <w:color w:val="000000"/>
        </w:rPr>
        <w:t xml:space="preserve">Citas sastāvdaļas ir </w:t>
      </w:r>
      <w:r w:rsidRPr="00CD729C">
        <w:rPr>
          <w:color w:val="000000"/>
          <w:szCs w:val="22"/>
        </w:rPr>
        <w:t>mikrokristālisk</w:t>
      </w:r>
      <w:r w:rsidR="00320AAC" w:rsidRPr="00CD729C">
        <w:rPr>
          <w:color w:val="000000"/>
          <w:szCs w:val="22"/>
        </w:rPr>
        <w:t>ā</w:t>
      </w:r>
      <w:r w:rsidRPr="00CD729C">
        <w:rPr>
          <w:color w:val="000000"/>
          <w:szCs w:val="22"/>
        </w:rPr>
        <w:t xml:space="preserve"> celuloze, krospovidons, magnija stearāts un koloidāls bezūdens silīcija dioksīds. Kapsulas apvalks ir veidots no želatīna, sarkanā dzelzs oksīda (E 172), dzeltenā dzelzs oksīda (E 172) un titāna dioksīda (E 171). Apdrukai izmantotā tinte </w:t>
      </w:r>
      <w:r w:rsidR="00836286" w:rsidRPr="00CD729C">
        <w:rPr>
          <w:color w:val="000000"/>
          <w:szCs w:val="22"/>
        </w:rPr>
        <w:t>sastāv no sarkanā dzelzs oksīda (E 172) un šellakas.</w:t>
      </w:r>
    </w:p>
    <w:p w14:paraId="3D395457" w14:textId="77777777" w:rsidR="009F6C80" w:rsidRPr="00CD729C" w:rsidRDefault="009F6C80" w:rsidP="009B4BB6">
      <w:pPr>
        <w:widowControl w:val="0"/>
        <w:tabs>
          <w:tab w:val="clear" w:pos="567"/>
        </w:tabs>
        <w:spacing w:line="240" w:lineRule="auto"/>
        <w:rPr>
          <w:color w:val="000000"/>
        </w:rPr>
      </w:pPr>
    </w:p>
    <w:p w14:paraId="3D395458" w14:textId="77777777" w:rsidR="009F6C80" w:rsidRPr="00CD729C" w:rsidRDefault="009F6C80" w:rsidP="009B4BB6">
      <w:pPr>
        <w:keepNext/>
        <w:widowControl w:val="0"/>
        <w:tabs>
          <w:tab w:val="clear" w:pos="567"/>
        </w:tabs>
        <w:spacing w:line="240" w:lineRule="auto"/>
        <w:rPr>
          <w:b/>
          <w:color w:val="000000"/>
        </w:rPr>
      </w:pPr>
      <w:r w:rsidRPr="00CD729C">
        <w:rPr>
          <w:b/>
          <w:color w:val="000000"/>
        </w:rPr>
        <w:t>Glivec ārējais izskats un iepakojums</w:t>
      </w:r>
    </w:p>
    <w:p w14:paraId="3D395459" w14:textId="77777777" w:rsidR="009F6C80" w:rsidRPr="00CD729C" w:rsidRDefault="009F6C80" w:rsidP="009B4BB6">
      <w:pPr>
        <w:widowControl w:val="0"/>
        <w:tabs>
          <w:tab w:val="clear" w:pos="567"/>
        </w:tabs>
        <w:spacing w:line="240" w:lineRule="auto"/>
        <w:rPr>
          <w:color w:val="000000"/>
          <w:szCs w:val="22"/>
        </w:rPr>
      </w:pPr>
      <w:r w:rsidRPr="00CD729C">
        <w:rPr>
          <w:color w:val="000000"/>
          <w:szCs w:val="22"/>
        </w:rPr>
        <w:t>Glivec 100 mg kapsulas ir oranžas vai oranži pelēkas ar marķējumu “NVR SI”. Tās satur baltas vai dzeltenas krāsas pulveri.</w:t>
      </w:r>
    </w:p>
    <w:p w14:paraId="3D39545A" w14:textId="77777777" w:rsidR="009F6C80" w:rsidRPr="00CD729C" w:rsidRDefault="009F6C80" w:rsidP="009B4BB6">
      <w:pPr>
        <w:widowControl w:val="0"/>
        <w:tabs>
          <w:tab w:val="clear" w:pos="567"/>
        </w:tabs>
        <w:spacing w:line="240" w:lineRule="auto"/>
        <w:rPr>
          <w:color w:val="000000"/>
          <w:szCs w:val="22"/>
        </w:rPr>
      </w:pPr>
    </w:p>
    <w:p w14:paraId="3D39545B" w14:textId="77777777" w:rsidR="009F6C80" w:rsidRPr="00CD729C" w:rsidRDefault="009F6C80" w:rsidP="009B4BB6">
      <w:pPr>
        <w:widowControl w:val="0"/>
        <w:tabs>
          <w:tab w:val="clear" w:pos="567"/>
        </w:tabs>
        <w:spacing w:line="240" w:lineRule="auto"/>
        <w:rPr>
          <w:color w:val="000000"/>
        </w:rPr>
      </w:pPr>
      <w:r w:rsidRPr="00CD729C">
        <w:rPr>
          <w:color w:val="000000"/>
          <w:szCs w:val="22"/>
        </w:rPr>
        <w:t xml:space="preserve">Tās pieejamas iepakojumos pa </w:t>
      </w:r>
      <w:r w:rsidRPr="00CD729C">
        <w:rPr>
          <w:color w:val="000000"/>
        </w:rPr>
        <w:t>24, 48, 96, 120 vai 180 </w:t>
      </w:r>
      <w:r w:rsidRPr="00CD729C">
        <w:rPr>
          <w:color w:val="000000"/>
          <w:szCs w:val="22"/>
        </w:rPr>
        <w:t xml:space="preserve">kapsulām, bet </w:t>
      </w:r>
      <w:r w:rsidRPr="00CD729C">
        <w:rPr>
          <w:color w:val="000000"/>
        </w:rPr>
        <w:t>visi iepakojuma lielumi tirgū var nebūt pieejami</w:t>
      </w:r>
      <w:r w:rsidRPr="00CD729C">
        <w:rPr>
          <w:color w:val="000000"/>
          <w:szCs w:val="22"/>
        </w:rPr>
        <w:t>.</w:t>
      </w:r>
    </w:p>
    <w:p w14:paraId="3D39545C" w14:textId="77777777" w:rsidR="009F6C80" w:rsidRPr="00CD729C" w:rsidRDefault="009F6C80" w:rsidP="009B4BB6">
      <w:pPr>
        <w:widowControl w:val="0"/>
        <w:tabs>
          <w:tab w:val="clear" w:pos="567"/>
        </w:tabs>
        <w:spacing w:line="240" w:lineRule="auto"/>
        <w:rPr>
          <w:color w:val="000000"/>
        </w:rPr>
      </w:pPr>
    </w:p>
    <w:p w14:paraId="3D39545D" w14:textId="77777777" w:rsidR="009F6C80" w:rsidRPr="00CD729C" w:rsidRDefault="009F6C80" w:rsidP="009B4BB6">
      <w:pPr>
        <w:pStyle w:val="ParastaisTreknraksts"/>
        <w:keepNext/>
        <w:widowControl w:val="0"/>
        <w:numPr>
          <w:ilvl w:val="12"/>
          <w:numId w:val="0"/>
        </w:numPr>
        <w:ind w:left="567" w:hanging="567"/>
        <w:rPr>
          <w:color w:val="000000"/>
          <w:szCs w:val="22"/>
        </w:rPr>
      </w:pPr>
      <w:r w:rsidRPr="00CD729C">
        <w:rPr>
          <w:color w:val="000000"/>
          <w:szCs w:val="22"/>
        </w:rPr>
        <w:t>Reģistrācijas apliecības īpašnieks</w:t>
      </w:r>
    </w:p>
    <w:p w14:paraId="3D39545E" w14:textId="77777777" w:rsidR="009F6C80" w:rsidRPr="00CD729C" w:rsidRDefault="009F6C80" w:rsidP="009B4BB6">
      <w:pPr>
        <w:keepNext/>
        <w:widowControl w:val="0"/>
        <w:tabs>
          <w:tab w:val="clear" w:pos="567"/>
        </w:tabs>
        <w:spacing w:line="240" w:lineRule="auto"/>
        <w:ind w:left="567" w:hanging="567"/>
        <w:rPr>
          <w:color w:val="000000"/>
          <w:szCs w:val="22"/>
        </w:rPr>
      </w:pPr>
      <w:r w:rsidRPr="00CD729C">
        <w:rPr>
          <w:color w:val="000000"/>
          <w:szCs w:val="22"/>
        </w:rPr>
        <w:t>Novartis Europharm Limited</w:t>
      </w:r>
    </w:p>
    <w:p w14:paraId="3D39545F" w14:textId="77777777" w:rsidR="00410A76" w:rsidRPr="00EB33FE" w:rsidRDefault="00410A76" w:rsidP="009B4BB6">
      <w:pPr>
        <w:keepNext/>
        <w:widowControl w:val="0"/>
        <w:spacing w:line="240" w:lineRule="auto"/>
        <w:rPr>
          <w:color w:val="000000"/>
        </w:rPr>
      </w:pPr>
      <w:r w:rsidRPr="00EB33FE">
        <w:rPr>
          <w:color w:val="000000"/>
        </w:rPr>
        <w:t>Vista Building</w:t>
      </w:r>
    </w:p>
    <w:p w14:paraId="3D395460" w14:textId="77777777" w:rsidR="00410A76" w:rsidRPr="00EB33FE" w:rsidRDefault="00410A76" w:rsidP="009B4BB6">
      <w:pPr>
        <w:keepNext/>
        <w:widowControl w:val="0"/>
        <w:spacing w:line="240" w:lineRule="auto"/>
        <w:rPr>
          <w:color w:val="000000"/>
        </w:rPr>
      </w:pPr>
      <w:r w:rsidRPr="00EB33FE">
        <w:rPr>
          <w:color w:val="000000"/>
        </w:rPr>
        <w:t>Elm Park, Merrion Road</w:t>
      </w:r>
    </w:p>
    <w:p w14:paraId="3D395461" w14:textId="77777777" w:rsidR="00410A76" w:rsidRPr="00EB33FE" w:rsidRDefault="00410A76" w:rsidP="009B4BB6">
      <w:pPr>
        <w:keepNext/>
        <w:widowControl w:val="0"/>
        <w:spacing w:line="240" w:lineRule="auto"/>
        <w:rPr>
          <w:color w:val="000000"/>
        </w:rPr>
      </w:pPr>
      <w:r w:rsidRPr="00EB33FE">
        <w:rPr>
          <w:color w:val="000000"/>
        </w:rPr>
        <w:t>Dublin 4</w:t>
      </w:r>
    </w:p>
    <w:p w14:paraId="3D395462" w14:textId="77777777" w:rsidR="009F6C80" w:rsidRPr="00CD729C" w:rsidRDefault="00410A76" w:rsidP="009B4BB6">
      <w:pPr>
        <w:widowControl w:val="0"/>
        <w:numPr>
          <w:ilvl w:val="12"/>
          <w:numId w:val="0"/>
        </w:numPr>
        <w:tabs>
          <w:tab w:val="clear" w:pos="567"/>
        </w:tabs>
        <w:spacing w:line="240" w:lineRule="auto"/>
        <w:ind w:left="567" w:hanging="567"/>
        <w:rPr>
          <w:color w:val="000000"/>
          <w:szCs w:val="22"/>
        </w:rPr>
      </w:pPr>
      <w:r w:rsidRPr="00EB33FE">
        <w:rPr>
          <w:color w:val="000000"/>
        </w:rPr>
        <w:t>Īrija</w:t>
      </w:r>
    </w:p>
    <w:p w14:paraId="3D395463" w14:textId="77777777" w:rsidR="009F6C80" w:rsidRPr="00CD729C" w:rsidRDefault="009F6C80" w:rsidP="009B4BB6">
      <w:pPr>
        <w:widowControl w:val="0"/>
        <w:numPr>
          <w:ilvl w:val="12"/>
          <w:numId w:val="0"/>
        </w:numPr>
        <w:tabs>
          <w:tab w:val="clear" w:pos="567"/>
        </w:tabs>
        <w:spacing w:line="240" w:lineRule="auto"/>
        <w:ind w:left="567" w:hanging="567"/>
        <w:rPr>
          <w:color w:val="000000"/>
          <w:szCs w:val="22"/>
        </w:rPr>
      </w:pPr>
    </w:p>
    <w:p w14:paraId="3D395464" w14:textId="77777777" w:rsidR="009F6C80" w:rsidRPr="00CD729C" w:rsidRDefault="009F6C80" w:rsidP="009B4BB6">
      <w:pPr>
        <w:pStyle w:val="ParastaisTreknraksts"/>
        <w:keepNext/>
        <w:widowControl w:val="0"/>
        <w:numPr>
          <w:ilvl w:val="12"/>
          <w:numId w:val="0"/>
        </w:numPr>
        <w:ind w:left="567" w:hanging="567"/>
        <w:rPr>
          <w:color w:val="000000"/>
          <w:szCs w:val="22"/>
        </w:rPr>
      </w:pPr>
      <w:r w:rsidRPr="00CD729C">
        <w:rPr>
          <w:color w:val="000000"/>
          <w:szCs w:val="22"/>
        </w:rPr>
        <w:t>Ražotājs</w:t>
      </w:r>
    </w:p>
    <w:p w14:paraId="3D395465" w14:textId="77777777" w:rsidR="009F6C80" w:rsidRPr="00CD729C" w:rsidRDefault="009F6C80" w:rsidP="009B4BB6">
      <w:pPr>
        <w:keepNext/>
        <w:widowControl w:val="0"/>
        <w:numPr>
          <w:ilvl w:val="12"/>
          <w:numId w:val="0"/>
        </w:numPr>
        <w:tabs>
          <w:tab w:val="clear" w:pos="567"/>
        </w:tabs>
        <w:spacing w:line="240" w:lineRule="auto"/>
        <w:ind w:left="567" w:hanging="567"/>
        <w:rPr>
          <w:color w:val="000000"/>
          <w:szCs w:val="22"/>
        </w:rPr>
      </w:pPr>
      <w:r w:rsidRPr="00CD729C">
        <w:rPr>
          <w:color w:val="000000"/>
          <w:szCs w:val="22"/>
        </w:rPr>
        <w:t>Novartis Pharma GmbH</w:t>
      </w:r>
    </w:p>
    <w:p w14:paraId="3D395466" w14:textId="77777777" w:rsidR="009F6C80" w:rsidRPr="00CD729C" w:rsidRDefault="009F6C80" w:rsidP="009B4BB6">
      <w:pPr>
        <w:keepNext/>
        <w:widowControl w:val="0"/>
        <w:numPr>
          <w:ilvl w:val="12"/>
          <w:numId w:val="0"/>
        </w:numPr>
        <w:tabs>
          <w:tab w:val="clear" w:pos="567"/>
        </w:tabs>
        <w:spacing w:line="240" w:lineRule="auto"/>
        <w:ind w:left="567" w:hanging="567"/>
        <w:rPr>
          <w:color w:val="000000"/>
          <w:szCs w:val="22"/>
        </w:rPr>
      </w:pPr>
      <w:r w:rsidRPr="00CD729C">
        <w:rPr>
          <w:color w:val="000000"/>
          <w:szCs w:val="22"/>
        </w:rPr>
        <w:t>Roonstrasse 25</w:t>
      </w:r>
    </w:p>
    <w:p w14:paraId="3D395467" w14:textId="77777777" w:rsidR="009F6C80" w:rsidRPr="00CD729C" w:rsidRDefault="009F6C80" w:rsidP="009B4BB6">
      <w:pPr>
        <w:keepNext/>
        <w:widowControl w:val="0"/>
        <w:numPr>
          <w:ilvl w:val="12"/>
          <w:numId w:val="0"/>
        </w:numPr>
        <w:tabs>
          <w:tab w:val="clear" w:pos="567"/>
        </w:tabs>
        <w:spacing w:line="240" w:lineRule="auto"/>
        <w:ind w:left="567" w:hanging="567"/>
        <w:rPr>
          <w:color w:val="000000"/>
          <w:szCs w:val="22"/>
        </w:rPr>
      </w:pPr>
      <w:r w:rsidRPr="00CD729C">
        <w:rPr>
          <w:color w:val="000000"/>
          <w:szCs w:val="22"/>
        </w:rPr>
        <w:t>D-90429 Nürnberg</w:t>
      </w:r>
    </w:p>
    <w:p w14:paraId="3D395468" w14:textId="77777777" w:rsidR="009F6C80" w:rsidRPr="00CD729C" w:rsidRDefault="009F6C80" w:rsidP="009B4BB6">
      <w:pPr>
        <w:widowControl w:val="0"/>
        <w:numPr>
          <w:ilvl w:val="12"/>
          <w:numId w:val="0"/>
        </w:numPr>
        <w:tabs>
          <w:tab w:val="clear" w:pos="567"/>
        </w:tabs>
        <w:spacing w:line="240" w:lineRule="auto"/>
        <w:ind w:left="567" w:hanging="567"/>
        <w:rPr>
          <w:color w:val="000000"/>
          <w:szCs w:val="22"/>
        </w:rPr>
      </w:pPr>
      <w:r w:rsidRPr="00CD729C">
        <w:rPr>
          <w:color w:val="000000"/>
          <w:szCs w:val="22"/>
        </w:rPr>
        <w:t>Vācija</w:t>
      </w:r>
    </w:p>
    <w:p w14:paraId="3D395469" w14:textId="5CFAB8AF" w:rsidR="009F6C80" w:rsidRDefault="009F6C80" w:rsidP="009B4BB6">
      <w:pPr>
        <w:widowControl w:val="0"/>
        <w:numPr>
          <w:ilvl w:val="12"/>
          <w:numId w:val="0"/>
        </w:numPr>
        <w:tabs>
          <w:tab w:val="clear" w:pos="567"/>
        </w:tabs>
        <w:spacing w:line="240" w:lineRule="auto"/>
        <w:ind w:left="567" w:hanging="567"/>
        <w:rPr>
          <w:color w:val="000000"/>
          <w:szCs w:val="22"/>
        </w:rPr>
      </w:pPr>
    </w:p>
    <w:p w14:paraId="03FA8F40" w14:textId="77777777" w:rsidR="00931C1A" w:rsidRPr="00931C1A" w:rsidRDefault="00931C1A" w:rsidP="00931C1A">
      <w:pPr>
        <w:keepNext/>
        <w:widowControl w:val="0"/>
        <w:spacing w:line="240" w:lineRule="auto"/>
        <w:rPr>
          <w:szCs w:val="22"/>
          <w:shd w:val="pct15" w:color="auto" w:fill="auto"/>
        </w:rPr>
      </w:pPr>
      <w:r w:rsidRPr="00931C1A">
        <w:rPr>
          <w:szCs w:val="22"/>
          <w:shd w:val="pct15" w:color="auto" w:fill="auto"/>
        </w:rPr>
        <w:t>Sandoz S.R.L.</w:t>
      </w:r>
    </w:p>
    <w:p w14:paraId="3E563E8D" w14:textId="77777777" w:rsidR="00931C1A" w:rsidRPr="00931C1A" w:rsidRDefault="00931C1A" w:rsidP="00931C1A">
      <w:pPr>
        <w:keepNext/>
        <w:widowControl w:val="0"/>
        <w:spacing w:line="240" w:lineRule="auto"/>
        <w:rPr>
          <w:szCs w:val="22"/>
          <w:shd w:val="pct15" w:color="auto" w:fill="auto"/>
        </w:rPr>
      </w:pPr>
      <w:r w:rsidRPr="00931C1A">
        <w:rPr>
          <w:szCs w:val="22"/>
          <w:shd w:val="pct15" w:color="auto" w:fill="auto"/>
        </w:rPr>
        <w:t>Str. Livezeni nr. 7A</w:t>
      </w:r>
    </w:p>
    <w:p w14:paraId="0DAA78D3" w14:textId="77777777" w:rsidR="00931C1A" w:rsidRPr="00931C1A" w:rsidRDefault="00931C1A" w:rsidP="00931C1A">
      <w:pPr>
        <w:keepNext/>
        <w:widowControl w:val="0"/>
        <w:spacing w:line="240" w:lineRule="auto"/>
        <w:rPr>
          <w:szCs w:val="22"/>
          <w:shd w:val="pct15" w:color="auto" w:fill="auto"/>
        </w:rPr>
      </w:pPr>
      <w:r w:rsidRPr="00931C1A">
        <w:rPr>
          <w:szCs w:val="22"/>
          <w:shd w:val="pct15" w:color="auto" w:fill="auto"/>
        </w:rPr>
        <w:t>540472, Targu Mures</w:t>
      </w:r>
    </w:p>
    <w:p w14:paraId="198BF8C1" w14:textId="7B5184D0" w:rsidR="00931C1A" w:rsidRPr="00931C1A" w:rsidRDefault="00931C1A" w:rsidP="00931C1A">
      <w:pPr>
        <w:widowControl w:val="0"/>
        <w:numPr>
          <w:ilvl w:val="12"/>
          <w:numId w:val="0"/>
        </w:numPr>
        <w:tabs>
          <w:tab w:val="clear" w:pos="567"/>
        </w:tabs>
        <w:spacing w:line="240" w:lineRule="auto"/>
        <w:ind w:left="567" w:hanging="567"/>
        <w:rPr>
          <w:szCs w:val="22"/>
          <w:shd w:val="pct15" w:color="auto" w:fill="auto"/>
        </w:rPr>
      </w:pPr>
      <w:r w:rsidRPr="00931C1A">
        <w:rPr>
          <w:szCs w:val="22"/>
          <w:shd w:val="pct15" w:color="auto" w:fill="auto"/>
        </w:rPr>
        <w:t>Rumānija</w:t>
      </w:r>
    </w:p>
    <w:p w14:paraId="01611415" w14:textId="77777777" w:rsidR="00931C1A" w:rsidRPr="00CD729C" w:rsidRDefault="00931C1A" w:rsidP="00931C1A">
      <w:pPr>
        <w:widowControl w:val="0"/>
        <w:numPr>
          <w:ilvl w:val="12"/>
          <w:numId w:val="0"/>
        </w:numPr>
        <w:tabs>
          <w:tab w:val="clear" w:pos="567"/>
        </w:tabs>
        <w:spacing w:line="240" w:lineRule="auto"/>
        <w:ind w:left="567" w:hanging="567"/>
        <w:rPr>
          <w:color w:val="000000"/>
          <w:szCs w:val="22"/>
        </w:rPr>
      </w:pPr>
    </w:p>
    <w:p w14:paraId="3D39546A" w14:textId="77777777" w:rsidR="009F6C80" w:rsidRPr="00CD729C" w:rsidRDefault="009F6C80" w:rsidP="00931C1A">
      <w:pPr>
        <w:keepNext/>
        <w:numPr>
          <w:ilvl w:val="12"/>
          <w:numId w:val="0"/>
        </w:numPr>
        <w:tabs>
          <w:tab w:val="clear" w:pos="567"/>
        </w:tabs>
        <w:spacing w:line="240" w:lineRule="auto"/>
        <w:rPr>
          <w:rStyle w:val="PageNumber"/>
          <w:color w:val="000000"/>
          <w:szCs w:val="22"/>
        </w:rPr>
      </w:pPr>
      <w:r w:rsidRPr="00CD729C">
        <w:rPr>
          <w:color w:val="000000"/>
          <w:szCs w:val="22"/>
        </w:rPr>
        <w:t xml:space="preserve">Lai </w:t>
      </w:r>
      <w:r w:rsidR="003B2B72" w:rsidRPr="00CD729C">
        <w:rPr>
          <w:color w:val="000000"/>
          <w:szCs w:val="22"/>
        </w:rPr>
        <w:t xml:space="preserve">saņemtu </w:t>
      </w:r>
      <w:r w:rsidRPr="00CD729C">
        <w:rPr>
          <w:color w:val="000000"/>
          <w:szCs w:val="22"/>
        </w:rPr>
        <w:t xml:space="preserve">papildu informāciju par šīm zālēm, lūdzam sazināties ar </w:t>
      </w:r>
      <w:r w:rsidR="003B6C16" w:rsidRPr="00CD729C">
        <w:rPr>
          <w:color w:val="000000"/>
          <w:szCs w:val="22"/>
        </w:rPr>
        <w:t>r</w:t>
      </w:r>
      <w:r w:rsidRPr="00CD729C">
        <w:rPr>
          <w:color w:val="000000"/>
          <w:szCs w:val="22"/>
        </w:rPr>
        <w:t>eģistrācijas apliecības īpašnieka vietējo pārstāvniecību.</w:t>
      </w:r>
    </w:p>
    <w:p w14:paraId="3D39546B" w14:textId="77777777" w:rsidR="005B6FF1" w:rsidRPr="00CD729C" w:rsidRDefault="005B6FF1" w:rsidP="009B4BB6">
      <w:pPr>
        <w:keepNext/>
        <w:widowControl w:val="0"/>
        <w:tabs>
          <w:tab w:val="clear" w:pos="567"/>
        </w:tabs>
        <w:spacing w:line="240" w:lineRule="auto"/>
        <w:ind w:right="-449"/>
        <w:rPr>
          <w:color w:val="000000"/>
          <w:szCs w:val="22"/>
        </w:rPr>
      </w:pPr>
    </w:p>
    <w:tbl>
      <w:tblPr>
        <w:tblW w:w="9300" w:type="dxa"/>
        <w:tblLayout w:type="fixed"/>
        <w:tblLook w:val="0000" w:firstRow="0" w:lastRow="0" w:firstColumn="0" w:lastColumn="0" w:noHBand="0" w:noVBand="0"/>
      </w:tblPr>
      <w:tblGrid>
        <w:gridCol w:w="4650"/>
        <w:gridCol w:w="4650"/>
      </w:tblGrid>
      <w:tr w:rsidR="005B6FF1" w:rsidRPr="00CD729C" w14:paraId="3D395474" w14:textId="77777777" w:rsidTr="00055B57">
        <w:trPr>
          <w:cantSplit/>
        </w:trPr>
        <w:tc>
          <w:tcPr>
            <w:tcW w:w="4650" w:type="dxa"/>
          </w:tcPr>
          <w:p w14:paraId="3D39546C" w14:textId="77777777" w:rsidR="005B6FF1" w:rsidRPr="00CD729C" w:rsidRDefault="005B6FF1" w:rsidP="009B4BB6">
            <w:pPr>
              <w:widowControl w:val="0"/>
              <w:spacing w:line="240" w:lineRule="auto"/>
              <w:rPr>
                <w:b/>
                <w:color w:val="000000"/>
                <w:szCs w:val="22"/>
              </w:rPr>
            </w:pPr>
            <w:r w:rsidRPr="00CD729C">
              <w:rPr>
                <w:b/>
                <w:color w:val="000000"/>
                <w:szCs w:val="22"/>
              </w:rPr>
              <w:t>België/Belgique/Belgien</w:t>
            </w:r>
          </w:p>
          <w:p w14:paraId="3D39546D" w14:textId="77777777" w:rsidR="005B6FF1" w:rsidRPr="00CD729C" w:rsidRDefault="005B6FF1" w:rsidP="009B4BB6">
            <w:pPr>
              <w:widowControl w:val="0"/>
              <w:spacing w:line="240" w:lineRule="auto"/>
              <w:rPr>
                <w:color w:val="000000"/>
                <w:szCs w:val="22"/>
              </w:rPr>
            </w:pPr>
            <w:r w:rsidRPr="00CD729C">
              <w:rPr>
                <w:color w:val="000000"/>
                <w:szCs w:val="22"/>
              </w:rPr>
              <w:t>Novartis Pharma N.V.</w:t>
            </w:r>
          </w:p>
          <w:p w14:paraId="3D39546E" w14:textId="77777777" w:rsidR="005B6FF1" w:rsidRPr="00CD729C" w:rsidRDefault="005B6FF1" w:rsidP="009B4BB6">
            <w:pPr>
              <w:widowControl w:val="0"/>
              <w:spacing w:line="240" w:lineRule="auto"/>
              <w:rPr>
                <w:color w:val="000000"/>
                <w:szCs w:val="22"/>
              </w:rPr>
            </w:pPr>
            <w:r w:rsidRPr="00CD729C">
              <w:rPr>
                <w:color w:val="000000"/>
                <w:szCs w:val="22"/>
              </w:rPr>
              <w:t>Tél/Tel: +32 2 246 16 11</w:t>
            </w:r>
          </w:p>
          <w:p w14:paraId="3D39546F" w14:textId="77777777" w:rsidR="005B6FF1" w:rsidRPr="00CD729C" w:rsidRDefault="005B6FF1" w:rsidP="009B4BB6">
            <w:pPr>
              <w:widowControl w:val="0"/>
              <w:spacing w:line="240" w:lineRule="auto"/>
              <w:rPr>
                <w:b/>
                <w:color w:val="000000"/>
                <w:szCs w:val="22"/>
              </w:rPr>
            </w:pPr>
          </w:p>
        </w:tc>
        <w:tc>
          <w:tcPr>
            <w:tcW w:w="4650" w:type="dxa"/>
          </w:tcPr>
          <w:p w14:paraId="3D395470" w14:textId="77777777" w:rsidR="005B6FF1" w:rsidRPr="00CD729C" w:rsidRDefault="005B6FF1" w:rsidP="009B4BB6">
            <w:pPr>
              <w:widowControl w:val="0"/>
              <w:spacing w:line="240" w:lineRule="auto"/>
              <w:rPr>
                <w:b/>
                <w:color w:val="000000"/>
                <w:szCs w:val="22"/>
              </w:rPr>
            </w:pPr>
            <w:r w:rsidRPr="00CD729C">
              <w:rPr>
                <w:b/>
                <w:color w:val="000000"/>
                <w:szCs w:val="22"/>
              </w:rPr>
              <w:t>Lietuva</w:t>
            </w:r>
          </w:p>
          <w:p w14:paraId="3D395471" w14:textId="4A25F0CA" w:rsidR="00D95724" w:rsidRDefault="00E021A1" w:rsidP="009B4BB6">
            <w:pPr>
              <w:widowControl w:val="0"/>
              <w:spacing w:line="240" w:lineRule="auto"/>
              <w:rPr>
                <w:szCs w:val="22"/>
                <w:lang w:val="es-ES"/>
              </w:rPr>
            </w:pPr>
            <w:r w:rsidRPr="00E021A1">
              <w:rPr>
                <w:szCs w:val="22"/>
                <w:lang w:val="es-ES"/>
              </w:rPr>
              <w:t>SIA Novartis Baltics Lietuvos filialas</w:t>
            </w:r>
          </w:p>
          <w:p w14:paraId="3D395472" w14:textId="77777777" w:rsidR="005B6FF1" w:rsidRPr="00CD729C" w:rsidRDefault="005B6FF1" w:rsidP="009B4BB6">
            <w:pPr>
              <w:widowControl w:val="0"/>
              <w:spacing w:line="240" w:lineRule="auto"/>
              <w:rPr>
                <w:color w:val="000000"/>
                <w:szCs w:val="22"/>
              </w:rPr>
            </w:pPr>
            <w:r w:rsidRPr="00CD729C">
              <w:rPr>
                <w:color w:val="000000"/>
                <w:szCs w:val="22"/>
              </w:rPr>
              <w:t>Tel: +370 5 269 16 50</w:t>
            </w:r>
          </w:p>
          <w:p w14:paraId="3D395473" w14:textId="77777777" w:rsidR="005B6FF1" w:rsidRPr="00CD729C" w:rsidRDefault="005B6FF1" w:rsidP="009B4BB6">
            <w:pPr>
              <w:widowControl w:val="0"/>
              <w:spacing w:line="240" w:lineRule="auto"/>
              <w:rPr>
                <w:color w:val="000000"/>
                <w:szCs w:val="22"/>
              </w:rPr>
            </w:pPr>
          </w:p>
        </w:tc>
      </w:tr>
      <w:tr w:rsidR="005B6FF1" w:rsidRPr="00CD729C" w14:paraId="3D39547D" w14:textId="77777777" w:rsidTr="00055B57">
        <w:trPr>
          <w:cantSplit/>
        </w:trPr>
        <w:tc>
          <w:tcPr>
            <w:tcW w:w="4650" w:type="dxa"/>
          </w:tcPr>
          <w:p w14:paraId="3D395475" w14:textId="77777777" w:rsidR="005B6FF1" w:rsidRPr="00CD729C" w:rsidRDefault="005B6FF1" w:rsidP="009B4BB6">
            <w:pPr>
              <w:widowControl w:val="0"/>
              <w:spacing w:line="240" w:lineRule="auto"/>
              <w:rPr>
                <w:b/>
                <w:color w:val="000000"/>
                <w:szCs w:val="22"/>
              </w:rPr>
            </w:pPr>
            <w:r w:rsidRPr="00CD729C">
              <w:rPr>
                <w:b/>
                <w:color w:val="000000"/>
                <w:szCs w:val="22"/>
              </w:rPr>
              <w:t>България</w:t>
            </w:r>
          </w:p>
          <w:p w14:paraId="3D395476" w14:textId="77777777" w:rsidR="005B6FF1" w:rsidRPr="00CD729C" w:rsidRDefault="00220E8E" w:rsidP="009B4BB6">
            <w:pPr>
              <w:widowControl w:val="0"/>
              <w:spacing w:line="240" w:lineRule="auto"/>
              <w:rPr>
                <w:color w:val="000000"/>
                <w:szCs w:val="22"/>
              </w:rPr>
            </w:pPr>
            <w:r w:rsidRPr="0051657E">
              <w:rPr>
                <w:szCs w:val="22"/>
                <w:lang w:val="fr-FR"/>
              </w:rPr>
              <w:t>Novartis Bulgaria EOOD</w:t>
            </w:r>
          </w:p>
          <w:p w14:paraId="3D395477" w14:textId="77777777" w:rsidR="005B6FF1" w:rsidRPr="00CD729C" w:rsidRDefault="005B6FF1" w:rsidP="009B4BB6">
            <w:pPr>
              <w:widowControl w:val="0"/>
              <w:spacing w:line="240" w:lineRule="auto"/>
              <w:rPr>
                <w:color w:val="000000"/>
                <w:szCs w:val="22"/>
              </w:rPr>
            </w:pPr>
            <w:r w:rsidRPr="00CD729C">
              <w:rPr>
                <w:color w:val="000000"/>
                <w:szCs w:val="22"/>
              </w:rPr>
              <w:t>Тел.: +359 2 489 98 28</w:t>
            </w:r>
          </w:p>
          <w:p w14:paraId="3D395478" w14:textId="77777777" w:rsidR="005B6FF1" w:rsidRPr="00CD729C" w:rsidRDefault="005B6FF1" w:rsidP="009B4BB6">
            <w:pPr>
              <w:widowControl w:val="0"/>
              <w:spacing w:line="240" w:lineRule="auto"/>
              <w:rPr>
                <w:b/>
                <w:color w:val="000000"/>
                <w:szCs w:val="22"/>
              </w:rPr>
            </w:pPr>
          </w:p>
        </w:tc>
        <w:tc>
          <w:tcPr>
            <w:tcW w:w="4650" w:type="dxa"/>
          </w:tcPr>
          <w:p w14:paraId="3D395479" w14:textId="77777777" w:rsidR="005B6FF1" w:rsidRPr="00CD729C" w:rsidRDefault="005B6FF1" w:rsidP="009B4BB6">
            <w:pPr>
              <w:widowControl w:val="0"/>
              <w:spacing w:line="240" w:lineRule="auto"/>
              <w:rPr>
                <w:b/>
                <w:color w:val="000000"/>
                <w:szCs w:val="22"/>
              </w:rPr>
            </w:pPr>
            <w:r w:rsidRPr="00CD729C">
              <w:rPr>
                <w:b/>
                <w:color w:val="000000"/>
                <w:szCs w:val="22"/>
              </w:rPr>
              <w:t>Luxembourg/Luxemburg</w:t>
            </w:r>
          </w:p>
          <w:p w14:paraId="3D39547A" w14:textId="77777777" w:rsidR="005B6FF1" w:rsidRPr="00CD729C" w:rsidRDefault="005B6FF1" w:rsidP="009B4BB6">
            <w:pPr>
              <w:widowControl w:val="0"/>
              <w:spacing w:line="240" w:lineRule="auto"/>
              <w:rPr>
                <w:color w:val="000000"/>
                <w:szCs w:val="22"/>
              </w:rPr>
            </w:pPr>
            <w:r w:rsidRPr="00CD729C">
              <w:rPr>
                <w:color w:val="000000"/>
                <w:szCs w:val="22"/>
              </w:rPr>
              <w:t>Novartis Pharma N.V.</w:t>
            </w:r>
          </w:p>
          <w:p w14:paraId="3D39547B" w14:textId="77777777" w:rsidR="005B6FF1" w:rsidRPr="00CD729C" w:rsidRDefault="005B6FF1" w:rsidP="009B4BB6">
            <w:pPr>
              <w:widowControl w:val="0"/>
              <w:spacing w:line="240" w:lineRule="auto"/>
              <w:rPr>
                <w:color w:val="000000"/>
                <w:szCs w:val="22"/>
              </w:rPr>
            </w:pPr>
            <w:r w:rsidRPr="00CD729C">
              <w:rPr>
                <w:color w:val="000000"/>
                <w:szCs w:val="22"/>
              </w:rPr>
              <w:t>Tél/Tel: +32 2 246 16 11</w:t>
            </w:r>
          </w:p>
          <w:p w14:paraId="3D39547C" w14:textId="77777777" w:rsidR="005B6FF1" w:rsidRPr="00CD729C" w:rsidRDefault="005B6FF1" w:rsidP="009B4BB6">
            <w:pPr>
              <w:widowControl w:val="0"/>
              <w:spacing w:line="240" w:lineRule="auto"/>
              <w:rPr>
                <w:color w:val="000000"/>
                <w:szCs w:val="22"/>
              </w:rPr>
            </w:pPr>
          </w:p>
        </w:tc>
      </w:tr>
      <w:tr w:rsidR="005B6FF1" w:rsidRPr="00CD729C" w14:paraId="3D395485" w14:textId="77777777" w:rsidTr="00055B57">
        <w:trPr>
          <w:cantSplit/>
        </w:trPr>
        <w:tc>
          <w:tcPr>
            <w:tcW w:w="4650" w:type="dxa"/>
          </w:tcPr>
          <w:p w14:paraId="3D39547E" w14:textId="77777777" w:rsidR="005B6FF1" w:rsidRPr="00CD729C" w:rsidRDefault="005B6FF1" w:rsidP="009B4BB6">
            <w:pPr>
              <w:widowControl w:val="0"/>
              <w:spacing w:line="240" w:lineRule="auto"/>
              <w:rPr>
                <w:b/>
                <w:color w:val="000000"/>
                <w:szCs w:val="22"/>
              </w:rPr>
            </w:pPr>
            <w:r w:rsidRPr="00CD729C">
              <w:rPr>
                <w:b/>
                <w:color w:val="000000"/>
                <w:szCs w:val="22"/>
              </w:rPr>
              <w:t>Česká republika</w:t>
            </w:r>
          </w:p>
          <w:p w14:paraId="3D39547F" w14:textId="77777777" w:rsidR="005B6FF1" w:rsidRPr="00CD729C" w:rsidRDefault="005B6FF1" w:rsidP="009B4BB6">
            <w:pPr>
              <w:widowControl w:val="0"/>
              <w:spacing w:line="240" w:lineRule="auto"/>
              <w:rPr>
                <w:color w:val="000000"/>
                <w:szCs w:val="22"/>
              </w:rPr>
            </w:pPr>
            <w:r w:rsidRPr="00CD729C">
              <w:rPr>
                <w:color w:val="000000"/>
                <w:szCs w:val="22"/>
              </w:rPr>
              <w:t>Novartis s.r.o.</w:t>
            </w:r>
          </w:p>
          <w:p w14:paraId="3D395480" w14:textId="77777777" w:rsidR="005B6FF1" w:rsidRPr="00CD729C" w:rsidRDefault="005B6FF1" w:rsidP="009B4BB6">
            <w:pPr>
              <w:widowControl w:val="0"/>
              <w:spacing w:line="240" w:lineRule="auto"/>
              <w:rPr>
                <w:color w:val="000000"/>
                <w:szCs w:val="22"/>
              </w:rPr>
            </w:pPr>
            <w:r w:rsidRPr="00CD729C">
              <w:rPr>
                <w:color w:val="000000"/>
                <w:szCs w:val="22"/>
              </w:rPr>
              <w:t>Tel: +420 225 775 111</w:t>
            </w:r>
          </w:p>
          <w:p w14:paraId="3D395481" w14:textId="77777777" w:rsidR="005B6FF1" w:rsidRPr="00CD729C" w:rsidRDefault="005B6FF1" w:rsidP="009B4BB6">
            <w:pPr>
              <w:widowControl w:val="0"/>
              <w:spacing w:line="240" w:lineRule="auto"/>
              <w:rPr>
                <w:b/>
                <w:color w:val="000000"/>
                <w:szCs w:val="22"/>
              </w:rPr>
            </w:pPr>
          </w:p>
        </w:tc>
        <w:tc>
          <w:tcPr>
            <w:tcW w:w="4650" w:type="dxa"/>
          </w:tcPr>
          <w:p w14:paraId="3D395482" w14:textId="77777777" w:rsidR="005B6FF1" w:rsidRPr="00CD729C" w:rsidRDefault="005B6FF1" w:rsidP="009B4BB6">
            <w:pPr>
              <w:widowControl w:val="0"/>
              <w:spacing w:line="240" w:lineRule="auto"/>
              <w:rPr>
                <w:b/>
                <w:color w:val="000000"/>
                <w:szCs w:val="22"/>
              </w:rPr>
            </w:pPr>
            <w:r w:rsidRPr="00CD729C">
              <w:rPr>
                <w:b/>
                <w:color w:val="000000"/>
                <w:szCs w:val="22"/>
              </w:rPr>
              <w:t>Magyarország</w:t>
            </w:r>
          </w:p>
          <w:p w14:paraId="3D395483" w14:textId="77777777" w:rsidR="005B6FF1" w:rsidRPr="00CD729C" w:rsidRDefault="005B6FF1" w:rsidP="009B4BB6">
            <w:pPr>
              <w:widowControl w:val="0"/>
              <w:spacing w:line="240" w:lineRule="auto"/>
              <w:rPr>
                <w:color w:val="000000"/>
                <w:szCs w:val="22"/>
              </w:rPr>
            </w:pPr>
            <w:r w:rsidRPr="00CD729C">
              <w:rPr>
                <w:color w:val="000000"/>
                <w:szCs w:val="22"/>
              </w:rPr>
              <w:t>Novartis Hungária Kft.</w:t>
            </w:r>
          </w:p>
          <w:p w14:paraId="3D395484" w14:textId="77777777" w:rsidR="005B6FF1" w:rsidRPr="00CD729C" w:rsidRDefault="005B6FF1" w:rsidP="009B4BB6">
            <w:pPr>
              <w:widowControl w:val="0"/>
              <w:spacing w:line="240" w:lineRule="auto"/>
              <w:rPr>
                <w:color w:val="000000"/>
                <w:szCs w:val="22"/>
              </w:rPr>
            </w:pPr>
            <w:r w:rsidRPr="00CD729C">
              <w:rPr>
                <w:color w:val="000000"/>
                <w:szCs w:val="22"/>
              </w:rPr>
              <w:t>Tel.: +36 1 457 65 00</w:t>
            </w:r>
          </w:p>
        </w:tc>
      </w:tr>
      <w:tr w:rsidR="005B6FF1" w:rsidRPr="00CD729C" w14:paraId="3D39548D" w14:textId="77777777" w:rsidTr="00055B57">
        <w:trPr>
          <w:cantSplit/>
        </w:trPr>
        <w:tc>
          <w:tcPr>
            <w:tcW w:w="4650" w:type="dxa"/>
          </w:tcPr>
          <w:p w14:paraId="3D395486" w14:textId="77777777" w:rsidR="005B6FF1" w:rsidRPr="00CD729C" w:rsidRDefault="005B6FF1" w:rsidP="009B4BB6">
            <w:pPr>
              <w:widowControl w:val="0"/>
              <w:spacing w:line="240" w:lineRule="auto"/>
              <w:rPr>
                <w:b/>
                <w:color w:val="000000"/>
                <w:szCs w:val="22"/>
              </w:rPr>
            </w:pPr>
            <w:r w:rsidRPr="00CD729C">
              <w:rPr>
                <w:b/>
                <w:color w:val="000000"/>
                <w:szCs w:val="22"/>
              </w:rPr>
              <w:t>Danmark</w:t>
            </w:r>
          </w:p>
          <w:p w14:paraId="3D395487" w14:textId="77777777" w:rsidR="005B6FF1" w:rsidRPr="00CD729C" w:rsidRDefault="005B6FF1" w:rsidP="009B4BB6">
            <w:pPr>
              <w:widowControl w:val="0"/>
              <w:spacing w:line="240" w:lineRule="auto"/>
              <w:rPr>
                <w:color w:val="000000"/>
                <w:szCs w:val="22"/>
              </w:rPr>
            </w:pPr>
            <w:r w:rsidRPr="00CD729C">
              <w:rPr>
                <w:color w:val="000000"/>
                <w:szCs w:val="22"/>
              </w:rPr>
              <w:t>Novartis Healthcare A/S</w:t>
            </w:r>
          </w:p>
          <w:p w14:paraId="3D395488" w14:textId="77777777" w:rsidR="005B6FF1" w:rsidRPr="00CD729C" w:rsidRDefault="005B6FF1" w:rsidP="009B4BB6">
            <w:pPr>
              <w:widowControl w:val="0"/>
              <w:spacing w:line="240" w:lineRule="auto"/>
              <w:rPr>
                <w:color w:val="000000"/>
                <w:szCs w:val="22"/>
              </w:rPr>
            </w:pPr>
            <w:r w:rsidRPr="00CD729C">
              <w:rPr>
                <w:color w:val="000000"/>
                <w:szCs w:val="22"/>
              </w:rPr>
              <w:t>Tlf: +45 39 16 84 00</w:t>
            </w:r>
          </w:p>
          <w:p w14:paraId="3D395489" w14:textId="77777777" w:rsidR="005B6FF1" w:rsidRPr="00CD729C" w:rsidRDefault="005B6FF1" w:rsidP="009B4BB6">
            <w:pPr>
              <w:widowControl w:val="0"/>
              <w:spacing w:line="240" w:lineRule="auto"/>
              <w:rPr>
                <w:b/>
                <w:color w:val="000000"/>
                <w:szCs w:val="22"/>
              </w:rPr>
            </w:pPr>
          </w:p>
        </w:tc>
        <w:tc>
          <w:tcPr>
            <w:tcW w:w="4650" w:type="dxa"/>
          </w:tcPr>
          <w:p w14:paraId="3D39548A" w14:textId="77777777" w:rsidR="005B6FF1" w:rsidRPr="00CD729C" w:rsidRDefault="005B6FF1" w:rsidP="009B4BB6">
            <w:pPr>
              <w:widowControl w:val="0"/>
              <w:spacing w:line="240" w:lineRule="auto"/>
              <w:rPr>
                <w:b/>
                <w:color w:val="000000"/>
                <w:szCs w:val="22"/>
              </w:rPr>
            </w:pPr>
            <w:r w:rsidRPr="00CD729C">
              <w:rPr>
                <w:b/>
                <w:color w:val="000000"/>
                <w:szCs w:val="22"/>
              </w:rPr>
              <w:t>Malta</w:t>
            </w:r>
          </w:p>
          <w:p w14:paraId="3D39548B" w14:textId="77777777" w:rsidR="005B6FF1" w:rsidRPr="00CD729C" w:rsidRDefault="005B6FF1" w:rsidP="009B4BB6">
            <w:pPr>
              <w:widowControl w:val="0"/>
              <w:spacing w:line="240" w:lineRule="auto"/>
              <w:rPr>
                <w:color w:val="000000"/>
                <w:szCs w:val="22"/>
              </w:rPr>
            </w:pPr>
            <w:r w:rsidRPr="00CD729C">
              <w:rPr>
                <w:color w:val="000000"/>
                <w:szCs w:val="22"/>
              </w:rPr>
              <w:t>Novartis Pharma Services Inc.</w:t>
            </w:r>
          </w:p>
          <w:p w14:paraId="3D39548C" w14:textId="77777777" w:rsidR="005B6FF1" w:rsidRPr="00CD729C" w:rsidRDefault="005B6FF1" w:rsidP="009B4BB6">
            <w:pPr>
              <w:widowControl w:val="0"/>
              <w:spacing w:line="240" w:lineRule="auto"/>
              <w:rPr>
                <w:color w:val="000000"/>
                <w:szCs w:val="22"/>
              </w:rPr>
            </w:pPr>
            <w:r w:rsidRPr="00CD729C">
              <w:rPr>
                <w:color w:val="000000"/>
                <w:szCs w:val="22"/>
              </w:rPr>
              <w:t xml:space="preserve">Tel: +356 </w:t>
            </w:r>
            <w:r w:rsidRPr="00CD729C">
              <w:rPr>
                <w:color w:val="000000"/>
              </w:rPr>
              <w:t>2122 2872</w:t>
            </w:r>
          </w:p>
        </w:tc>
      </w:tr>
      <w:tr w:rsidR="005B6FF1" w:rsidRPr="00CD729C" w14:paraId="3D395495" w14:textId="77777777" w:rsidTr="00055B57">
        <w:trPr>
          <w:cantSplit/>
        </w:trPr>
        <w:tc>
          <w:tcPr>
            <w:tcW w:w="4650" w:type="dxa"/>
          </w:tcPr>
          <w:p w14:paraId="3D39548E" w14:textId="77777777" w:rsidR="005B6FF1" w:rsidRPr="00CD729C" w:rsidRDefault="005B6FF1" w:rsidP="009B4BB6">
            <w:pPr>
              <w:widowControl w:val="0"/>
              <w:spacing w:line="240" w:lineRule="auto"/>
              <w:rPr>
                <w:b/>
                <w:color w:val="000000"/>
                <w:szCs w:val="22"/>
              </w:rPr>
            </w:pPr>
            <w:r w:rsidRPr="00CD729C">
              <w:rPr>
                <w:b/>
                <w:color w:val="000000"/>
                <w:szCs w:val="22"/>
              </w:rPr>
              <w:t>Deutschland</w:t>
            </w:r>
          </w:p>
          <w:p w14:paraId="3D39548F" w14:textId="77777777" w:rsidR="005B6FF1" w:rsidRPr="00CD729C" w:rsidRDefault="005B6FF1" w:rsidP="009B4BB6">
            <w:pPr>
              <w:widowControl w:val="0"/>
              <w:spacing w:line="240" w:lineRule="auto"/>
              <w:rPr>
                <w:color w:val="000000"/>
                <w:szCs w:val="22"/>
              </w:rPr>
            </w:pPr>
            <w:r w:rsidRPr="00CD729C">
              <w:rPr>
                <w:color w:val="000000"/>
                <w:szCs w:val="22"/>
              </w:rPr>
              <w:t>Novartis Pharma GmbH</w:t>
            </w:r>
          </w:p>
          <w:p w14:paraId="3D395490" w14:textId="77777777" w:rsidR="005B6FF1" w:rsidRPr="00CD729C" w:rsidRDefault="005B6FF1" w:rsidP="009B4BB6">
            <w:pPr>
              <w:widowControl w:val="0"/>
              <w:spacing w:line="240" w:lineRule="auto"/>
              <w:rPr>
                <w:color w:val="000000"/>
                <w:szCs w:val="22"/>
              </w:rPr>
            </w:pPr>
            <w:r w:rsidRPr="00CD729C">
              <w:rPr>
                <w:color w:val="000000"/>
                <w:szCs w:val="22"/>
              </w:rPr>
              <w:t>Tel: +49 911 273 0</w:t>
            </w:r>
          </w:p>
          <w:p w14:paraId="3D395491" w14:textId="77777777" w:rsidR="005B6FF1" w:rsidRPr="00CD729C" w:rsidRDefault="005B6FF1" w:rsidP="009B4BB6">
            <w:pPr>
              <w:widowControl w:val="0"/>
              <w:spacing w:line="240" w:lineRule="auto"/>
              <w:rPr>
                <w:b/>
                <w:color w:val="000000"/>
                <w:szCs w:val="22"/>
              </w:rPr>
            </w:pPr>
          </w:p>
        </w:tc>
        <w:tc>
          <w:tcPr>
            <w:tcW w:w="4650" w:type="dxa"/>
          </w:tcPr>
          <w:p w14:paraId="3D395492" w14:textId="77777777" w:rsidR="005B6FF1" w:rsidRPr="00CD729C" w:rsidRDefault="005B6FF1" w:rsidP="009B4BB6">
            <w:pPr>
              <w:widowControl w:val="0"/>
              <w:spacing w:line="240" w:lineRule="auto"/>
              <w:rPr>
                <w:b/>
                <w:color w:val="000000"/>
                <w:szCs w:val="22"/>
              </w:rPr>
            </w:pPr>
            <w:r w:rsidRPr="00CD729C">
              <w:rPr>
                <w:b/>
                <w:color w:val="000000"/>
                <w:szCs w:val="22"/>
              </w:rPr>
              <w:t>Nederland</w:t>
            </w:r>
          </w:p>
          <w:p w14:paraId="3D395493" w14:textId="77777777" w:rsidR="005B6FF1" w:rsidRPr="00CD729C" w:rsidRDefault="005B6FF1" w:rsidP="009B4BB6">
            <w:pPr>
              <w:widowControl w:val="0"/>
              <w:spacing w:line="240" w:lineRule="auto"/>
              <w:rPr>
                <w:color w:val="000000"/>
                <w:szCs w:val="22"/>
              </w:rPr>
            </w:pPr>
            <w:r w:rsidRPr="00CD729C">
              <w:rPr>
                <w:color w:val="000000"/>
                <w:szCs w:val="22"/>
              </w:rPr>
              <w:t>Novartis Pharma B.V.</w:t>
            </w:r>
          </w:p>
          <w:p w14:paraId="3D395494" w14:textId="2C93554B" w:rsidR="005B6FF1" w:rsidRPr="00CD729C" w:rsidRDefault="005B6FF1" w:rsidP="009B4BB6">
            <w:pPr>
              <w:widowControl w:val="0"/>
              <w:spacing w:line="240" w:lineRule="auto"/>
              <w:rPr>
                <w:color w:val="000000"/>
                <w:szCs w:val="22"/>
              </w:rPr>
            </w:pPr>
            <w:r w:rsidRPr="00CD729C">
              <w:rPr>
                <w:color w:val="000000"/>
                <w:szCs w:val="22"/>
              </w:rPr>
              <w:t xml:space="preserve">Tel: +31 </w:t>
            </w:r>
            <w:r w:rsidR="001A5F16" w:rsidRPr="006F623A">
              <w:rPr>
                <w:color w:val="000000"/>
                <w:szCs w:val="22"/>
                <w:lang w:val="de-CH"/>
              </w:rPr>
              <w:t>88 04 52</w:t>
            </w:r>
            <w:r w:rsidRPr="00CD729C">
              <w:rPr>
                <w:color w:val="000000"/>
                <w:szCs w:val="22"/>
              </w:rPr>
              <w:t xml:space="preserve"> </w:t>
            </w:r>
            <w:r w:rsidR="003B2B72" w:rsidRPr="00CD729C">
              <w:rPr>
                <w:color w:val="000000"/>
                <w:szCs w:val="22"/>
              </w:rPr>
              <w:t>555</w:t>
            </w:r>
          </w:p>
        </w:tc>
      </w:tr>
      <w:tr w:rsidR="005B6FF1" w:rsidRPr="00CD729C" w14:paraId="3D39549D" w14:textId="77777777" w:rsidTr="00055B57">
        <w:trPr>
          <w:cantSplit/>
        </w:trPr>
        <w:tc>
          <w:tcPr>
            <w:tcW w:w="4650" w:type="dxa"/>
          </w:tcPr>
          <w:p w14:paraId="3D395496" w14:textId="77777777" w:rsidR="005B6FF1" w:rsidRPr="00CD729C" w:rsidRDefault="005B6FF1" w:rsidP="009B4BB6">
            <w:pPr>
              <w:widowControl w:val="0"/>
              <w:spacing w:line="240" w:lineRule="auto"/>
              <w:rPr>
                <w:b/>
                <w:color w:val="000000"/>
                <w:szCs w:val="22"/>
              </w:rPr>
            </w:pPr>
            <w:r w:rsidRPr="00CD729C">
              <w:rPr>
                <w:b/>
                <w:color w:val="000000"/>
                <w:szCs w:val="22"/>
              </w:rPr>
              <w:t>Eesti</w:t>
            </w:r>
          </w:p>
          <w:p w14:paraId="3D395497" w14:textId="77777777" w:rsidR="005B6FF1" w:rsidRPr="00CD729C" w:rsidRDefault="007357F4" w:rsidP="009B4BB6">
            <w:pPr>
              <w:widowControl w:val="0"/>
              <w:spacing w:line="240" w:lineRule="auto"/>
              <w:rPr>
                <w:color w:val="000000"/>
                <w:szCs w:val="22"/>
              </w:rPr>
            </w:pPr>
            <w:r w:rsidRPr="00D95724">
              <w:rPr>
                <w:szCs w:val="22"/>
                <w:lang w:val="it-IT"/>
              </w:rPr>
              <w:t>SIA Novartis Baltics Eesti filiaal</w:t>
            </w:r>
          </w:p>
          <w:p w14:paraId="3D395498" w14:textId="77777777" w:rsidR="005B6FF1" w:rsidRPr="00CD729C" w:rsidRDefault="005B6FF1" w:rsidP="009B4BB6">
            <w:pPr>
              <w:widowControl w:val="0"/>
              <w:spacing w:line="240" w:lineRule="auto"/>
              <w:rPr>
                <w:color w:val="000000"/>
                <w:szCs w:val="22"/>
              </w:rPr>
            </w:pPr>
            <w:r w:rsidRPr="00CD729C">
              <w:rPr>
                <w:color w:val="000000"/>
                <w:szCs w:val="22"/>
              </w:rPr>
              <w:t>Tel: +372 66 30 810</w:t>
            </w:r>
          </w:p>
          <w:p w14:paraId="3D395499" w14:textId="77777777" w:rsidR="005B6FF1" w:rsidRPr="00CD729C" w:rsidRDefault="005B6FF1" w:rsidP="009B4BB6">
            <w:pPr>
              <w:widowControl w:val="0"/>
              <w:spacing w:line="240" w:lineRule="auto"/>
              <w:rPr>
                <w:b/>
                <w:color w:val="000000"/>
                <w:szCs w:val="22"/>
              </w:rPr>
            </w:pPr>
          </w:p>
        </w:tc>
        <w:tc>
          <w:tcPr>
            <w:tcW w:w="4650" w:type="dxa"/>
          </w:tcPr>
          <w:p w14:paraId="3D39549A" w14:textId="77777777" w:rsidR="005B6FF1" w:rsidRPr="00CD729C" w:rsidRDefault="005B6FF1" w:rsidP="009B4BB6">
            <w:pPr>
              <w:widowControl w:val="0"/>
              <w:spacing w:line="240" w:lineRule="auto"/>
              <w:rPr>
                <w:b/>
                <w:color w:val="000000"/>
                <w:szCs w:val="22"/>
              </w:rPr>
            </w:pPr>
            <w:r w:rsidRPr="00CD729C">
              <w:rPr>
                <w:b/>
                <w:color w:val="000000"/>
                <w:szCs w:val="22"/>
              </w:rPr>
              <w:t>Norge</w:t>
            </w:r>
          </w:p>
          <w:p w14:paraId="3D39549B" w14:textId="77777777" w:rsidR="005B6FF1" w:rsidRPr="00CD729C" w:rsidRDefault="005B6FF1" w:rsidP="009B4BB6">
            <w:pPr>
              <w:widowControl w:val="0"/>
              <w:spacing w:line="240" w:lineRule="auto"/>
              <w:rPr>
                <w:color w:val="000000"/>
                <w:szCs w:val="22"/>
              </w:rPr>
            </w:pPr>
            <w:r w:rsidRPr="00CD729C">
              <w:rPr>
                <w:color w:val="000000"/>
                <w:szCs w:val="22"/>
              </w:rPr>
              <w:t>Novartis Norge AS</w:t>
            </w:r>
          </w:p>
          <w:p w14:paraId="3D39549C" w14:textId="77777777" w:rsidR="005B6FF1" w:rsidRPr="00CD729C" w:rsidRDefault="005B6FF1" w:rsidP="009B4BB6">
            <w:pPr>
              <w:widowControl w:val="0"/>
              <w:spacing w:line="240" w:lineRule="auto"/>
              <w:rPr>
                <w:color w:val="000000"/>
                <w:szCs w:val="22"/>
              </w:rPr>
            </w:pPr>
            <w:r w:rsidRPr="00CD729C">
              <w:rPr>
                <w:color w:val="000000"/>
                <w:szCs w:val="22"/>
              </w:rPr>
              <w:t>Tlf: +47 23 05 20 00</w:t>
            </w:r>
          </w:p>
        </w:tc>
      </w:tr>
      <w:tr w:rsidR="005B6FF1" w:rsidRPr="00CD729C" w14:paraId="3D3954A5" w14:textId="77777777" w:rsidTr="00055B57">
        <w:trPr>
          <w:cantSplit/>
        </w:trPr>
        <w:tc>
          <w:tcPr>
            <w:tcW w:w="4650" w:type="dxa"/>
          </w:tcPr>
          <w:p w14:paraId="3D39549E" w14:textId="77777777" w:rsidR="005B6FF1" w:rsidRPr="00CD729C" w:rsidRDefault="005B6FF1" w:rsidP="009B4BB6">
            <w:pPr>
              <w:widowControl w:val="0"/>
              <w:spacing w:line="240" w:lineRule="auto"/>
              <w:rPr>
                <w:b/>
                <w:color w:val="000000"/>
                <w:szCs w:val="22"/>
              </w:rPr>
            </w:pPr>
            <w:r w:rsidRPr="00CD729C">
              <w:rPr>
                <w:b/>
                <w:color w:val="000000"/>
                <w:szCs w:val="22"/>
              </w:rPr>
              <w:t>Ελλάδα</w:t>
            </w:r>
          </w:p>
          <w:p w14:paraId="3D39549F" w14:textId="77777777" w:rsidR="005B6FF1" w:rsidRPr="00CD729C" w:rsidRDefault="005B6FF1" w:rsidP="009B4BB6">
            <w:pPr>
              <w:widowControl w:val="0"/>
              <w:spacing w:line="240" w:lineRule="auto"/>
              <w:rPr>
                <w:color w:val="000000"/>
                <w:szCs w:val="22"/>
              </w:rPr>
            </w:pPr>
            <w:r w:rsidRPr="00CD729C">
              <w:rPr>
                <w:color w:val="000000"/>
                <w:szCs w:val="22"/>
              </w:rPr>
              <w:t>Novartis (Hellas) A.E.B.E.</w:t>
            </w:r>
          </w:p>
          <w:p w14:paraId="3D3954A0" w14:textId="77777777" w:rsidR="005B6FF1" w:rsidRPr="00CD729C" w:rsidRDefault="005B6FF1" w:rsidP="009B4BB6">
            <w:pPr>
              <w:widowControl w:val="0"/>
              <w:spacing w:line="240" w:lineRule="auto"/>
              <w:rPr>
                <w:color w:val="000000"/>
                <w:szCs w:val="22"/>
              </w:rPr>
            </w:pPr>
            <w:r w:rsidRPr="00CD729C">
              <w:rPr>
                <w:color w:val="000000"/>
                <w:szCs w:val="22"/>
              </w:rPr>
              <w:t>Τηλ: +30 210 281 17 12</w:t>
            </w:r>
          </w:p>
          <w:p w14:paraId="3D3954A1" w14:textId="77777777" w:rsidR="005B6FF1" w:rsidRPr="00CD729C" w:rsidRDefault="005B6FF1" w:rsidP="009B4BB6">
            <w:pPr>
              <w:widowControl w:val="0"/>
              <w:spacing w:line="240" w:lineRule="auto"/>
              <w:rPr>
                <w:b/>
                <w:color w:val="000000"/>
                <w:szCs w:val="22"/>
              </w:rPr>
            </w:pPr>
          </w:p>
        </w:tc>
        <w:tc>
          <w:tcPr>
            <w:tcW w:w="4650" w:type="dxa"/>
          </w:tcPr>
          <w:p w14:paraId="3D3954A2" w14:textId="77777777" w:rsidR="005B6FF1" w:rsidRPr="00CD729C" w:rsidRDefault="005B6FF1" w:rsidP="009B4BB6">
            <w:pPr>
              <w:widowControl w:val="0"/>
              <w:spacing w:line="240" w:lineRule="auto"/>
              <w:rPr>
                <w:b/>
                <w:color w:val="000000"/>
                <w:szCs w:val="22"/>
              </w:rPr>
            </w:pPr>
            <w:r w:rsidRPr="00CD729C">
              <w:rPr>
                <w:b/>
                <w:color w:val="000000"/>
                <w:szCs w:val="22"/>
              </w:rPr>
              <w:t>Österreich</w:t>
            </w:r>
          </w:p>
          <w:p w14:paraId="3D3954A3" w14:textId="77777777" w:rsidR="005B6FF1" w:rsidRPr="00CD729C" w:rsidRDefault="005B6FF1" w:rsidP="009B4BB6">
            <w:pPr>
              <w:widowControl w:val="0"/>
              <w:spacing w:line="240" w:lineRule="auto"/>
              <w:rPr>
                <w:color w:val="000000"/>
                <w:szCs w:val="22"/>
              </w:rPr>
            </w:pPr>
            <w:r w:rsidRPr="00CD729C">
              <w:rPr>
                <w:color w:val="000000"/>
                <w:szCs w:val="22"/>
              </w:rPr>
              <w:t>Novartis Pharma GmbH</w:t>
            </w:r>
          </w:p>
          <w:p w14:paraId="3D3954A4" w14:textId="77777777" w:rsidR="005B6FF1" w:rsidRPr="00CD729C" w:rsidRDefault="005B6FF1" w:rsidP="009B4BB6">
            <w:pPr>
              <w:widowControl w:val="0"/>
              <w:spacing w:line="240" w:lineRule="auto"/>
              <w:rPr>
                <w:color w:val="000000"/>
                <w:szCs w:val="22"/>
              </w:rPr>
            </w:pPr>
            <w:r w:rsidRPr="00CD729C">
              <w:rPr>
                <w:color w:val="000000"/>
                <w:szCs w:val="22"/>
              </w:rPr>
              <w:t>Tel: +43 1 86 6570</w:t>
            </w:r>
          </w:p>
        </w:tc>
      </w:tr>
      <w:tr w:rsidR="005B6FF1" w:rsidRPr="00CD729C" w14:paraId="3D3954AD" w14:textId="77777777" w:rsidTr="00055B57">
        <w:trPr>
          <w:cantSplit/>
        </w:trPr>
        <w:tc>
          <w:tcPr>
            <w:tcW w:w="4650" w:type="dxa"/>
          </w:tcPr>
          <w:p w14:paraId="3D3954A6" w14:textId="77777777" w:rsidR="005B6FF1" w:rsidRPr="00CD729C" w:rsidRDefault="005B6FF1" w:rsidP="009B4BB6">
            <w:pPr>
              <w:widowControl w:val="0"/>
              <w:spacing w:line="240" w:lineRule="auto"/>
              <w:rPr>
                <w:b/>
                <w:color w:val="000000"/>
                <w:szCs w:val="22"/>
              </w:rPr>
            </w:pPr>
            <w:r w:rsidRPr="00CD729C">
              <w:rPr>
                <w:b/>
                <w:color w:val="000000"/>
                <w:szCs w:val="22"/>
              </w:rPr>
              <w:t>España</w:t>
            </w:r>
          </w:p>
          <w:p w14:paraId="3D3954A7" w14:textId="77777777" w:rsidR="005B6FF1" w:rsidRPr="00CD729C" w:rsidRDefault="005B6FF1" w:rsidP="009B4BB6">
            <w:pPr>
              <w:widowControl w:val="0"/>
              <w:spacing w:line="240" w:lineRule="auto"/>
              <w:rPr>
                <w:color w:val="000000"/>
                <w:szCs w:val="22"/>
              </w:rPr>
            </w:pPr>
            <w:r w:rsidRPr="00CD729C">
              <w:rPr>
                <w:color w:val="000000"/>
                <w:szCs w:val="22"/>
              </w:rPr>
              <w:t>Novartis Farmacéutica, S.A.</w:t>
            </w:r>
          </w:p>
          <w:p w14:paraId="3D3954A8" w14:textId="77777777" w:rsidR="005B6FF1" w:rsidRPr="00CD729C" w:rsidRDefault="005B6FF1" w:rsidP="009B4BB6">
            <w:pPr>
              <w:widowControl w:val="0"/>
              <w:spacing w:line="240" w:lineRule="auto"/>
              <w:rPr>
                <w:color w:val="000000"/>
                <w:szCs w:val="22"/>
              </w:rPr>
            </w:pPr>
            <w:r w:rsidRPr="00CD729C">
              <w:rPr>
                <w:color w:val="000000"/>
                <w:szCs w:val="22"/>
              </w:rPr>
              <w:t>Tel: +34 93 306 42 00</w:t>
            </w:r>
          </w:p>
          <w:p w14:paraId="3D3954A9" w14:textId="77777777" w:rsidR="005B6FF1" w:rsidRPr="00CD729C" w:rsidRDefault="005B6FF1" w:rsidP="009B4BB6">
            <w:pPr>
              <w:widowControl w:val="0"/>
              <w:spacing w:line="240" w:lineRule="auto"/>
              <w:rPr>
                <w:b/>
                <w:color w:val="000000"/>
                <w:szCs w:val="22"/>
              </w:rPr>
            </w:pPr>
          </w:p>
        </w:tc>
        <w:tc>
          <w:tcPr>
            <w:tcW w:w="4650" w:type="dxa"/>
          </w:tcPr>
          <w:p w14:paraId="3D3954AA" w14:textId="77777777" w:rsidR="005B6FF1" w:rsidRPr="00CD729C" w:rsidRDefault="005B6FF1" w:rsidP="009B4BB6">
            <w:pPr>
              <w:widowControl w:val="0"/>
              <w:spacing w:line="240" w:lineRule="auto"/>
              <w:rPr>
                <w:b/>
                <w:color w:val="000000"/>
                <w:szCs w:val="22"/>
              </w:rPr>
            </w:pPr>
            <w:r w:rsidRPr="00CD729C">
              <w:rPr>
                <w:b/>
                <w:color w:val="000000"/>
                <w:szCs w:val="22"/>
              </w:rPr>
              <w:t>Polska</w:t>
            </w:r>
          </w:p>
          <w:p w14:paraId="3D3954AB" w14:textId="77777777" w:rsidR="005B6FF1" w:rsidRPr="00CD729C" w:rsidRDefault="005B6FF1" w:rsidP="009B4BB6">
            <w:pPr>
              <w:widowControl w:val="0"/>
              <w:spacing w:line="240" w:lineRule="auto"/>
              <w:rPr>
                <w:color w:val="000000"/>
                <w:szCs w:val="22"/>
              </w:rPr>
            </w:pPr>
            <w:r w:rsidRPr="00CD729C">
              <w:rPr>
                <w:color w:val="000000"/>
                <w:szCs w:val="22"/>
              </w:rPr>
              <w:t>Novartis Poland Sp. z o.o.</w:t>
            </w:r>
          </w:p>
          <w:p w14:paraId="3D3954AC" w14:textId="77777777" w:rsidR="005B6FF1" w:rsidRPr="00CD729C" w:rsidRDefault="005B6FF1" w:rsidP="009B4BB6">
            <w:pPr>
              <w:widowControl w:val="0"/>
              <w:spacing w:line="240" w:lineRule="auto"/>
              <w:rPr>
                <w:color w:val="000000"/>
                <w:szCs w:val="22"/>
              </w:rPr>
            </w:pPr>
            <w:r w:rsidRPr="00CD729C">
              <w:rPr>
                <w:color w:val="000000"/>
                <w:szCs w:val="22"/>
              </w:rPr>
              <w:t xml:space="preserve">Tel.: +48 22 </w:t>
            </w:r>
            <w:r w:rsidRPr="00CD729C">
              <w:rPr>
                <w:szCs w:val="22"/>
              </w:rPr>
              <w:t>375 4888</w:t>
            </w:r>
          </w:p>
        </w:tc>
      </w:tr>
      <w:tr w:rsidR="005B6FF1" w:rsidRPr="00CD729C" w14:paraId="3D3954B5" w14:textId="77777777" w:rsidTr="00055B57">
        <w:trPr>
          <w:cantSplit/>
        </w:trPr>
        <w:tc>
          <w:tcPr>
            <w:tcW w:w="4650" w:type="dxa"/>
          </w:tcPr>
          <w:p w14:paraId="3D3954AE" w14:textId="77777777" w:rsidR="005B6FF1" w:rsidRPr="00CD729C" w:rsidRDefault="005B6FF1" w:rsidP="009B4BB6">
            <w:pPr>
              <w:widowControl w:val="0"/>
              <w:spacing w:line="240" w:lineRule="auto"/>
              <w:rPr>
                <w:b/>
                <w:color w:val="000000"/>
                <w:szCs w:val="22"/>
              </w:rPr>
            </w:pPr>
            <w:r w:rsidRPr="00CD729C">
              <w:rPr>
                <w:b/>
                <w:color w:val="000000"/>
                <w:szCs w:val="22"/>
              </w:rPr>
              <w:t>France</w:t>
            </w:r>
          </w:p>
          <w:p w14:paraId="3D3954AF" w14:textId="77777777" w:rsidR="005B6FF1" w:rsidRPr="00CD729C" w:rsidRDefault="005B6FF1" w:rsidP="009B4BB6">
            <w:pPr>
              <w:widowControl w:val="0"/>
              <w:spacing w:line="240" w:lineRule="auto"/>
              <w:rPr>
                <w:color w:val="000000"/>
                <w:szCs w:val="22"/>
              </w:rPr>
            </w:pPr>
            <w:r w:rsidRPr="00CD729C">
              <w:rPr>
                <w:color w:val="000000"/>
                <w:szCs w:val="22"/>
              </w:rPr>
              <w:t>Novartis Pharma S.A.S.</w:t>
            </w:r>
          </w:p>
          <w:p w14:paraId="3D3954B0" w14:textId="77777777" w:rsidR="005B6FF1" w:rsidRPr="00CD729C" w:rsidRDefault="005B6FF1" w:rsidP="009B4BB6">
            <w:pPr>
              <w:widowControl w:val="0"/>
              <w:spacing w:line="240" w:lineRule="auto"/>
              <w:rPr>
                <w:color w:val="000000"/>
                <w:szCs w:val="22"/>
              </w:rPr>
            </w:pPr>
            <w:r w:rsidRPr="00CD729C">
              <w:rPr>
                <w:color w:val="000000"/>
                <w:szCs w:val="22"/>
              </w:rPr>
              <w:t>Tél: +33 1 55 47 66 00</w:t>
            </w:r>
          </w:p>
          <w:p w14:paraId="3D3954B1" w14:textId="77777777" w:rsidR="005B6FF1" w:rsidRPr="00CD729C" w:rsidRDefault="005B6FF1" w:rsidP="009B4BB6">
            <w:pPr>
              <w:widowControl w:val="0"/>
              <w:spacing w:line="240" w:lineRule="auto"/>
              <w:rPr>
                <w:b/>
                <w:color w:val="000000"/>
                <w:szCs w:val="22"/>
              </w:rPr>
            </w:pPr>
          </w:p>
        </w:tc>
        <w:tc>
          <w:tcPr>
            <w:tcW w:w="4650" w:type="dxa"/>
          </w:tcPr>
          <w:p w14:paraId="3D3954B2" w14:textId="77777777" w:rsidR="005B6FF1" w:rsidRPr="00CD729C" w:rsidRDefault="005B6FF1" w:rsidP="009B4BB6">
            <w:pPr>
              <w:widowControl w:val="0"/>
              <w:spacing w:line="240" w:lineRule="auto"/>
              <w:rPr>
                <w:b/>
                <w:color w:val="000000"/>
                <w:szCs w:val="22"/>
              </w:rPr>
            </w:pPr>
            <w:r w:rsidRPr="00CD729C">
              <w:rPr>
                <w:b/>
                <w:color w:val="000000"/>
                <w:szCs w:val="22"/>
              </w:rPr>
              <w:t>Portugal</w:t>
            </w:r>
          </w:p>
          <w:p w14:paraId="3D3954B3" w14:textId="77777777" w:rsidR="005B6FF1" w:rsidRPr="00CD729C" w:rsidRDefault="005B6FF1" w:rsidP="009B4BB6">
            <w:pPr>
              <w:widowControl w:val="0"/>
              <w:spacing w:line="240" w:lineRule="auto"/>
              <w:rPr>
                <w:color w:val="000000"/>
                <w:szCs w:val="22"/>
              </w:rPr>
            </w:pPr>
            <w:r w:rsidRPr="00CD729C">
              <w:rPr>
                <w:color w:val="000000"/>
                <w:szCs w:val="22"/>
              </w:rPr>
              <w:t>Novartis Farma - Produtos Farmacêuticos, S.A.</w:t>
            </w:r>
          </w:p>
          <w:p w14:paraId="3D3954B4" w14:textId="77777777" w:rsidR="005B6FF1" w:rsidRPr="00CD729C" w:rsidRDefault="005B6FF1" w:rsidP="009B4BB6">
            <w:pPr>
              <w:widowControl w:val="0"/>
              <w:spacing w:line="240" w:lineRule="auto"/>
              <w:rPr>
                <w:color w:val="000000"/>
                <w:szCs w:val="22"/>
              </w:rPr>
            </w:pPr>
            <w:r w:rsidRPr="00CD729C">
              <w:rPr>
                <w:color w:val="000000"/>
                <w:szCs w:val="22"/>
              </w:rPr>
              <w:t>Tel: +351 21 000 8600</w:t>
            </w:r>
          </w:p>
        </w:tc>
      </w:tr>
      <w:tr w:rsidR="005B6FF1" w:rsidRPr="00CD729C" w14:paraId="3D3954BD" w14:textId="77777777" w:rsidTr="00055B57">
        <w:trPr>
          <w:cantSplit/>
        </w:trPr>
        <w:tc>
          <w:tcPr>
            <w:tcW w:w="4650" w:type="dxa"/>
          </w:tcPr>
          <w:p w14:paraId="3D3954B6" w14:textId="77777777" w:rsidR="005B6FF1" w:rsidRPr="00CD729C" w:rsidRDefault="005B6FF1" w:rsidP="009B4BB6">
            <w:pPr>
              <w:widowControl w:val="0"/>
              <w:spacing w:line="240" w:lineRule="auto"/>
              <w:rPr>
                <w:rFonts w:eastAsia="PMingLiU"/>
                <w:b/>
              </w:rPr>
            </w:pPr>
            <w:r w:rsidRPr="00CD729C">
              <w:rPr>
                <w:rFonts w:eastAsia="PMingLiU"/>
                <w:b/>
              </w:rPr>
              <w:t>Hrvatska</w:t>
            </w:r>
          </w:p>
          <w:p w14:paraId="3D3954B7" w14:textId="77777777" w:rsidR="005B6FF1" w:rsidRPr="00CD729C" w:rsidRDefault="005B6FF1" w:rsidP="009B4BB6">
            <w:pPr>
              <w:widowControl w:val="0"/>
              <w:spacing w:line="240" w:lineRule="auto"/>
            </w:pPr>
            <w:r w:rsidRPr="00CD729C">
              <w:t>Novartis Hrvatska d.o.o.</w:t>
            </w:r>
          </w:p>
          <w:p w14:paraId="3D3954B8" w14:textId="77777777" w:rsidR="005B6FF1" w:rsidRPr="00CD729C" w:rsidRDefault="005B6FF1" w:rsidP="009B4BB6">
            <w:pPr>
              <w:widowControl w:val="0"/>
              <w:spacing w:line="240" w:lineRule="auto"/>
            </w:pPr>
            <w:r w:rsidRPr="00CD729C">
              <w:t>Tel. +385 1 6274 220</w:t>
            </w:r>
          </w:p>
          <w:p w14:paraId="3D3954B9" w14:textId="77777777" w:rsidR="005B6FF1" w:rsidRPr="00CD729C" w:rsidRDefault="005B6FF1" w:rsidP="009B4BB6">
            <w:pPr>
              <w:widowControl w:val="0"/>
              <w:spacing w:line="240" w:lineRule="auto"/>
              <w:rPr>
                <w:b/>
                <w:color w:val="000000"/>
                <w:szCs w:val="22"/>
              </w:rPr>
            </w:pPr>
          </w:p>
        </w:tc>
        <w:tc>
          <w:tcPr>
            <w:tcW w:w="4650" w:type="dxa"/>
          </w:tcPr>
          <w:p w14:paraId="3D3954BA" w14:textId="77777777" w:rsidR="005B6FF1" w:rsidRPr="00CD729C" w:rsidRDefault="005B6FF1" w:rsidP="009B4BB6">
            <w:pPr>
              <w:widowControl w:val="0"/>
              <w:spacing w:line="240" w:lineRule="auto"/>
              <w:rPr>
                <w:b/>
                <w:color w:val="000000"/>
                <w:szCs w:val="22"/>
              </w:rPr>
            </w:pPr>
            <w:r w:rsidRPr="00CD729C">
              <w:rPr>
                <w:b/>
                <w:color w:val="000000"/>
                <w:szCs w:val="22"/>
              </w:rPr>
              <w:t>România</w:t>
            </w:r>
          </w:p>
          <w:p w14:paraId="3D3954BB" w14:textId="77777777" w:rsidR="005B6FF1" w:rsidRPr="00CD729C" w:rsidRDefault="005B6FF1" w:rsidP="009B4BB6">
            <w:pPr>
              <w:widowControl w:val="0"/>
              <w:spacing w:line="240" w:lineRule="auto"/>
              <w:rPr>
                <w:color w:val="000000"/>
                <w:szCs w:val="22"/>
              </w:rPr>
            </w:pPr>
            <w:r w:rsidRPr="00CD729C">
              <w:rPr>
                <w:color w:val="000000"/>
                <w:szCs w:val="22"/>
              </w:rPr>
              <w:t xml:space="preserve">Novartis Pharma Services </w:t>
            </w:r>
            <w:r w:rsidRPr="00CD729C">
              <w:rPr>
                <w:color w:val="2F2F2F"/>
                <w:szCs w:val="22"/>
              </w:rPr>
              <w:t>Romania SRL</w:t>
            </w:r>
          </w:p>
          <w:p w14:paraId="3D3954BC" w14:textId="77777777" w:rsidR="005B6FF1" w:rsidRPr="00CD729C" w:rsidRDefault="005B6FF1" w:rsidP="009B4BB6">
            <w:pPr>
              <w:widowControl w:val="0"/>
              <w:spacing w:line="240" w:lineRule="auto"/>
              <w:rPr>
                <w:color w:val="000000"/>
                <w:szCs w:val="22"/>
              </w:rPr>
            </w:pPr>
            <w:r w:rsidRPr="00CD729C">
              <w:rPr>
                <w:color w:val="000000"/>
                <w:szCs w:val="22"/>
              </w:rPr>
              <w:t>Tel: +40 21 31299 01</w:t>
            </w:r>
          </w:p>
        </w:tc>
      </w:tr>
      <w:tr w:rsidR="005B6FF1" w:rsidRPr="00CD729C" w14:paraId="3D3954C5" w14:textId="77777777" w:rsidTr="00055B57">
        <w:trPr>
          <w:cantSplit/>
        </w:trPr>
        <w:tc>
          <w:tcPr>
            <w:tcW w:w="4650" w:type="dxa"/>
          </w:tcPr>
          <w:p w14:paraId="3D3954BE" w14:textId="77777777" w:rsidR="005B6FF1" w:rsidRPr="00CD729C" w:rsidRDefault="005B6FF1" w:rsidP="009B4BB6">
            <w:pPr>
              <w:widowControl w:val="0"/>
              <w:spacing w:line="240" w:lineRule="auto"/>
              <w:rPr>
                <w:b/>
                <w:color w:val="000000"/>
                <w:szCs w:val="22"/>
              </w:rPr>
            </w:pPr>
            <w:r w:rsidRPr="00CD729C">
              <w:rPr>
                <w:b/>
                <w:color w:val="000000"/>
                <w:szCs w:val="22"/>
              </w:rPr>
              <w:t>Ireland</w:t>
            </w:r>
          </w:p>
          <w:p w14:paraId="3D3954BF" w14:textId="77777777" w:rsidR="005B6FF1" w:rsidRPr="00CD729C" w:rsidRDefault="005B6FF1" w:rsidP="009B4BB6">
            <w:pPr>
              <w:widowControl w:val="0"/>
              <w:spacing w:line="240" w:lineRule="auto"/>
              <w:rPr>
                <w:color w:val="000000"/>
                <w:szCs w:val="22"/>
              </w:rPr>
            </w:pPr>
            <w:r w:rsidRPr="00CD729C">
              <w:rPr>
                <w:color w:val="000000"/>
                <w:szCs w:val="22"/>
              </w:rPr>
              <w:t>Novartis Ireland Limited</w:t>
            </w:r>
          </w:p>
          <w:p w14:paraId="3D3954C0" w14:textId="77777777" w:rsidR="005B6FF1" w:rsidRPr="00CD729C" w:rsidRDefault="005B6FF1" w:rsidP="009B4BB6">
            <w:pPr>
              <w:widowControl w:val="0"/>
              <w:spacing w:line="240" w:lineRule="auto"/>
              <w:rPr>
                <w:color w:val="000000"/>
                <w:szCs w:val="22"/>
              </w:rPr>
            </w:pPr>
            <w:r w:rsidRPr="00CD729C">
              <w:rPr>
                <w:color w:val="000000"/>
                <w:szCs w:val="22"/>
              </w:rPr>
              <w:t>Tel: +353 1 260 12 55</w:t>
            </w:r>
          </w:p>
          <w:p w14:paraId="3D3954C1" w14:textId="77777777" w:rsidR="005B6FF1" w:rsidRPr="00CD729C" w:rsidRDefault="005B6FF1" w:rsidP="009B4BB6">
            <w:pPr>
              <w:widowControl w:val="0"/>
              <w:spacing w:line="240" w:lineRule="auto"/>
              <w:rPr>
                <w:b/>
                <w:color w:val="000000"/>
                <w:szCs w:val="22"/>
              </w:rPr>
            </w:pPr>
          </w:p>
        </w:tc>
        <w:tc>
          <w:tcPr>
            <w:tcW w:w="4650" w:type="dxa"/>
          </w:tcPr>
          <w:p w14:paraId="3D3954C2" w14:textId="77777777" w:rsidR="005B6FF1" w:rsidRPr="00CD729C" w:rsidRDefault="005B6FF1" w:rsidP="009B4BB6">
            <w:pPr>
              <w:widowControl w:val="0"/>
              <w:spacing w:line="240" w:lineRule="auto"/>
              <w:rPr>
                <w:b/>
                <w:color w:val="000000"/>
                <w:szCs w:val="22"/>
              </w:rPr>
            </w:pPr>
            <w:r w:rsidRPr="00CD729C">
              <w:rPr>
                <w:b/>
                <w:color w:val="000000"/>
                <w:szCs w:val="22"/>
              </w:rPr>
              <w:t>Slovenija</w:t>
            </w:r>
          </w:p>
          <w:p w14:paraId="3D3954C3" w14:textId="77777777" w:rsidR="005B6FF1" w:rsidRPr="00CD729C" w:rsidRDefault="005B6FF1" w:rsidP="009B4BB6">
            <w:pPr>
              <w:widowControl w:val="0"/>
              <w:spacing w:line="240" w:lineRule="auto"/>
              <w:rPr>
                <w:color w:val="000000"/>
                <w:szCs w:val="22"/>
              </w:rPr>
            </w:pPr>
            <w:r w:rsidRPr="00CD729C">
              <w:rPr>
                <w:color w:val="000000"/>
                <w:szCs w:val="22"/>
              </w:rPr>
              <w:t>Novartis Pharma Services Inc.</w:t>
            </w:r>
          </w:p>
          <w:p w14:paraId="3D3954C4" w14:textId="77777777" w:rsidR="005B6FF1" w:rsidRPr="00CD729C" w:rsidRDefault="005B6FF1" w:rsidP="009B4BB6">
            <w:pPr>
              <w:widowControl w:val="0"/>
              <w:spacing w:line="240" w:lineRule="auto"/>
              <w:rPr>
                <w:color w:val="000000"/>
                <w:szCs w:val="22"/>
              </w:rPr>
            </w:pPr>
            <w:r w:rsidRPr="00CD729C">
              <w:rPr>
                <w:color w:val="000000"/>
                <w:szCs w:val="22"/>
              </w:rPr>
              <w:t>Tel: +386 1 300 75 50</w:t>
            </w:r>
          </w:p>
        </w:tc>
      </w:tr>
      <w:tr w:rsidR="005B6FF1" w:rsidRPr="00CD729C" w14:paraId="3D3954CE" w14:textId="77777777" w:rsidTr="00055B57">
        <w:trPr>
          <w:cantSplit/>
        </w:trPr>
        <w:tc>
          <w:tcPr>
            <w:tcW w:w="4650" w:type="dxa"/>
          </w:tcPr>
          <w:p w14:paraId="3D3954C6" w14:textId="77777777" w:rsidR="005B6FF1" w:rsidRPr="00CD729C" w:rsidRDefault="005B6FF1" w:rsidP="009B4BB6">
            <w:pPr>
              <w:widowControl w:val="0"/>
              <w:spacing w:line="240" w:lineRule="auto"/>
              <w:rPr>
                <w:b/>
                <w:color w:val="000000"/>
                <w:szCs w:val="22"/>
              </w:rPr>
            </w:pPr>
            <w:r w:rsidRPr="00CD729C">
              <w:rPr>
                <w:b/>
                <w:color w:val="000000"/>
                <w:szCs w:val="22"/>
              </w:rPr>
              <w:t>Ísland</w:t>
            </w:r>
          </w:p>
          <w:p w14:paraId="3D3954C7" w14:textId="77777777" w:rsidR="005B6FF1" w:rsidRPr="00CD729C" w:rsidRDefault="005B6FF1" w:rsidP="009B4BB6">
            <w:pPr>
              <w:widowControl w:val="0"/>
              <w:spacing w:line="240" w:lineRule="auto"/>
              <w:rPr>
                <w:color w:val="000000"/>
                <w:szCs w:val="22"/>
              </w:rPr>
            </w:pPr>
            <w:r w:rsidRPr="00CD729C">
              <w:rPr>
                <w:color w:val="000000"/>
                <w:szCs w:val="22"/>
              </w:rPr>
              <w:t>Vistor hf.</w:t>
            </w:r>
          </w:p>
          <w:p w14:paraId="3D3954C8" w14:textId="77777777" w:rsidR="005B6FF1" w:rsidRPr="00CD729C" w:rsidRDefault="005B6FF1" w:rsidP="009B4BB6">
            <w:pPr>
              <w:widowControl w:val="0"/>
              <w:spacing w:line="240" w:lineRule="auto"/>
              <w:rPr>
                <w:color w:val="000000"/>
                <w:szCs w:val="22"/>
              </w:rPr>
            </w:pPr>
            <w:r w:rsidRPr="00CD729C">
              <w:rPr>
                <w:color w:val="000000"/>
              </w:rPr>
              <w:t>Sími</w:t>
            </w:r>
            <w:r w:rsidRPr="00CD729C">
              <w:rPr>
                <w:color w:val="000000"/>
                <w:szCs w:val="22"/>
              </w:rPr>
              <w:t>: +354 535 7000</w:t>
            </w:r>
          </w:p>
          <w:p w14:paraId="3D3954C9" w14:textId="77777777" w:rsidR="005B6FF1" w:rsidRPr="00CD729C" w:rsidRDefault="005B6FF1" w:rsidP="009B4BB6">
            <w:pPr>
              <w:widowControl w:val="0"/>
              <w:spacing w:line="240" w:lineRule="auto"/>
              <w:rPr>
                <w:b/>
                <w:color w:val="000000"/>
                <w:szCs w:val="22"/>
              </w:rPr>
            </w:pPr>
          </w:p>
        </w:tc>
        <w:tc>
          <w:tcPr>
            <w:tcW w:w="4650" w:type="dxa"/>
          </w:tcPr>
          <w:p w14:paraId="3D3954CA" w14:textId="77777777" w:rsidR="005B6FF1" w:rsidRPr="00CD729C" w:rsidRDefault="005B6FF1" w:rsidP="009B4BB6">
            <w:pPr>
              <w:widowControl w:val="0"/>
              <w:spacing w:line="240" w:lineRule="auto"/>
              <w:rPr>
                <w:b/>
                <w:color w:val="000000"/>
                <w:szCs w:val="22"/>
              </w:rPr>
            </w:pPr>
            <w:r w:rsidRPr="00CD729C">
              <w:rPr>
                <w:b/>
                <w:color w:val="000000"/>
                <w:szCs w:val="22"/>
              </w:rPr>
              <w:t>Slovenská republika</w:t>
            </w:r>
          </w:p>
          <w:p w14:paraId="3D3954CB" w14:textId="77777777" w:rsidR="005B6FF1" w:rsidRPr="00CD729C" w:rsidRDefault="005B6FF1" w:rsidP="009B4BB6">
            <w:pPr>
              <w:widowControl w:val="0"/>
              <w:spacing w:line="240" w:lineRule="auto"/>
              <w:rPr>
                <w:color w:val="000000"/>
                <w:szCs w:val="22"/>
              </w:rPr>
            </w:pPr>
            <w:r w:rsidRPr="00CD729C">
              <w:rPr>
                <w:color w:val="000000"/>
                <w:szCs w:val="22"/>
              </w:rPr>
              <w:t>Novartis Slovakia s.r.o.</w:t>
            </w:r>
          </w:p>
          <w:p w14:paraId="3D3954CC" w14:textId="77777777" w:rsidR="005B6FF1" w:rsidRPr="00CD729C" w:rsidRDefault="005B6FF1" w:rsidP="009B4BB6">
            <w:pPr>
              <w:widowControl w:val="0"/>
              <w:spacing w:line="240" w:lineRule="auto"/>
              <w:rPr>
                <w:color w:val="000000"/>
                <w:szCs w:val="22"/>
              </w:rPr>
            </w:pPr>
            <w:r w:rsidRPr="00CD729C">
              <w:rPr>
                <w:color w:val="000000"/>
                <w:szCs w:val="22"/>
              </w:rPr>
              <w:t>Tel: +421 2 5542 5439</w:t>
            </w:r>
          </w:p>
          <w:p w14:paraId="3D3954CD" w14:textId="77777777" w:rsidR="005B6FF1" w:rsidRPr="00CD729C" w:rsidRDefault="005B6FF1" w:rsidP="009B4BB6">
            <w:pPr>
              <w:widowControl w:val="0"/>
              <w:spacing w:line="240" w:lineRule="auto"/>
              <w:rPr>
                <w:color w:val="000000"/>
                <w:szCs w:val="22"/>
              </w:rPr>
            </w:pPr>
          </w:p>
        </w:tc>
      </w:tr>
      <w:tr w:rsidR="005B6FF1" w:rsidRPr="00CD729C" w14:paraId="3D3954D6" w14:textId="77777777" w:rsidTr="00055B57">
        <w:trPr>
          <w:cantSplit/>
        </w:trPr>
        <w:tc>
          <w:tcPr>
            <w:tcW w:w="4650" w:type="dxa"/>
          </w:tcPr>
          <w:p w14:paraId="3D3954CF" w14:textId="77777777" w:rsidR="005B6FF1" w:rsidRPr="00CD729C" w:rsidRDefault="005B6FF1" w:rsidP="009B4BB6">
            <w:pPr>
              <w:widowControl w:val="0"/>
              <w:spacing w:line="240" w:lineRule="auto"/>
              <w:rPr>
                <w:b/>
                <w:color w:val="000000"/>
                <w:szCs w:val="22"/>
              </w:rPr>
            </w:pPr>
            <w:r w:rsidRPr="00CD729C">
              <w:rPr>
                <w:b/>
                <w:color w:val="000000"/>
                <w:szCs w:val="22"/>
              </w:rPr>
              <w:t>Italia</w:t>
            </w:r>
          </w:p>
          <w:p w14:paraId="3D3954D0" w14:textId="77777777" w:rsidR="005B6FF1" w:rsidRPr="00CD729C" w:rsidRDefault="005B6FF1" w:rsidP="009B4BB6">
            <w:pPr>
              <w:widowControl w:val="0"/>
              <w:spacing w:line="240" w:lineRule="auto"/>
              <w:rPr>
                <w:color w:val="000000"/>
                <w:szCs w:val="22"/>
              </w:rPr>
            </w:pPr>
            <w:r w:rsidRPr="00CD729C">
              <w:rPr>
                <w:color w:val="000000"/>
                <w:szCs w:val="22"/>
              </w:rPr>
              <w:t>Novartis Farma S.p.A.</w:t>
            </w:r>
          </w:p>
          <w:p w14:paraId="3D3954D1" w14:textId="77777777" w:rsidR="005B6FF1" w:rsidRPr="00CD729C" w:rsidRDefault="005B6FF1" w:rsidP="009B4BB6">
            <w:pPr>
              <w:widowControl w:val="0"/>
              <w:spacing w:line="240" w:lineRule="auto"/>
              <w:rPr>
                <w:b/>
                <w:color w:val="000000"/>
                <w:szCs w:val="22"/>
              </w:rPr>
            </w:pPr>
            <w:r w:rsidRPr="00CD729C">
              <w:rPr>
                <w:color w:val="000000"/>
                <w:szCs w:val="22"/>
              </w:rPr>
              <w:t>Tel: +39 02 96 54 1</w:t>
            </w:r>
          </w:p>
        </w:tc>
        <w:tc>
          <w:tcPr>
            <w:tcW w:w="4650" w:type="dxa"/>
          </w:tcPr>
          <w:p w14:paraId="3D3954D2" w14:textId="77777777" w:rsidR="005B6FF1" w:rsidRPr="00CD729C" w:rsidRDefault="005B6FF1" w:rsidP="009B4BB6">
            <w:pPr>
              <w:widowControl w:val="0"/>
              <w:spacing w:line="240" w:lineRule="auto"/>
              <w:rPr>
                <w:b/>
                <w:color w:val="000000"/>
                <w:szCs w:val="22"/>
              </w:rPr>
            </w:pPr>
            <w:r w:rsidRPr="00CD729C">
              <w:rPr>
                <w:b/>
                <w:color w:val="000000"/>
                <w:szCs w:val="22"/>
              </w:rPr>
              <w:t>Suomi/Finland</w:t>
            </w:r>
          </w:p>
          <w:p w14:paraId="3D3954D3" w14:textId="77777777" w:rsidR="005B6FF1" w:rsidRPr="00CD729C" w:rsidRDefault="005B6FF1" w:rsidP="009B4BB6">
            <w:pPr>
              <w:widowControl w:val="0"/>
              <w:spacing w:line="240" w:lineRule="auto"/>
              <w:rPr>
                <w:color w:val="000000"/>
                <w:szCs w:val="22"/>
              </w:rPr>
            </w:pPr>
            <w:r w:rsidRPr="00CD729C">
              <w:rPr>
                <w:color w:val="000000"/>
                <w:szCs w:val="22"/>
              </w:rPr>
              <w:t>Novartis Finland Oy</w:t>
            </w:r>
          </w:p>
          <w:p w14:paraId="3D3954D4" w14:textId="77777777" w:rsidR="005B6FF1" w:rsidRPr="00CD729C" w:rsidRDefault="005B6FF1" w:rsidP="009B4BB6">
            <w:pPr>
              <w:widowControl w:val="0"/>
              <w:spacing w:line="240" w:lineRule="auto"/>
              <w:rPr>
                <w:color w:val="000000"/>
                <w:szCs w:val="22"/>
              </w:rPr>
            </w:pPr>
            <w:r w:rsidRPr="00CD729C">
              <w:rPr>
                <w:color w:val="000000"/>
                <w:szCs w:val="22"/>
              </w:rPr>
              <w:t xml:space="preserve">Puh/Tel: </w:t>
            </w:r>
            <w:r w:rsidRPr="00CD729C">
              <w:rPr>
                <w:color w:val="000000"/>
                <w:szCs w:val="22"/>
                <w:lang w:bidi="he-IL"/>
              </w:rPr>
              <w:t>+358 (0)10 6133 200</w:t>
            </w:r>
          </w:p>
          <w:p w14:paraId="3D3954D5" w14:textId="77777777" w:rsidR="005B6FF1" w:rsidRPr="00CD729C" w:rsidRDefault="005B6FF1" w:rsidP="009B4BB6">
            <w:pPr>
              <w:widowControl w:val="0"/>
              <w:spacing w:line="240" w:lineRule="auto"/>
              <w:rPr>
                <w:color w:val="000000"/>
                <w:szCs w:val="22"/>
              </w:rPr>
            </w:pPr>
          </w:p>
        </w:tc>
      </w:tr>
      <w:tr w:rsidR="005B6FF1" w:rsidRPr="00CD729C" w14:paraId="3D3954DF" w14:textId="77777777" w:rsidTr="00055B57">
        <w:trPr>
          <w:cantSplit/>
        </w:trPr>
        <w:tc>
          <w:tcPr>
            <w:tcW w:w="4650" w:type="dxa"/>
          </w:tcPr>
          <w:p w14:paraId="3D3954D7" w14:textId="77777777" w:rsidR="005B6FF1" w:rsidRPr="00CD729C" w:rsidRDefault="005B6FF1" w:rsidP="009B4BB6">
            <w:pPr>
              <w:widowControl w:val="0"/>
              <w:spacing w:line="240" w:lineRule="auto"/>
              <w:rPr>
                <w:b/>
                <w:color w:val="000000"/>
                <w:szCs w:val="22"/>
              </w:rPr>
            </w:pPr>
            <w:r w:rsidRPr="00CD729C">
              <w:rPr>
                <w:b/>
                <w:color w:val="000000"/>
                <w:szCs w:val="22"/>
              </w:rPr>
              <w:t>Κύπρος</w:t>
            </w:r>
          </w:p>
          <w:p w14:paraId="3D3954D8" w14:textId="77777777" w:rsidR="005B6FF1" w:rsidRPr="00CD729C" w:rsidRDefault="005B6FF1" w:rsidP="009B4BB6">
            <w:pPr>
              <w:widowControl w:val="0"/>
              <w:spacing w:line="240" w:lineRule="auto"/>
              <w:rPr>
                <w:color w:val="000000"/>
                <w:szCs w:val="22"/>
              </w:rPr>
            </w:pPr>
            <w:r w:rsidRPr="00CD729C">
              <w:rPr>
                <w:color w:val="000000"/>
                <w:szCs w:val="22"/>
                <w:lang w:bidi="he-IL"/>
              </w:rPr>
              <w:t>Novartis Pharma Services Inc.</w:t>
            </w:r>
          </w:p>
          <w:p w14:paraId="3D3954D9" w14:textId="77777777" w:rsidR="005B6FF1" w:rsidRPr="00CD729C" w:rsidRDefault="005B6FF1" w:rsidP="009B4BB6">
            <w:pPr>
              <w:widowControl w:val="0"/>
              <w:spacing w:line="240" w:lineRule="auto"/>
              <w:rPr>
                <w:color w:val="000000"/>
                <w:szCs w:val="22"/>
              </w:rPr>
            </w:pPr>
            <w:r w:rsidRPr="00CD729C">
              <w:rPr>
                <w:color w:val="000000"/>
                <w:szCs w:val="22"/>
              </w:rPr>
              <w:t>Τηλ: +357 22 690 690</w:t>
            </w:r>
          </w:p>
          <w:p w14:paraId="3D3954DA" w14:textId="77777777" w:rsidR="005B6FF1" w:rsidRPr="00CD729C" w:rsidRDefault="005B6FF1" w:rsidP="009B4BB6">
            <w:pPr>
              <w:widowControl w:val="0"/>
              <w:spacing w:line="240" w:lineRule="auto"/>
              <w:rPr>
                <w:b/>
                <w:color w:val="000000"/>
                <w:szCs w:val="22"/>
              </w:rPr>
            </w:pPr>
          </w:p>
        </w:tc>
        <w:tc>
          <w:tcPr>
            <w:tcW w:w="4650" w:type="dxa"/>
          </w:tcPr>
          <w:p w14:paraId="3D3954DB" w14:textId="77777777" w:rsidR="005B6FF1" w:rsidRPr="00CD729C" w:rsidRDefault="005B6FF1" w:rsidP="009B4BB6">
            <w:pPr>
              <w:widowControl w:val="0"/>
              <w:spacing w:line="240" w:lineRule="auto"/>
              <w:rPr>
                <w:b/>
                <w:color w:val="000000"/>
                <w:szCs w:val="22"/>
              </w:rPr>
            </w:pPr>
            <w:r w:rsidRPr="00CD729C">
              <w:rPr>
                <w:b/>
                <w:color w:val="000000"/>
                <w:szCs w:val="22"/>
              </w:rPr>
              <w:t>Sverige</w:t>
            </w:r>
          </w:p>
          <w:p w14:paraId="3D3954DC" w14:textId="77777777" w:rsidR="005B6FF1" w:rsidRPr="00CD729C" w:rsidRDefault="005B6FF1" w:rsidP="009B4BB6">
            <w:pPr>
              <w:widowControl w:val="0"/>
              <w:spacing w:line="240" w:lineRule="auto"/>
              <w:rPr>
                <w:color w:val="000000"/>
                <w:szCs w:val="22"/>
              </w:rPr>
            </w:pPr>
            <w:r w:rsidRPr="00CD729C">
              <w:rPr>
                <w:color w:val="000000"/>
                <w:szCs w:val="22"/>
              </w:rPr>
              <w:t>Novartis Sverige AB</w:t>
            </w:r>
          </w:p>
          <w:p w14:paraId="3D3954DD" w14:textId="77777777" w:rsidR="005B6FF1" w:rsidRPr="00CD729C" w:rsidRDefault="005B6FF1" w:rsidP="009B4BB6">
            <w:pPr>
              <w:widowControl w:val="0"/>
              <w:spacing w:line="240" w:lineRule="auto"/>
              <w:rPr>
                <w:color w:val="000000"/>
                <w:szCs w:val="22"/>
              </w:rPr>
            </w:pPr>
            <w:r w:rsidRPr="00CD729C">
              <w:rPr>
                <w:color w:val="000000"/>
                <w:szCs w:val="22"/>
              </w:rPr>
              <w:t>Tel: +46 8 732 32 00</w:t>
            </w:r>
          </w:p>
          <w:p w14:paraId="3D3954DE" w14:textId="77777777" w:rsidR="005B6FF1" w:rsidRPr="00CD729C" w:rsidRDefault="005B6FF1" w:rsidP="009B4BB6">
            <w:pPr>
              <w:widowControl w:val="0"/>
              <w:spacing w:line="240" w:lineRule="auto"/>
              <w:rPr>
                <w:color w:val="000000"/>
                <w:szCs w:val="22"/>
              </w:rPr>
            </w:pPr>
          </w:p>
        </w:tc>
      </w:tr>
      <w:tr w:rsidR="005B6FF1" w:rsidRPr="00CD729C" w14:paraId="3D3954E8" w14:textId="77777777" w:rsidTr="00055B57">
        <w:trPr>
          <w:cantSplit/>
        </w:trPr>
        <w:tc>
          <w:tcPr>
            <w:tcW w:w="4650" w:type="dxa"/>
          </w:tcPr>
          <w:p w14:paraId="3D3954E0" w14:textId="77777777" w:rsidR="005B6FF1" w:rsidRPr="00CD729C" w:rsidRDefault="005B6FF1" w:rsidP="009B4BB6">
            <w:pPr>
              <w:widowControl w:val="0"/>
              <w:spacing w:line="240" w:lineRule="auto"/>
              <w:rPr>
                <w:b/>
                <w:color w:val="000000"/>
                <w:szCs w:val="22"/>
              </w:rPr>
            </w:pPr>
            <w:r w:rsidRPr="00CD729C">
              <w:rPr>
                <w:b/>
                <w:color w:val="000000"/>
                <w:szCs w:val="22"/>
              </w:rPr>
              <w:t>Latvija</w:t>
            </w:r>
          </w:p>
          <w:p w14:paraId="3D3954E1" w14:textId="33C956C6" w:rsidR="005B6FF1" w:rsidRPr="00CD729C" w:rsidRDefault="00220E8E" w:rsidP="009B4BB6">
            <w:pPr>
              <w:widowControl w:val="0"/>
              <w:spacing w:line="240" w:lineRule="auto"/>
              <w:rPr>
                <w:color w:val="000000"/>
                <w:szCs w:val="22"/>
              </w:rPr>
            </w:pPr>
            <w:r w:rsidRPr="0051657E">
              <w:rPr>
                <w:szCs w:val="22"/>
                <w:lang w:val="it-IT"/>
              </w:rPr>
              <w:t>SIA Novartis Baltics</w:t>
            </w:r>
          </w:p>
          <w:p w14:paraId="3D3954E2" w14:textId="77777777" w:rsidR="005B6FF1" w:rsidRPr="00CD729C" w:rsidRDefault="005B6FF1" w:rsidP="009B4BB6">
            <w:pPr>
              <w:widowControl w:val="0"/>
              <w:spacing w:line="240" w:lineRule="auto"/>
              <w:rPr>
                <w:color w:val="000000"/>
                <w:szCs w:val="22"/>
              </w:rPr>
            </w:pPr>
            <w:r w:rsidRPr="00CD729C">
              <w:rPr>
                <w:color w:val="000000"/>
                <w:szCs w:val="22"/>
              </w:rPr>
              <w:t>Tel: +371 67 887 070</w:t>
            </w:r>
          </w:p>
          <w:p w14:paraId="3D3954E3" w14:textId="77777777" w:rsidR="005B6FF1" w:rsidRPr="00CD729C" w:rsidRDefault="005B6FF1" w:rsidP="009B4BB6">
            <w:pPr>
              <w:widowControl w:val="0"/>
              <w:spacing w:line="240" w:lineRule="auto"/>
              <w:rPr>
                <w:b/>
                <w:color w:val="000000"/>
                <w:szCs w:val="22"/>
              </w:rPr>
            </w:pPr>
          </w:p>
        </w:tc>
        <w:tc>
          <w:tcPr>
            <w:tcW w:w="4650" w:type="dxa"/>
          </w:tcPr>
          <w:p w14:paraId="3D3954E4" w14:textId="77777777" w:rsidR="005B6FF1" w:rsidRPr="00CD729C" w:rsidRDefault="005B6FF1" w:rsidP="009B4BB6">
            <w:pPr>
              <w:widowControl w:val="0"/>
              <w:spacing w:line="240" w:lineRule="auto"/>
              <w:rPr>
                <w:b/>
                <w:color w:val="000000"/>
                <w:szCs w:val="22"/>
              </w:rPr>
            </w:pPr>
            <w:r w:rsidRPr="00CD729C">
              <w:rPr>
                <w:b/>
                <w:color w:val="000000"/>
                <w:szCs w:val="22"/>
              </w:rPr>
              <w:t>United Kingdom</w:t>
            </w:r>
          </w:p>
          <w:p w14:paraId="3D3954E5" w14:textId="77777777" w:rsidR="005B6FF1" w:rsidRPr="00CD729C" w:rsidRDefault="005B6FF1" w:rsidP="009B4BB6">
            <w:pPr>
              <w:widowControl w:val="0"/>
              <w:spacing w:line="240" w:lineRule="auto"/>
              <w:rPr>
                <w:color w:val="000000"/>
                <w:szCs w:val="22"/>
              </w:rPr>
            </w:pPr>
            <w:r w:rsidRPr="00CD729C">
              <w:rPr>
                <w:color w:val="000000"/>
                <w:szCs w:val="22"/>
              </w:rPr>
              <w:t>Novartis Pharmaceuticals UK Ltd.</w:t>
            </w:r>
          </w:p>
          <w:p w14:paraId="3D3954E6" w14:textId="77777777" w:rsidR="005B6FF1" w:rsidRPr="00CD729C" w:rsidRDefault="005B6FF1" w:rsidP="009B4BB6">
            <w:pPr>
              <w:widowControl w:val="0"/>
              <w:spacing w:line="240" w:lineRule="auto"/>
              <w:rPr>
                <w:color w:val="000000"/>
                <w:szCs w:val="22"/>
              </w:rPr>
            </w:pPr>
            <w:r w:rsidRPr="00CD729C">
              <w:rPr>
                <w:color w:val="000000"/>
                <w:szCs w:val="22"/>
              </w:rPr>
              <w:t>Tel: +44 1276 698370</w:t>
            </w:r>
          </w:p>
          <w:p w14:paraId="3D3954E7" w14:textId="77777777" w:rsidR="005B6FF1" w:rsidRPr="00CD729C" w:rsidRDefault="005B6FF1" w:rsidP="009B4BB6">
            <w:pPr>
              <w:widowControl w:val="0"/>
              <w:spacing w:line="240" w:lineRule="auto"/>
              <w:rPr>
                <w:color w:val="000000"/>
                <w:szCs w:val="22"/>
              </w:rPr>
            </w:pPr>
          </w:p>
        </w:tc>
      </w:tr>
    </w:tbl>
    <w:p w14:paraId="3D3954E9" w14:textId="77777777" w:rsidR="005B6FF1" w:rsidRPr="00CD729C" w:rsidRDefault="005B6FF1" w:rsidP="009B4BB6">
      <w:pPr>
        <w:widowControl w:val="0"/>
        <w:tabs>
          <w:tab w:val="clear" w:pos="567"/>
        </w:tabs>
        <w:spacing w:line="240" w:lineRule="auto"/>
        <w:ind w:right="-449"/>
        <w:rPr>
          <w:color w:val="000000"/>
          <w:szCs w:val="22"/>
        </w:rPr>
      </w:pPr>
    </w:p>
    <w:p w14:paraId="3D3954EA" w14:textId="77777777" w:rsidR="009F6C80" w:rsidRPr="00CD729C" w:rsidRDefault="009F6C80" w:rsidP="009B4BB6">
      <w:pPr>
        <w:widowControl w:val="0"/>
        <w:tabs>
          <w:tab w:val="clear" w:pos="567"/>
        </w:tabs>
        <w:spacing w:line="240" w:lineRule="auto"/>
        <w:rPr>
          <w:color w:val="000000"/>
        </w:rPr>
      </w:pPr>
      <w:r w:rsidRPr="00CD729C">
        <w:rPr>
          <w:b/>
          <w:color w:val="000000"/>
          <w:szCs w:val="22"/>
        </w:rPr>
        <w:t xml:space="preserve">Šī lietošanas instrukcija pēdējo reizi </w:t>
      </w:r>
      <w:r w:rsidR="003B6C16" w:rsidRPr="00CD729C">
        <w:rPr>
          <w:b/>
          <w:color w:val="000000"/>
          <w:szCs w:val="22"/>
        </w:rPr>
        <w:t>pārskatīta</w:t>
      </w:r>
    </w:p>
    <w:p w14:paraId="3D3954EB" w14:textId="77777777" w:rsidR="009F6C80" w:rsidRPr="00CD729C" w:rsidRDefault="009F6C80" w:rsidP="009B4BB6">
      <w:pPr>
        <w:widowControl w:val="0"/>
        <w:numPr>
          <w:ilvl w:val="12"/>
          <w:numId w:val="0"/>
        </w:numPr>
        <w:tabs>
          <w:tab w:val="clear" w:pos="567"/>
        </w:tabs>
        <w:spacing w:line="240" w:lineRule="auto"/>
        <w:ind w:left="567" w:hanging="567"/>
      </w:pPr>
    </w:p>
    <w:p w14:paraId="3D3954EC" w14:textId="77777777" w:rsidR="003B6C16" w:rsidRPr="00CD729C" w:rsidRDefault="003B6C16" w:rsidP="009B4BB6">
      <w:pPr>
        <w:keepNext/>
        <w:widowControl w:val="0"/>
        <w:tabs>
          <w:tab w:val="clear" w:pos="567"/>
        </w:tabs>
        <w:spacing w:line="240" w:lineRule="auto"/>
        <w:rPr>
          <w:b/>
        </w:rPr>
      </w:pPr>
      <w:r w:rsidRPr="00CD729C">
        <w:rPr>
          <w:b/>
        </w:rPr>
        <w:t>Citi informācijas avoti</w:t>
      </w:r>
    </w:p>
    <w:p w14:paraId="3D3954ED" w14:textId="77777777" w:rsidR="009F6C80" w:rsidRPr="00CD729C" w:rsidRDefault="009F6C80" w:rsidP="009B4BB6">
      <w:pPr>
        <w:widowControl w:val="0"/>
        <w:numPr>
          <w:ilvl w:val="12"/>
          <w:numId w:val="0"/>
        </w:numPr>
        <w:tabs>
          <w:tab w:val="clear" w:pos="567"/>
        </w:tabs>
        <w:spacing w:line="240" w:lineRule="auto"/>
        <w:rPr>
          <w:b/>
          <w:color w:val="000000"/>
          <w:szCs w:val="22"/>
        </w:rPr>
      </w:pPr>
      <w:r w:rsidRPr="00CD729C">
        <w:t xml:space="preserve">Sīkāka informācija par šīm zālēm ir pieejama Eiropas Zāļu aģentūras </w:t>
      </w:r>
      <w:r w:rsidR="003B6C16" w:rsidRPr="00CD729C">
        <w:t xml:space="preserve">tīmekļa vietnē </w:t>
      </w:r>
      <w:r w:rsidRPr="00CD729C">
        <w:rPr>
          <w:color w:val="000000"/>
        </w:rPr>
        <w:t>http://www.ema.europa.eu</w:t>
      </w:r>
      <w:r w:rsidR="003B6C16" w:rsidRPr="00CD729C">
        <w:rPr>
          <w:color w:val="000000"/>
        </w:rPr>
        <w:t>.</w:t>
      </w:r>
    </w:p>
    <w:p w14:paraId="3D3954EE" w14:textId="77777777" w:rsidR="009F6C80" w:rsidRPr="00CD729C" w:rsidRDefault="009F6C80" w:rsidP="009B4BB6">
      <w:pPr>
        <w:widowControl w:val="0"/>
        <w:tabs>
          <w:tab w:val="clear" w:pos="567"/>
        </w:tabs>
        <w:spacing w:line="240" w:lineRule="auto"/>
        <w:ind w:left="567" w:hanging="567"/>
        <w:jc w:val="center"/>
        <w:rPr>
          <w:color w:val="000000"/>
          <w:szCs w:val="22"/>
        </w:rPr>
      </w:pPr>
      <w:r w:rsidRPr="00CD729C">
        <w:rPr>
          <w:color w:val="000000"/>
          <w:szCs w:val="22"/>
        </w:rPr>
        <w:br w:type="page"/>
      </w:r>
      <w:r w:rsidR="005F30AB" w:rsidRPr="00CD729C">
        <w:rPr>
          <w:b/>
        </w:rPr>
        <w:t>Lietošanas instrukcija: informācija lietotājam</w:t>
      </w:r>
    </w:p>
    <w:p w14:paraId="3D3954EF" w14:textId="77777777" w:rsidR="009F6C80" w:rsidRPr="00CD729C" w:rsidRDefault="009F6C80" w:rsidP="009B4BB6">
      <w:pPr>
        <w:widowControl w:val="0"/>
        <w:tabs>
          <w:tab w:val="clear" w:pos="567"/>
        </w:tabs>
        <w:spacing w:line="240" w:lineRule="auto"/>
        <w:jc w:val="center"/>
        <w:rPr>
          <w:color w:val="000000"/>
          <w:szCs w:val="22"/>
        </w:rPr>
      </w:pPr>
    </w:p>
    <w:p w14:paraId="3D3954F0" w14:textId="518934B5" w:rsidR="009F6C80" w:rsidRDefault="009F6C80" w:rsidP="009B4BB6">
      <w:pPr>
        <w:widowControl w:val="0"/>
        <w:tabs>
          <w:tab w:val="clear" w:pos="567"/>
        </w:tabs>
        <w:spacing w:line="240" w:lineRule="auto"/>
        <w:jc w:val="center"/>
        <w:rPr>
          <w:b/>
          <w:color w:val="000000"/>
          <w:szCs w:val="22"/>
        </w:rPr>
      </w:pPr>
      <w:r w:rsidRPr="00CD729C">
        <w:rPr>
          <w:b/>
          <w:color w:val="000000"/>
          <w:szCs w:val="22"/>
        </w:rPr>
        <w:t>Glivec 100 mg apvalkotās tabletes</w:t>
      </w:r>
    </w:p>
    <w:p w14:paraId="17B7F4AC" w14:textId="74AFE3EA" w:rsidR="009E3686" w:rsidRPr="00CD729C" w:rsidRDefault="009E3686" w:rsidP="009B4BB6">
      <w:pPr>
        <w:widowControl w:val="0"/>
        <w:tabs>
          <w:tab w:val="clear" w:pos="567"/>
        </w:tabs>
        <w:spacing w:line="240" w:lineRule="auto"/>
        <w:jc w:val="center"/>
        <w:rPr>
          <w:color w:val="000000"/>
          <w:szCs w:val="22"/>
        </w:rPr>
      </w:pPr>
      <w:r>
        <w:rPr>
          <w:b/>
          <w:color w:val="000000"/>
          <w:szCs w:val="22"/>
        </w:rPr>
        <w:t>Glivec 4</w:t>
      </w:r>
      <w:r w:rsidRPr="00CD729C">
        <w:rPr>
          <w:b/>
          <w:color w:val="000000"/>
          <w:szCs w:val="22"/>
        </w:rPr>
        <w:t>00 mg apvalkotās tabletes</w:t>
      </w:r>
    </w:p>
    <w:p w14:paraId="3D3954F1" w14:textId="77777777" w:rsidR="009F6C80" w:rsidRPr="00AC1BAD" w:rsidRDefault="00B53E28" w:rsidP="009B4BB6">
      <w:pPr>
        <w:widowControl w:val="0"/>
        <w:tabs>
          <w:tab w:val="clear" w:pos="567"/>
        </w:tabs>
        <w:spacing w:line="240" w:lineRule="auto"/>
        <w:jc w:val="center"/>
        <w:rPr>
          <w:i/>
          <w:color w:val="000000"/>
          <w:szCs w:val="22"/>
        </w:rPr>
      </w:pPr>
      <w:r w:rsidRPr="00AC1BAD">
        <w:rPr>
          <w:i/>
          <w:color w:val="000000"/>
          <w:szCs w:val="22"/>
        </w:rPr>
        <w:t>i</w:t>
      </w:r>
      <w:r w:rsidR="009F6C80" w:rsidRPr="00AC1BAD">
        <w:rPr>
          <w:i/>
          <w:color w:val="000000"/>
          <w:szCs w:val="22"/>
        </w:rPr>
        <w:t>matinib</w:t>
      </w:r>
      <w:r w:rsidR="006A7EB7" w:rsidRPr="00AC1BAD">
        <w:rPr>
          <w:i/>
          <w:color w:val="000000"/>
          <w:szCs w:val="22"/>
        </w:rPr>
        <w:t>um</w:t>
      </w:r>
    </w:p>
    <w:p w14:paraId="3D3954F2" w14:textId="77777777" w:rsidR="009F6C80" w:rsidRPr="00CD729C" w:rsidRDefault="009F6C80" w:rsidP="009B4BB6">
      <w:pPr>
        <w:widowControl w:val="0"/>
        <w:tabs>
          <w:tab w:val="clear" w:pos="567"/>
        </w:tabs>
        <w:spacing w:line="240" w:lineRule="auto"/>
        <w:ind w:left="567" w:hanging="567"/>
        <w:rPr>
          <w:color w:val="000000"/>
          <w:szCs w:val="22"/>
        </w:rPr>
      </w:pPr>
    </w:p>
    <w:p w14:paraId="3D3954F3" w14:textId="77777777" w:rsidR="00320AAC" w:rsidRPr="00CD729C" w:rsidRDefault="00EB334D" w:rsidP="009B4BB6">
      <w:pPr>
        <w:widowControl w:val="0"/>
        <w:spacing w:line="240" w:lineRule="auto"/>
        <w:rPr>
          <w:snapToGrid w:val="0"/>
          <w:szCs w:val="22"/>
          <w:lang w:eastAsia="zh-CN"/>
        </w:rPr>
      </w:pPr>
      <w:r w:rsidRPr="00CD729C">
        <w:rPr>
          <w:noProof/>
          <w:lang w:val="en-GB" w:eastAsia="en-GB"/>
        </w:rPr>
        <w:drawing>
          <wp:inline distT="0" distB="0" distL="0" distR="0" wp14:anchorId="3D39583C" wp14:editId="3D39583D">
            <wp:extent cx="198120" cy="172720"/>
            <wp:effectExtent l="0" t="0" r="0" b="0"/>
            <wp:docPr id="9" name="Picture 1" descr="C:\Users\horemansk\AppData\Local\Microsoft\Windows\Temporary Internet Files\Content.Word\BT_1000x858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remansk\AppData\Local\Microsoft\Windows\Temporary Internet Files\Content.Word\BT_1000x858p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20" cy="172720"/>
                    </a:xfrm>
                    <a:prstGeom prst="rect">
                      <a:avLst/>
                    </a:prstGeom>
                    <a:noFill/>
                    <a:ln>
                      <a:noFill/>
                    </a:ln>
                  </pic:spPr>
                </pic:pic>
              </a:graphicData>
            </a:graphic>
          </wp:inline>
        </w:drawing>
      </w:r>
      <w:r w:rsidR="00320AAC" w:rsidRPr="00CD729C">
        <w:rPr>
          <w:snapToGrid w:val="0"/>
          <w:szCs w:val="22"/>
          <w:lang w:eastAsia="zh-CN"/>
        </w:rPr>
        <w:t>Šīm zālēm tiek piemērota papildu uzraudzība. Tādējādi būs iespējams ātri identificēt jaunāko informāciju par šo zāļu drošumu. Jūs varat palīdzēt, ziņojot par jebkādām novērotajām blakusparādībām. Par to, kā ziņot par blakusparādībām, skatīt 4. punkta beigās.</w:t>
      </w:r>
    </w:p>
    <w:p w14:paraId="3D3954F4" w14:textId="77777777" w:rsidR="009F6C80" w:rsidRPr="00CD729C" w:rsidRDefault="009F6C80" w:rsidP="009B4BB6">
      <w:pPr>
        <w:widowControl w:val="0"/>
        <w:tabs>
          <w:tab w:val="clear" w:pos="567"/>
        </w:tabs>
        <w:spacing w:line="240" w:lineRule="auto"/>
        <w:ind w:left="567" w:hanging="567"/>
        <w:rPr>
          <w:color w:val="000000"/>
          <w:szCs w:val="22"/>
        </w:rPr>
      </w:pPr>
    </w:p>
    <w:p w14:paraId="3D3954F5" w14:textId="77777777" w:rsidR="008328A8" w:rsidRPr="00CD729C" w:rsidRDefault="008328A8" w:rsidP="009B4BB6">
      <w:pPr>
        <w:widowControl w:val="0"/>
        <w:spacing w:line="240" w:lineRule="auto"/>
        <w:ind w:left="567" w:hanging="567"/>
        <w:rPr>
          <w:color w:val="000000"/>
          <w:szCs w:val="22"/>
        </w:rPr>
      </w:pPr>
      <w:r w:rsidRPr="00CD729C">
        <w:rPr>
          <w:b/>
          <w:color w:val="000000"/>
          <w:szCs w:val="22"/>
        </w:rPr>
        <w:t>Pirms zāļu lietošanas uzmanīgi izlasiet visu instrukciju</w:t>
      </w:r>
      <w:r w:rsidRPr="00CD729C">
        <w:rPr>
          <w:b/>
          <w:szCs w:val="24"/>
        </w:rPr>
        <w:t>, jo tā satur Jums svarīgu informāciju</w:t>
      </w:r>
      <w:r w:rsidRPr="00CD729C">
        <w:rPr>
          <w:b/>
          <w:color w:val="000000"/>
          <w:szCs w:val="22"/>
        </w:rPr>
        <w:t>.</w:t>
      </w:r>
    </w:p>
    <w:p w14:paraId="3D3954F6" w14:textId="77777777" w:rsidR="008328A8" w:rsidRPr="00CD729C" w:rsidRDefault="008328A8" w:rsidP="009B4BB6">
      <w:pPr>
        <w:widowControl w:val="0"/>
        <w:tabs>
          <w:tab w:val="clear" w:pos="567"/>
        </w:tabs>
        <w:spacing w:line="240" w:lineRule="auto"/>
        <w:ind w:left="567" w:hanging="567"/>
        <w:rPr>
          <w:color w:val="000000"/>
          <w:szCs w:val="22"/>
        </w:rPr>
      </w:pPr>
      <w:r w:rsidRPr="00CD729C">
        <w:rPr>
          <w:color w:val="000000"/>
          <w:szCs w:val="22"/>
        </w:rPr>
        <w:t>-</w:t>
      </w:r>
      <w:r w:rsidRPr="00CD729C">
        <w:rPr>
          <w:color w:val="000000"/>
          <w:szCs w:val="22"/>
        </w:rPr>
        <w:tab/>
        <w:t>Saglabājiet šo instrukciju! Iespējams, ka vēlāk to vajadzēs pārlasīt.</w:t>
      </w:r>
    </w:p>
    <w:p w14:paraId="3D3954F7" w14:textId="77777777" w:rsidR="008328A8" w:rsidRPr="00CD729C" w:rsidRDefault="008328A8" w:rsidP="009B4BB6">
      <w:pPr>
        <w:widowControl w:val="0"/>
        <w:tabs>
          <w:tab w:val="clear" w:pos="567"/>
        </w:tabs>
        <w:spacing w:line="240" w:lineRule="auto"/>
        <w:ind w:left="567" w:hanging="567"/>
        <w:rPr>
          <w:color w:val="000000"/>
        </w:rPr>
      </w:pPr>
      <w:r w:rsidRPr="00CD729C">
        <w:rPr>
          <w:color w:val="000000"/>
        </w:rPr>
        <w:t>-</w:t>
      </w:r>
      <w:r w:rsidRPr="00CD729C">
        <w:rPr>
          <w:color w:val="000000"/>
        </w:rPr>
        <w:tab/>
        <w:t>Ja Jums rodas jebkādi jautājumi, vaicājiet ārstam, farmaceitam vai medmāsai.</w:t>
      </w:r>
    </w:p>
    <w:p w14:paraId="3D3954F8" w14:textId="77777777" w:rsidR="008328A8" w:rsidRPr="00CD729C" w:rsidRDefault="008328A8" w:rsidP="009B4BB6">
      <w:pPr>
        <w:widowControl w:val="0"/>
        <w:tabs>
          <w:tab w:val="clear" w:pos="567"/>
        </w:tabs>
        <w:spacing w:line="240" w:lineRule="auto"/>
        <w:ind w:left="567" w:hanging="567"/>
        <w:rPr>
          <w:color w:val="000000"/>
          <w:szCs w:val="22"/>
        </w:rPr>
      </w:pPr>
      <w:r w:rsidRPr="00CD729C">
        <w:rPr>
          <w:color w:val="000000"/>
          <w:szCs w:val="22"/>
        </w:rPr>
        <w:t>-</w:t>
      </w:r>
      <w:r w:rsidRPr="00CD729C">
        <w:rPr>
          <w:color w:val="000000"/>
          <w:szCs w:val="22"/>
        </w:rPr>
        <w:tab/>
        <w:t xml:space="preserve">Šīs zāles ir parakstītas </w:t>
      </w:r>
      <w:r w:rsidRPr="00CD729C">
        <w:rPr>
          <w:szCs w:val="22"/>
        </w:rPr>
        <w:t xml:space="preserve">tikai </w:t>
      </w:r>
      <w:r w:rsidRPr="00CD729C">
        <w:rPr>
          <w:color w:val="000000"/>
          <w:szCs w:val="22"/>
        </w:rPr>
        <w:t xml:space="preserve">Jums. Nedodiet tās citiem. </w:t>
      </w:r>
      <w:r w:rsidRPr="00CD729C">
        <w:rPr>
          <w:color w:val="000000"/>
        </w:rPr>
        <w:t xml:space="preserve">Tās var nodarīt ļaunumu pat tad, ja šiem cilvēkiem ir </w:t>
      </w:r>
      <w:r w:rsidRPr="00CD729C">
        <w:rPr>
          <w:szCs w:val="22"/>
        </w:rPr>
        <w:t>līdzīgas slimības pazīmes</w:t>
      </w:r>
      <w:r w:rsidRPr="00CD729C">
        <w:rPr>
          <w:color w:val="000000"/>
        </w:rPr>
        <w:t>.</w:t>
      </w:r>
    </w:p>
    <w:p w14:paraId="3D3954F9" w14:textId="77777777" w:rsidR="008328A8" w:rsidRPr="00CD729C" w:rsidRDefault="008328A8" w:rsidP="009B4BB6">
      <w:pPr>
        <w:widowControl w:val="0"/>
        <w:tabs>
          <w:tab w:val="clear" w:pos="567"/>
        </w:tabs>
        <w:spacing w:line="240" w:lineRule="auto"/>
        <w:ind w:left="567" w:hanging="567"/>
        <w:rPr>
          <w:color w:val="000000"/>
        </w:rPr>
      </w:pPr>
      <w:r w:rsidRPr="00CD729C">
        <w:rPr>
          <w:color w:val="000000"/>
        </w:rPr>
        <w:t>-</w:t>
      </w:r>
      <w:r w:rsidRPr="00CD729C">
        <w:rPr>
          <w:color w:val="000000"/>
        </w:rPr>
        <w:tab/>
      </w:r>
      <w:r w:rsidRPr="00CD729C">
        <w:rPr>
          <w:szCs w:val="22"/>
        </w:rPr>
        <w:t xml:space="preserve">Ja Jums </w:t>
      </w:r>
      <w:r w:rsidR="00C21DCA" w:rsidRPr="00CD729C">
        <w:rPr>
          <w:szCs w:val="22"/>
        </w:rPr>
        <w:t xml:space="preserve">rodas </w:t>
      </w:r>
      <w:r w:rsidRPr="00CD729C">
        <w:rPr>
          <w:szCs w:val="22"/>
        </w:rPr>
        <w:t xml:space="preserve">jebkādas blakusparādības, konsultējieties ar ārstu, farmaceitu vai medmāsu. Tas attiecas arī uz iespējamām blakusparādībām, kas </w:t>
      </w:r>
      <w:r w:rsidR="00C21DCA" w:rsidRPr="00CD729C">
        <w:rPr>
          <w:szCs w:val="22"/>
        </w:rPr>
        <w:t xml:space="preserve">nav minētas </w:t>
      </w:r>
      <w:r w:rsidRPr="00CD729C">
        <w:rPr>
          <w:szCs w:val="22"/>
        </w:rPr>
        <w:t>šajā instrukcijā.</w:t>
      </w:r>
      <w:r w:rsidR="00C21DCA" w:rsidRPr="00CD729C">
        <w:rPr>
          <w:szCs w:val="22"/>
        </w:rPr>
        <w:t xml:space="preserve"> </w:t>
      </w:r>
      <w:r w:rsidR="00C21DCA" w:rsidRPr="00CD729C">
        <w:rPr>
          <w:snapToGrid w:val="0"/>
          <w:szCs w:val="22"/>
        </w:rPr>
        <w:t>Skatīt 4. punktu.</w:t>
      </w:r>
    </w:p>
    <w:p w14:paraId="3D3954FA" w14:textId="77777777" w:rsidR="008328A8" w:rsidRPr="00CD729C" w:rsidRDefault="008328A8" w:rsidP="009B4BB6">
      <w:pPr>
        <w:widowControl w:val="0"/>
        <w:numPr>
          <w:ilvl w:val="12"/>
          <w:numId w:val="0"/>
        </w:numPr>
        <w:tabs>
          <w:tab w:val="clear" w:pos="567"/>
        </w:tabs>
        <w:spacing w:line="240" w:lineRule="auto"/>
        <w:ind w:left="567" w:hanging="567"/>
        <w:rPr>
          <w:color w:val="000000"/>
          <w:szCs w:val="22"/>
        </w:rPr>
      </w:pPr>
    </w:p>
    <w:p w14:paraId="3D3954FB" w14:textId="77777777" w:rsidR="008328A8" w:rsidRPr="00CD729C" w:rsidRDefault="008328A8" w:rsidP="009B4BB6">
      <w:pPr>
        <w:widowControl w:val="0"/>
        <w:numPr>
          <w:ilvl w:val="12"/>
          <w:numId w:val="0"/>
        </w:numPr>
        <w:tabs>
          <w:tab w:val="clear" w:pos="567"/>
        </w:tabs>
        <w:spacing w:line="240" w:lineRule="auto"/>
        <w:ind w:left="567" w:hanging="567"/>
        <w:rPr>
          <w:color w:val="000000"/>
          <w:szCs w:val="22"/>
        </w:rPr>
      </w:pPr>
    </w:p>
    <w:p w14:paraId="3D3954FC" w14:textId="77777777" w:rsidR="008328A8" w:rsidRPr="00CD729C" w:rsidRDefault="008328A8" w:rsidP="00CC116F">
      <w:pPr>
        <w:keepNext/>
        <w:widowControl w:val="0"/>
        <w:numPr>
          <w:ilvl w:val="12"/>
          <w:numId w:val="0"/>
        </w:numPr>
        <w:tabs>
          <w:tab w:val="clear" w:pos="567"/>
        </w:tabs>
        <w:spacing w:line="240" w:lineRule="auto"/>
        <w:ind w:left="567" w:hanging="567"/>
        <w:rPr>
          <w:color w:val="000000"/>
          <w:szCs w:val="22"/>
        </w:rPr>
      </w:pPr>
      <w:r w:rsidRPr="00CD729C">
        <w:rPr>
          <w:b/>
          <w:color w:val="000000"/>
          <w:szCs w:val="22"/>
        </w:rPr>
        <w:t>Šajā instrukcijā varat uzzināt</w:t>
      </w:r>
    </w:p>
    <w:p w14:paraId="3D3954FD" w14:textId="77777777" w:rsidR="008328A8" w:rsidRPr="00CD729C" w:rsidRDefault="008328A8" w:rsidP="00CC116F">
      <w:pPr>
        <w:keepNext/>
        <w:widowControl w:val="0"/>
        <w:tabs>
          <w:tab w:val="clear" w:pos="567"/>
        </w:tabs>
        <w:spacing w:line="240" w:lineRule="auto"/>
        <w:ind w:left="567" w:hanging="567"/>
        <w:rPr>
          <w:color w:val="000000"/>
          <w:szCs w:val="22"/>
        </w:rPr>
      </w:pPr>
      <w:r w:rsidRPr="00CD729C">
        <w:rPr>
          <w:color w:val="000000"/>
          <w:szCs w:val="22"/>
        </w:rPr>
        <w:t>1.</w:t>
      </w:r>
      <w:r w:rsidRPr="00CD729C">
        <w:rPr>
          <w:color w:val="000000"/>
          <w:szCs w:val="22"/>
        </w:rPr>
        <w:tab/>
        <w:t>Kas ir Glivec un kādam nolūkam t</w:t>
      </w:r>
      <w:r w:rsidR="00202D1D" w:rsidRPr="00CD729C">
        <w:rPr>
          <w:color w:val="000000"/>
          <w:szCs w:val="22"/>
        </w:rPr>
        <w:t>o</w:t>
      </w:r>
      <w:r w:rsidRPr="00CD729C">
        <w:rPr>
          <w:color w:val="000000"/>
          <w:szCs w:val="22"/>
        </w:rPr>
        <w:t xml:space="preserve"> lieto</w:t>
      </w:r>
    </w:p>
    <w:p w14:paraId="3D3954FE" w14:textId="77777777" w:rsidR="008328A8" w:rsidRPr="00CD729C" w:rsidRDefault="008328A8" w:rsidP="00CC116F">
      <w:pPr>
        <w:keepNext/>
        <w:widowControl w:val="0"/>
        <w:tabs>
          <w:tab w:val="clear" w:pos="567"/>
        </w:tabs>
        <w:spacing w:line="240" w:lineRule="auto"/>
        <w:ind w:left="567" w:hanging="567"/>
        <w:rPr>
          <w:color w:val="000000"/>
          <w:szCs w:val="22"/>
        </w:rPr>
      </w:pPr>
      <w:r w:rsidRPr="00CD729C">
        <w:rPr>
          <w:color w:val="000000"/>
          <w:szCs w:val="22"/>
        </w:rPr>
        <w:t>2.</w:t>
      </w:r>
      <w:r w:rsidRPr="00CD729C">
        <w:rPr>
          <w:color w:val="000000"/>
          <w:szCs w:val="22"/>
        </w:rPr>
        <w:tab/>
      </w:r>
      <w:r w:rsidRPr="00CD729C">
        <w:rPr>
          <w:szCs w:val="22"/>
        </w:rPr>
        <w:t xml:space="preserve">Kas </w:t>
      </w:r>
      <w:r w:rsidR="00202D1D" w:rsidRPr="00CD729C">
        <w:rPr>
          <w:szCs w:val="22"/>
        </w:rPr>
        <w:t xml:space="preserve">Jums </w:t>
      </w:r>
      <w:r w:rsidRPr="00CD729C">
        <w:rPr>
          <w:szCs w:val="22"/>
        </w:rPr>
        <w:t>jāzina p</w:t>
      </w:r>
      <w:r w:rsidRPr="00CD729C">
        <w:rPr>
          <w:color w:val="000000"/>
          <w:szCs w:val="22"/>
        </w:rPr>
        <w:t>irms Glivec lietošanas</w:t>
      </w:r>
    </w:p>
    <w:p w14:paraId="3D3954FF" w14:textId="77777777" w:rsidR="008328A8" w:rsidRPr="00CD729C" w:rsidRDefault="008328A8" w:rsidP="00CC116F">
      <w:pPr>
        <w:keepNext/>
        <w:widowControl w:val="0"/>
        <w:tabs>
          <w:tab w:val="clear" w:pos="567"/>
        </w:tabs>
        <w:spacing w:line="240" w:lineRule="auto"/>
        <w:ind w:left="567" w:hanging="567"/>
        <w:rPr>
          <w:color w:val="000000"/>
          <w:szCs w:val="22"/>
        </w:rPr>
      </w:pPr>
      <w:r w:rsidRPr="00CD729C">
        <w:rPr>
          <w:color w:val="000000"/>
          <w:szCs w:val="22"/>
        </w:rPr>
        <w:t>3.</w:t>
      </w:r>
      <w:r w:rsidRPr="00CD729C">
        <w:rPr>
          <w:color w:val="000000"/>
          <w:szCs w:val="22"/>
        </w:rPr>
        <w:tab/>
        <w:t>Kā lietot Glivec</w:t>
      </w:r>
    </w:p>
    <w:p w14:paraId="3D395500" w14:textId="77777777" w:rsidR="008328A8" w:rsidRPr="00CD729C" w:rsidRDefault="008328A8" w:rsidP="00CC116F">
      <w:pPr>
        <w:keepNext/>
        <w:widowControl w:val="0"/>
        <w:tabs>
          <w:tab w:val="clear" w:pos="567"/>
        </w:tabs>
        <w:spacing w:line="240" w:lineRule="auto"/>
        <w:ind w:left="567" w:hanging="567"/>
        <w:rPr>
          <w:color w:val="000000"/>
          <w:szCs w:val="22"/>
        </w:rPr>
      </w:pPr>
      <w:r w:rsidRPr="00CD729C">
        <w:rPr>
          <w:color w:val="000000"/>
          <w:szCs w:val="22"/>
        </w:rPr>
        <w:t>4.</w:t>
      </w:r>
      <w:r w:rsidRPr="00CD729C">
        <w:rPr>
          <w:color w:val="000000"/>
          <w:szCs w:val="22"/>
        </w:rPr>
        <w:tab/>
        <w:t>Iespējamās blakusparādības</w:t>
      </w:r>
    </w:p>
    <w:p w14:paraId="3D395501" w14:textId="77777777" w:rsidR="008328A8" w:rsidRPr="00CD729C" w:rsidRDefault="008328A8" w:rsidP="00CC116F">
      <w:pPr>
        <w:keepNext/>
        <w:widowControl w:val="0"/>
        <w:tabs>
          <w:tab w:val="clear" w:pos="567"/>
        </w:tabs>
        <w:spacing w:line="240" w:lineRule="auto"/>
        <w:ind w:left="567" w:hanging="567"/>
        <w:rPr>
          <w:color w:val="000000"/>
          <w:szCs w:val="22"/>
        </w:rPr>
      </w:pPr>
      <w:r w:rsidRPr="00CD729C">
        <w:rPr>
          <w:color w:val="000000"/>
          <w:szCs w:val="22"/>
        </w:rPr>
        <w:t>5.</w:t>
      </w:r>
      <w:r w:rsidRPr="00CD729C">
        <w:rPr>
          <w:color w:val="000000"/>
          <w:szCs w:val="22"/>
        </w:rPr>
        <w:tab/>
        <w:t>Kā uzglabāt Glivec</w:t>
      </w:r>
    </w:p>
    <w:p w14:paraId="3D395502" w14:textId="77777777" w:rsidR="008328A8" w:rsidRPr="00CD729C" w:rsidRDefault="008328A8" w:rsidP="009B4BB6">
      <w:pPr>
        <w:widowControl w:val="0"/>
        <w:tabs>
          <w:tab w:val="clear" w:pos="567"/>
        </w:tabs>
        <w:spacing w:line="240" w:lineRule="auto"/>
        <w:ind w:left="567" w:hanging="567"/>
        <w:rPr>
          <w:color w:val="000000"/>
          <w:szCs w:val="22"/>
        </w:rPr>
      </w:pPr>
      <w:r w:rsidRPr="00CD729C">
        <w:rPr>
          <w:color w:val="000000"/>
          <w:szCs w:val="22"/>
        </w:rPr>
        <w:t>6.</w:t>
      </w:r>
      <w:r w:rsidRPr="00CD729C">
        <w:rPr>
          <w:color w:val="000000"/>
          <w:szCs w:val="22"/>
        </w:rPr>
        <w:tab/>
        <w:t>Iepakojuma saturs un cita informācija</w:t>
      </w:r>
    </w:p>
    <w:p w14:paraId="3D395503" w14:textId="77777777" w:rsidR="008328A8" w:rsidRPr="00CD729C" w:rsidRDefault="008328A8" w:rsidP="009B4BB6">
      <w:pPr>
        <w:widowControl w:val="0"/>
        <w:numPr>
          <w:ilvl w:val="12"/>
          <w:numId w:val="0"/>
        </w:numPr>
        <w:tabs>
          <w:tab w:val="clear" w:pos="567"/>
        </w:tabs>
        <w:spacing w:line="240" w:lineRule="auto"/>
        <w:ind w:left="567" w:hanging="567"/>
        <w:rPr>
          <w:color w:val="000000"/>
          <w:szCs w:val="22"/>
        </w:rPr>
      </w:pPr>
    </w:p>
    <w:p w14:paraId="3D395504" w14:textId="77777777" w:rsidR="008328A8" w:rsidRPr="00CD729C" w:rsidRDefault="008328A8" w:rsidP="009B4BB6">
      <w:pPr>
        <w:widowControl w:val="0"/>
        <w:numPr>
          <w:ilvl w:val="12"/>
          <w:numId w:val="0"/>
        </w:numPr>
        <w:tabs>
          <w:tab w:val="clear" w:pos="567"/>
        </w:tabs>
        <w:spacing w:line="240" w:lineRule="auto"/>
        <w:ind w:left="567" w:hanging="567"/>
        <w:rPr>
          <w:color w:val="000000"/>
          <w:szCs w:val="22"/>
        </w:rPr>
      </w:pPr>
    </w:p>
    <w:p w14:paraId="3D395505" w14:textId="77777777" w:rsidR="008328A8" w:rsidRPr="00CD729C" w:rsidRDefault="008328A8" w:rsidP="009B4BB6">
      <w:pPr>
        <w:keepNext/>
        <w:widowControl w:val="0"/>
        <w:numPr>
          <w:ilvl w:val="12"/>
          <w:numId w:val="0"/>
        </w:numPr>
        <w:tabs>
          <w:tab w:val="clear" w:pos="567"/>
        </w:tabs>
        <w:spacing w:line="240" w:lineRule="auto"/>
        <w:ind w:left="567" w:hanging="567"/>
        <w:rPr>
          <w:color w:val="000000"/>
          <w:szCs w:val="22"/>
        </w:rPr>
      </w:pPr>
      <w:r w:rsidRPr="00CD729C">
        <w:rPr>
          <w:b/>
          <w:color w:val="000000"/>
          <w:szCs w:val="22"/>
        </w:rPr>
        <w:t>1.</w:t>
      </w:r>
      <w:r w:rsidRPr="00CD729C">
        <w:rPr>
          <w:b/>
          <w:color w:val="000000"/>
          <w:szCs w:val="22"/>
        </w:rPr>
        <w:tab/>
        <w:t>Kas ir Glivec un kādam nolūkam t</w:t>
      </w:r>
      <w:r w:rsidR="00202D1D" w:rsidRPr="00CD729C">
        <w:rPr>
          <w:b/>
          <w:color w:val="000000"/>
          <w:szCs w:val="22"/>
        </w:rPr>
        <w:t>o</w:t>
      </w:r>
      <w:r w:rsidRPr="00CD729C">
        <w:rPr>
          <w:b/>
          <w:color w:val="000000"/>
          <w:szCs w:val="22"/>
        </w:rPr>
        <w:t xml:space="preserve"> lieto</w:t>
      </w:r>
    </w:p>
    <w:p w14:paraId="3D395506" w14:textId="77777777" w:rsidR="008328A8" w:rsidRPr="00CD729C" w:rsidRDefault="008328A8" w:rsidP="009B4BB6">
      <w:pPr>
        <w:keepNext/>
        <w:widowControl w:val="0"/>
        <w:numPr>
          <w:ilvl w:val="12"/>
          <w:numId w:val="0"/>
        </w:numPr>
        <w:tabs>
          <w:tab w:val="clear" w:pos="567"/>
        </w:tabs>
        <w:spacing w:line="240" w:lineRule="auto"/>
        <w:ind w:left="567" w:hanging="567"/>
        <w:rPr>
          <w:color w:val="000000"/>
          <w:szCs w:val="22"/>
        </w:rPr>
      </w:pPr>
    </w:p>
    <w:p w14:paraId="3D395507" w14:textId="77777777" w:rsidR="008328A8" w:rsidRPr="00CD729C" w:rsidRDefault="008328A8" w:rsidP="009B4BB6">
      <w:pPr>
        <w:pStyle w:val="Text"/>
        <w:widowControl w:val="0"/>
        <w:spacing w:before="0"/>
        <w:jc w:val="left"/>
        <w:rPr>
          <w:color w:val="000000"/>
          <w:sz w:val="22"/>
          <w:szCs w:val="22"/>
          <w:lang w:val="lv-LV"/>
        </w:rPr>
      </w:pPr>
      <w:r w:rsidRPr="00CD729C">
        <w:rPr>
          <w:color w:val="000000"/>
          <w:sz w:val="22"/>
          <w:szCs w:val="22"/>
          <w:lang w:val="lv-LV"/>
        </w:rPr>
        <w:t>Glivec ir zāles, kuras satur aktīvo vielu, ko sauc par imatinibu. Zemāk uzskaitīto slimību gadījumā šīs zāles kavē patoloģisko šūnu augšanu. Dažas no šīm slimībām ir saistītas arī ar vēzi.</w:t>
      </w:r>
    </w:p>
    <w:p w14:paraId="3D395508" w14:textId="77777777" w:rsidR="008328A8" w:rsidRPr="00CD729C" w:rsidRDefault="008328A8" w:rsidP="009B4BB6">
      <w:pPr>
        <w:pStyle w:val="Text"/>
        <w:widowControl w:val="0"/>
        <w:spacing w:before="0"/>
        <w:jc w:val="left"/>
        <w:rPr>
          <w:color w:val="000000"/>
          <w:sz w:val="22"/>
          <w:szCs w:val="22"/>
          <w:lang w:val="lv-LV"/>
        </w:rPr>
      </w:pPr>
    </w:p>
    <w:p w14:paraId="3D395509" w14:textId="77777777" w:rsidR="008328A8" w:rsidRPr="00CD729C" w:rsidRDefault="008328A8" w:rsidP="009B4BB6">
      <w:pPr>
        <w:keepNext/>
        <w:widowControl w:val="0"/>
        <w:numPr>
          <w:ilvl w:val="12"/>
          <w:numId w:val="0"/>
        </w:numPr>
        <w:tabs>
          <w:tab w:val="clear" w:pos="567"/>
        </w:tabs>
        <w:spacing w:line="240" w:lineRule="auto"/>
        <w:ind w:left="567" w:hanging="567"/>
        <w:rPr>
          <w:b/>
          <w:bCs/>
          <w:color w:val="000000"/>
          <w:szCs w:val="22"/>
        </w:rPr>
      </w:pPr>
      <w:r w:rsidRPr="00CD729C">
        <w:rPr>
          <w:b/>
          <w:bCs/>
          <w:color w:val="000000"/>
          <w:szCs w:val="22"/>
        </w:rPr>
        <w:t>Glivec ir indicēts pieaugušajiem un bērniem:</w:t>
      </w:r>
    </w:p>
    <w:p w14:paraId="3D39550A" w14:textId="77777777" w:rsidR="008328A8" w:rsidRPr="00CD729C" w:rsidRDefault="008328A8" w:rsidP="009B4BB6">
      <w:pPr>
        <w:keepNext/>
        <w:widowControl w:val="0"/>
        <w:numPr>
          <w:ilvl w:val="12"/>
          <w:numId w:val="0"/>
        </w:numPr>
        <w:tabs>
          <w:tab w:val="clear" w:pos="567"/>
        </w:tabs>
        <w:spacing w:line="240" w:lineRule="auto"/>
        <w:ind w:left="567" w:hanging="567"/>
        <w:rPr>
          <w:color w:val="000000"/>
          <w:szCs w:val="22"/>
        </w:rPr>
      </w:pPr>
    </w:p>
    <w:p w14:paraId="3D39550B" w14:textId="77777777" w:rsidR="008328A8" w:rsidRPr="00CD729C" w:rsidRDefault="008328A8" w:rsidP="009B4BB6">
      <w:pPr>
        <w:widowControl w:val="0"/>
        <w:numPr>
          <w:ilvl w:val="0"/>
          <w:numId w:val="18"/>
        </w:numPr>
        <w:tabs>
          <w:tab w:val="clear" w:pos="360"/>
          <w:tab w:val="num" w:pos="567"/>
        </w:tabs>
        <w:spacing w:line="240" w:lineRule="auto"/>
        <w:ind w:left="567" w:hanging="567"/>
        <w:rPr>
          <w:color w:val="000000"/>
          <w:szCs w:val="22"/>
        </w:rPr>
      </w:pPr>
      <w:r w:rsidRPr="00CD729C">
        <w:rPr>
          <w:b/>
          <w:bCs/>
          <w:color w:val="000000"/>
          <w:szCs w:val="22"/>
        </w:rPr>
        <w:t>Hroniskas mieloleikozes (</w:t>
      </w:r>
      <w:r w:rsidRPr="00CD729C">
        <w:rPr>
          <w:b/>
          <w:bCs/>
          <w:i/>
          <w:color w:val="000000"/>
          <w:szCs w:val="22"/>
        </w:rPr>
        <w:t>Chronic Myeloid Leukaemia</w:t>
      </w:r>
      <w:r w:rsidRPr="00CD729C">
        <w:rPr>
          <w:b/>
          <w:bCs/>
          <w:color w:val="000000"/>
          <w:szCs w:val="22"/>
        </w:rPr>
        <w:t xml:space="preserve"> - CML) ārstēšanai.</w:t>
      </w:r>
      <w:r w:rsidRPr="00CD729C">
        <w:rPr>
          <w:color w:val="000000"/>
          <w:szCs w:val="22"/>
        </w:rPr>
        <w:t xml:space="preserve"> Leikoze ir balto asins šūnu vēzis. Parasti šīs baltās šūnas palīdz organismam cīnīties ar infekciju. Hroniska mieloleikoze ir leikozes forma, kuras gadījumā sākas noteikta veida patoloģisku balto asins šūnu (kuras sauc par mieloīdajām šūnām) nekontrolēta augšana.</w:t>
      </w:r>
    </w:p>
    <w:p w14:paraId="3D39550C" w14:textId="77777777" w:rsidR="00891892" w:rsidRPr="00CD729C" w:rsidRDefault="00891892" w:rsidP="009B4BB6">
      <w:pPr>
        <w:widowControl w:val="0"/>
        <w:numPr>
          <w:ilvl w:val="0"/>
          <w:numId w:val="18"/>
        </w:numPr>
        <w:tabs>
          <w:tab w:val="clear" w:pos="360"/>
          <w:tab w:val="num" w:pos="567"/>
        </w:tabs>
        <w:spacing w:line="240" w:lineRule="auto"/>
        <w:ind w:left="567" w:hanging="567"/>
        <w:rPr>
          <w:color w:val="000000"/>
          <w:szCs w:val="22"/>
        </w:rPr>
      </w:pPr>
      <w:r w:rsidRPr="00CD729C">
        <w:rPr>
          <w:b/>
          <w:bCs/>
          <w:color w:val="000000"/>
          <w:szCs w:val="22"/>
        </w:rPr>
        <w:t>Filadelfijas hromosomas pozitīvas akūtas limfoblastiskās leikozes (Ph-pozitīva ALL (</w:t>
      </w:r>
      <w:r w:rsidRPr="00CD729C">
        <w:rPr>
          <w:b/>
          <w:bCs/>
          <w:i/>
          <w:color w:val="000000"/>
          <w:szCs w:val="22"/>
        </w:rPr>
        <w:t>acute lymphoblastic leukemia</w:t>
      </w:r>
      <w:r w:rsidRPr="00CD729C">
        <w:rPr>
          <w:b/>
          <w:bCs/>
          <w:color w:val="000000"/>
          <w:szCs w:val="22"/>
        </w:rPr>
        <w:t>)) ārstēšanai.</w:t>
      </w:r>
      <w:r w:rsidRPr="00CD729C">
        <w:rPr>
          <w:color w:val="000000"/>
          <w:szCs w:val="22"/>
        </w:rPr>
        <w:t xml:space="preserve"> Leikoze ir balto asins šūnu vēzis. Šīs baltās šūnas parasti palīdz organismam cīnīties ar infekciju. Akūta limfoblastiska leikoze ir leikozes veids, kad nekontrolēti sāk augt noteikta veida patoloģiskas baltās šūnas (limfoblasti). Glivec nomāc šo šūnu augšanu.</w:t>
      </w:r>
    </w:p>
    <w:p w14:paraId="3D39550D"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50E" w14:textId="77777777" w:rsidR="008328A8" w:rsidRPr="00CD729C" w:rsidRDefault="008328A8" w:rsidP="009B4BB6">
      <w:pPr>
        <w:keepNext/>
        <w:widowControl w:val="0"/>
        <w:numPr>
          <w:ilvl w:val="12"/>
          <w:numId w:val="0"/>
        </w:numPr>
        <w:tabs>
          <w:tab w:val="clear" w:pos="567"/>
        </w:tabs>
        <w:spacing w:line="240" w:lineRule="auto"/>
        <w:rPr>
          <w:b/>
          <w:bCs/>
          <w:color w:val="000000"/>
          <w:szCs w:val="22"/>
        </w:rPr>
      </w:pPr>
      <w:r w:rsidRPr="00CD729C">
        <w:rPr>
          <w:b/>
          <w:bCs/>
          <w:color w:val="000000"/>
          <w:szCs w:val="22"/>
        </w:rPr>
        <w:t>Glivec ir arī indicēts pieaugušiem:</w:t>
      </w:r>
    </w:p>
    <w:p w14:paraId="3D39550F" w14:textId="77777777" w:rsidR="008328A8" w:rsidRPr="00CD729C" w:rsidRDefault="008328A8" w:rsidP="009B4BB6">
      <w:pPr>
        <w:keepNext/>
        <w:widowControl w:val="0"/>
        <w:numPr>
          <w:ilvl w:val="12"/>
          <w:numId w:val="0"/>
        </w:numPr>
        <w:tabs>
          <w:tab w:val="clear" w:pos="567"/>
        </w:tabs>
        <w:spacing w:line="240" w:lineRule="auto"/>
        <w:rPr>
          <w:color w:val="000000"/>
          <w:szCs w:val="22"/>
        </w:rPr>
      </w:pPr>
    </w:p>
    <w:p w14:paraId="3D395510" w14:textId="77777777" w:rsidR="008328A8" w:rsidRPr="00CD729C" w:rsidRDefault="008328A8" w:rsidP="009B4BB6">
      <w:pPr>
        <w:pStyle w:val="Listlevel1"/>
        <w:widowControl w:val="0"/>
        <w:numPr>
          <w:ilvl w:val="0"/>
          <w:numId w:val="18"/>
        </w:numPr>
        <w:tabs>
          <w:tab w:val="clear" w:pos="360"/>
          <w:tab w:val="num" w:pos="567"/>
        </w:tabs>
        <w:spacing w:before="0" w:after="0"/>
        <w:ind w:left="567" w:hanging="567"/>
        <w:rPr>
          <w:color w:val="000000"/>
          <w:sz w:val="22"/>
          <w:szCs w:val="22"/>
          <w:lang w:val="lv-LV"/>
        </w:rPr>
      </w:pPr>
      <w:r w:rsidRPr="00CD729C">
        <w:rPr>
          <w:b/>
          <w:bCs/>
          <w:color w:val="000000"/>
          <w:sz w:val="22"/>
          <w:szCs w:val="22"/>
          <w:lang w:val="lv-LV"/>
        </w:rPr>
        <w:t>Mielodisplastiskas/mieloproliferatīvas slimības (</w:t>
      </w:r>
      <w:r w:rsidRPr="00CD729C">
        <w:rPr>
          <w:b/>
          <w:bCs/>
          <w:i/>
          <w:color w:val="000000"/>
          <w:sz w:val="22"/>
          <w:szCs w:val="22"/>
          <w:lang w:val="lv-LV"/>
        </w:rPr>
        <w:t>Myelodysplastic/myeloproliferative diseases</w:t>
      </w:r>
      <w:r w:rsidRPr="00CD729C">
        <w:rPr>
          <w:b/>
          <w:bCs/>
          <w:color w:val="000000"/>
          <w:sz w:val="22"/>
          <w:szCs w:val="22"/>
          <w:lang w:val="lv-LV"/>
        </w:rPr>
        <w:t xml:space="preserve"> - MDS/MPD) ārstēšanai.</w:t>
      </w:r>
      <w:r w:rsidRPr="00CD729C">
        <w:rPr>
          <w:color w:val="000000"/>
          <w:sz w:val="22"/>
          <w:szCs w:val="22"/>
          <w:lang w:val="lv-LV"/>
        </w:rPr>
        <w:t xml:space="preserve"> Šī ir asins slimību grupa, kad nekontrolēti sāk augt dažas asins šūnas. Šo slimību noteiktu apakštipu gadījumā Glivec nomāc šo šūnu augšanu.</w:t>
      </w:r>
    </w:p>
    <w:p w14:paraId="3D395511" w14:textId="77777777" w:rsidR="008328A8" w:rsidRPr="00CD729C" w:rsidRDefault="008328A8" w:rsidP="009B4BB6">
      <w:pPr>
        <w:pStyle w:val="Listlevel1"/>
        <w:widowControl w:val="0"/>
        <w:numPr>
          <w:ilvl w:val="0"/>
          <w:numId w:val="18"/>
        </w:numPr>
        <w:tabs>
          <w:tab w:val="clear" w:pos="360"/>
          <w:tab w:val="num" w:pos="567"/>
        </w:tabs>
        <w:spacing w:before="0" w:after="0"/>
        <w:ind w:left="567" w:hanging="567"/>
        <w:rPr>
          <w:color w:val="000000"/>
          <w:sz w:val="22"/>
          <w:szCs w:val="22"/>
          <w:lang w:val="lv-LV"/>
        </w:rPr>
      </w:pPr>
      <w:r w:rsidRPr="00CD729C">
        <w:rPr>
          <w:b/>
          <w:bCs/>
          <w:color w:val="000000"/>
          <w:sz w:val="22"/>
          <w:szCs w:val="22"/>
          <w:lang w:val="lv-LV"/>
        </w:rPr>
        <w:t>Hipereozinofīliskā sindroma (HES) un vai hroniskas eozinofīlas leikozes (CEL) ārstēšanai.</w:t>
      </w:r>
      <w:r w:rsidRPr="00CD729C">
        <w:rPr>
          <w:color w:val="000000"/>
          <w:sz w:val="22"/>
          <w:szCs w:val="22"/>
          <w:lang w:val="lv-LV"/>
        </w:rPr>
        <w:t xml:space="preserve"> Šīs ir asins slimības, kuru gadījumā notiek dažu asins šūnu (ko sauc par eozinofīliem) nekontrolēta augšana. Šo slimību noteiktu apakštipu gadījumā Glivec nomāc šo šūnu augšanu.</w:t>
      </w:r>
    </w:p>
    <w:p w14:paraId="3D395512" w14:textId="77777777" w:rsidR="008328A8" w:rsidRPr="00CD729C" w:rsidRDefault="008328A8" w:rsidP="009B4BB6">
      <w:pPr>
        <w:widowControl w:val="0"/>
        <w:numPr>
          <w:ilvl w:val="0"/>
          <w:numId w:val="18"/>
        </w:numPr>
        <w:tabs>
          <w:tab w:val="clear" w:pos="360"/>
          <w:tab w:val="num" w:pos="567"/>
        </w:tabs>
        <w:spacing w:line="240" w:lineRule="auto"/>
        <w:ind w:left="567" w:hanging="567"/>
        <w:rPr>
          <w:color w:val="000000"/>
          <w:szCs w:val="22"/>
        </w:rPr>
      </w:pPr>
      <w:r w:rsidRPr="00CD729C">
        <w:rPr>
          <w:b/>
          <w:bCs/>
          <w:color w:val="000000"/>
          <w:szCs w:val="22"/>
        </w:rPr>
        <w:t>Ļaundabīgu kuņģa – zarnu trakta stromas audzēju (</w:t>
      </w:r>
      <w:r w:rsidRPr="00CD729C">
        <w:rPr>
          <w:b/>
          <w:bCs/>
          <w:i/>
          <w:color w:val="000000"/>
          <w:szCs w:val="22"/>
        </w:rPr>
        <w:t>Gastrointestinal Stromal Tumor</w:t>
      </w:r>
      <w:r w:rsidRPr="00CD729C">
        <w:rPr>
          <w:b/>
          <w:bCs/>
          <w:color w:val="000000"/>
          <w:szCs w:val="22"/>
        </w:rPr>
        <w:t xml:space="preserve"> -GIST) ārstēšanai.</w:t>
      </w:r>
      <w:r w:rsidRPr="00CD729C">
        <w:rPr>
          <w:color w:val="000000"/>
          <w:szCs w:val="22"/>
        </w:rPr>
        <w:t xml:space="preserve"> GIST</w:t>
      </w:r>
      <w:r w:rsidRPr="00CD729C">
        <w:rPr>
          <w:i/>
          <w:color w:val="000000"/>
          <w:szCs w:val="22"/>
        </w:rPr>
        <w:t xml:space="preserve"> </w:t>
      </w:r>
      <w:r w:rsidRPr="00CD729C">
        <w:rPr>
          <w:color w:val="000000"/>
          <w:szCs w:val="22"/>
        </w:rPr>
        <w:t>ir kuņģa un zarnu audzējs. Tas rodas, nekontrolēti augot šos orgānus atbalstošo audu šūnām.</w:t>
      </w:r>
    </w:p>
    <w:p w14:paraId="3D395513" w14:textId="77777777" w:rsidR="008328A8" w:rsidRPr="00CD729C" w:rsidRDefault="008328A8" w:rsidP="009B4BB6">
      <w:pPr>
        <w:widowControl w:val="0"/>
        <w:numPr>
          <w:ilvl w:val="0"/>
          <w:numId w:val="18"/>
        </w:numPr>
        <w:tabs>
          <w:tab w:val="clear" w:pos="360"/>
          <w:tab w:val="num" w:pos="567"/>
        </w:tabs>
        <w:spacing w:line="240" w:lineRule="auto"/>
        <w:ind w:left="567" w:hanging="567"/>
        <w:rPr>
          <w:color w:val="000000"/>
          <w:szCs w:val="22"/>
        </w:rPr>
      </w:pPr>
      <w:r w:rsidRPr="00CD729C">
        <w:rPr>
          <w:b/>
          <w:bCs/>
          <w:i/>
          <w:color w:val="000000"/>
          <w:szCs w:val="22"/>
        </w:rPr>
        <w:t>Dermatofibrosarcoma protuberans</w:t>
      </w:r>
      <w:r w:rsidRPr="00CD729C">
        <w:rPr>
          <w:b/>
          <w:bCs/>
          <w:color w:val="000000"/>
          <w:szCs w:val="22"/>
        </w:rPr>
        <w:t xml:space="preserve"> (DFSP).</w:t>
      </w:r>
      <w:r w:rsidRPr="00CD729C">
        <w:rPr>
          <w:color w:val="000000"/>
          <w:szCs w:val="22"/>
        </w:rPr>
        <w:t xml:space="preserve"> DFSP ir zemādas audu vēzis, kura gadījumā dažas šūnas sāk nekontrolēti augt. Glivec nomāc šo šūnu augšanu.</w:t>
      </w:r>
    </w:p>
    <w:p w14:paraId="3D395514" w14:textId="77777777" w:rsidR="008328A8" w:rsidRPr="00CD729C" w:rsidRDefault="008328A8" w:rsidP="009B4BB6">
      <w:pPr>
        <w:widowControl w:val="0"/>
        <w:numPr>
          <w:ilvl w:val="12"/>
          <w:numId w:val="0"/>
        </w:numPr>
        <w:tabs>
          <w:tab w:val="clear" w:pos="567"/>
        </w:tabs>
        <w:spacing w:line="240" w:lineRule="auto"/>
        <w:rPr>
          <w:color w:val="000000"/>
          <w:szCs w:val="22"/>
        </w:rPr>
      </w:pPr>
      <w:r w:rsidRPr="00CD729C">
        <w:rPr>
          <w:color w:val="000000"/>
          <w:szCs w:val="22"/>
        </w:rPr>
        <w:t>Turpmāk šajā lietošanas instrukcijā aprakstot šīs slimības, mēs izmantosim iepriekš minētos saīsinājumus.</w:t>
      </w:r>
    </w:p>
    <w:p w14:paraId="3D395515"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516" w14:textId="77777777" w:rsidR="008328A8" w:rsidRPr="00CD729C" w:rsidRDefault="008328A8" w:rsidP="009B4BB6">
      <w:pPr>
        <w:widowControl w:val="0"/>
        <w:numPr>
          <w:ilvl w:val="12"/>
          <w:numId w:val="0"/>
        </w:numPr>
        <w:tabs>
          <w:tab w:val="clear" w:pos="567"/>
        </w:tabs>
        <w:spacing w:line="240" w:lineRule="auto"/>
        <w:rPr>
          <w:color w:val="000000"/>
          <w:szCs w:val="22"/>
        </w:rPr>
      </w:pPr>
      <w:r w:rsidRPr="00CD729C">
        <w:rPr>
          <w:color w:val="000000"/>
          <w:szCs w:val="22"/>
        </w:rPr>
        <w:t>Ja Jums ir kādi jautājumi par Glivec iedarbību vai kādēļ šīs zāles Jums ir nozīmētas, jautājiet savam ārstam.</w:t>
      </w:r>
    </w:p>
    <w:p w14:paraId="3D395517"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518"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519" w14:textId="77777777" w:rsidR="008328A8" w:rsidRPr="00CD729C" w:rsidRDefault="008328A8" w:rsidP="009B4BB6">
      <w:pPr>
        <w:keepNext/>
        <w:widowControl w:val="0"/>
        <w:numPr>
          <w:ilvl w:val="12"/>
          <w:numId w:val="0"/>
        </w:numPr>
        <w:tabs>
          <w:tab w:val="clear" w:pos="567"/>
        </w:tabs>
        <w:spacing w:line="240" w:lineRule="auto"/>
        <w:ind w:left="567" w:hanging="567"/>
        <w:rPr>
          <w:color w:val="000000"/>
          <w:szCs w:val="22"/>
        </w:rPr>
      </w:pPr>
      <w:r w:rsidRPr="00CD729C">
        <w:rPr>
          <w:b/>
          <w:color w:val="000000"/>
          <w:szCs w:val="22"/>
        </w:rPr>
        <w:t>2.</w:t>
      </w:r>
      <w:r w:rsidRPr="00CD729C">
        <w:rPr>
          <w:b/>
          <w:color w:val="000000"/>
          <w:szCs w:val="22"/>
        </w:rPr>
        <w:tab/>
        <w:t xml:space="preserve">Kas </w:t>
      </w:r>
      <w:r w:rsidR="006B2AC8" w:rsidRPr="00CD729C">
        <w:rPr>
          <w:b/>
          <w:color w:val="000000"/>
          <w:szCs w:val="22"/>
        </w:rPr>
        <w:t xml:space="preserve">Jums </w:t>
      </w:r>
      <w:r w:rsidRPr="00CD729C">
        <w:rPr>
          <w:b/>
          <w:color w:val="000000"/>
          <w:szCs w:val="22"/>
        </w:rPr>
        <w:t>jāzina pirms Glivec lietošanas</w:t>
      </w:r>
    </w:p>
    <w:p w14:paraId="3D39551A" w14:textId="77777777" w:rsidR="008328A8" w:rsidRPr="00CD729C" w:rsidRDefault="008328A8" w:rsidP="009B4BB6">
      <w:pPr>
        <w:keepNext/>
        <w:widowControl w:val="0"/>
        <w:numPr>
          <w:ilvl w:val="12"/>
          <w:numId w:val="0"/>
        </w:numPr>
        <w:tabs>
          <w:tab w:val="clear" w:pos="567"/>
        </w:tabs>
        <w:spacing w:line="240" w:lineRule="auto"/>
        <w:ind w:left="567" w:hanging="567"/>
        <w:rPr>
          <w:color w:val="000000"/>
          <w:szCs w:val="22"/>
        </w:rPr>
      </w:pPr>
    </w:p>
    <w:p w14:paraId="3D39551B" w14:textId="77777777" w:rsidR="008328A8" w:rsidRPr="00CD729C" w:rsidRDefault="008328A8" w:rsidP="009B4BB6">
      <w:pPr>
        <w:widowControl w:val="0"/>
        <w:numPr>
          <w:ilvl w:val="12"/>
          <w:numId w:val="0"/>
        </w:numPr>
        <w:tabs>
          <w:tab w:val="clear" w:pos="567"/>
        </w:tabs>
        <w:spacing w:line="240" w:lineRule="auto"/>
        <w:rPr>
          <w:color w:val="000000"/>
          <w:szCs w:val="22"/>
        </w:rPr>
      </w:pPr>
      <w:r w:rsidRPr="00CD729C">
        <w:rPr>
          <w:color w:val="000000"/>
          <w:szCs w:val="22"/>
        </w:rPr>
        <w:t>Glivec Jums var nozīmēt tikai ārsts, kam ir pieredze zāļu, kas paredzētas asins vēža vai norobežotu audzēju ārstēšanai.</w:t>
      </w:r>
    </w:p>
    <w:p w14:paraId="3D39551C"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51D" w14:textId="77777777" w:rsidR="008328A8" w:rsidRPr="00CD729C" w:rsidRDefault="008328A8" w:rsidP="009B4BB6">
      <w:pPr>
        <w:widowControl w:val="0"/>
        <w:numPr>
          <w:ilvl w:val="12"/>
          <w:numId w:val="0"/>
        </w:numPr>
        <w:tabs>
          <w:tab w:val="clear" w:pos="567"/>
        </w:tabs>
        <w:spacing w:line="240" w:lineRule="auto"/>
        <w:rPr>
          <w:color w:val="000000"/>
          <w:szCs w:val="22"/>
        </w:rPr>
      </w:pPr>
      <w:r w:rsidRPr="00CD729C">
        <w:rPr>
          <w:color w:val="000000"/>
          <w:szCs w:val="22"/>
        </w:rPr>
        <w:t>Rūpīgi ievērojiet visus sava ārsta norādījumus pat tad, ja tie atšķiras no vispārējās informācijas, kas atrodama šajā instrukcijā.</w:t>
      </w:r>
    </w:p>
    <w:p w14:paraId="3D39551E"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51F" w14:textId="77777777" w:rsidR="008328A8" w:rsidRPr="00CD729C" w:rsidRDefault="008328A8" w:rsidP="009B4BB6">
      <w:pPr>
        <w:pStyle w:val="BodyText2"/>
        <w:keepNext/>
        <w:widowControl w:val="0"/>
        <w:numPr>
          <w:ilvl w:val="12"/>
          <w:numId w:val="0"/>
        </w:numPr>
        <w:tabs>
          <w:tab w:val="clear" w:pos="567"/>
        </w:tabs>
        <w:spacing w:line="240" w:lineRule="auto"/>
        <w:rPr>
          <w:color w:val="000000"/>
          <w:szCs w:val="22"/>
        </w:rPr>
      </w:pPr>
      <w:r w:rsidRPr="00CD729C">
        <w:rPr>
          <w:color w:val="000000"/>
          <w:szCs w:val="22"/>
        </w:rPr>
        <w:t>Nelietojiet Glivec šādos gadījumos</w:t>
      </w:r>
    </w:p>
    <w:p w14:paraId="3D395520" w14:textId="77777777" w:rsidR="008328A8" w:rsidRPr="00CD729C" w:rsidRDefault="008328A8" w:rsidP="009B4BB6">
      <w:pPr>
        <w:keepNext/>
        <w:widowControl w:val="0"/>
        <w:numPr>
          <w:ilvl w:val="0"/>
          <w:numId w:val="2"/>
        </w:numPr>
        <w:tabs>
          <w:tab w:val="clear" w:pos="360"/>
          <w:tab w:val="clear" w:pos="567"/>
        </w:tabs>
        <w:spacing w:line="240" w:lineRule="auto"/>
        <w:ind w:left="567" w:hanging="567"/>
        <w:rPr>
          <w:color w:val="000000"/>
          <w:szCs w:val="22"/>
        </w:rPr>
      </w:pPr>
      <w:r w:rsidRPr="00CD729C">
        <w:rPr>
          <w:color w:val="000000"/>
          <w:szCs w:val="22"/>
        </w:rPr>
        <w:t xml:space="preserve">ja Jums ir alerģija pret imatinibu vai kādu citu </w:t>
      </w:r>
      <w:r w:rsidRPr="00CD729C">
        <w:rPr>
          <w:szCs w:val="22"/>
        </w:rPr>
        <w:t>(6.</w:t>
      </w:r>
      <w:r w:rsidR="006B2AC8" w:rsidRPr="00CD729C">
        <w:rPr>
          <w:szCs w:val="22"/>
        </w:rPr>
        <w:t xml:space="preserve"> punktā </w:t>
      </w:r>
      <w:r w:rsidRPr="00CD729C">
        <w:rPr>
          <w:szCs w:val="22"/>
        </w:rPr>
        <w:t>minēto) šo zāļu sastāvdaļu</w:t>
      </w:r>
      <w:r w:rsidRPr="00CD729C">
        <w:rPr>
          <w:color w:val="000000"/>
          <w:szCs w:val="22"/>
        </w:rPr>
        <w:t>.</w:t>
      </w:r>
    </w:p>
    <w:p w14:paraId="3D395521" w14:textId="77777777" w:rsidR="008328A8" w:rsidRPr="00CD729C" w:rsidRDefault="008328A8" w:rsidP="009B4BB6">
      <w:pPr>
        <w:widowControl w:val="0"/>
        <w:numPr>
          <w:ilvl w:val="12"/>
          <w:numId w:val="0"/>
        </w:numPr>
        <w:tabs>
          <w:tab w:val="clear" w:pos="567"/>
        </w:tabs>
        <w:spacing w:line="240" w:lineRule="auto"/>
        <w:rPr>
          <w:color w:val="000000"/>
          <w:szCs w:val="22"/>
        </w:rPr>
      </w:pPr>
      <w:r w:rsidRPr="00CD729C">
        <w:rPr>
          <w:color w:val="000000"/>
          <w:szCs w:val="22"/>
        </w:rPr>
        <w:t xml:space="preserve">Ja tas attiecas uz Jums, </w:t>
      </w:r>
      <w:r w:rsidRPr="00CD729C">
        <w:rPr>
          <w:b/>
          <w:color w:val="000000"/>
          <w:szCs w:val="22"/>
        </w:rPr>
        <w:t>nelietojiet Glivec un pastāstiet par to savam ārstam</w:t>
      </w:r>
      <w:r w:rsidRPr="00CD729C">
        <w:rPr>
          <w:color w:val="000000"/>
          <w:szCs w:val="22"/>
        </w:rPr>
        <w:t>.</w:t>
      </w:r>
    </w:p>
    <w:p w14:paraId="3D395522" w14:textId="77777777" w:rsidR="008328A8" w:rsidRPr="00CD729C" w:rsidRDefault="008328A8" w:rsidP="009B4BB6">
      <w:pPr>
        <w:widowControl w:val="0"/>
        <w:tabs>
          <w:tab w:val="clear" w:pos="567"/>
        </w:tabs>
        <w:spacing w:line="240" w:lineRule="auto"/>
        <w:rPr>
          <w:color w:val="000000"/>
          <w:szCs w:val="22"/>
        </w:rPr>
      </w:pPr>
    </w:p>
    <w:p w14:paraId="3D395523" w14:textId="77777777" w:rsidR="008328A8" w:rsidRPr="00CD729C" w:rsidRDefault="008328A8" w:rsidP="009B4BB6">
      <w:pPr>
        <w:widowControl w:val="0"/>
        <w:tabs>
          <w:tab w:val="clear" w:pos="567"/>
        </w:tabs>
        <w:spacing w:line="240" w:lineRule="auto"/>
        <w:rPr>
          <w:color w:val="000000"/>
          <w:szCs w:val="22"/>
        </w:rPr>
      </w:pPr>
      <w:r w:rsidRPr="00CD729C">
        <w:rPr>
          <w:color w:val="000000"/>
          <w:szCs w:val="22"/>
        </w:rPr>
        <w:t>Informējiet savu ārstu, ja Jūs domājat, ka Jums varētu būt alerģija, bet neesat par to drošs.</w:t>
      </w:r>
    </w:p>
    <w:p w14:paraId="3D395524" w14:textId="77777777" w:rsidR="008328A8" w:rsidRPr="00CD729C" w:rsidRDefault="008328A8" w:rsidP="009B4BB6">
      <w:pPr>
        <w:widowControl w:val="0"/>
        <w:spacing w:line="240" w:lineRule="auto"/>
        <w:rPr>
          <w:color w:val="000000"/>
          <w:szCs w:val="22"/>
        </w:rPr>
      </w:pPr>
    </w:p>
    <w:p w14:paraId="3D395525" w14:textId="77777777" w:rsidR="008328A8" w:rsidRPr="00CD729C" w:rsidRDefault="008328A8" w:rsidP="009B4BB6">
      <w:pPr>
        <w:keepNext/>
        <w:widowControl w:val="0"/>
        <w:numPr>
          <w:ilvl w:val="12"/>
          <w:numId w:val="0"/>
        </w:numPr>
        <w:tabs>
          <w:tab w:val="clear" w:pos="567"/>
        </w:tabs>
        <w:spacing w:line="240" w:lineRule="auto"/>
        <w:ind w:left="567" w:hanging="567"/>
        <w:rPr>
          <w:b/>
          <w:color w:val="000000"/>
          <w:szCs w:val="22"/>
        </w:rPr>
      </w:pPr>
      <w:r w:rsidRPr="00CD729C">
        <w:rPr>
          <w:b/>
          <w:color w:val="000000"/>
          <w:szCs w:val="22"/>
        </w:rPr>
        <w:t>Brīdinājumi un piesardzība lietošanā</w:t>
      </w:r>
    </w:p>
    <w:p w14:paraId="3D395526" w14:textId="77777777" w:rsidR="008328A8" w:rsidRPr="00CD729C" w:rsidRDefault="008328A8" w:rsidP="009B4BB6">
      <w:pPr>
        <w:keepNext/>
        <w:widowControl w:val="0"/>
        <w:tabs>
          <w:tab w:val="clear" w:pos="567"/>
        </w:tabs>
        <w:spacing w:line="240" w:lineRule="auto"/>
        <w:rPr>
          <w:color w:val="000000"/>
          <w:szCs w:val="22"/>
        </w:rPr>
      </w:pPr>
      <w:r w:rsidRPr="00CD729C">
        <w:rPr>
          <w:color w:val="000000"/>
          <w:szCs w:val="22"/>
        </w:rPr>
        <w:t>Pirms Glivec lietošanas konsultējieties ar ārstu:</w:t>
      </w:r>
    </w:p>
    <w:p w14:paraId="3D395527" w14:textId="77777777" w:rsidR="008328A8" w:rsidRPr="00CD729C" w:rsidRDefault="008328A8" w:rsidP="009B4BB6">
      <w:pPr>
        <w:widowControl w:val="0"/>
        <w:numPr>
          <w:ilvl w:val="0"/>
          <w:numId w:val="2"/>
        </w:numPr>
        <w:tabs>
          <w:tab w:val="clear" w:pos="360"/>
          <w:tab w:val="clear" w:pos="567"/>
        </w:tabs>
        <w:spacing w:line="240" w:lineRule="auto"/>
        <w:ind w:left="567" w:hanging="567"/>
        <w:rPr>
          <w:color w:val="000000"/>
          <w:szCs w:val="22"/>
        </w:rPr>
      </w:pPr>
      <w:r w:rsidRPr="00CD729C">
        <w:rPr>
          <w:color w:val="000000"/>
          <w:szCs w:val="22"/>
        </w:rPr>
        <w:t>ja Jums ir vai ir bijusi aknu, nieru vai sirds slimība,</w:t>
      </w:r>
    </w:p>
    <w:p w14:paraId="3D395528" w14:textId="77777777" w:rsidR="005E6C32" w:rsidRDefault="008328A8" w:rsidP="009B4BB6">
      <w:pPr>
        <w:widowControl w:val="0"/>
        <w:numPr>
          <w:ilvl w:val="0"/>
          <w:numId w:val="2"/>
        </w:numPr>
        <w:tabs>
          <w:tab w:val="clear" w:pos="360"/>
          <w:tab w:val="clear" w:pos="567"/>
        </w:tabs>
        <w:spacing w:line="240" w:lineRule="auto"/>
        <w:ind w:left="567" w:hanging="567"/>
        <w:rPr>
          <w:color w:val="000000"/>
          <w:szCs w:val="22"/>
        </w:rPr>
      </w:pPr>
      <w:r w:rsidRPr="00CD729C">
        <w:rPr>
          <w:color w:val="000000"/>
          <w:szCs w:val="22"/>
        </w:rPr>
        <w:t>ja Jūs lietojat zāles levotiroksīnu sakarā ar izoperētu vairogdziedzeri</w:t>
      </w:r>
      <w:r w:rsidR="005E6C32">
        <w:rPr>
          <w:color w:val="000000"/>
          <w:szCs w:val="22"/>
        </w:rPr>
        <w:t>,</w:t>
      </w:r>
    </w:p>
    <w:p w14:paraId="3D395529" w14:textId="77777777" w:rsidR="008328A8" w:rsidRDefault="005E6C32" w:rsidP="009B4BB6">
      <w:pPr>
        <w:widowControl w:val="0"/>
        <w:numPr>
          <w:ilvl w:val="0"/>
          <w:numId w:val="2"/>
        </w:numPr>
        <w:tabs>
          <w:tab w:val="clear" w:pos="360"/>
          <w:tab w:val="clear" w:pos="567"/>
        </w:tabs>
        <w:spacing w:line="240" w:lineRule="auto"/>
        <w:ind w:left="567" w:hanging="567"/>
        <w:rPr>
          <w:color w:val="000000"/>
          <w:szCs w:val="22"/>
        </w:rPr>
      </w:pPr>
      <w:r w:rsidRPr="00675AE0">
        <w:rPr>
          <w:szCs w:val="22"/>
        </w:rPr>
        <w:t>ja Jums kādreiz ir bijusi vai šobrī</w:t>
      </w:r>
      <w:r w:rsidRPr="004F181B">
        <w:rPr>
          <w:szCs w:val="22"/>
        </w:rPr>
        <w:t>d varētu būt B hepatīta vīrusa infekcija. Tas ir tādēļ, ka Tasigna var izraisīt B hepatīta atkārtošanos, kas dažos gadījumos var izraisīt nāvi. Pirms ārstēšanas uzsākšanas ārsts rūpīgi izmeklēs pacientus, vai viņiem nav šīs infekcijas pazīmju</w:t>
      </w:r>
      <w:r w:rsidR="008328A8" w:rsidRPr="00CD729C">
        <w:rPr>
          <w:color w:val="000000"/>
          <w:szCs w:val="22"/>
        </w:rPr>
        <w:t>.</w:t>
      </w:r>
    </w:p>
    <w:p w14:paraId="3D39552A" w14:textId="77777777" w:rsidR="00B53E28" w:rsidRPr="00CD729C" w:rsidRDefault="00B53E28" w:rsidP="009B4BB6">
      <w:pPr>
        <w:widowControl w:val="0"/>
        <w:numPr>
          <w:ilvl w:val="0"/>
          <w:numId w:val="2"/>
        </w:numPr>
        <w:tabs>
          <w:tab w:val="clear" w:pos="360"/>
          <w:tab w:val="clear" w:pos="567"/>
        </w:tabs>
        <w:spacing w:line="240" w:lineRule="auto"/>
        <w:ind w:left="567" w:hanging="567"/>
        <w:rPr>
          <w:color w:val="000000"/>
          <w:szCs w:val="22"/>
        </w:rPr>
      </w:pPr>
      <w:r>
        <w:rPr>
          <w:szCs w:val="22"/>
        </w:rPr>
        <w:t>ja Jums veidojas zilumi, ir asiņošana, drudzis, nogurums un apjukuma sajūta, lietojot Glivec, konsultējieties ar ārstu. Tās var būt asinsvadu bojājuma pazīmes, ko sauc par trombotisku mikroangiopātiju (TMA).</w:t>
      </w:r>
    </w:p>
    <w:p w14:paraId="3D39552B" w14:textId="77777777" w:rsidR="008328A8" w:rsidRDefault="008328A8" w:rsidP="009B4BB6">
      <w:pPr>
        <w:widowControl w:val="0"/>
        <w:numPr>
          <w:ilvl w:val="12"/>
          <w:numId w:val="0"/>
        </w:numPr>
        <w:tabs>
          <w:tab w:val="clear" w:pos="567"/>
        </w:tabs>
        <w:spacing w:line="240" w:lineRule="auto"/>
        <w:rPr>
          <w:color w:val="000000"/>
          <w:szCs w:val="22"/>
        </w:rPr>
      </w:pPr>
      <w:r w:rsidRPr="00CD729C">
        <w:rPr>
          <w:color w:val="000000"/>
          <w:szCs w:val="22"/>
        </w:rPr>
        <w:t xml:space="preserve">Ja jebkurš no minētajiem apstākļiem attiecas uz Jums, </w:t>
      </w:r>
      <w:r w:rsidRPr="00CD729C">
        <w:rPr>
          <w:b/>
          <w:color w:val="000000"/>
          <w:szCs w:val="22"/>
        </w:rPr>
        <w:t>pirms Glivec lietošanas pastāstiet par to savam ārstam</w:t>
      </w:r>
      <w:r w:rsidRPr="00CD729C">
        <w:rPr>
          <w:color w:val="000000"/>
          <w:szCs w:val="22"/>
        </w:rPr>
        <w:t>.</w:t>
      </w:r>
    </w:p>
    <w:p w14:paraId="3D39552C" w14:textId="77777777" w:rsidR="007357F4" w:rsidRDefault="007357F4" w:rsidP="009B4BB6">
      <w:pPr>
        <w:widowControl w:val="0"/>
        <w:numPr>
          <w:ilvl w:val="12"/>
          <w:numId w:val="0"/>
        </w:numPr>
        <w:tabs>
          <w:tab w:val="clear" w:pos="567"/>
        </w:tabs>
        <w:spacing w:line="240" w:lineRule="auto"/>
        <w:rPr>
          <w:color w:val="000000"/>
          <w:szCs w:val="22"/>
        </w:rPr>
      </w:pPr>
    </w:p>
    <w:p w14:paraId="3D39552D" w14:textId="77777777" w:rsidR="007357F4" w:rsidRPr="00CD729C" w:rsidRDefault="007357F4" w:rsidP="009B4BB6">
      <w:pPr>
        <w:widowControl w:val="0"/>
        <w:numPr>
          <w:ilvl w:val="12"/>
          <w:numId w:val="0"/>
        </w:numPr>
        <w:tabs>
          <w:tab w:val="clear" w:pos="567"/>
        </w:tabs>
        <w:spacing w:line="240" w:lineRule="auto"/>
        <w:rPr>
          <w:color w:val="000000"/>
          <w:szCs w:val="22"/>
        </w:rPr>
      </w:pPr>
      <w:r>
        <w:rPr>
          <w:color w:val="000000"/>
          <w:szCs w:val="22"/>
        </w:rPr>
        <w:t xml:space="preserve">Glivec lietošanas laikā Jūs varat kļūt jutīgāks pret saules stariem. Saules iedarbībai </w:t>
      </w:r>
      <w:r w:rsidR="00B40010">
        <w:rPr>
          <w:color w:val="000000"/>
          <w:szCs w:val="22"/>
        </w:rPr>
        <w:t xml:space="preserve">pakļautās </w:t>
      </w:r>
      <w:r>
        <w:rPr>
          <w:color w:val="000000"/>
          <w:szCs w:val="22"/>
        </w:rPr>
        <w:t>atklātās ķermeņa daļas ir svarīgi apsegt un lietot sauļošanās krēmu ar augstu saules aizsardzības faktoru (</w:t>
      </w:r>
      <w:r w:rsidRPr="00DF7DD8">
        <w:rPr>
          <w:i/>
          <w:color w:val="000000"/>
          <w:szCs w:val="22"/>
        </w:rPr>
        <w:t>SPF</w:t>
      </w:r>
      <w:r>
        <w:rPr>
          <w:color w:val="000000"/>
          <w:szCs w:val="22"/>
        </w:rPr>
        <w:t>). Šie piesardzības pasākumi ir piemērojami arī bērniem.</w:t>
      </w:r>
    </w:p>
    <w:p w14:paraId="3D39552E"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52F" w14:textId="77777777" w:rsidR="008328A8" w:rsidRPr="00CD729C" w:rsidRDefault="008328A8" w:rsidP="009B4BB6">
      <w:pPr>
        <w:pStyle w:val="Text"/>
        <w:widowControl w:val="0"/>
        <w:spacing w:before="0"/>
        <w:jc w:val="left"/>
        <w:rPr>
          <w:color w:val="000000"/>
          <w:sz w:val="22"/>
          <w:szCs w:val="22"/>
          <w:lang w:val="lv-LV"/>
        </w:rPr>
      </w:pPr>
      <w:r w:rsidRPr="00CD729C">
        <w:rPr>
          <w:bCs/>
          <w:color w:val="000000"/>
          <w:sz w:val="22"/>
          <w:szCs w:val="22"/>
          <w:lang w:val="lv-LV"/>
        </w:rPr>
        <w:t xml:space="preserve">Ja </w:t>
      </w:r>
      <w:r w:rsidRPr="00CD729C">
        <w:rPr>
          <w:b/>
          <w:color w:val="000000"/>
          <w:sz w:val="22"/>
          <w:szCs w:val="22"/>
          <w:lang w:val="lv-LV"/>
        </w:rPr>
        <w:t xml:space="preserve">ārstēšanas laikā ar Glivec </w:t>
      </w:r>
      <w:r w:rsidRPr="00CD729C">
        <w:rPr>
          <w:bCs/>
          <w:color w:val="000000"/>
          <w:sz w:val="22"/>
          <w:szCs w:val="22"/>
          <w:lang w:val="lv-LV"/>
        </w:rPr>
        <w:t xml:space="preserve">Jūs strauji pieņematies svarā, </w:t>
      </w:r>
      <w:r w:rsidRPr="00CD729C">
        <w:rPr>
          <w:b/>
          <w:color w:val="000000"/>
          <w:sz w:val="22"/>
          <w:szCs w:val="22"/>
          <w:lang w:val="lv-LV"/>
        </w:rPr>
        <w:t>nekavējoties pastāstiet par to savam ārstam</w:t>
      </w:r>
      <w:r w:rsidRPr="00CD729C">
        <w:rPr>
          <w:bCs/>
          <w:color w:val="000000"/>
          <w:sz w:val="22"/>
          <w:szCs w:val="22"/>
          <w:lang w:val="lv-LV"/>
        </w:rPr>
        <w:t>.</w:t>
      </w:r>
      <w:r w:rsidRPr="00CD729C">
        <w:rPr>
          <w:b/>
          <w:color w:val="000000"/>
          <w:sz w:val="22"/>
          <w:szCs w:val="22"/>
          <w:lang w:val="lv-LV"/>
        </w:rPr>
        <w:t xml:space="preserve"> </w:t>
      </w:r>
      <w:r w:rsidRPr="00CD729C">
        <w:rPr>
          <w:color w:val="000000"/>
          <w:sz w:val="22"/>
          <w:szCs w:val="22"/>
          <w:lang w:val="lv-LV"/>
        </w:rPr>
        <w:t>Glivec var likt Jūsu organismam uzkrāt šķidrumu (smaga šķidruma aizture).</w:t>
      </w:r>
    </w:p>
    <w:p w14:paraId="3D395530"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531" w14:textId="77777777" w:rsidR="008328A8" w:rsidRPr="00CD729C" w:rsidRDefault="008328A8" w:rsidP="009B4BB6">
      <w:pPr>
        <w:widowControl w:val="0"/>
        <w:numPr>
          <w:ilvl w:val="12"/>
          <w:numId w:val="0"/>
        </w:numPr>
        <w:tabs>
          <w:tab w:val="clear" w:pos="567"/>
        </w:tabs>
        <w:spacing w:line="240" w:lineRule="auto"/>
        <w:rPr>
          <w:color w:val="000000"/>
          <w:szCs w:val="22"/>
        </w:rPr>
      </w:pPr>
      <w:r w:rsidRPr="00CD729C">
        <w:rPr>
          <w:color w:val="000000"/>
          <w:szCs w:val="22"/>
        </w:rPr>
        <w:t>Glivec lietošanas laikā, Jūsu ārsts Jūs regulāri pārbaudīs, vai zāles iedarbojas. Jums izdarīs arī asins analīzes un Jūs regulāri svērs.</w:t>
      </w:r>
    </w:p>
    <w:p w14:paraId="3D395532" w14:textId="77777777" w:rsidR="008328A8" w:rsidRPr="00CD729C" w:rsidRDefault="008328A8" w:rsidP="009B4BB6">
      <w:pPr>
        <w:widowControl w:val="0"/>
        <w:numPr>
          <w:ilvl w:val="12"/>
          <w:numId w:val="0"/>
        </w:numPr>
        <w:tabs>
          <w:tab w:val="clear" w:pos="567"/>
        </w:tabs>
        <w:spacing w:line="240" w:lineRule="auto"/>
        <w:rPr>
          <w:color w:val="000000"/>
        </w:rPr>
      </w:pPr>
    </w:p>
    <w:p w14:paraId="3D395533" w14:textId="77777777" w:rsidR="008328A8" w:rsidRPr="00CD729C" w:rsidRDefault="008328A8" w:rsidP="009B4BB6">
      <w:pPr>
        <w:keepNext/>
        <w:widowControl w:val="0"/>
        <w:numPr>
          <w:ilvl w:val="12"/>
          <w:numId w:val="0"/>
        </w:numPr>
        <w:tabs>
          <w:tab w:val="clear" w:pos="567"/>
        </w:tabs>
        <w:spacing w:line="240" w:lineRule="auto"/>
        <w:ind w:left="567" w:hanging="567"/>
        <w:rPr>
          <w:b/>
          <w:szCs w:val="22"/>
        </w:rPr>
      </w:pPr>
      <w:r w:rsidRPr="00CD729C">
        <w:rPr>
          <w:b/>
          <w:szCs w:val="22"/>
        </w:rPr>
        <w:t>Bērni un pusaudži</w:t>
      </w:r>
    </w:p>
    <w:p w14:paraId="3D395534" w14:textId="77777777" w:rsidR="008328A8" w:rsidRPr="00CD729C" w:rsidRDefault="008328A8" w:rsidP="009B4BB6">
      <w:pPr>
        <w:widowControl w:val="0"/>
        <w:numPr>
          <w:ilvl w:val="12"/>
          <w:numId w:val="0"/>
        </w:numPr>
        <w:tabs>
          <w:tab w:val="clear" w:pos="567"/>
        </w:tabs>
        <w:spacing w:line="240" w:lineRule="auto"/>
        <w:rPr>
          <w:color w:val="000000"/>
          <w:szCs w:val="22"/>
        </w:rPr>
      </w:pPr>
      <w:r w:rsidRPr="00CD729C">
        <w:rPr>
          <w:color w:val="000000"/>
          <w:szCs w:val="22"/>
        </w:rPr>
        <w:t xml:space="preserve">Glivec lieto arī CML ārstēšanai bērniem. </w:t>
      </w:r>
      <w:r w:rsidRPr="00CD729C">
        <w:rPr>
          <w:color w:val="000000"/>
        </w:rPr>
        <w:t xml:space="preserve">Nav pieredzes lietošanai bērniem </w:t>
      </w:r>
      <w:r w:rsidRPr="00CD729C">
        <w:rPr>
          <w:color w:val="000000"/>
          <w:szCs w:val="22"/>
        </w:rPr>
        <w:t xml:space="preserve">ar CML līdz 2 gadu vecumam. </w:t>
      </w:r>
      <w:r w:rsidRPr="00CD729C">
        <w:rPr>
          <w:color w:val="000000"/>
        </w:rPr>
        <w:t xml:space="preserve">Pieredze </w:t>
      </w:r>
      <w:r w:rsidR="00A82506" w:rsidRPr="00CD729C">
        <w:rPr>
          <w:color w:val="000000"/>
        </w:rPr>
        <w:t xml:space="preserve">par </w:t>
      </w:r>
      <w:r w:rsidRPr="00CD729C">
        <w:rPr>
          <w:color w:val="000000"/>
        </w:rPr>
        <w:t>lietošan</w:t>
      </w:r>
      <w:r w:rsidR="00A82506" w:rsidRPr="00CD729C">
        <w:rPr>
          <w:color w:val="000000"/>
        </w:rPr>
        <w:t>u</w:t>
      </w:r>
      <w:r w:rsidRPr="00CD729C">
        <w:rPr>
          <w:color w:val="000000"/>
        </w:rPr>
        <w:t xml:space="preserve"> bērniem </w:t>
      </w:r>
      <w:r w:rsidRPr="00CD729C">
        <w:rPr>
          <w:color w:val="000000"/>
          <w:szCs w:val="22"/>
        </w:rPr>
        <w:t xml:space="preserve">ar Ph-pozitīvu ALL </w:t>
      </w:r>
      <w:r w:rsidRPr="00CD729C">
        <w:rPr>
          <w:color w:val="000000"/>
        </w:rPr>
        <w:t>ir ierobežota</w:t>
      </w:r>
      <w:r w:rsidR="00A82506" w:rsidRPr="00CD729C">
        <w:rPr>
          <w:color w:val="000000"/>
        </w:rPr>
        <w:t xml:space="preserve"> un</w:t>
      </w:r>
      <w:r w:rsidR="00A82506" w:rsidRPr="00CD729C">
        <w:rPr>
          <w:color w:val="000000"/>
          <w:szCs w:val="22"/>
        </w:rPr>
        <w:t xml:space="preserve"> </w:t>
      </w:r>
      <w:r w:rsidR="00A82506" w:rsidRPr="00CD729C">
        <w:rPr>
          <w:color w:val="000000"/>
        </w:rPr>
        <w:t xml:space="preserve">bērniem </w:t>
      </w:r>
      <w:r w:rsidR="00A82506" w:rsidRPr="00CD729C">
        <w:rPr>
          <w:color w:val="000000"/>
          <w:szCs w:val="22"/>
        </w:rPr>
        <w:t>ar MDS/MPD, DFSP, GIST un HES/CEL ir ļoti ierobežota</w:t>
      </w:r>
      <w:r w:rsidRPr="00CD729C">
        <w:rPr>
          <w:color w:val="000000"/>
          <w:szCs w:val="22"/>
        </w:rPr>
        <w:t>.</w:t>
      </w:r>
    </w:p>
    <w:p w14:paraId="3D395535" w14:textId="77777777" w:rsidR="008328A8" w:rsidRPr="00CD729C" w:rsidRDefault="008328A8" w:rsidP="009B4BB6">
      <w:pPr>
        <w:pStyle w:val="EndnoteText"/>
        <w:widowControl w:val="0"/>
        <w:numPr>
          <w:ilvl w:val="12"/>
          <w:numId w:val="0"/>
        </w:numPr>
        <w:tabs>
          <w:tab w:val="clear" w:pos="567"/>
        </w:tabs>
        <w:rPr>
          <w:color w:val="000000"/>
          <w:szCs w:val="22"/>
        </w:rPr>
      </w:pPr>
    </w:p>
    <w:p w14:paraId="3D395536" w14:textId="77777777" w:rsidR="008328A8" w:rsidRPr="00CD729C" w:rsidRDefault="008328A8" w:rsidP="009B4BB6">
      <w:pPr>
        <w:pStyle w:val="EndnoteText"/>
        <w:widowControl w:val="0"/>
        <w:numPr>
          <w:ilvl w:val="12"/>
          <w:numId w:val="0"/>
        </w:numPr>
        <w:tabs>
          <w:tab w:val="clear" w:pos="567"/>
        </w:tabs>
        <w:rPr>
          <w:color w:val="000000"/>
          <w:szCs w:val="22"/>
        </w:rPr>
      </w:pPr>
      <w:r w:rsidRPr="00CD729C">
        <w:rPr>
          <w:color w:val="000000"/>
          <w:szCs w:val="22"/>
        </w:rPr>
        <w:t>Dažiem bērniem un pusaudžiem Glivec lietošanas laikā var novērot palēninātu augšanu. Jūsu ārsts regulāro vizīšu laikā pārbaudīs bērna augšanu.</w:t>
      </w:r>
    </w:p>
    <w:p w14:paraId="3D395537" w14:textId="77777777" w:rsidR="008328A8" w:rsidRPr="00CD729C" w:rsidRDefault="008328A8" w:rsidP="009B4BB6">
      <w:pPr>
        <w:widowControl w:val="0"/>
        <w:numPr>
          <w:ilvl w:val="12"/>
          <w:numId w:val="0"/>
        </w:numPr>
        <w:tabs>
          <w:tab w:val="clear" w:pos="567"/>
        </w:tabs>
        <w:spacing w:line="240" w:lineRule="auto"/>
        <w:rPr>
          <w:color w:val="000000"/>
          <w:szCs w:val="22"/>
        </w:rPr>
      </w:pPr>
    </w:p>
    <w:p w14:paraId="3D395538" w14:textId="77777777" w:rsidR="008328A8" w:rsidRPr="00CD729C" w:rsidRDefault="008328A8" w:rsidP="009B4BB6">
      <w:pPr>
        <w:keepNext/>
        <w:widowControl w:val="0"/>
        <w:numPr>
          <w:ilvl w:val="12"/>
          <w:numId w:val="0"/>
        </w:numPr>
        <w:tabs>
          <w:tab w:val="clear" w:pos="567"/>
        </w:tabs>
        <w:spacing w:line="240" w:lineRule="auto"/>
        <w:ind w:left="567" w:hanging="567"/>
        <w:rPr>
          <w:color w:val="000000"/>
        </w:rPr>
      </w:pPr>
      <w:r w:rsidRPr="00CD729C">
        <w:rPr>
          <w:b/>
          <w:color w:val="000000"/>
        </w:rPr>
        <w:t>Citas zāles un Glivec</w:t>
      </w:r>
    </w:p>
    <w:p w14:paraId="3D395539" w14:textId="77777777" w:rsidR="008328A8" w:rsidRPr="00CD729C" w:rsidRDefault="008328A8" w:rsidP="009B4BB6">
      <w:pPr>
        <w:widowControl w:val="0"/>
        <w:numPr>
          <w:ilvl w:val="12"/>
          <w:numId w:val="0"/>
        </w:numPr>
        <w:tabs>
          <w:tab w:val="clear" w:pos="567"/>
        </w:tabs>
        <w:spacing w:line="240" w:lineRule="auto"/>
        <w:rPr>
          <w:color w:val="000000"/>
        </w:rPr>
      </w:pPr>
      <w:r w:rsidRPr="00CD729C">
        <w:rPr>
          <w:color w:val="000000"/>
        </w:rPr>
        <w:t>Pastāstiet ārstam vai farmaceitam par visām zālēm, kuras lietojat</w:t>
      </w:r>
      <w:r w:rsidR="006A7EB7">
        <w:rPr>
          <w:color w:val="000000"/>
        </w:rPr>
        <w:t>,</w:t>
      </w:r>
      <w:r w:rsidRPr="00CD729C">
        <w:rPr>
          <w:color w:val="000000"/>
        </w:rPr>
        <w:t xml:space="preserve"> pēdējā laikā esat lietojis </w:t>
      </w:r>
      <w:r w:rsidRPr="00CD729C">
        <w:rPr>
          <w:szCs w:val="22"/>
        </w:rPr>
        <w:t>vai varētu lietot</w:t>
      </w:r>
      <w:r w:rsidRPr="00CD729C">
        <w:rPr>
          <w:color w:val="000000"/>
        </w:rPr>
        <w:t xml:space="preserve">, ieskaitot zāles, ko var iegādāties bez receptes (piemēram, paracetamolu), tai skaitā </w:t>
      </w:r>
      <w:r w:rsidRPr="00CD729C">
        <w:rPr>
          <w:color w:val="000000"/>
          <w:szCs w:val="22"/>
        </w:rPr>
        <w:t>arī augu izcelsmes preparātus (piemēram, asinszāli)</w:t>
      </w:r>
      <w:r w:rsidRPr="00CD729C">
        <w:rPr>
          <w:color w:val="000000"/>
        </w:rPr>
        <w:t>. Dažas zāles var mijiedarboties ar Glivec, ja tās lieto kopā. Šīs zāles var pavājināt vai pastiprināt Glivec iedarbību, pastiprināt Glivec izraisītās blakusparādības vai arī padarīt Glivec lietošanu mazāk efektīvu</w:t>
      </w:r>
      <w:r w:rsidRPr="00CD729C">
        <w:rPr>
          <w:color w:val="000000"/>
          <w:szCs w:val="22"/>
        </w:rPr>
        <w:t>. Tieši tāpat arī Glivec var iedarboties uz dažām zālēm.</w:t>
      </w:r>
    </w:p>
    <w:p w14:paraId="3D39553A" w14:textId="77777777" w:rsidR="00C9146D" w:rsidRPr="00CD729C" w:rsidRDefault="00C9146D" w:rsidP="009B4BB6">
      <w:pPr>
        <w:widowControl w:val="0"/>
        <w:numPr>
          <w:ilvl w:val="12"/>
          <w:numId w:val="0"/>
        </w:numPr>
        <w:tabs>
          <w:tab w:val="clear" w:pos="567"/>
        </w:tabs>
        <w:spacing w:line="240" w:lineRule="auto"/>
        <w:rPr>
          <w:color w:val="000000"/>
          <w:szCs w:val="22"/>
        </w:rPr>
      </w:pPr>
    </w:p>
    <w:p w14:paraId="3D39553B" w14:textId="77777777" w:rsidR="00C9146D" w:rsidRPr="00CD729C" w:rsidRDefault="00C9146D" w:rsidP="009B4BB6">
      <w:pPr>
        <w:widowControl w:val="0"/>
        <w:numPr>
          <w:ilvl w:val="12"/>
          <w:numId w:val="0"/>
        </w:numPr>
        <w:tabs>
          <w:tab w:val="clear" w:pos="567"/>
        </w:tabs>
        <w:spacing w:line="240" w:lineRule="auto"/>
        <w:rPr>
          <w:color w:val="000000"/>
          <w:szCs w:val="22"/>
        </w:rPr>
      </w:pPr>
      <w:r w:rsidRPr="00CD729C">
        <w:rPr>
          <w:color w:val="000000"/>
          <w:szCs w:val="22"/>
        </w:rPr>
        <w:t>Ja Jūs lietojiet zāles, kas novērš asins recekļu veidošanos, pastāstiet par to savam ārstam.</w:t>
      </w:r>
    </w:p>
    <w:p w14:paraId="3D39553C" w14:textId="77777777" w:rsidR="00C9146D" w:rsidRPr="00CD729C" w:rsidRDefault="00C9146D" w:rsidP="009B4BB6">
      <w:pPr>
        <w:widowControl w:val="0"/>
        <w:numPr>
          <w:ilvl w:val="12"/>
          <w:numId w:val="0"/>
        </w:numPr>
        <w:tabs>
          <w:tab w:val="clear" w:pos="567"/>
        </w:tabs>
        <w:spacing w:line="240" w:lineRule="auto"/>
        <w:rPr>
          <w:color w:val="000000"/>
          <w:szCs w:val="22"/>
        </w:rPr>
      </w:pPr>
    </w:p>
    <w:p w14:paraId="3D39553D" w14:textId="77777777" w:rsidR="008328A8" w:rsidRPr="00CD729C" w:rsidRDefault="008328A8" w:rsidP="009B4BB6">
      <w:pPr>
        <w:keepNext/>
        <w:widowControl w:val="0"/>
        <w:numPr>
          <w:ilvl w:val="12"/>
          <w:numId w:val="0"/>
        </w:numPr>
        <w:tabs>
          <w:tab w:val="clear" w:pos="567"/>
        </w:tabs>
        <w:spacing w:line="240" w:lineRule="auto"/>
        <w:rPr>
          <w:b/>
          <w:color w:val="000000"/>
          <w:szCs w:val="22"/>
        </w:rPr>
      </w:pPr>
      <w:r w:rsidRPr="00CD729C">
        <w:rPr>
          <w:b/>
          <w:color w:val="000000"/>
          <w:szCs w:val="22"/>
        </w:rPr>
        <w:t xml:space="preserve">Grūtniecība, </w:t>
      </w:r>
      <w:r w:rsidR="006B2AC8" w:rsidRPr="00CD729C">
        <w:rPr>
          <w:b/>
          <w:snapToGrid w:val="0"/>
          <w:szCs w:val="22"/>
        </w:rPr>
        <w:t>barošana ar krūti</w:t>
      </w:r>
      <w:r w:rsidRPr="00CD729C">
        <w:rPr>
          <w:b/>
          <w:color w:val="000000"/>
        </w:rPr>
        <w:t xml:space="preserve"> un fertilitāte</w:t>
      </w:r>
    </w:p>
    <w:p w14:paraId="3D39553E" w14:textId="77777777" w:rsidR="008328A8" w:rsidRPr="00CD729C" w:rsidRDefault="008328A8" w:rsidP="009B4BB6">
      <w:pPr>
        <w:widowControl w:val="0"/>
        <w:numPr>
          <w:ilvl w:val="0"/>
          <w:numId w:val="19"/>
        </w:numPr>
        <w:tabs>
          <w:tab w:val="clear" w:pos="720"/>
          <w:tab w:val="num" w:pos="567"/>
        </w:tabs>
        <w:spacing w:line="240" w:lineRule="auto"/>
        <w:ind w:left="567" w:hanging="567"/>
        <w:rPr>
          <w:color w:val="000000"/>
          <w:szCs w:val="22"/>
        </w:rPr>
      </w:pPr>
      <w:r w:rsidRPr="00CD729C">
        <w:rPr>
          <w:color w:val="000000"/>
          <w:szCs w:val="22"/>
        </w:rPr>
        <w:t xml:space="preserve">Ja </w:t>
      </w:r>
      <w:r w:rsidR="006B2AC8" w:rsidRPr="00CD729C">
        <w:rPr>
          <w:szCs w:val="22"/>
        </w:rPr>
        <w:t xml:space="preserve">Jūs esat grūtniece </w:t>
      </w:r>
      <w:r w:rsidRPr="00CD729C">
        <w:rPr>
          <w:color w:val="000000"/>
          <w:szCs w:val="22"/>
        </w:rPr>
        <w:t>vai barojat bērnu ar krūti, ja domājat, ka Jums varētu būt grūtniecība vai plānojat grūtniecību, pirms šo zāļu lietošanas konsultējieties ar ārstu.</w:t>
      </w:r>
    </w:p>
    <w:p w14:paraId="3D39553F" w14:textId="77777777" w:rsidR="008328A8" w:rsidRPr="00CD729C" w:rsidRDefault="008328A8" w:rsidP="009B4BB6">
      <w:pPr>
        <w:widowControl w:val="0"/>
        <w:numPr>
          <w:ilvl w:val="0"/>
          <w:numId w:val="19"/>
        </w:numPr>
        <w:tabs>
          <w:tab w:val="clear" w:pos="720"/>
          <w:tab w:val="num" w:pos="567"/>
        </w:tabs>
        <w:spacing w:line="240" w:lineRule="auto"/>
        <w:ind w:left="567" w:hanging="567"/>
        <w:rPr>
          <w:color w:val="000000"/>
          <w:szCs w:val="22"/>
        </w:rPr>
      </w:pPr>
      <w:r w:rsidRPr="00CD729C">
        <w:rPr>
          <w:color w:val="000000"/>
          <w:szCs w:val="22"/>
        </w:rPr>
        <w:t>Ja vien tas nav viennozīmīgi nepieciešams, grūtniecības laikā Glivec lietot nav atļauts, jo tas var kaitēt Jūsu bērnam. Jūsu ārsts pārrunās ar Jums iespējamo risku lietojot Glivec grūtniecības laikā.</w:t>
      </w:r>
    </w:p>
    <w:p w14:paraId="3D395540" w14:textId="77777777" w:rsidR="008328A8" w:rsidRPr="00CD729C" w:rsidRDefault="008328A8" w:rsidP="009B4BB6">
      <w:pPr>
        <w:widowControl w:val="0"/>
        <w:numPr>
          <w:ilvl w:val="0"/>
          <w:numId w:val="19"/>
        </w:numPr>
        <w:tabs>
          <w:tab w:val="clear" w:pos="720"/>
          <w:tab w:val="num" w:pos="567"/>
        </w:tabs>
        <w:spacing w:line="240" w:lineRule="auto"/>
        <w:ind w:left="567" w:hanging="567"/>
        <w:rPr>
          <w:color w:val="000000"/>
          <w:szCs w:val="22"/>
        </w:rPr>
      </w:pPr>
      <w:r w:rsidRPr="00CD729C">
        <w:rPr>
          <w:color w:val="000000"/>
          <w:szCs w:val="22"/>
        </w:rPr>
        <w:t xml:space="preserve">Sievietēm, kam grūtniecība ir iespējama, terapijas laikā </w:t>
      </w:r>
      <w:r w:rsidR="00F922BD">
        <w:rPr>
          <w:color w:val="000000"/>
          <w:szCs w:val="22"/>
        </w:rPr>
        <w:t>un 15 dienas pēc ārstēšanas pārtraukšanas</w:t>
      </w:r>
      <w:r w:rsidR="00F922BD" w:rsidRPr="00CD729C">
        <w:rPr>
          <w:color w:val="000000"/>
          <w:szCs w:val="22"/>
        </w:rPr>
        <w:t xml:space="preserve"> </w:t>
      </w:r>
      <w:r w:rsidRPr="00CD729C">
        <w:rPr>
          <w:color w:val="000000"/>
          <w:szCs w:val="22"/>
        </w:rPr>
        <w:t>ieteicams izmantot efektīvu kontracepcijas metodi.</w:t>
      </w:r>
    </w:p>
    <w:p w14:paraId="3D395541" w14:textId="77777777" w:rsidR="008328A8" w:rsidRPr="00CD729C" w:rsidRDefault="008328A8" w:rsidP="009B4BB6">
      <w:pPr>
        <w:widowControl w:val="0"/>
        <w:numPr>
          <w:ilvl w:val="0"/>
          <w:numId w:val="19"/>
        </w:numPr>
        <w:tabs>
          <w:tab w:val="clear" w:pos="720"/>
          <w:tab w:val="num" w:pos="567"/>
        </w:tabs>
        <w:spacing w:line="240" w:lineRule="auto"/>
        <w:ind w:left="567" w:hanging="567"/>
        <w:rPr>
          <w:color w:val="000000"/>
          <w:szCs w:val="22"/>
        </w:rPr>
      </w:pPr>
      <w:r w:rsidRPr="00CD729C">
        <w:rPr>
          <w:color w:val="000000"/>
          <w:szCs w:val="22"/>
        </w:rPr>
        <w:t>Laikā, kad ārstējaties ar Glivec</w:t>
      </w:r>
      <w:r w:rsidR="00F922BD">
        <w:rPr>
          <w:color w:val="000000"/>
          <w:szCs w:val="22"/>
        </w:rPr>
        <w:t xml:space="preserve"> un 15 dienas pēc ārstēšanas pārtraukšanas</w:t>
      </w:r>
      <w:r w:rsidRPr="00CD729C">
        <w:rPr>
          <w:color w:val="000000"/>
          <w:szCs w:val="22"/>
        </w:rPr>
        <w:t>, bērnu ar krūti nebarojiet</w:t>
      </w:r>
      <w:r w:rsidR="00F922BD">
        <w:rPr>
          <w:color w:val="000000"/>
          <w:szCs w:val="22"/>
        </w:rPr>
        <w:t>, jo tas var kaitēt Jūsu bērnam</w:t>
      </w:r>
      <w:r w:rsidRPr="00CD729C">
        <w:rPr>
          <w:color w:val="000000"/>
          <w:szCs w:val="22"/>
        </w:rPr>
        <w:t>.</w:t>
      </w:r>
    </w:p>
    <w:p w14:paraId="3D395542" w14:textId="77777777" w:rsidR="008328A8" w:rsidRPr="00CD729C" w:rsidRDefault="008328A8" w:rsidP="009B4BB6">
      <w:pPr>
        <w:widowControl w:val="0"/>
        <w:numPr>
          <w:ilvl w:val="0"/>
          <w:numId w:val="19"/>
        </w:numPr>
        <w:tabs>
          <w:tab w:val="clear" w:pos="720"/>
          <w:tab w:val="num" w:pos="567"/>
        </w:tabs>
        <w:spacing w:line="240" w:lineRule="auto"/>
        <w:ind w:left="567" w:hanging="567"/>
        <w:rPr>
          <w:color w:val="000000"/>
          <w:szCs w:val="22"/>
        </w:rPr>
      </w:pPr>
      <w:r w:rsidRPr="00CD729C">
        <w:rPr>
          <w:color w:val="000000"/>
          <w:szCs w:val="22"/>
        </w:rPr>
        <w:t>Pacientiem, kuriem Glivec lietošanas laikā ir bažas par savu auglību, ieteicams konsultēties ar savu ārstu.</w:t>
      </w:r>
    </w:p>
    <w:p w14:paraId="3D395543" w14:textId="77777777" w:rsidR="008328A8" w:rsidRPr="00CD729C" w:rsidRDefault="008328A8" w:rsidP="009B4BB6">
      <w:pPr>
        <w:widowControl w:val="0"/>
        <w:spacing w:line="240" w:lineRule="auto"/>
        <w:rPr>
          <w:color w:val="000000"/>
          <w:szCs w:val="22"/>
        </w:rPr>
      </w:pPr>
    </w:p>
    <w:p w14:paraId="3D395544" w14:textId="77777777" w:rsidR="008328A8" w:rsidRPr="00CD729C" w:rsidRDefault="008328A8" w:rsidP="009B4BB6">
      <w:pPr>
        <w:keepNext/>
        <w:widowControl w:val="0"/>
        <w:numPr>
          <w:ilvl w:val="12"/>
          <w:numId w:val="0"/>
        </w:numPr>
        <w:tabs>
          <w:tab w:val="clear" w:pos="567"/>
        </w:tabs>
        <w:spacing w:line="240" w:lineRule="auto"/>
        <w:ind w:left="567" w:hanging="567"/>
        <w:rPr>
          <w:b/>
          <w:color w:val="000000"/>
          <w:szCs w:val="22"/>
        </w:rPr>
      </w:pPr>
      <w:r w:rsidRPr="00CD729C">
        <w:rPr>
          <w:b/>
          <w:color w:val="000000"/>
          <w:szCs w:val="22"/>
        </w:rPr>
        <w:t>Transportlīdzekļu vadīšana un mehānismu apkalpošana</w:t>
      </w:r>
    </w:p>
    <w:p w14:paraId="3D395545" w14:textId="77777777" w:rsidR="008328A8" w:rsidRPr="00CD729C" w:rsidRDefault="008328A8" w:rsidP="009B4BB6">
      <w:pPr>
        <w:widowControl w:val="0"/>
        <w:numPr>
          <w:ilvl w:val="12"/>
          <w:numId w:val="0"/>
        </w:numPr>
        <w:tabs>
          <w:tab w:val="clear" w:pos="567"/>
        </w:tabs>
        <w:spacing w:line="240" w:lineRule="auto"/>
        <w:rPr>
          <w:color w:val="000000"/>
          <w:szCs w:val="22"/>
        </w:rPr>
      </w:pPr>
      <w:r w:rsidRPr="00CD729C">
        <w:rPr>
          <w:color w:val="000000"/>
        </w:rPr>
        <w:t>Šo zāļu lietošanas laikā Jums var attīstīties reibonis vai miegainība, vai redze kļūst neskaidra. Ja Jums rodas kāds no šiem simptomiem, nevadiet transportlīdzekļus un nelietojiet ierīces un mehānismus līdz brīdim, kad atkal jutīsieties labi.</w:t>
      </w:r>
    </w:p>
    <w:p w14:paraId="3D395546" w14:textId="77777777" w:rsidR="009F6C80" w:rsidRPr="00CD729C" w:rsidRDefault="009F6C80" w:rsidP="009B4BB6">
      <w:pPr>
        <w:widowControl w:val="0"/>
        <w:numPr>
          <w:ilvl w:val="12"/>
          <w:numId w:val="0"/>
        </w:numPr>
        <w:tabs>
          <w:tab w:val="clear" w:pos="567"/>
        </w:tabs>
        <w:spacing w:line="240" w:lineRule="auto"/>
        <w:ind w:left="567" w:hanging="567"/>
        <w:rPr>
          <w:color w:val="000000"/>
          <w:szCs w:val="22"/>
        </w:rPr>
      </w:pPr>
    </w:p>
    <w:p w14:paraId="3D395547" w14:textId="77777777" w:rsidR="009F6C80" w:rsidRPr="00CD729C" w:rsidRDefault="009F6C80" w:rsidP="009B4BB6">
      <w:pPr>
        <w:widowControl w:val="0"/>
        <w:numPr>
          <w:ilvl w:val="12"/>
          <w:numId w:val="0"/>
        </w:numPr>
        <w:tabs>
          <w:tab w:val="clear" w:pos="567"/>
        </w:tabs>
        <w:spacing w:line="240" w:lineRule="auto"/>
        <w:ind w:left="567" w:hanging="567"/>
        <w:rPr>
          <w:color w:val="000000"/>
          <w:szCs w:val="22"/>
        </w:rPr>
      </w:pPr>
    </w:p>
    <w:p w14:paraId="3D395548" w14:textId="77777777" w:rsidR="009F6C80" w:rsidRPr="00CD729C" w:rsidRDefault="009F6C80" w:rsidP="009B4BB6">
      <w:pPr>
        <w:keepNext/>
        <w:widowControl w:val="0"/>
        <w:numPr>
          <w:ilvl w:val="12"/>
          <w:numId w:val="0"/>
        </w:numPr>
        <w:tabs>
          <w:tab w:val="clear" w:pos="567"/>
        </w:tabs>
        <w:spacing w:line="240" w:lineRule="auto"/>
        <w:ind w:left="567" w:hanging="567"/>
        <w:rPr>
          <w:color w:val="000000"/>
          <w:szCs w:val="22"/>
        </w:rPr>
      </w:pPr>
      <w:r w:rsidRPr="00CD729C">
        <w:rPr>
          <w:b/>
          <w:color w:val="000000"/>
          <w:szCs w:val="22"/>
        </w:rPr>
        <w:t>3.</w:t>
      </w:r>
      <w:r w:rsidRPr="00CD729C">
        <w:rPr>
          <w:b/>
          <w:color w:val="000000"/>
          <w:szCs w:val="22"/>
        </w:rPr>
        <w:tab/>
      </w:r>
      <w:r w:rsidR="003B6C16" w:rsidRPr="00CD729C">
        <w:rPr>
          <w:b/>
          <w:color w:val="000000"/>
          <w:szCs w:val="22"/>
        </w:rPr>
        <w:t>Kā lietot Glivec</w:t>
      </w:r>
    </w:p>
    <w:p w14:paraId="3D395549" w14:textId="77777777" w:rsidR="009F6C80" w:rsidRPr="00CD729C" w:rsidRDefault="009F6C80" w:rsidP="009B4BB6">
      <w:pPr>
        <w:keepNext/>
        <w:widowControl w:val="0"/>
        <w:numPr>
          <w:ilvl w:val="12"/>
          <w:numId w:val="0"/>
        </w:numPr>
        <w:tabs>
          <w:tab w:val="clear" w:pos="567"/>
        </w:tabs>
        <w:spacing w:line="240" w:lineRule="auto"/>
        <w:ind w:left="567" w:hanging="567"/>
        <w:rPr>
          <w:color w:val="000000"/>
          <w:szCs w:val="22"/>
        </w:rPr>
      </w:pPr>
    </w:p>
    <w:p w14:paraId="3D39554A" w14:textId="77777777" w:rsidR="009F6C80" w:rsidRPr="00CD729C" w:rsidRDefault="009F6C80" w:rsidP="009B4BB6">
      <w:pPr>
        <w:pStyle w:val="Text"/>
        <w:widowControl w:val="0"/>
        <w:spacing w:before="0"/>
        <w:jc w:val="left"/>
        <w:rPr>
          <w:rFonts w:cs="Helv"/>
          <w:sz w:val="22"/>
          <w:szCs w:val="22"/>
          <w:lang w:val="lv-LV" w:bidi="th-TH"/>
        </w:rPr>
      </w:pPr>
      <w:r w:rsidRPr="00CD729C">
        <w:rPr>
          <w:rFonts w:cs="Helv"/>
          <w:sz w:val="22"/>
          <w:szCs w:val="22"/>
          <w:lang w:val="lv-LV" w:bidi="th-TH"/>
        </w:rPr>
        <w:t>Jūsu ārsts Jums parakstījis Glivec, jo Jūs ciešat no smagas slimības. Glivec var Jums palīdzēt cīnīties ar šo slimību.</w:t>
      </w:r>
    </w:p>
    <w:p w14:paraId="3D39554B" w14:textId="77777777" w:rsidR="009F6C80" w:rsidRPr="00CD729C" w:rsidRDefault="009F6C80" w:rsidP="009B4BB6">
      <w:pPr>
        <w:pStyle w:val="Text"/>
        <w:widowControl w:val="0"/>
        <w:spacing w:before="0"/>
        <w:jc w:val="left"/>
        <w:rPr>
          <w:rFonts w:cs="Helv"/>
          <w:sz w:val="22"/>
          <w:szCs w:val="22"/>
          <w:lang w:val="lv-LV" w:bidi="th-TH"/>
        </w:rPr>
      </w:pPr>
    </w:p>
    <w:p w14:paraId="3D39554C" w14:textId="77777777" w:rsidR="009F6C80" w:rsidRPr="00CD729C" w:rsidRDefault="009F6C80" w:rsidP="009B4BB6">
      <w:pPr>
        <w:widowControl w:val="0"/>
        <w:numPr>
          <w:ilvl w:val="12"/>
          <w:numId w:val="0"/>
        </w:numPr>
        <w:tabs>
          <w:tab w:val="clear" w:pos="567"/>
        </w:tabs>
        <w:spacing w:line="240" w:lineRule="auto"/>
        <w:rPr>
          <w:color w:val="000000"/>
        </w:rPr>
      </w:pPr>
      <w:r w:rsidRPr="00CD729C">
        <w:rPr>
          <w:color w:val="000000"/>
        </w:rPr>
        <w:t xml:space="preserve">Tomēr vienmēr lietojiet </w:t>
      </w:r>
      <w:r w:rsidR="003B6C16" w:rsidRPr="00CD729C">
        <w:rPr>
          <w:color w:val="000000"/>
        </w:rPr>
        <w:t xml:space="preserve">šīs zāles </w:t>
      </w:r>
      <w:r w:rsidR="006B2AC8" w:rsidRPr="00CD729C">
        <w:t>tieši tā, kā ārsts Jums teicis</w:t>
      </w:r>
      <w:r w:rsidRPr="00CD729C">
        <w:rPr>
          <w:color w:val="000000"/>
        </w:rPr>
        <w:t xml:space="preserve">. Svarīgi, lai Jūs visu laiku ievērotu sava ārsta </w:t>
      </w:r>
      <w:r w:rsidR="003B6C16" w:rsidRPr="00CD729C">
        <w:rPr>
          <w:color w:val="000000"/>
        </w:rPr>
        <w:t xml:space="preserve">vai farmaceita </w:t>
      </w:r>
      <w:r w:rsidRPr="00CD729C">
        <w:rPr>
          <w:color w:val="000000"/>
        </w:rPr>
        <w:t>norādījumus. Neskaidrību gadījumā vaicājiet ārstam vai farmaceitam.</w:t>
      </w:r>
    </w:p>
    <w:p w14:paraId="3D39554D" w14:textId="77777777" w:rsidR="009F6C80" w:rsidRPr="00CD729C" w:rsidRDefault="009F6C80" w:rsidP="009B4BB6">
      <w:pPr>
        <w:widowControl w:val="0"/>
        <w:numPr>
          <w:ilvl w:val="12"/>
          <w:numId w:val="0"/>
        </w:numPr>
        <w:tabs>
          <w:tab w:val="clear" w:pos="567"/>
        </w:tabs>
        <w:spacing w:line="240" w:lineRule="auto"/>
        <w:ind w:left="567" w:hanging="567"/>
        <w:rPr>
          <w:color w:val="000000"/>
          <w:szCs w:val="22"/>
        </w:rPr>
      </w:pPr>
    </w:p>
    <w:p w14:paraId="3D39554E" w14:textId="77777777" w:rsidR="009F6C80" w:rsidRPr="00CD729C" w:rsidRDefault="009F6C80" w:rsidP="009B4BB6">
      <w:pPr>
        <w:widowControl w:val="0"/>
        <w:numPr>
          <w:ilvl w:val="12"/>
          <w:numId w:val="0"/>
        </w:numPr>
        <w:tabs>
          <w:tab w:val="clear" w:pos="567"/>
        </w:tabs>
        <w:spacing w:line="240" w:lineRule="auto"/>
        <w:rPr>
          <w:color w:val="000000"/>
          <w:szCs w:val="22"/>
        </w:rPr>
      </w:pPr>
      <w:r w:rsidRPr="00CD729C">
        <w:rPr>
          <w:color w:val="000000"/>
          <w:szCs w:val="22"/>
        </w:rPr>
        <w:t>Nepārtrauciet Glivec lietošanu, ja vien to nav licis darīt Jūsu ārsts. Ja Jūs nevarat lietot zāles kā norādījis Jūsu ārsts vai, ja Jūs jūtat, ka to lietošana Jums vairs nav nepieciešama, nekavējoties sazinieties ar savu ārstu.</w:t>
      </w:r>
    </w:p>
    <w:p w14:paraId="3D39554F"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550" w14:textId="77777777" w:rsidR="009F6C80" w:rsidRPr="00CD729C" w:rsidRDefault="009F6C80" w:rsidP="009B4BB6">
      <w:pPr>
        <w:pStyle w:val="ParastaisTreknraksts"/>
        <w:keepNext/>
        <w:widowControl w:val="0"/>
        <w:numPr>
          <w:ilvl w:val="12"/>
          <w:numId w:val="0"/>
        </w:numPr>
        <w:ind w:left="567" w:hanging="567"/>
        <w:rPr>
          <w:color w:val="000000"/>
          <w:szCs w:val="22"/>
        </w:rPr>
      </w:pPr>
      <w:r w:rsidRPr="00CD729C">
        <w:rPr>
          <w:color w:val="000000"/>
          <w:szCs w:val="22"/>
        </w:rPr>
        <w:t xml:space="preserve">Cik daudz </w:t>
      </w:r>
      <w:r w:rsidR="003B6C16" w:rsidRPr="00CD729C">
        <w:rPr>
          <w:color w:val="000000"/>
          <w:szCs w:val="22"/>
        </w:rPr>
        <w:t xml:space="preserve">Glivec </w:t>
      </w:r>
      <w:r w:rsidRPr="00CD729C">
        <w:rPr>
          <w:color w:val="000000"/>
          <w:szCs w:val="22"/>
        </w:rPr>
        <w:t>lietot</w:t>
      </w:r>
    </w:p>
    <w:p w14:paraId="3D395551" w14:textId="77777777" w:rsidR="009F6C80" w:rsidRPr="00CD729C" w:rsidRDefault="009F6C80" w:rsidP="009B4BB6">
      <w:pPr>
        <w:keepNext/>
        <w:widowControl w:val="0"/>
        <w:numPr>
          <w:ilvl w:val="12"/>
          <w:numId w:val="0"/>
        </w:numPr>
        <w:tabs>
          <w:tab w:val="clear" w:pos="567"/>
        </w:tabs>
        <w:spacing w:line="240" w:lineRule="auto"/>
        <w:ind w:left="567" w:hanging="567"/>
        <w:rPr>
          <w:color w:val="000000"/>
          <w:szCs w:val="22"/>
        </w:rPr>
      </w:pPr>
    </w:p>
    <w:p w14:paraId="3D395552" w14:textId="77777777" w:rsidR="009F6C80" w:rsidRPr="00CD729C" w:rsidRDefault="009F6C80" w:rsidP="009B4BB6">
      <w:pPr>
        <w:keepNext/>
        <w:widowControl w:val="0"/>
        <w:numPr>
          <w:ilvl w:val="12"/>
          <w:numId w:val="0"/>
        </w:numPr>
        <w:tabs>
          <w:tab w:val="clear" w:pos="567"/>
        </w:tabs>
        <w:spacing w:line="240" w:lineRule="auto"/>
        <w:ind w:left="567" w:hanging="567"/>
        <w:rPr>
          <w:b/>
          <w:bCs/>
          <w:color w:val="000000"/>
          <w:szCs w:val="22"/>
        </w:rPr>
      </w:pPr>
      <w:r w:rsidRPr="00CD729C">
        <w:rPr>
          <w:b/>
          <w:bCs/>
          <w:color w:val="000000"/>
          <w:szCs w:val="22"/>
        </w:rPr>
        <w:t>Lietošana pieaugušajiem</w:t>
      </w:r>
    </w:p>
    <w:p w14:paraId="3D395553" w14:textId="77777777" w:rsidR="009F6C80" w:rsidRPr="00CD729C" w:rsidRDefault="009F6C80" w:rsidP="009B4BB6">
      <w:pPr>
        <w:widowControl w:val="0"/>
        <w:numPr>
          <w:ilvl w:val="12"/>
          <w:numId w:val="0"/>
        </w:numPr>
        <w:tabs>
          <w:tab w:val="clear" w:pos="567"/>
        </w:tabs>
        <w:spacing w:line="240" w:lineRule="auto"/>
        <w:rPr>
          <w:color w:val="000000"/>
          <w:szCs w:val="22"/>
        </w:rPr>
      </w:pPr>
      <w:r w:rsidRPr="00CD729C">
        <w:rPr>
          <w:color w:val="000000"/>
          <w:szCs w:val="22"/>
        </w:rPr>
        <w:t>Cik tieši daudz Glivec tablešu jālieto, Jums pateiks ārsts.</w:t>
      </w:r>
    </w:p>
    <w:p w14:paraId="3D395554"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555" w14:textId="77777777" w:rsidR="009F6C80" w:rsidRPr="00CD729C" w:rsidRDefault="009F6C80" w:rsidP="009B4BB6">
      <w:pPr>
        <w:keepNext/>
        <w:widowControl w:val="0"/>
        <w:numPr>
          <w:ilvl w:val="0"/>
          <w:numId w:val="28"/>
        </w:numPr>
        <w:tabs>
          <w:tab w:val="clear" w:pos="360"/>
          <w:tab w:val="num" w:pos="567"/>
        </w:tabs>
        <w:spacing w:line="240" w:lineRule="auto"/>
        <w:ind w:left="567" w:hanging="567"/>
        <w:rPr>
          <w:b/>
          <w:bCs/>
          <w:color w:val="000000"/>
          <w:szCs w:val="22"/>
        </w:rPr>
      </w:pPr>
      <w:r w:rsidRPr="00CD729C">
        <w:rPr>
          <w:b/>
          <w:bCs/>
          <w:color w:val="000000"/>
          <w:szCs w:val="22"/>
        </w:rPr>
        <w:t>Ja Jums ārstē CML:</w:t>
      </w:r>
    </w:p>
    <w:p w14:paraId="3D395556" w14:textId="4E12B023" w:rsidR="009F6C80" w:rsidRPr="00CD729C" w:rsidRDefault="009F6C80" w:rsidP="009B4BB6">
      <w:pPr>
        <w:keepNext/>
        <w:widowControl w:val="0"/>
        <w:numPr>
          <w:ilvl w:val="12"/>
          <w:numId w:val="0"/>
        </w:numPr>
        <w:tabs>
          <w:tab w:val="clear" w:pos="567"/>
        </w:tabs>
        <w:spacing w:line="240" w:lineRule="auto"/>
        <w:ind w:left="567"/>
        <w:rPr>
          <w:color w:val="000000"/>
          <w:szCs w:val="22"/>
        </w:rPr>
      </w:pPr>
      <w:r w:rsidRPr="00CD729C">
        <w:rPr>
          <w:color w:val="000000"/>
          <w:szCs w:val="22"/>
        </w:rPr>
        <w:t xml:space="preserve">Atkarībā no Jūsu slimības smaguma pakāpes sākuma deva parasti ir vai nu </w:t>
      </w:r>
      <w:r w:rsidRPr="00CF0F8A">
        <w:rPr>
          <w:b/>
          <w:color w:val="000000"/>
          <w:szCs w:val="22"/>
        </w:rPr>
        <w:t>400 mg</w:t>
      </w:r>
      <w:r w:rsidRPr="00CD729C">
        <w:rPr>
          <w:color w:val="000000"/>
          <w:szCs w:val="22"/>
        </w:rPr>
        <w:t xml:space="preserve"> vai </w:t>
      </w:r>
      <w:r w:rsidRPr="00CF0F8A">
        <w:rPr>
          <w:b/>
          <w:color w:val="000000"/>
          <w:szCs w:val="22"/>
        </w:rPr>
        <w:t>600 mg</w:t>
      </w:r>
      <w:r w:rsidR="009E3686">
        <w:rPr>
          <w:color w:val="000000"/>
          <w:szCs w:val="22"/>
        </w:rPr>
        <w:t xml:space="preserve">, ko lieto </w:t>
      </w:r>
      <w:r w:rsidR="009E3686" w:rsidRPr="00CD729C">
        <w:rPr>
          <w:b/>
          <w:bCs/>
          <w:color w:val="000000"/>
          <w:szCs w:val="22"/>
        </w:rPr>
        <w:t>vienu</w:t>
      </w:r>
      <w:r w:rsidR="009E3686" w:rsidRPr="00CD729C">
        <w:rPr>
          <w:color w:val="000000"/>
          <w:szCs w:val="22"/>
        </w:rPr>
        <w:t xml:space="preserve"> reizi dienā</w:t>
      </w:r>
      <w:r w:rsidR="009D47E9">
        <w:rPr>
          <w:color w:val="000000"/>
          <w:szCs w:val="22"/>
        </w:rPr>
        <w:t>.</w:t>
      </w:r>
    </w:p>
    <w:p w14:paraId="3D395559"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55A" w14:textId="77777777" w:rsidR="009F6C80" w:rsidRPr="00CD729C" w:rsidRDefault="009F6C80" w:rsidP="009B4BB6">
      <w:pPr>
        <w:keepNext/>
        <w:widowControl w:val="0"/>
        <w:numPr>
          <w:ilvl w:val="0"/>
          <w:numId w:val="30"/>
        </w:numPr>
        <w:tabs>
          <w:tab w:val="clear" w:pos="360"/>
          <w:tab w:val="num" w:pos="567"/>
        </w:tabs>
        <w:spacing w:line="240" w:lineRule="auto"/>
        <w:ind w:left="567" w:hanging="567"/>
        <w:rPr>
          <w:b/>
          <w:bCs/>
          <w:color w:val="000000"/>
          <w:szCs w:val="22"/>
        </w:rPr>
      </w:pPr>
      <w:r w:rsidRPr="00CD729C">
        <w:rPr>
          <w:b/>
          <w:bCs/>
          <w:color w:val="000000"/>
          <w:szCs w:val="22"/>
        </w:rPr>
        <w:t>Ja Jums ārstē GIST:</w:t>
      </w:r>
    </w:p>
    <w:p w14:paraId="3D39555B" w14:textId="58C89F4F" w:rsidR="009F6C80" w:rsidRPr="00CD729C" w:rsidRDefault="009F6C80" w:rsidP="009B4BB6">
      <w:pPr>
        <w:widowControl w:val="0"/>
        <w:numPr>
          <w:ilvl w:val="12"/>
          <w:numId w:val="0"/>
        </w:numPr>
        <w:tabs>
          <w:tab w:val="clear" w:pos="567"/>
        </w:tabs>
        <w:spacing w:line="240" w:lineRule="auto"/>
        <w:ind w:left="567"/>
        <w:rPr>
          <w:color w:val="000000"/>
          <w:szCs w:val="22"/>
        </w:rPr>
      </w:pPr>
      <w:r w:rsidRPr="00CD729C">
        <w:rPr>
          <w:color w:val="000000"/>
          <w:szCs w:val="22"/>
        </w:rPr>
        <w:t xml:space="preserve">Sākuma deva ir 400 mg, ko lieto </w:t>
      </w:r>
      <w:r w:rsidRPr="00CD729C">
        <w:rPr>
          <w:b/>
          <w:bCs/>
          <w:color w:val="000000"/>
          <w:szCs w:val="22"/>
        </w:rPr>
        <w:t>vienu</w:t>
      </w:r>
      <w:r w:rsidRPr="00CD729C">
        <w:rPr>
          <w:color w:val="000000"/>
          <w:szCs w:val="22"/>
        </w:rPr>
        <w:t xml:space="preserve"> reizi dienā.</w:t>
      </w:r>
    </w:p>
    <w:p w14:paraId="3D39555C"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55D" w14:textId="13280EEC" w:rsidR="009F6C80" w:rsidRPr="00CD729C" w:rsidRDefault="009F6C80" w:rsidP="009B4BB6">
      <w:pPr>
        <w:widowControl w:val="0"/>
        <w:numPr>
          <w:ilvl w:val="12"/>
          <w:numId w:val="0"/>
        </w:numPr>
        <w:tabs>
          <w:tab w:val="clear" w:pos="567"/>
        </w:tabs>
        <w:spacing w:line="240" w:lineRule="auto"/>
        <w:rPr>
          <w:color w:val="000000"/>
          <w:szCs w:val="22"/>
        </w:rPr>
      </w:pPr>
      <w:r w:rsidRPr="00CD729C">
        <w:rPr>
          <w:color w:val="000000"/>
          <w:szCs w:val="22"/>
        </w:rPr>
        <w:t xml:space="preserve">CML un GIST gadījumā Jūsu ārsts var ordinēt lielāku vai mazāku devu, atkarībā no Jūsu reakcijas uz ārstēšanu. Ja Jūsu dienas deva ir 800 mg, Jums jālieto </w:t>
      </w:r>
      <w:r w:rsidR="009D47E9">
        <w:rPr>
          <w:color w:val="000000"/>
          <w:szCs w:val="22"/>
        </w:rPr>
        <w:t>400 mg</w:t>
      </w:r>
      <w:r w:rsidRPr="00CD729C">
        <w:rPr>
          <w:color w:val="000000"/>
          <w:szCs w:val="22"/>
        </w:rPr>
        <w:t xml:space="preserve"> no rīta un </w:t>
      </w:r>
      <w:r w:rsidR="009D47E9">
        <w:rPr>
          <w:color w:val="000000"/>
          <w:szCs w:val="22"/>
        </w:rPr>
        <w:t>400 mg</w:t>
      </w:r>
      <w:r w:rsidRPr="00CD729C">
        <w:rPr>
          <w:color w:val="000000"/>
          <w:szCs w:val="22"/>
        </w:rPr>
        <w:t xml:space="preserve"> vakarā.</w:t>
      </w:r>
    </w:p>
    <w:p w14:paraId="3D39555E"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55F" w14:textId="77777777" w:rsidR="009F6C80" w:rsidRPr="00CD729C" w:rsidRDefault="009F6C80" w:rsidP="009B4BB6">
      <w:pPr>
        <w:keepNext/>
        <w:widowControl w:val="0"/>
        <w:numPr>
          <w:ilvl w:val="0"/>
          <w:numId w:val="31"/>
        </w:numPr>
        <w:tabs>
          <w:tab w:val="clear" w:pos="360"/>
          <w:tab w:val="num" w:pos="567"/>
        </w:tabs>
        <w:spacing w:line="240" w:lineRule="auto"/>
        <w:ind w:left="567" w:hanging="567"/>
        <w:rPr>
          <w:b/>
          <w:bCs/>
          <w:color w:val="000000"/>
          <w:szCs w:val="22"/>
        </w:rPr>
      </w:pPr>
      <w:r w:rsidRPr="00CD729C">
        <w:rPr>
          <w:b/>
          <w:bCs/>
          <w:color w:val="000000"/>
          <w:szCs w:val="22"/>
        </w:rPr>
        <w:t>Ja Jums ārstē Ph-pozitīvu ALL:</w:t>
      </w:r>
    </w:p>
    <w:p w14:paraId="3D395560" w14:textId="02D129B0" w:rsidR="009F6C80" w:rsidRPr="00CD729C" w:rsidRDefault="009F6C80" w:rsidP="009B4BB6">
      <w:pPr>
        <w:widowControl w:val="0"/>
        <w:numPr>
          <w:ilvl w:val="12"/>
          <w:numId w:val="0"/>
        </w:numPr>
        <w:tabs>
          <w:tab w:val="clear" w:pos="567"/>
        </w:tabs>
        <w:spacing w:line="240" w:lineRule="auto"/>
        <w:ind w:left="567"/>
        <w:rPr>
          <w:color w:val="000000"/>
          <w:szCs w:val="22"/>
        </w:rPr>
      </w:pPr>
      <w:r w:rsidRPr="00CD729C">
        <w:rPr>
          <w:color w:val="000000"/>
          <w:szCs w:val="22"/>
        </w:rPr>
        <w:t xml:space="preserve">Sākuma deva ir 600 mg, kas jālieto </w:t>
      </w:r>
      <w:r w:rsidRPr="00CD729C">
        <w:rPr>
          <w:b/>
          <w:bCs/>
          <w:color w:val="000000"/>
          <w:szCs w:val="22"/>
        </w:rPr>
        <w:t>vienu</w:t>
      </w:r>
      <w:r w:rsidRPr="00CD729C">
        <w:rPr>
          <w:color w:val="000000"/>
          <w:szCs w:val="22"/>
        </w:rPr>
        <w:t xml:space="preserve"> reizi dienā.</w:t>
      </w:r>
    </w:p>
    <w:p w14:paraId="3D395561" w14:textId="77777777" w:rsidR="009F6C80" w:rsidRPr="00CD729C" w:rsidRDefault="009F6C80" w:rsidP="009B4BB6">
      <w:pPr>
        <w:pStyle w:val="Listlevel1"/>
        <w:widowControl w:val="0"/>
        <w:tabs>
          <w:tab w:val="left" w:pos="720"/>
        </w:tabs>
        <w:spacing w:before="0" w:after="0"/>
        <w:ind w:left="0" w:firstLine="0"/>
        <w:rPr>
          <w:color w:val="000000"/>
          <w:sz w:val="22"/>
          <w:szCs w:val="22"/>
          <w:lang w:val="lv-LV"/>
        </w:rPr>
      </w:pPr>
    </w:p>
    <w:p w14:paraId="3D395562" w14:textId="77777777" w:rsidR="009F6C80" w:rsidRPr="00CD729C" w:rsidRDefault="009F6C80" w:rsidP="009B4BB6">
      <w:pPr>
        <w:keepNext/>
        <w:widowControl w:val="0"/>
        <w:numPr>
          <w:ilvl w:val="0"/>
          <w:numId w:val="31"/>
        </w:numPr>
        <w:tabs>
          <w:tab w:val="clear" w:pos="360"/>
          <w:tab w:val="num" w:pos="567"/>
        </w:tabs>
        <w:spacing w:line="240" w:lineRule="auto"/>
        <w:ind w:left="567" w:hanging="567"/>
        <w:rPr>
          <w:b/>
          <w:bCs/>
          <w:color w:val="000000"/>
          <w:szCs w:val="22"/>
        </w:rPr>
      </w:pPr>
      <w:r w:rsidRPr="00CD729C">
        <w:rPr>
          <w:b/>
          <w:bCs/>
          <w:color w:val="000000"/>
          <w:szCs w:val="22"/>
        </w:rPr>
        <w:t>Ja Jums ārstē MDS/MDP:</w:t>
      </w:r>
    </w:p>
    <w:p w14:paraId="3D395563" w14:textId="2D38F006" w:rsidR="009F6C80" w:rsidRPr="00CD729C" w:rsidRDefault="009F6C80" w:rsidP="009B4BB6">
      <w:pPr>
        <w:widowControl w:val="0"/>
        <w:numPr>
          <w:ilvl w:val="12"/>
          <w:numId w:val="0"/>
        </w:numPr>
        <w:tabs>
          <w:tab w:val="clear" w:pos="567"/>
        </w:tabs>
        <w:spacing w:line="240" w:lineRule="auto"/>
        <w:ind w:left="567"/>
        <w:rPr>
          <w:color w:val="000000"/>
          <w:szCs w:val="22"/>
        </w:rPr>
      </w:pPr>
      <w:r w:rsidRPr="00CD729C">
        <w:rPr>
          <w:color w:val="000000"/>
          <w:szCs w:val="22"/>
        </w:rPr>
        <w:t xml:space="preserve">Sākuma deva ir 400 mg, kas jālieto </w:t>
      </w:r>
      <w:r w:rsidRPr="00CD729C">
        <w:rPr>
          <w:b/>
          <w:bCs/>
          <w:color w:val="000000"/>
          <w:szCs w:val="22"/>
        </w:rPr>
        <w:t>vienu</w:t>
      </w:r>
      <w:r w:rsidRPr="00CD729C">
        <w:rPr>
          <w:color w:val="000000"/>
          <w:szCs w:val="22"/>
        </w:rPr>
        <w:t xml:space="preserve"> reizi dienā.</w:t>
      </w:r>
    </w:p>
    <w:p w14:paraId="3D395564"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565" w14:textId="77777777" w:rsidR="009F6C80" w:rsidRPr="00CD729C" w:rsidRDefault="009F6C80" w:rsidP="009B4BB6">
      <w:pPr>
        <w:keepNext/>
        <w:widowControl w:val="0"/>
        <w:numPr>
          <w:ilvl w:val="0"/>
          <w:numId w:val="31"/>
        </w:numPr>
        <w:tabs>
          <w:tab w:val="clear" w:pos="360"/>
          <w:tab w:val="num" w:pos="567"/>
        </w:tabs>
        <w:spacing w:line="240" w:lineRule="auto"/>
        <w:ind w:left="567" w:hanging="567"/>
        <w:rPr>
          <w:b/>
          <w:bCs/>
          <w:color w:val="000000"/>
          <w:szCs w:val="22"/>
        </w:rPr>
      </w:pPr>
      <w:r w:rsidRPr="00CD729C">
        <w:rPr>
          <w:b/>
          <w:bCs/>
          <w:color w:val="000000"/>
          <w:szCs w:val="22"/>
        </w:rPr>
        <w:t>Ja Jums ārstē HES/CEL:</w:t>
      </w:r>
    </w:p>
    <w:p w14:paraId="3D395566" w14:textId="113D9D5A" w:rsidR="009F6C80" w:rsidRPr="00CD729C" w:rsidRDefault="009F6C80" w:rsidP="009B4BB6">
      <w:pPr>
        <w:widowControl w:val="0"/>
        <w:numPr>
          <w:ilvl w:val="12"/>
          <w:numId w:val="0"/>
        </w:numPr>
        <w:tabs>
          <w:tab w:val="clear" w:pos="567"/>
        </w:tabs>
        <w:spacing w:line="240" w:lineRule="auto"/>
        <w:ind w:left="567"/>
        <w:rPr>
          <w:color w:val="000000"/>
          <w:szCs w:val="22"/>
        </w:rPr>
      </w:pPr>
      <w:r w:rsidRPr="00CD729C">
        <w:rPr>
          <w:color w:val="000000"/>
          <w:szCs w:val="22"/>
        </w:rPr>
        <w:t xml:space="preserve">Sākuma deva ir 100 mg, kas jālieto </w:t>
      </w:r>
      <w:r w:rsidRPr="00CD729C">
        <w:rPr>
          <w:b/>
          <w:bCs/>
          <w:color w:val="000000"/>
          <w:szCs w:val="22"/>
        </w:rPr>
        <w:t>vienu</w:t>
      </w:r>
      <w:r w:rsidRPr="00CD729C">
        <w:rPr>
          <w:color w:val="000000"/>
          <w:szCs w:val="22"/>
        </w:rPr>
        <w:t xml:space="preserve"> reizi dienā. Jūsu ārsts var izlemt palielināt devu līdz 400 mg, kas jālieto </w:t>
      </w:r>
      <w:r w:rsidRPr="00CD729C">
        <w:rPr>
          <w:b/>
          <w:bCs/>
          <w:color w:val="000000"/>
          <w:szCs w:val="22"/>
        </w:rPr>
        <w:t>vienu</w:t>
      </w:r>
      <w:r w:rsidRPr="00CD729C">
        <w:rPr>
          <w:color w:val="000000"/>
          <w:szCs w:val="22"/>
        </w:rPr>
        <w:t xml:space="preserve"> reizi dienā, atkarībā no tā, kāda Jums ir atbildreakcija uz terapiju.</w:t>
      </w:r>
    </w:p>
    <w:p w14:paraId="3D395567"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568" w14:textId="77777777" w:rsidR="009F6C80" w:rsidRPr="00CD729C" w:rsidRDefault="009F6C80" w:rsidP="009B4BB6">
      <w:pPr>
        <w:keepNext/>
        <w:widowControl w:val="0"/>
        <w:numPr>
          <w:ilvl w:val="0"/>
          <w:numId w:val="31"/>
        </w:numPr>
        <w:tabs>
          <w:tab w:val="clear" w:pos="360"/>
          <w:tab w:val="num" w:pos="567"/>
        </w:tabs>
        <w:spacing w:line="240" w:lineRule="auto"/>
        <w:ind w:left="567" w:hanging="567"/>
        <w:rPr>
          <w:b/>
          <w:bCs/>
          <w:color w:val="000000"/>
          <w:szCs w:val="22"/>
        </w:rPr>
      </w:pPr>
      <w:r w:rsidRPr="00CD729C">
        <w:rPr>
          <w:b/>
          <w:bCs/>
          <w:color w:val="000000"/>
          <w:szCs w:val="22"/>
        </w:rPr>
        <w:t>Ja Jums ārstē DFSP:</w:t>
      </w:r>
    </w:p>
    <w:p w14:paraId="3D395569" w14:textId="1B5AAFDE" w:rsidR="009F6C80" w:rsidRPr="00CD729C" w:rsidRDefault="009F6C80" w:rsidP="009B4BB6">
      <w:pPr>
        <w:widowControl w:val="0"/>
        <w:numPr>
          <w:ilvl w:val="12"/>
          <w:numId w:val="0"/>
        </w:numPr>
        <w:tabs>
          <w:tab w:val="clear" w:pos="567"/>
        </w:tabs>
        <w:spacing w:line="240" w:lineRule="auto"/>
        <w:ind w:left="567"/>
        <w:rPr>
          <w:color w:val="000000"/>
          <w:szCs w:val="22"/>
        </w:rPr>
      </w:pPr>
      <w:r w:rsidRPr="00CD729C">
        <w:rPr>
          <w:color w:val="000000"/>
          <w:szCs w:val="22"/>
        </w:rPr>
        <w:t xml:space="preserve">Deva ir 800 mg dienā, kas jālieto kā </w:t>
      </w:r>
      <w:r w:rsidR="009D47E9">
        <w:rPr>
          <w:color w:val="000000"/>
          <w:szCs w:val="22"/>
        </w:rPr>
        <w:t>400 mg</w:t>
      </w:r>
      <w:r w:rsidRPr="00CD729C">
        <w:rPr>
          <w:color w:val="000000"/>
          <w:szCs w:val="22"/>
        </w:rPr>
        <w:t xml:space="preserve"> no rīta un </w:t>
      </w:r>
      <w:r w:rsidR="009D47E9">
        <w:rPr>
          <w:color w:val="000000"/>
          <w:szCs w:val="22"/>
        </w:rPr>
        <w:t>400 mg</w:t>
      </w:r>
      <w:r w:rsidRPr="00CD729C">
        <w:rPr>
          <w:color w:val="000000"/>
          <w:szCs w:val="22"/>
        </w:rPr>
        <w:t xml:space="preserve"> vakarā.</w:t>
      </w:r>
    </w:p>
    <w:p w14:paraId="3D39556A" w14:textId="25625E58" w:rsidR="009F6C80" w:rsidRDefault="009F6C80" w:rsidP="009B4BB6">
      <w:pPr>
        <w:widowControl w:val="0"/>
        <w:numPr>
          <w:ilvl w:val="12"/>
          <w:numId w:val="0"/>
        </w:numPr>
        <w:tabs>
          <w:tab w:val="clear" w:pos="567"/>
        </w:tabs>
        <w:spacing w:line="240" w:lineRule="auto"/>
        <w:rPr>
          <w:color w:val="000000"/>
          <w:szCs w:val="22"/>
        </w:rPr>
      </w:pPr>
    </w:p>
    <w:p w14:paraId="49CA2FBC" w14:textId="56D63BD1" w:rsidR="009D47E9" w:rsidRDefault="009D47E9" w:rsidP="009B4BB6">
      <w:pPr>
        <w:widowControl w:val="0"/>
        <w:numPr>
          <w:ilvl w:val="12"/>
          <w:numId w:val="0"/>
        </w:numPr>
        <w:tabs>
          <w:tab w:val="clear" w:pos="567"/>
        </w:tabs>
        <w:spacing w:line="240" w:lineRule="auto"/>
        <w:rPr>
          <w:color w:val="000000"/>
          <w:szCs w:val="22"/>
        </w:rPr>
      </w:pPr>
      <w:r>
        <w:rPr>
          <w:color w:val="000000"/>
          <w:szCs w:val="22"/>
        </w:rPr>
        <w:t>400 mg devu var lietot kā 1 tableti pa 400 mg vai 4 tabletes pa 100 mg.</w:t>
      </w:r>
    </w:p>
    <w:p w14:paraId="73C196B7" w14:textId="5B4BB243" w:rsidR="009D47E9" w:rsidRDefault="009D47E9" w:rsidP="009B4BB6">
      <w:pPr>
        <w:widowControl w:val="0"/>
        <w:numPr>
          <w:ilvl w:val="12"/>
          <w:numId w:val="0"/>
        </w:numPr>
        <w:tabs>
          <w:tab w:val="clear" w:pos="567"/>
        </w:tabs>
        <w:spacing w:line="240" w:lineRule="auto"/>
        <w:rPr>
          <w:color w:val="000000"/>
          <w:szCs w:val="22"/>
        </w:rPr>
      </w:pPr>
      <w:r>
        <w:rPr>
          <w:color w:val="000000"/>
          <w:szCs w:val="22"/>
        </w:rPr>
        <w:t>600 mg devu lieto kā 1 tableti pa 400 mg un 2 tabletes pa 100 mg.</w:t>
      </w:r>
    </w:p>
    <w:p w14:paraId="0202AB68" w14:textId="77777777" w:rsidR="009D47E9" w:rsidRPr="00CD729C" w:rsidRDefault="009D47E9" w:rsidP="009B4BB6">
      <w:pPr>
        <w:widowControl w:val="0"/>
        <w:numPr>
          <w:ilvl w:val="12"/>
          <w:numId w:val="0"/>
        </w:numPr>
        <w:tabs>
          <w:tab w:val="clear" w:pos="567"/>
        </w:tabs>
        <w:spacing w:line="240" w:lineRule="auto"/>
        <w:rPr>
          <w:color w:val="000000"/>
          <w:szCs w:val="22"/>
        </w:rPr>
      </w:pPr>
    </w:p>
    <w:p w14:paraId="3D39556B" w14:textId="77777777" w:rsidR="009F6C80" w:rsidRPr="00CD729C" w:rsidRDefault="009F6C80" w:rsidP="009B4BB6">
      <w:pPr>
        <w:keepNext/>
        <w:widowControl w:val="0"/>
        <w:numPr>
          <w:ilvl w:val="12"/>
          <w:numId w:val="0"/>
        </w:numPr>
        <w:tabs>
          <w:tab w:val="clear" w:pos="567"/>
        </w:tabs>
        <w:spacing w:line="240" w:lineRule="auto"/>
        <w:rPr>
          <w:b/>
          <w:bCs/>
          <w:color w:val="000000"/>
          <w:szCs w:val="22"/>
        </w:rPr>
      </w:pPr>
      <w:r w:rsidRPr="00CD729C">
        <w:rPr>
          <w:b/>
          <w:bCs/>
          <w:color w:val="000000"/>
          <w:szCs w:val="22"/>
        </w:rPr>
        <w:t>Lietošana bērniem</w:t>
      </w:r>
      <w:r w:rsidR="003B6C16" w:rsidRPr="00CD729C">
        <w:rPr>
          <w:b/>
          <w:bCs/>
          <w:color w:val="000000"/>
          <w:szCs w:val="22"/>
        </w:rPr>
        <w:t xml:space="preserve"> un pusaudžiem</w:t>
      </w:r>
    </w:p>
    <w:p w14:paraId="3D39556C" w14:textId="77777777" w:rsidR="009F6C80" w:rsidRPr="00CD729C" w:rsidRDefault="009F6C80" w:rsidP="009B4BB6">
      <w:pPr>
        <w:widowControl w:val="0"/>
        <w:numPr>
          <w:ilvl w:val="12"/>
          <w:numId w:val="0"/>
        </w:numPr>
        <w:tabs>
          <w:tab w:val="clear" w:pos="567"/>
        </w:tabs>
        <w:spacing w:line="240" w:lineRule="auto"/>
        <w:rPr>
          <w:color w:val="000000"/>
          <w:szCs w:val="22"/>
        </w:rPr>
      </w:pPr>
      <w:r w:rsidRPr="00CD729C">
        <w:rPr>
          <w:color w:val="000000"/>
          <w:szCs w:val="22"/>
        </w:rPr>
        <w:t>Cik daudz Glivec tablešu Jūsu bērnam ir jādod, Jums pateiks ārsts. Lietotais Glivec daudzums ir atkarīgs no bērna stāvokļa, ķermeņa masas un auguma. Bērnam kopējā Glivec dienas deva nedrīkst pārsniegt 800 mg</w:t>
      </w:r>
      <w:r w:rsidR="000D4E1E" w:rsidRPr="00CD729C">
        <w:rPr>
          <w:color w:val="000000"/>
          <w:szCs w:val="22"/>
        </w:rPr>
        <w:t xml:space="preserve"> CML gadījumā un 600 mg Ph+ALL gadījumā</w:t>
      </w:r>
      <w:r w:rsidRPr="00CD729C">
        <w:rPr>
          <w:color w:val="000000"/>
          <w:szCs w:val="22"/>
        </w:rPr>
        <w:t>. Zāļu devu bērnam var dot reizi dienā vai sadalīt to divās daļās (puse no rīta un puse vakarā).</w:t>
      </w:r>
    </w:p>
    <w:p w14:paraId="3D39556D"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56E" w14:textId="77777777" w:rsidR="009F6C80" w:rsidRPr="00CD729C" w:rsidRDefault="009F6C80" w:rsidP="009B4BB6">
      <w:pPr>
        <w:keepNext/>
        <w:widowControl w:val="0"/>
        <w:numPr>
          <w:ilvl w:val="12"/>
          <w:numId w:val="0"/>
        </w:numPr>
        <w:tabs>
          <w:tab w:val="clear" w:pos="567"/>
        </w:tabs>
        <w:spacing w:line="240" w:lineRule="auto"/>
        <w:ind w:left="567" w:hanging="567"/>
        <w:rPr>
          <w:b/>
          <w:color w:val="000000"/>
          <w:szCs w:val="22"/>
        </w:rPr>
      </w:pPr>
      <w:r w:rsidRPr="00CD729C">
        <w:rPr>
          <w:b/>
          <w:color w:val="000000"/>
          <w:szCs w:val="22"/>
        </w:rPr>
        <w:t>Kad un kā lietot Glivec</w:t>
      </w:r>
    </w:p>
    <w:p w14:paraId="3D39556F" w14:textId="77777777" w:rsidR="009F6C80" w:rsidRPr="00CD729C" w:rsidRDefault="009F6C80" w:rsidP="009B4BB6">
      <w:pPr>
        <w:widowControl w:val="0"/>
        <w:numPr>
          <w:ilvl w:val="0"/>
          <w:numId w:val="32"/>
        </w:numPr>
        <w:tabs>
          <w:tab w:val="clear" w:pos="360"/>
          <w:tab w:val="num" w:pos="567"/>
        </w:tabs>
        <w:spacing w:line="240" w:lineRule="auto"/>
        <w:ind w:left="567" w:hanging="567"/>
        <w:rPr>
          <w:b/>
          <w:color w:val="000000"/>
          <w:szCs w:val="22"/>
        </w:rPr>
      </w:pPr>
      <w:r w:rsidRPr="00CD729C">
        <w:rPr>
          <w:b/>
          <w:color w:val="000000"/>
          <w:szCs w:val="22"/>
        </w:rPr>
        <w:t xml:space="preserve">Lietojiet Glivec kopā ar ēdienu. </w:t>
      </w:r>
      <w:r w:rsidRPr="00CD729C">
        <w:rPr>
          <w:bCs/>
          <w:color w:val="000000"/>
          <w:szCs w:val="22"/>
        </w:rPr>
        <w:t>Tas Glivec lietošanas laikā Jums palīdzēs aizsargāt Jūsu kuņģi.</w:t>
      </w:r>
    </w:p>
    <w:p w14:paraId="3D395570" w14:textId="77777777" w:rsidR="009F6C80" w:rsidRPr="00CD729C" w:rsidRDefault="009F6C80" w:rsidP="009B4BB6">
      <w:pPr>
        <w:widowControl w:val="0"/>
        <w:numPr>
          <w:ilvl w:val="0"/>
          <w:numId w:val="32"/>
        </w:numPr>
        <w:tabs>
          <w:tab w:val="clear" w:pos="360"/>
          <w:tab w:val="num" w:pos="567"/>
        </w:tabs>
        <w:spacing w:line="240" w:lineRule="auto"/>
        <w:ind w:left="567" w:hanging="567"/>
        <w:rPr>
          <w:color w:val="000000"/>
          <w:szCs w:val="22"/>
        </w:rPr>
      </w:pPr>
      <w:r w:rsidRPr="00CD729C">
        <w:rPr>
          <w:b/>
          <w:color w:val="000000"/>
          <w:szCs w:val="22"/>
        </w:rPr>
        <w:t>Norijiet tabletes veselas, uzdzerot lielu glāzi ūdens</w:t>
      </w:r>
      <w:r w:rsidRPr="00CD729C">
        <w:rPr>
          <w:color w:val="000000"/>
          <w:szCs w:val="22"/>
        </w:rPr>
        <w:t>.</w:t>
      </w:r>
    </w:p>
    <w:p w14:paraId="3D395571" w14:textId="77777777" w:rsidR="009F6C80" w:rsidRPr="00CD729C" w:rsidRDefault="009F6C80" w:rsidP="009B4BB6">
      <w:pPr>
        <w:pStyle w:val="Text"/>
        <w:widowControl w:val="0"/>
        <w:spacing w:before="0"/>
        <w:jc w:val="left"/>
        <w:rPr>
          <w:color w:val="000000"/>
          <w:sz w:val="22"/>
          <w:szCs w:val="22"/>
          <w:lang w:val="lv-LV"/>
        </w:rPr>
      </w:pPr>
    </w:p>
    <w:p w14:paraId="3D395572" w14:textId="77777777" w:rsidR="009F6C80" w:rsidRPr="00CD729C" w:rsidRDefault="009F6C80" w:rsidP="009B4BB6">
      <w:pPr>
        <w:pStyle w:val="Text"/>
        <w:keepNext/>
        <w:widowControl w:val="0"/>
        <w:spacing w:before="0"/>
        <w:jc w:val="left"/>
        <w:rPr>
          <w:color w:val="000000"/>
          <w:sz w:val="22"/>
          <w:szCs w:val="22"/>
          <w:lang w:val="lv-LV"/>
        </w:rPr>
      </w:pPr>
      <w:r w:rsidRPr="00CD729C">
        <w:rPr>
          <w:color w:val="000000"/>
          <w:sz w:val="22"/>
          <w:szCs w:val="22"/>
          <w:lang w:val="lv-LV"/>
        </w:rPr>
        <w:t>Ja tabletes norīt nespējat, varat tās izšķīdināt glāzē ar negāzētu ūdeni vai ābolu sulu:</w:t>
      </w:r>
    </w:p>
    <w:p w14:paraId="3D395573" w14:textId="0935FB62" w:rsidR="009F6C80" w:rsidRPr="00CD729C" w:rsidRDefault="009F6C80" w:rsidP="009B4BB6">
      <w:pPr>
        <w:pStyle w:val="Text"/>
        <w:widowControl w:val="0"/>
        <w:numPr>
          <w:ilvl w:val="0"/>
          <w:numId w:val="5"/>
        </w:numPr>
        <w:tabs>
          <w:tab w:val="clear" w:pos="360"/>
        </w:tabs>
        <w:spacing w:before="0"/>
        <w:ind w:left="567" w:hanging="567"/>
        <w:jc w:val="left"/>
        <w:rPr>
          <w:color w:val="000000"/>
          <w:sz w:val="22"/>
          <w:szCs w:val="22"/>
          <w:lang w:val="lv-LV"/>
        </w:rPr>
      </w:pPr>
      <w:r w:rsidRPr="00CD729C">
        <w:rPr>
          <w:color w:val="000000"/>
          <w:sz w:val="22"/>
          <w:szCs w:val="22"/>
          <w:lang w:val="lv-LV"/>
        </w:rPr>
        <w:t>Lietojiet aptuveni 50 ml uz katru 100 mg tableti</w:t>
      </w:r>
      <w:r w:rsidR="009D47E9">
        <w:rPr>
          <w:color w:val="000000"/>
          <w:sz w:val="22"/>
          <w:szCs w:val="22"/>
          <w:lang w:val="lv-LV"/>
        </w:rPr>
        <w:t xml:space="preserve"> vai 200 ml uz katru 400 mg tableti</w:t>
      </w:r>
      <w:r w:rsidRPr="00CD729C">
        <w:rPr>
          <w:color w:val="000000"/>
          <w:sz w:val="22"/>
          <w:szCs w:val="22"/>
          <w:lang w:val="lv-LV"/>
        </w:rPr>
        <w:t>;</w:t>
      </w:r>
    </w:p>
    <w:p w14:paraId="3D395574" w14:textId="77777777" w:rsidR="009F6C80" w:rsidRPr="00CD729C" w:rsidRDefault="009F6C80" w:rsidP="009B4BB6">
      <w:pPr>
        <w:pStyle w:val="Text"/>
        <w:widowControl w:val="0"/>
        <w:numPr>
          <w:ilvl w:val="0"/>
          <w:numId w:val="5"/>
        </w:numPr>
        <w:tabs>
          <w:tab w:val="clear" w:pos="360"/>
        </w:tabs>
        <w:spacing w:before="0"/>
        <w:ind w:left="567" w:hanging="567"/>
        <w:jc w:val="left"/>
        <w:rPr>
          <w:color w:val="000000"/>
          <w:sz w:val="22"/>
          <w:szCs w:val="22"/>
          <w:lang w:val="lv-LV"/>
        </w:rPr>
      </w:pPr>
      <w:r w:rsidRPr="00CD729C">
        <w:rPr>
          <w:color w:val="000000"/>
          <w:sz w:val="22"/>
          <w:szCs w:val="22"/>
          <w:lang w:val="lv-LV"/>
        </w:rPr>
        <w:t>Glāzes saturu ar karoti rūpīgi samaisiet, līdz tabletes ir pilnīgi izšķīdušas;</w:t>
      </w:r>
    </w:p>
    <w:p w14:paraId="3D395575" w14:textId="77777777" w:rsidR="009F6C80" w:rsidRPr="00CD729C" w:rsidRDefault="009F6C80" w:rsidP="009B4BB6">
      <w:pPr>
        <w:pStyle w:val="Text"/>
        <w:widowControl w:val="0"/>
        <w:numPr>
          <w:ilvl w:val="0"/>
          <w:numId w:val="5"/>
        </w:numPr>
        <w:tabs>
          <w:tab w:val="clear" w:pos="360"/>
        </w:tabs>
        <w:spacing w:before="0"/>
        <w:ind w:left="567" w:hanging="567"/>
        <w:jc w:val="left"/>
        <w:rPr>
          <w:color w:val="000000"/>
          <w:sz w:val="22"/>
          <w:szCs w:val="22"/>
          <w:lang w:val="lv-LV"/>
        </w:rPr>
      </w:pPr>
      <w:r w:rsidRPr="00CD729C">
        <w:rPr>
          <w:color w:val="000000"/>
          <w:sz w:val="22"/>
          <w:szCs w:val="22"/>
          <w:lang w:val="lv-LV"/>
        </w:rPr>
        <w:t>Tiklīdz tabletes ir izšķīdušas, nekavējoties izdzeriet vis</w:t>
      </w:r>
      <w:r w:rsidR="00CB72D8" w:rsidRPr="00CD729C">
        <w:rPr>
          <w:color w:val="000000"/>
          <w:sz w:val="22"/>
          <w:szCs w:val="22"/>
          <w:lang w:val="lv-LV"/>
        </w:rPr>
        <w:t>u</w:t>
      </w:r>
      <w:r w:rsidRPr="00CD729C">
        <w:rPr>
          <w:color w:val="000000"/>
          <w:sz w:val="22"/>
          <w:szCs w:val="22"/>
          <w:lang w:val="lv-LV"/>
        </w:rPr>
        <w:t xml:space="preserve"> glāzes saturu. Glāzē var palikt izšķīdināto tablešu pēdas.</w:t>
      </w:r>
    </w:p>
    <w:p w14:paraId="3D395576"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577" w14:textId="77777777" w:rsidR="009F6C80" w:rsidRPr="00CD729C" w:rsidRDefault="009F6C80" w:rsidP="009B4BB6">
      <w:pPr>
        <w:keepNext/>
        <w:widowControl w:val="0"/>
        <w:numPr>
          <w:ilvl w:val="12"/>
          <w:numId w:val="0"/>
        </w:numPr>
        <w:tabs>
          <w:tab w:val="clear" w:pos="567"/>
        </w:tabs>
        <w:spacing w:line="240" w:lineRule="auto"/>
        <w:rPr>
          <w:b/>
          <w:color w:val="000000"/>
          <w:szCs w:val="22"/>
        </w:rPr>
      </w:pPr>
      <w:r w:rsidRPr="00CD729C">
        <w:rPr>
          <w:b/>
          <w:color w:val="000000"/>
          <w:szCs w:val="22"/>
        </w:rPr>
        <w:t>Cik ilgi jālieto Glivec</w:t>
      </w:r>
    </w:p>
    <w:p w14:paraId="3D395578" w14:textId="77777777" w:rsidR="009F6C80" w:rsidRPr="00CD729C" w:rsidRDefault="009F6C80" w:rsidP="009B4BB6">
      <w:pPr>
        <w:widowControl w:val="0"/>
        <w:numPr>
          <w:ilvl w:val="12"/>
          <w:numId w:val="0"/>
        </w:numPr>
        <w:tabs>
          <w:tab w:val="clear" w:pos="567"/>
        </w:tabs>
        <w:spacing w:line="240" w:lineRule="auto"/>
        <w:rPr>
          <w:color w:val="000000"/>
          <w:szCs w:val="22"/>
        </w:rPr>
      </w:pPr>
      <w:r w:rsidRPr="00CD729C">
        <w:rPr>
          <w:color w:val="000000"/>
          <w:szCs w:val="22"/>
        </w:rPr>
        <w:t>Turpiniet lietot Glivec katru dienu tik ilgi, cik norādījis Jūsu ārsts.</w:t>
      </w:r>
    </w:p>
    <w:p w14:paraId="3D395579" w14:textId="77777777" w:rsidR="009F6C80" w:rsidRPr="00CD729C" w:rsidRDefault="009F6C80" w:rsidP="009B4BB6">
      <w:pPr>
        <w:widowControl w:val="0"/>
        <w:numPr>
          <w:ilvl w:val="12"/>
          <w:numId w:val="0"/>
        </w:numPr>
        <w:tabs>
          <w:tab w:val="clear" w:pos="567"/>
        </w:tabs>
        <w:spacing w:line="240" w:lineRule="auto"/>
        <w:rPr>
          <w:color w:val="000000"/>
          <w:szCs w:val="22"/>
        </w:rPr>
      </w:pPr>
    </w:p>
    <w:p w14:paraId="3D39557A" w14:textId="77777777" w:rsidR="009F6C80" w:rsidRPr="00CD729C" w:rsidRDefault="009F6C80" w:rsidP="009B4BB6">
      <w:pPr>
        <w:keepNext/>
        <w:widowControl w:val="0"/>
        <w:numPr>
          <w:ilvl w:val="12"/>
          <w:numId w:val="0"/>
        </w:numPr>
        <w:tabs>
          <w:tab w:val="clear" w:pos="567"/>
        </w:tabs>
        <w:spacing w:line="240" w:lineRule="auto"/>
        <w:ind w:left="567" w:hanging="567"/>
        <w:rPr>
          <w:color w:val="000000"/>
          <w:szCs w:val="22"/>
        </w:rPr>
      </w:pPr>
      <w:r w:rsidRPr="00CD729C">
        <w:rPr>
          <w:b/>
          <w:color w:val="000000"/>
          <w:szCs w:val="22"/>
        </w:rPr>
        <w:t>Ja esat lietojis Glivec vairāk nekā noteikts</w:t>
      </w:r>
    </w:p>
    <w:p w14:paraId="3D39557B" w14:textId="77777777" w:rsidR="009F6C80" w:rsidRPr="00CD729C" w:rsidRDefault="009F6C80" w:rsidP="009B4BB6">
      <w:pPr>
        <w:widowControl w:val="0"/>
        <w:numPr>
          <w:ilvl w:val="12"/>
          <w:numId w:val="0"/>
        </w:numPr>
        <w:tabs>
          <w:tab w:val="clear" w:pos="567"/>
        </w:tabs>
        <w:spacing w:line="240" w:lineRule="auto"/>
        <w:rPr>
          <w:color w:val="000000"/>
          <w:szCs w:val="22"/>
        </w:rPr>
      </w:pPr>
      <w:r w:rsidRPr="00CD729C">
        <w:rPr>
          <w:color w:val="000000"/>
          <w:szCs w:val="22"/>
        </w:rPr>
        <w:t xml:space="preserve">Ja nejauši esat lietojis pārāk daudz tablešu, </w:t>
      </w:r>
      <w:r w:rsidRPr="00CD729C">
        <w:rPr>
          <w:b/>
          <w:color w:val="000000"/>
          <w:szCs w:val="22"/>
        </w:rPr>
        <w:t xml:space="preserve">tūlīt </w:t>
      </w:r>
      <w:r w:rsidRPr="00CD729C">
        <w:rPr>
          <w:color w:val="000000"/>
          <w:szCs w:val="22"/>
        </w:rPr>
        <w:t>konsultējieties ar savu ārstu. Jums var būt nepieciešama medicīniska palīdzība. Paņemiet līdzi zāļu iepakojumu.</w:t>
      </w:r>
    </w:p>
    <w:p w14:paraId="3D39557C" w14:textId="77777777" w:rsidR="009F6C80" w:rsidRPr="00CD729C" w:rsidRDefault="009F6C80" w:rsidP="009B4BB6">
      <w:pPr>
        <w:pStyle w:val="Text"/>
        <w:widowControl w:val="0"/>
        <w:spacing w:before="0"/>
        <w:jc w:val="left"/>
        <w:rPr>
          <w:color w:val="000000"/>
          <w:sz w:val="22"/>
          <w:szCs w:val="22"/>
          <w:lang w:val="lv-LV"/>
        </w:rPr>
      </w:pPr>
    </w:p>
    <w:p w14:paraId="3D39557D" w14:textId="77777777" w:rsidR="009F6C80" w:rsidRPr="00CD729C" w:rsidRDefault="009F6C80" w:rsidP="009B4BB6">
      <w:pPr>
        <w:pStyle w:val="Text"/>
        <w:keepNext/>
        <w:widowControl w:val="0"/>
        <w:spacing w:before="0"/>
        <w:jc w:val="left"/>
        <w:rPr>
          <w:b/>
          <w:color w:val="000000"/>
          <w:sz w:val="22"/>
          <w:szCs w:val="22"/>
          <w:lang w:val="lv-LV"/>
        </w:rPr>
      </w:pPr>
      <w:r w:rsidRPr="00CD729C">
        <w:rPr>
          <w:b/>
          <w:color w:val="000000"/>
          <w:sz w:val="22"/>
          <w:szCs w:val="22"/>
          <w:lang w:val="lv-LV"/>
        </w:rPr>
        <w:t>Ja esat aizmirsis lietot Glivec</w:t>
      </w:r>
    </w:p>
    <w:p w14:paraId="3D39557E" w14:textId="77777777" w:rsidR="009F6C80" w:rsidRPr="00CD729C" w:rsidRDefault="009F6C80" w:rsidP="009B4BB6">
      <w:pPr>
        <w:widowControl w:val="0"/>
        <w:numPr>
          <w:ilvl w:val="0"/>
          <w:numId w:val="33"/>
        </w:numPr>
        <w:tabs>
          <w:tab w:val="clear" w:pos="360"/>
          <w:tab w:val="num" w:pos="567"/>
        </w:tabs>
        <w:spacing w:line="240" w:lineRule="auto"/>
        <w:ind w:left="567" w:right="-2" w:hanging="567"/>
        <w:rPr>
          <w:color w:val="000000"/>
          <w:szCs w:val="22"/>
        </w:rPr>
      </w:pPr>
      <w:r w:rsidRPr="00CD729C">
        <w:rPr>
          <w:color w:val="000000"/>
          <w:szCs w:val="22"/>
        </w:rPr>
        <w:t>Ja esat aizmirsis lietot devu, iedzeriet to tiklīdz atceraties. Tomēr, ja gandrīz pienācis laiks nākamajai devai, izlaidiet aizmirsto devu.</w:t>
      </w:r>
    </w:p>
    <w:p w14:paraId="3D39557F" w14:textId="77777777" w:rsidR="009F6C80" w:rsidRPr="00CD729C" w:rsidRDefault="009F6C80" w:rsidP="009B4BB6">
      <w:pPr>
        <w:widowControl w:val="0"/>
        <w:numPr>
          <w:ilvl w:val="0"/>
          <w:numId w:val="33"/>
        </w:numPr>
        <w:tabs>
          <w:tab w:val="clear" w:pos="360"/>
          <w:tab w:val="num" w:pos="567"/>
        </w:tabs>
        <w:spacing w:line="240" w:lineRule="auto"/>
        <w:ind w:left="567" w:right="-2" w:hanging="567"/>
        <w:rPr>
          <w:color w:val="000000"/>
          <w:szCs w:val="22"/>
        </w:rPr>
      </w:pPr>
      <w:r w:rsidRPr="00CD729C">
        <w:rPr>
          <w:color w:val="000000"/>
          <w:szCs w:val="22"/>
        </w:rPr>
        <w:t>Tad lietojiet nākamo devu plānotajā laikā.</w:t>
      </w:r>
    </w:p>
    <w:p w14:paraId="3D395580" w14:textId="77777777" w:rsidR="009F6C80" w:rsidRPr="00CD729C" w:rsidRDefault="009F6C80" w:rsidP="009B4BB6">
      <w:pPr>
        <w:widowControl w:val="0"/>
        <w:numPr>
          <w:ilvl w:val="0"/>
          <w:numId w:val="33"/>
        </w:numPr>
        <w:tabs>
          <w:tab w:val="clear" w:pos="360"/>
          <w:tab w:val="num" w:pos="567"/>
        </w:tabs>
        <w:spacing w:line="240" w:lineRule="auto"/>
        <w:ind w:left="567" w:right="-2" w:hanging="567"/>
        <w:rPr>
          <w:color w:val="000000"/>
          <w:szCs w:val="22"/>
        </w:rPr>
      </w:pPr>
      <w:r w:rsidRPr="00CD729C">
        <w:rPr>
          <w:color w:val="000000"/>
          <w:szCs w:val="22"/>
        </w:rPr>
        <w:t>Nelietojiet dubultu devu, lai aizvietotu aizmirsto devu.</w:t>
      </w:r>
    </w:p>
    <w:p w14:paraId="3D395581" w14:textId="77777777" w:rsidR="009F6C80" w:rsidRPr="00CD729C" w:rsidRDefault="009F6C80" w:rsidP="009B4BB6">
      <w:pPr>
        <w:widowControl w:val="0"/>
        <w:numPr>
          <w:ilvl w:val="12"/>
          <w:numId w:val="0"/>
        </w:numPr>
        <w:tabs>
          <w:tab w:val="clear" w:pos="567"/>
        </w:tabs>
        <w:spacing w:line="240" w:lineRule="auto"/>
        <w:ind w:right="-2"/>
        <w:rPr>
          <w:color w:val="000000"/>
          <w:szCs w:val="22"/>
        </w:rPr>
      </w:pPr>
    </w:p>
    <w:p w14:paraId="3D395582" w14:textId="77777777" w:rsidR="009F6C80" w:rsidRPr="00CD729C" w:rsidRDefault="009F6C80" w:rsidP="009B4BB6">
      <w:pPr>
        <w:widowControl w:val="0"/>
        <w:numPr>
          <w:ilvl w:val="12"/>
          <w:numId w:val="0"/>
        </w:numPr>
        <w:tabs>
          <w:tab w:val="clear" w:pos="567"/>
        </w:tabs>
        <w:spacing w:line="240" w:lineRule="auto"/>
        <w:ind w:right="-2"/>
        <w:rPr>
          <w:color w:val="000000"/>
          <w:szCs w:val="22"/>
        </w:rPr>
      </w:pPr>
      <w:r w:rsidRPr="00CD729C">
        <w:rPr>
          <w:color w:val="000000"/>
          <w:szCs w:val="22"/>
        </w:rPr>
        <w:t>Ja Jums</w:t>
      </w:r>
      <w:r w:rsidRPr="00CD729C">
        <w:rPr>
          <w:color w:val="000000"/>
        </w:rPr>
        <w:t xml:space="preserve"> ir kādi jautājumi par šo zāļu lietošanu, jautājiet ārstam</w:t>
      </w:r>
      <w:r w:rsidR="003B6C16" w:rsidRPr="00CD729C">
        <w:rPr>
          <w:color w:val="000000"/>
        </w:rPr>
        <w:t>,</w:t>
      </w:r>
      <w:r w:rsidRPr="00CD729C">
        <w:rPr>
          <w:color w:val="000000"/>
        </w:rPr>
        <w:t xml:space="preserve"> farmaceitam</w:t>
      </w:r>
      <w:r w:rsidR="003B6C16" w:rsidRPr="00CD729C">
        <w:rPr>
          <w:color w:val="000000"/>
        </w:rPr>
        <w:t xml:space="preserve"> </w:t>
      </w:r>
      <w:r w:rsidR="003B6C16" w:rsidRPr="00CD729C">
        <w:rPr>
          <w:szCs w:val="22"/>
        </w:rPr>
        <w:t>vai medmāsai</w:t>
      </w:r>
      <w:r w:rsidRPr="00CD729C">
        <w:rPr>
          <w:color w:val="000000"/>
        </w:rPr>
        <w:t>.</w:t>
      </w:r>
    </w:p>
    <w:p w14:paraId="3D395583" w14:textId="77777777" w:rsidR="009F6C80" w:rsidRPr="00CD729C" w:rsidRDefault="009F6C80" w:rsidP="009B4BB6">
      <w:pPr>
        <w:pStyle w:val="EndnoteText"/>
        <w:widowControl w:val="0"/>
        <w:numPr>
          <w:ilvl w:val="12"/>
          <w:numId w:val="0"/>
        </w:numPr>
        <w:tabs>
          <w:tab w:val="clear" w:pos="567"/>
        </w:tabs>
        <w:rPr>
          <w:color w:val="000000"/>
          <w:szCs w:val="22"/>
        </w:rPr>
      </w:pPr>
    </w:p>
    <w:p w14:paraId="3D395584" w14:textId="77777777" w:rsidR="009F6C80" w:rsidRPr="00CD729C" w:rsidRDefault="009F6C80" w:rsidP="009B4BB6">
      <w:pPr>
        <w:widowControl w:val="0"/>
        <w:spacing w:line="240" w:lineRule="auto"/>
        <w:rPr>
          <w:color w:val="000000"/>
          <w:szCs w:val="22"/>
        </w:rPr>
      </w:pPr>
    </w:p>
    <w:p w14:paraId="3D395585" w14:textId="77777777" w:rsidR="009E01F8" w:rsidRPr="00CD729C" w:rsidRDefault="009E01F8" w:rsidP="009B4BB6">
      <w:pPr>
        <w:keepNext/>
        <w:widowControl w:val="0"/>
        <w:tabs>
          <w:tab w:val="clear" w:pos="567"/>
        </w:tabs>
        <w:spacing w:line="240" w:lineRule="auto"/>
        <w:ind w:left="567" w:hanging="567"/>
        <w:jc w:val="both"/>
        <w:rPr>
          <w:b/>
          <w:color w:val="000000"/>
          <w:szCs w:val="22"/>
        </w:rPr>
      </w:pPr>
      <w:r w:rsidRPr="00CD729C">
        <w:rPr>
          <w:b/>
          <w:color w:val="000000"/>
          <w:szCs w:val="22"/>
        </w:rPr>
        <w:t>4.</w:t>
      </w:r>
      <w:r w:rsidRPr="00CD729C">
        <w:rPr>
          <w:b/>
          <w:color w:val="000000"/>
          <w:szCs w:val="22"/>
        </w:rPr>
        <w:tab/>
        <w:t>Iespējamās blakusparādības</w:t>
      </w:r>
    </w:p>
    <w:p w14:paraId="3D395586" w14:textId="77777777" w:rsidR="009E01F8" w:rsidRPr="00CD729C" w:rsidRDefault="009E01F8" w:rsidP="009B4BB6">
      <w:pPr>
        <w:keepNext/>
        <w:widowControl w:val="0"/>
        <w:tabs>
          <w:tab w:val="clear" w:pos="567"/>
        </w:tabs>
        <w:spacing w:line="240" w:lineRule="auto"/>
        <w:ind w:left="567" w:hanging="567"/>
        <w:rPr>
          <w:color w:val="000000"/>
          <w:szCs w:val="22"/>
        </w:rPr>
      </w:pPr>
    </w:p>
    <w:p w14:paraId="3D395587" w14:textId="77777777" w:rsidR="009E01F8" w:rsidRPr="00CD729C" w:rsidRDefault="009E01F8" w:rsidP="009B4BB6">
      <w:pPr>
        <w:widowControl w:val="0"/>
        <w:numPr>
          <w:ilvl w:val="12"/>
          <w:numId w:val="0"/>
        </w:numPr>
        <w:tabs>
          <w:tab w:val="clear" w:pos="567"/>
        </w:tabs>
        <w:spacing w:line="240" w:lineRule="auto"/>
        <w:rPr>
          <w:color w:val="000000"/>
          <w:szCs w:val="22"/>
        </w:rPr>
      </w:pPr>
      <w:r w:rsidRPr="00CD729C">
        <w:rPr>
          <w:color w:val="000000"/>
        </w:rPr>
        <w:t xml:space="preserve">Tāpat kā visas zāles, </w:t>
      </w:r>
      <w:r w:rsidRPr="00CD729C">
        <w:rPr>
          <w:color w:val="000000"/>
          <w:szCs w:val="22"/>
        </w:rPr>
        <w:t xml:space="preserve">šīs zāles </w:t>
      </w:r>
      <w:r w:rsidRPr="00CD729C">
        <w:rPr>
          <w:color w:val="000000"/>
        </w:rPr>
        <w:t>var izraisīt blakusparādības, kaut arī ne visiem tās izpaužas</w:t>
      </w:r>
      <w:r w:rsidRPr="00CD729C">
        <w:rPr>
          <w:color w:val="000000"/>
          <w:szCs w:val="22"/>
        </w:rPr>
        <w:t>. Parasti to izpausmes ir vieglas vai vidēji smagas.</w:t>
      </w:r>
    </w:p>
    <w:p w14:paraId="3D395588" w14:textId="77777777" w:rsidR="009E01F8" w:rsidRPr="00CD729C" w:rsidRDefault="009E01F8" w:rsidP="009B4BB6">
      <w:pPr>
        <w:pStyle w:val="Text"/>
        <w:widowControl w:val="0"/>
        <w:spacing w:before="0"/>
        <w:jc w:val="left"/>
        <w:rPr>
          <w:color w:val="000000"/>
          <w:sz w:val="22"/>
          <w:szCs w:val="22"/>
          <w:lang w:val="lv-LV"/>
        </w:rPr>
      </w:pPr>
    </w:p>
    <w:p w14:paraId="3D395589" w14:textId="77777777" w:rsidR="009E01F8" w:rsidRPr="00CD729C" w:rsidRDefault="009E01F8" w:rsidP="009B4BB6">
      <w:pPr>
        <w:widowControl w:val="0"/>
        <w:numPr>
          <w:ilvl w:val="12"/>
          <w:numId w:val="0"/>
        </w:numPr>
        <w:tabs>
          <w:tab w:val="clear" w:pos="567"/>
        </w:tabs>
        <w:spacing w:line="240" w:lineRule="auto"/>
        <w:rPr>
          <w:b/>
          <w:bCs/>
          <w:color w:val="000000"/>
          <w:szCs w:val="22"/>
        </w:rPr>
      </w:pPr>
      <w:r w:rsidRPr="00CD729C">
        <w:rPr>
          <w:b/>
          <w:bCs/>
          <w:color w:val="000000"/>
          <w:szCs w:val="22"/>
        </w:rPr>
        <w:t>Dažas parādības var būt nopietnas. Nekavējoties pastāstiet savam ārstam, ja Jums attīstās sekojošas blakusparādības:</w:t>
      </w:r>
    </w:p>
    <w:p w14:paraId="3D39558A" w14:textId="77777777" w:rsidR="009E01F8" w:rsidRPr="00CD729C" w:rsidRDefault="009E01F8" w:rsidP="009B4BB6">
      <w:pPr>
        <w:widowControl w:val="0"/>
        <w:numPr>
          <w:ilvl w:val="12"/>
          <w:numId w:val="0"/>
        </w:numPr>
        <w:tabs>
          <w:tab w:val="clear" w:pos="567"/>
        </w:tabs>
        <w:spacing w:line="240" w:lineRule="auto"/>
        <w:rPr>
          <w:color w:val="000000"/>
          <w:szCs w:val="22"/>
        </w:rPr>
      </w:pPr>
    </w:p>
    <w:p w14:paraId="3D39558B" w14:textId="77777777" w:rsidR="009E01F8" w:rsidRPr="00CD729C" w:rsidRDefault="009E01F8" w:rsidP="009B4BB6">
      <w:pPr>
        <w:pStyle w:val="BodyText2"/>
        <w:keepNext/>
        <w:widowControl w:val="0"/>
        <w:numPr>
          <w:ilvl w:val="12"/>
          <w:numId w:val="0"/>
        </w:numPr>
        <w:tabs>
          <w:tab w:val="clear" w:pos="567"/>
        </w:tabs>
        <w:spacing w:line="240" w:lineRule="auto"/>
        <w:rPr>
          <w:b w:val="0"/>
          <w:color w:val="000000"/>
          <w:szCs w:val="22"/>
        </w:rPr>
      </w:pPr>
      <w:r w:rsidRPr="00CD729C">
        <w:rPr>
          <w:color w:val="000000"/>
          <w:szCs w:val="22"/>
        </w:rPr>
        <w:t>Ļoti biežas</w:t>
      </w:r>
      <w:r w:rsidRPr="00CD729C">
        <w:rPr>
          <w:b w:val="0"/>
          <w:color w:val="000000"/>
          <w:szCs w:val="22"/>
        </w:rPr>
        <w:t xml:space="preserve"> (</w:t>
      </w:r>
      <w:r w:rsidRPr="00CD729C">
        <w:rPr>
          <w:b w:val="0"/>
          <w:szCs w:val="22"/>
        </w:rPr>
        <w:t>var attīstīties vairāk kā 1 cilvēkam no katriem 10 cilvēkiem)</w:t>
      </w:r>
      <w:r w:rsidRPr="00CD729C">
        <w:rPr>
          <w:b w:val="0"/>
          <w:color w:val="000000"/>
          <w:szCs w:val="22"/>
        </w:rPr>
        <w:t xml:space="preserve"> </w:t>
      </w:r>
      <w:r w:rsidRPr="00CD729C">
        <w:rPr>
          <w:color w:val="000000"/>
          <w:szCs w:val="22"/>
        </w:rPr>
        <w:t>un biežas</w:t>
      </w:r>
      <w:r w:rsidRPr="00CD729C">
        <w:rPr>
          <w:b w:val="0"/>
          <w:color w:val="000000"/>
          <w:szCs w:val="22"/>
        </w:rPr>
        <w:t xml:space="preserve"> (</w:t>
      </w:r>
      <w:r w:rsidRPr="00CD729C">
        <w:rPr>
          <w:b w:val="0"/>
          <w:szCs w:val="22"/>
        </w:rPr>
        <w:t>var attīstīties mazāk kā 1 cilvēkam no katriem 10 cilvēkiem):</w:t>
      </w:r>
    </w:p>
    <w:p w14:paraId="3D39558C" w14:textId="77777777" w:rsidR="009E01F8" w:rsidRPr="00CD729C" w:rsidRDefault="00241371"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s</w:t>
      </w:r>
      <w:r w:rsidR="009E01F8" w:rsidRPr="00CD729C">
        <w:rPr>
          <w:color w:val="000000"/>
          <w:szCs w:val="22"/>
        </w:rPr>
        <w:t>trauja ķermeņa masas palielināšanās. Glivec var izraisīt ūdens uzkrāšanos Jūsu organismā (smagu šķidruma aizturi).</w:t>
      </w:r>
    </w:p>
    <w:p w14:paraId="3D39558D" w14:textId="77777777" w:rsidR="009E01F8" w:rsidRPr="00CD729C" w:rsidRDefault="00241371"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i</w:t>
      </w:r>
      <w:r w:rsidR="009E01F8" w:rsidRPr="00CD729C">
        <w:rPr>
          <w:color w:val="000000"/>
          <w:szCs w:val="22"/>
        </w:rPr>
        <w:t>nfekcijas pazīmes, piemēram, drudzis, spēcīgi drebuļi, kakla iekaisums vai čūlas mutē. Glivec Jūsu asinīs var ievērojami samazināt balto asins šūnu skaitu, tāpēc Jums biežāk var attīstīties infekcijas.</w:t>
      </w:r>
    </w:p>
    <w:p w14:paraId="3D39558E" w14:textId="77777777" w:rsidR="009E01F8" w:rsidRPr="00CD729C" w:rsidRDefault="00241371"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n</w:t>
      </w:r>
      <w:r w:rsidR="009E01F8" w:rsidRPr="00CD729C">
        <w:rPr>
          <w:color w:val="000000"/>
          <w:szCs w:val="22"/>
        </w:rPr>
        <w:t>egaidīti radusies asiņošana vai zilumi (kad Jūs neesat sevi savainojuši).</w:t>
      </w:r>
    </w:p>
    <w:p w14:paraId="3D39558F" w14:textId="77777777" w:rsidR="009E01F8" w:rsidRPr="00CD729C" w:rsidRDefault="009E01F8" w:rsidP="009B4BB6">
      <w:pPr>
        <w:widowControl w:val="0"/>
        <w:tabs>
          <w:tab w:val="clear" w:pos="567"/>
        </w:tabs>
        <w:spacing w:line="240" w:lineRule="auto"/>
        <w:rPr>
          <w:color w:val="000000"/>
          <w:szCs w:val="22"/>
        </w:rPr>
      </w:pPr>
    </w:p>
    <w:p w14:paraId="3D395590" w14:textId="77777777" w:rsidR="009E01F8" w:rsidRPr="00CD729C" w:rsidRDefault="009E01F8" w:rsidP="009B4BB6">
      <w:pPr>
        <w:keepNext/>
        <w:widowControl w:val="0"/>
        <w:tabs>
          <w:tab w:val="clear" w:pos="567"/>
        </w:tabs>
        <w:spacing w:line="240" w:lineRule="auto"/>
        <w:rPr>
          <w:bCs/>
          <w:color w:val="000000"/>
          <w:szCs w:val="22"/>
        </w:rPr>
      </w:pPr>
      <w:r w:rsidRPr="00CD729C">
        <w:rPr>
          <w:b/>
          <w:bCs/>
          <w:color w:val="000000"/>
          <w:szCs w:val="22"/>
        </w:rPr>
        <w:t>Retākas</w:t>
      </w:r>
      <w:r w:rsidRPr="00CD729C">
        <w:rPr>
          <w:bCs/>
          <w:color w:val="000000"/>
          <w:szCs w:val="22"/>
        </w:rPr>
        <w:t xml:space="preserve"> </w:t>
      </w:r>
      <w:r w:rsidRPr="00CD729C">
        <w:rPr>
          <w:bCs/>
          <w:color w:val="000000"/>
        </w:rPr>
        <w:t>(</w:t>
      </w:r>
      <w:r w:rsidRPr="00CD729C">
        <w:rPr>
          <w:szCs w:val="22"/>
        </w:rPr>
        <w:t>var attīstīties mazāk kā 1 cilvēkam no katriem 100 cilvēkiem</w:t>
      </w:r>
      <w:r w:rsidRPr="00CD729C">
        <w:rPr>
          <w:bCs/>
          <w:color w:val="000000"/>
        </w:rPr>
        <w:t>)</w:t>
      </w:r>
      <w:r w:rsidRPr="00CD729C">
        <w:rPr>
          <w:b/>
          <w:bCs/>
          <w:color w:val="000000"/>
          <w:szCs w:val="22"/>
        </w:rPr>
        <w:t xml:space="preserve"> un retas </w:t>
      </w:r>
      <w:r w:rsidRPr="00CD729C">
        <w:rPr>
          <w:bCs/>
          <w:color w:val="000000"/>
          <w:szCs w:val="22"/>
        </w:rPr>
        <w:t>(</w:t>
      </w:r>
      <w:r w:rsidRPr="00CD729C">
        <w:rPr>
          <w:szCs w:val="22"/>
        </w:rPr>
        <w:t>var attīstīties ne vairāk kā 1 cilvēkam no katriem 1 000 cilvēkiem):</w:t>
      </w:r>
    </w:p>
    <w:p w14:paraId="3D395591"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bCs/>
          <w:color w:val="000000"/>
          <w:szCs w:val="22"/>
        </w:rPr>
        <w:t>s</w:t>
      </w:r>
      <w:r w:rsidR="009E01F8" w:rsidRPr="00CD729C">
        <w:rPr>
          <w:bCs/>
          <w:color w:val="000000"/>
          <w:szCs w:val="22"/>
        </w:rPr>
        <w:t xml:space="preserve">āpes krūtīs, </w:t>
      </w:r>
      <w:r w:rsidR="009E01F8" w:rsidRPr="00CD729C">
        <w:rPr>
          <w:color w:val="000000"/>
          <w:szCs w:val="22"/>
        </w:rPr>
        <w:t>neregulāra sirdsdarbība (sirds problēmu pazīmes).</w:t>
      </w:r>
    </w:p>
    <w:p w14:paraId="3D395592"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bCs/>
          <w:color w:val="000000"/>
          <w:szCs w:val="22"/>
        </w:rPr>
        <w:t>k</w:t>
      </w:r>
      <w:r w:rsidR="009E01F8" w:rsidRPr="00CD729C">
        <w:rPr>
          <w:bCs/>
          <w:color w:val="000000"/>
          <w:szCs w:val="22"/>
        </w:rPr>
        <w:t xml:space="preserve">lepus, apgrūtināta elpošana </w:t>
      </w:r>
      <w:r w:rsidR="009E01F8" w:rsidRPr="00CD729C">
        <w:rPr>
          <w:color w:val="000000"/>
          <w:szCs w:val="22"/>
        </w:rPr>
        <w:t>vai sāpīga elpošana (plaušu problēmu pazīmes).</w:t>
      </w:r>
    </w:p>
    <w:p w14:paraId="3D395593"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bCs/>
          <w:color w:val="000000"/>
          <w:szCs w:val="22"/>
        </w:rPr>
        <w:t>v</w:t>
      </w:r>
      <w:r w:rsidR="009E01F8" w:rsidRPr="00CD729C">
        <w:rPr>
          <w:bCs/>
          <w:color w:val="000000"/>
          <w:szCs w:val="22"/>
        </w:rPr>
        <w:t>iegls apjukums, reibonis vai ģībonis (zema asinsspiediena pazīmes).</w:t>
      </w:r>
    </w:p>
    <w:p w14:paraId="3D395594"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bCs/>
          <w:color w:val="000000"/>
          <w:szCs w:val="22"/>
        </w:rPr>
        <w:t>s</w:t>
      </w:r>
      <w:r w:rsidR="009E01F8" w:rsidRPr="00CD729C">
        <w:rPr>
          <w:bCs/>
          <w:color w:val="000000"/>
          <w:szCs w:val="22"/>
        </w:rPr>
        <w:t xml:space="preserve">likta dūša, ēstgribas zudums, tumšas krāsas urīns, </w:t>
      </w:r>
      <w:r w:rsidR="009E01F8" w:rsidRPr="00CD729C">
        <w:rPr>
          <w:color w:val="000000"/>
          <w:szCs w:val="22"/>
        </w:rPr>
        <w:t>ādas vai acu dzelte (aknu problēmu pazīmes).</w:t>
      </w:r>
    </w:p>
    <w:p w14:paraId="3D395595"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i</w:t>
      </w:r>
      <w:r w:rsidR="009E01F8" w:rsidRPr="00CD729C">
        <w:rPr>
          <w:color w:val="000000"/>
          <w:szCs w:val="22"/>
        </w:rPr>
        <w:t>zsitumi, ādas apsārtums ar pūšļiem uz lūpām, acīm, ādas vai mutē, ādas lobīšanās, drudzis, sarkani vai violeti ādas laukumi ar pacēlumu, nieze, dedzinoša sajūta, pustulāri izsitumi (ādas problēmu pazīmes).</w:t>
      </w:r>
    </w:p>
    <w:p w14:paraId="3D395596"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s</w:t>
      </w:r>
      <w:r w:rsidR="009E01F8" w:rsidRPr="00CD729C">
        <w:rPr>
          <w:color w:val="000000"/>
          <w:szCs w:val="22"/>
        </w:rPr>
        <w:t>tipras sāpes vēderā, asinis atvemtajās masās, izkārnījumos vai urīnā, melni izkārnījumi (kuņģa-zarnu trakta problēmu pazīmes).</w:t>
      </w:r>
    </w:p>
    <w:p w14:paraId="3D395597"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s</w:t>
      </w:r>
      <w:r w:rsidR="009E01F8" w:rsidRPr="00CD729C">
        <w:rPr>
          <w:color w:val="000000"/>
          <w:szCs w:val="22"/>
        </w:rPr>
        <w:t>tipri samazināta urīna izdalīšanās, slāpes (nieru problēmu pazīmes).</w:t>
      </w:r>
    </w:p>
    <w:p w14:paraId="3D395598"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s</w:t>
      </w:r>
      <w:r w:rsidR="009E01F8" w:rsidRPr="00CD729C">
        <w:rPr>
          <w:color w:val="000000"/>
          <w:szCs w:val="22"/>
        </w:rPr>
        <w:t>likta dūša ar caureju un vemšanu, sāpes vēderā vai drudzis (zarnu problēmu pazīmes).</w:t>
      </w:r>
    </w:p>
    <w:p w14:paraId="3D395599" w14:textId="77777777" w:rsidR="009E01F8" w:rsidRPr="00CD729C" w:rsidRDefault="00C21A11" w:rsidP="009B4BB6">
      <w:pPr>
        <w:widowControl w:val="0"/>
        <w:numPr>
          <w:ilvl w:val="0"/>
          <w:numId w:val="3"/>
        </w:numPr>
        <w:tabs>
          <w:tab w:val="clear" w:pos="360"/>
          <w:tab w:val="num" w:pos="567"/>
        </w:tabs>
        <w:spacing w:line="240" w:lineRule="auto"/>
        <w:ind w:left="567" w:hanging="567"/>
        <w:rPr>
          <w:color w:val="000000"/>
          <w:szCs w:val="22"/>
        </w:rPr>
      </w:pPr>
      <w:r w:rsidRPr="00CD729C">
        <w:rPr>
          <w:color w:val="000000"/>
          <w:szCs w:val="22"/>
        </w:rPr>
        <w:t>s</w:t>
      </w:r>
      <w:r w:rsidR="009E01F8" w:rsidRPr="00CD729C">
        <w:rPr>
          <w:color w:val="000000"/>
          <w:szCs w:val="22"/>
        </w:rPr>
        <w:t>tipras galvassāpes, ekstremitāšu vai sejas vājums vai paralīze, runas traucējumi, pēkšņs samaņas zudums (nervu sistēmas problēmu pazīmes, piemēram asiņošana vai tūska galvaskausā/smadzenēs).</w:t>
      </w:r>
    </w:p>
    <w:p w14:paraId="3D39559A"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b</w:t>
      </w:r>
      <w:r w:rsidR="009E01F8" w:rsidRPr="00CD729C">
        <w:rPr>
          <w:color w:val="000000"/>
          <w:szCs w:val="22"/>
        </w:rPr>
        <w:t>āla ādas krāsa, nogurums, elpas trūkums un tumšs urīns (zema sarkano asins šūnu līmeņa pazīme).</w:t>
      </w:r>
    </w:p>
    <w:p w14:paraId="3D39559B"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s</w:t>
      </w:r>
      <w:r w:rsidR="009E01F8" w:rsidRPr="00CD729C">
        <w:rPr>
          <w:color w:val="000000"/>
          <w:szCs w:val="22"/>
        </w:rPr>
        <w:t>āpes acīs vai redzes traucējumi, asiņošana acīs.</w:t>
      </w:r>
    </w:p>
    <w:p w14:paraId="3D39559C"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s</w:t>
      </w:r>
      <w:r w:rsidR="009E01F8" w:rsidRPr="00CD729C">
        <w:rPr>
          <w:color w:val="000000"/>
          <w:szCs w:val="22"/>
        </w:rPr>
        <w:t>āpes gūžās vai grūtības staigāt.</w:t>
      </w:r>
    </w:p>
    <w:p w14:paraId="3D39559D"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n</w:t>
      </w:r>
      <w:r w:rsidR="009E01F8" w:rsidRPr="00CD729C">
        <w:rPr>
          <w:color w:val="000000"/>
          <w:szCs w:val="22"/>
        </w:rPr>
        <w:t>ejutīgi vai auksti kāju un roku pirksti (Reino sindroma pazīmes).</w:t>
      </w:r>
    </w:p>
    <w:p w14:paraId="3D39559E"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p</w:t>
      </w:r>
      <w:r w:rsidR="009E01F8" w:rsidRPr="00CD729C">
        <w:rPr>
          <w:color w:val="000000"/>
          <w:szCs w:val="22"/>
        </w:rPr>
        <w:t>ēkšņs ādas pietūkums vai apsārtums (ādas iekaisuma, ko sauc par celulītu, pazīmes).</w:t>
      </w:r>
    </w:p>
    <w:p w14:paraId="3D39559F"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color w:val="000000"/>
          <w:szCs w:val="22"/>
        </w:rPr>
        <w:t>d</w:t>
      </w:r>
      <w:r w:rsidR="009E01F8" w:rsidRPr="00CD729C">
        <w:rPr>
          <w:color w:val="000000"/>
          <w:szCs w:val="22"/>
        </w:rPr>
        <w:t>zirdes traucējumi.</w:t>
      </w:r>
    </w:p>
    <w:p w14:paraId="3D3955A0"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bCs/>
          <w:szCs w:val="22"/>
        </w:rPr>
        <w:t>m</w:t>
      </w:r>
      <w:r w:rsidR="009E01F8" w:rsidRPr="00CD729C">
        <w:rPr>
          <w:bCs/>
          <w:szCs w:val="22"/>
        </w:rPr>
        <w:t>uskuļu vājums un spazmas ar izmainītu sirds ritmu (kālija daudzuma izmaiņu Jūsu asinīs pazīmes).</w:t>
      </w:r>
    </w:p>
    <w:p w14:paraId="3D3955A1"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bCs/>
          <w:szCs w:val="22"/>
        </w:rPr>
        <w:t>z</w:t>
      </w:r>
      <w:r w:rsidR="009E01F8" w:rsidRPr="00CD729C">
        <w:rPr>
          <w:bCs/>
          <w:szCs w:val="22"/>
        </w:rPr>
        <w:t>ilumu veidošanās.</w:t>
      </w:r>
    </w:p>
    <w:p w14:paraId="3D3955A2" w14:textId="77777777" w:rsidR="009E01F8" w:rsidRPr="00CD729C" w:rsidRDefault="00C21A11" w:rsidP="009B4BB6">
      <w:pPr>
        <w:widowControl w:val="0"/>
        <w:numPr>
          <w:ilvl w:val="0"/>
          <w:numId w:val="3"/>
        </w:numPr>
        <w:tabs>
          <w:tab w:val="clear" w:pos="360"/>
          <w:tab w:val="clear" w:pos="567"/>
        </w:tabs>
        <w:spacing w:line="240" w:lineRule="auto"/>
        <w:ind w:left="567" w:hanging="567"/>
        <w:rPr>
          <w:color w:val="000000"/>
          <w:szCs w:val="22"/>
        </w:rPr>
      </w:pPr>
      <w:r w:rsidRPr="00CD729C">
        <w:rPr>
          <w:szCs w:val="22"/>
        </w:rPr>
        <w:t>s</w:t>
      </w:r>
      <w:r w:rsidR="009E01F8" w:rsidRPr="00CD729C">
        <w:rPr>
          <w:szCs w:val="22"/>
        </w:rPr>
        <w:t>āpes vēderā un slikta dūša.</w:t>
      </w:r>
    </w:p>
    <w:p w14:paraId="3D3955A3" w14:textId="77777777" w:rsidR="009E01F8" w:rsidRPr="00CD729C" w:rsidRDefault="00C21A11" w:rsidP="009B4BB6">
      <w:pPr>
        <w:pStyle w:val="Listlevel1"/>
        <w:widowControl w:val="0"/>
        <w:numPr>
          <w:ilvl w:val="0"/>
          <w:numId w:val="16"/>
        </w:numPr>
        <w:tabs>
          <w:tab w:val="clear" w:pos="360"/>
        </w:tabs>
        <w:spacing w:before="0" w:after="0"/>
        <w:ind w:left="567" w:hanging="567"/>
        <w:rPr>
          <w:bCs/>
          <w:sz w:val="22"/>
          <w:szCs w:val="22"/>
          <w:lang w:val="lv-LV"/>
        </w:rPr>
      </w:pPr>
      <w:r w:rsidRPr="00CD729C">
        <w:rPr>
          <w:bCs/>
          <w:sz w:val="22"/>
          <w:szCs w:val="22"/>
          <w:lang w:val="lv-LV"/>
        </w:rPr>
        <w:t>m</w:t>
      </w:r>
      <w:r w:rsidR="009E01F8" w:rsidRPr="00CD729C">
        <w:rPr>
          <w:bCs/>
          <w:sz w:val="22"/>
          <w:szCs w:val="22"/>
          <w:lang w:val="lv-LV"/>
        </w:rPr>
        <w:t>uskuļu spazmas un drudzis, sarkanbrūns urīns, sāpes muskuļos vai muskuļu vājums (muskuļu problēmu pazīmes).</w:t>
      </w:r>
    </w:p>
    <w:p w14:paraId="3D3955A4" w14:textId="77777777" w:rsidR="009E01F8" w:rsidRPr="00CD729C" w:rsidRDefault="00C21A11" w:rsidP="009B4BB6">
      <w:pPr>
        <w:widowControl w:val="0"/>
        <w:numPr>
          <w:ilvl w:val="0"/>
          <w:numId w:val="16"/>
        </w:numPr>
        <w:tabs>
          <w:tab w:val="clear" w:pos="360"/>
          <w:tab w:val="clear" w:pos="567"/>
        </w:tabs>
        <w:autoSpaceDE w:val="0"/>
        <w:autoSpaceDN w:val="0"/>
        <w:adjustRightInd w:val="0"/>
        <w:spacing w:line="240" w:lineRule="auto"/>
        <w:ind w:left="567" w:hanging="567"/>
        <w:rPr>
          <w:color w:val="000000"/>
          <w:szCs w:val="22"/>
          <w:lang w:bidi="th-TH"/>
        </w:rPr>
      </w:pPr>
      <w:r w:rsidRPr="00CD729C">
        <w:rPr>
          <w:szCs w:val="22"/>
          <w:lang w:bidi="th-TH"/>
        </w:rPr>
        <w:t>s</w:t>
      </w:r>
      <w:r w:rsidR="009E01F8" w:rsidRPr="00CD729C">
        <w:rPr>
          <w:szCs w:val="22"/>
          <w:lang w:bidi="th-TH"/>
        </w:rPr>
        <w:t xml:space="preserve">āpes iegurnī, ko reizēm pavada slikta dūša un vemšana, negaidīti radusies asiņošana no maksts, </w:t>
      </w:r>
      <w:r w:rsidR="009E01F8" w:rsidRPr="00CD729C">
        <w:rPr>
          <w:color w:val="000000"/>
          <w:szCs w:val="22"/>
          <w:lang w:bidi="th-TH"/>
        </w:rPr>
        <w:t xml:space="preserve">reibonis vai ģībonis dēļ pazemināta asinsspiediena </w:t>
      </w:r>
      <w:r w:rsidR="009E01F8" w:rsidRPr="00CD729C">
        <w:rPr>
          <w:szCs w:val="22"/>
          <w:lang w:bidi="th-TH"/>
        </w:rPr>
        <w:t>(olnīcu vai dzemdes problēmu pazīmes</w:t>
      </w:r>
      <w:r w:rsidR="009E01F8" w:rsidRPr="00CD729C">
        <w:rPr>
          <w:color w:val="000000"/>
          <w:szCs w:val="22"/>
          <w:lang w:bidi="th-TH"/>
        </w:rPr>
        <w:t>).</w:t>
      </w:r>
    </w:p>
    <w:p w14:paraId="3D3955A5" w14:textId="77777777" w:rsidR="00B53E28" w:rsidRPr="00AC1BAD" w:rsidRDefault="00C21A11" w:rsidP="009B4BB6">
      <w:pPr>
        <w:widowControl w:val="0"/>
        <w:numPr>
          <w:ilvl w:val="0"/>
          <w:numId w:val="16"/>
        </w:numPr>
        <w:tabs>
          <w:tab w:val="clear" w:pos="360"/>
          <w:tab w:val="num" w:pos="567"/>
        </w:tabs>
        <w:autoSpaceDE w:val="0"/>
        <w:autoSpaceDN w:val="0"/>
        <w:adjustRightInd w:val="0"/>
        <w:spacing w:line="240" w:lineRule="auto"/>
        <w:ind w:left="567" w:hanging="567"/>
        <w:rPr>
          <w:color w:val="000000"/>
          <w:szCs w:val="22"/>
          <w:lang w:bidi="th-TH"/>
        </w:rPr>
      </w:pPr>
      <w:r w:rsidRPr="00CD729C">
        <w:rPr>
          <w:szCs w:val="22"/>
        </w:rPr>
        <w:t>s</w:t>
      </w:r>
      <w:r w:rsidR="009E01F8" w:rsidRPr="00CD729C">
        <w:rPr>
          <w:szCs w:val="22"/>
        </w:rPr>
        <w:t xml:space="preserve">likta dūša, elpas trūkums, neregulāra sirdsdarbība, duļķains urīns, nogurums un/vai </w:t>
      </w:r>
      <w:r w:rsidR="009E01F8" w:rsidRPr="005C000F">
        <w:rPr>
          <w:szCs w:val="22"/>
        </w:rPr>
        <w:t xml:space="preserve">diskomforta sajūta locītavās, kas saistīta ar izmainītiem laboratorisko pārbaužu rezultātiem (piemēram, paaugstinātu kālija, urīnskābes un </w:t>
      </w:r>
      <w:r w:rsidR="00986A48" w:rsidRPr="005C000F">
        <w:rPr>
          <w:szCs w:val="22"/>
        </w:rPr>
        <w:t xml:space="preserve">kalcija </w:t>
      </w:r>
      <w:r w:rsidR="009E01F8" w:rsidRPr="005C000F">
        <w:rPr>
          <w:szCs w:val="22"/>
        </w:rPr>
        <w:t xml:space="preserve">līmeni un pazeminātu </w:t>
      </w:r>
      <w:r w:rsidR="00986A48" w:rsidRPr="005C000F">
        <w:rPr>
          <w:szCs w:val="22"/>
        </w:rPr>
        <w:t xml:space="preserve">fosfātu </w:t>
      </w:r>
      <w:r w:rsidR="009E01F8" w:rsidRPr="005C000F">
        <w:rPr>
          <w:szCs w:val="22"/>
        </w:rPr>
        <w:t>līmeni asinīs)</w:t>
      </w:r>
      <w:r w:rsidR="00EF4777" w:rsidRPr="005C000F">
        <w:rPr>
          <w:szCs w:val="22"/>
        </w:rPr>
        <w:t>.</w:t>
      </w:r>
    </w:p>
    <w:p w14:paraId="3D3955A6" w14:textId="77777777" w:rsidR="009E01F8" w:rsidRPr="00CD729C" w:rsidRDefault="00B53E28" w:rsidP="009B4BB6">
      <w:pPr>
        <w:widowControl w:val="0"/>
        <w:numPr>
          <w:ilvl w:val="0"/>
          <w:numId w:val="16"/>
        </w:numPr>
        <w:tabs>
          <w:tab w:val="clear" w:pos="360"/>
          <w:tab w:val="num" w:pos="567"/>
        </w:tabs>
        <w:autoSpaceDE w:val="0"/>
        <w:autoSpaceDN w:val="0"/>
        <w:adjustRightInd w:val="0"/>
        <w:spacing w:line="240" w:lineRule="auto"/>
        <w:ind w:left="567" w:hanging="567"/>
        <w:rPr>
          <w:color w:val="000000"/>
          <w:szCs w:val="22"/>
          <w:lang w:bidi="th-TH"/>
        </w:rPr>
      </w:pPr>
      <w:r w:rsidRPr="005C000F">
        <w:rPr>
          <w:szCs w:val="22"/>
        </w:rPr>
        <w:t>asins trombi</w:t>
      </w:r>
      <w:r>
        <w:rPr>
          <w:szCs w:val="22"/>
        </w:rPr>
        <w:t xml:space="preserve"> mazajos asinsvados (trombotiska mikroangiopātija)</w:t>
      </w:r>
      <w:r w:rsidR="009E01F8" w:rsidRPr="00CD729C">
        <w:rPr>
          <w:szCs w:val="22"/>
        </w:rPr>
        <w:t>.</w:t>
      </w:r>
    </w:p>
    <w:p w14:paraId="3D3955A7" w14:textId="77777777" w:rsidR="00244695" w:rsidRPr="00CD729C" w:rsidRDefault="00244695" w:rsidP="009B4BB6">
      <w:pPr>
        <w:widowControl w:val="0"/>
        <w:tabs>
          <w:tab w:val="clear" w:pos="567"/>
        </w:tabs>
        <w:spacing w:line="240" w:lineRule="auto"/>
        <w:rPr>
          <w:color w:val="000000"/>
          <w:szCs w:val="22"/>
        </w:rPr>
      </w:pPr>
    </w:p>
    <w:p w14:paraId="3D3955A8" w14:textId="77777777" w:rsidR="00244695" w:rsidRPr="00CD729C" w:rsidRDefault="00244695" w:rsidP="009B4BB6">
      <w:pPr>
        <w:keepNext/>
        <w:widowControl w:val="0"/>
        <w:tabs>
          <w:tab w:val="clear" w:pos="567"/>
        </w:tabs>
        <w:spacing w:line="240" w:lineRule="auto"/>
        <w:rPr>
          <w:color w:val="000000"/>
          <w:szCs w:val="22"/>
        </w:rPr>
      </w:pPr>
      <w:r w:rsidRPr="00CD729C">
        <w:rPr>
          <w:b/>
          <w:color w:val="000000"/>
          <w:szCs w:val="22"/>
        </w:rPr>
        <w:t>Nav zināmi</w:t>
      </w:r>
      <w:r w:rsidR="00986A48" w:rsidRPr="00CD729C">
        <w:rPr>
          <w:b/>
          <w:color w:val="000000"/>
          <w:szCs w:val="22"/>
        </w:rPr>
        <w:t xml:space="preserve"> </w:t>
      </w:r>
      <w:r w:rsidR="00986A48" w:rsidRPr="00CD729C">
        <w:rPr>
          <w:bCs/>
          <w:szCs w:val="22"/>
        </w:rPr>
        <w:t>(biežumu nevar noteikt pēc pieejamiem datiem)</w:t>
      </w:r>
      <w:r w:rsidRPr="00CD729C">
        <w:rPr>
          <w:color w:val="000000"/>
          <w:szCs w:val="22"/>
        </w:rPr>
        <w:t>:</w:t>
      </w:r>
    </w:p>
    <w:p w14:paraId="3D3955A9" w14:textId="77777777" w:rsidR="00244695" w:rsidRDefault="00185C80" w:rsidP="009B4BB6">
      <w:pPr>
        <w:widowControl w:val="0"/>
        <w:numPr>
          <w:ilvl w:val="0"/>
          <w:numId w:val="34"/>
        </w:numPr>
        <w:tabs>
          <w:tab w:val="clear" w:pos="357"/>
          <w:tab w:val="num" w:pos="567"/>
        </w:tabs>
        <w:spacing w:line="240" w:lineRule="auto"/>
        <w:ind w:left="567" w:hanging="567"/>
        <w:rPr>
          <w:szCs w:val="22"/>
        </w:rPr>
      </w:pPr>
      <w:r w:rsidRPr="00CD729C">
        <w:rPr>
          <w:szCs w:val="22"/>
        </w:rPr>
        <w:t>p</w:t>
      </w:r>
      <w:r w:rsidR="00244695" w:rsidRPr="00CD729C">
        <w:rPr>
          <w:szCs w:val="22"/>
        </w:rPr>
        <w:t>laš</w:t>
      </w:r>
      <w:r w:rsidRPr="00CD729C">
        <w:rPr>
          <w:szCs w:val="22"/>
        </w:rPr>
        <w:t>i, izteikti</w:t>
      </w:r>
      <w:r w:rsidR="00244695" w:rsidRPr="00CD729C">
        <w:rPr>
          <w:szCs w:val="22"/>
        </w:rPr>
        <w:t xml:space="preserve"> izsitumi, slikta dūša, drudzis, palielināts noteikta veida balto asins šūnu skaits vai dzeltena ādas vai acu krāsa (dzeltes pazīmes) kombinācijā ar elpas trūkumu, sāpēm/diskomforta sajūtu krūtīs, stipri samazinātu urīna izdalīšanos un slāpēm u.c. (ar ārstēšanu saistītas alerģiskas reakcijas pazīmes).</w:t>
      </w:r>
    </w:p>
    <w:p w14:paraId="3D3955AA" w14:textId="77777777" w:rsidR="00A51961" w:rsidRDefault="00A51961" w:rsidP="009B4BB6">
      <w:pPr>
        <w:widowControl w:val="0"/>
        <w:numPr>
          <w:ilvl w:val="0"/>
          <w:numId w:val="34"/>
        </w:numPr>
        <w:tabs>
          <w:tab w:val="clear" w:pos="357"/>
          <w:tab w:val="num" w:pos="567"/>
        </w:tabs>
        <w:spacing w:line="240" w:lineRule="auto"/>
        <w:ind w:left="567" w:hanging="567"/>
        <w:rPr>
          <w:szCs w:val="22"/>
        </w:rPr>
      </w:pPr>
      <w:r>
        <w:rPr>
          <w:szCs w:val="22"/>
        </w:rPr>
        <w:t>hroniska nieru mazspēja.</w:t>
      </w:r>
    </w:p>
    <w:p w14:paraId="3D3955AB" w14:textId="77777777" w:rsidR="005E6C32" w:rsidRPr="00CD729C" w:rsidRDefault="005E6C32" w:rsidP="009B4BB6">
      <w:pPr>
        <w:widowControl w:val="0"/>
        <w:numPr>
          <w:ilvl w:val="0"/>
          <w:numId w:val="34"/>
        </w:numPr>
        <w:tabs>
          <w:tab w:val="clear" w:pos="357"/>
          <w:tab w:val="num" w:pos="567"/>
        </w:tabs>
        <w:spacing w:line="240" w:lineRule="auto"/>
        <w:ind w:left="567" w:hanging="567"/>
        <w:rPr>
          <w:szCs w:val="22"/>
        </w:rPr>
      </w:pPr>
      <w:r>
        <w:rPr>
          <w:bCs/>
          <w:color w:val="000000"/>
          <w:szCs w:val="22"/>
        </w:rPr>
        <w:t>B hepatīta infekcijas atkārtošanāš (reaktivācija), ja iepriekš bijis B hepatīts (aknu infekcija).</w:t>
      </w:r>
    </w:p>
    <w:p w14:paraId="3D3955AC" w14:textId="77777777" w:rsidR="00244695" w:rsidRPr="00CD729C" w:rsidRDefault="00244695" w:rsidP="009B4BB6">
      <w:pPr>
        <w:widowControl w:val="0"/>
        <w:tabs>
          <w:tab w:val="clear" w:pos="567"/>
        </w:tabs>
        <w:spacing w:line="240" w:lineRule="auto"/>
        <w:rPr>
          <w:color w:val="000000"/>
          <w:szCs w:val="22"/>
        </w:rPr>
      </w:pPr>
    </w:p>
    <w:p w14:paraId="3D3955AD"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 xml:space="preserve">Ja Jums attīstās kāda no minētajām blakusparādībām, </w:t>
      </w:r>
      <w:r w:rsidRPr="00CD729C">
        <w:rPr>
          <w:b/>
          <w:bCs/>
          <w:color w:val="000000"/>
          <w:szCs w:val="22"/>
        </w:rPr>
        <w:t>nekavējoties pastāstiet par to savam ārstam</w:t>
      </w:r>
      <w:r w:rsidRPr="00CD729C">
        <w:rPr>
          <w:color w:val="000000"/>
          <w:szCs w:val="22"/>
        </w:rPr>
        <w:t>.</w:t>
      </w:r>
    </w:p>
    <w:p w14:paraId="3D3955AE" w14:textId="77777777" w:rsidR="009E01F8" w:rsidRPr="00CD729C" w:rsidRDefault="009E01F8" w:rsidP="009B4BB6">
      <w:pPr>
        <w:widowControl w:val="0"/>
        <w:tabs>
          <w:tab w:val="clear" w:pos="567"/>
        </w:tabs>
        <w:spacing w:line="240" w:lineRule="auto"/>
        <w:rPr>
          <w:color w:val="000000"/>
          <w:szCs w:val="22"/>
        </w:rPr>
      </w:pPr>
    </w:p>
    <w:p w14:paraId="3D3955AF" w14:textId="77777777" w:rsidR="009E01F8" w:rsidRPr="00CD729C" w:rsidRDefault="009E01F8" w:rsidP="009B4BB6">
      <w:pPr>
        <w:keepNext/>
        <w:widowControl w:val="0"/>
        <w:tabs>
          <w:tab w:val="clear" w:pos="567"/>
        </w:tabs>
        <w:spacing w:line="240" w:lineRule="auto"/>
        <w:rPr>
          <w:b/>
          <w:bCs/>
          <w:color w:val="000000"/>
          <w:szCs w:val="22"/>
        </w:rPr>
      </w:pPr>
      <w:r w:rsidRPr="00CD729C">
        <w:rPr>
          <w:b/>
          <w:bCs/>
          <w:color w:val="000000"/>
          <w:szCs w:val="22"/>
        </w:rPr>
        <w:t>Citas blakusparādības var būt:</w:t>
      </w:r>
    </w:p>
    <w:p w14:paraId="3D3955B0" w14:textId="77777777" w:rsidR="009E01F8" w:rsidRPr="00CD729C" w:rsidRDefault="009E01F8" w:rsidP="009B4BB6">
      <w:pPr>
        <w:keepNext/>
        <w:widowControl w:val="0"/>
        <w:tabs>
          <w:tab w:val="clear" w:pos="567"/>
        </w:tabs>
        <w:spacing w:line="240" w:lineRule="auto"/>
        <w:rPr>
          <w:color w:val="000000"/>
          <w:szCs w:val="22"/>
        </w:rPr>
      </w:pPr>
    </w:p>
    <w:p w14:paraId="3D3955B1" w14:textId="77777777" w:rsidR="009E01F8" w:rsidRPr="00CD729C" w:rsidRDefault="009E01F8" w:rsidP="009B4BB6">
      <w:pPr>
        <w:pStyle w:val="Text"/>
        <w:keepNext/>
        <w:widowControl w:val="0"/>
        <w:spacing w:before="0"/>
        <w:rPr>
          <w:color w:val="000000"/>
          <w:sz w:val="22"/>
          <w:szCs w:val="22"/>
          <w:lang w:val="lv-LV"/>
        </w:rPr>
      </w:pPr>
      <w:r w:rsidRPr="00CD729C">
        <w:rPr>
          <w:b/>
          <w:color w:val="000000"/>
          <w:sz w:val="22"/>
          <w:szCs w:val="22"/>
          <w:lang w:val="lv-LV"/>
        </w:rPr>
        <w:t>Ļoti biežas</w:t>
      </w:r>
      <w:r w:rsidRPr="00CD729C">
        <w:rPr>
          <w:color w:val="000000"/>
          <w:sz w:val="22"/>
          <w:szCs w:val="22"/>
          <w:lang w:val="lv-LV"/>
        </w:rPr>
        <w:t xml:space="preserve"> </w:t>
      </w:r>
      <w:r w:rsidRPr="00CD729C">
        <w:rPr>
          <w:sz w:val="22"/>
          <w:szCs w:val="22"/>
          <w:lang w:val="lv-LV"/>
        </w:rPr>
        <w:t>(var attīstīties vairāk kā 1 cilvēkam no katriem 10 cilvēkiem):</w:t>
      </w:r>
    </w:p>
    <w:p w14:paraId="3D3955B2" w14:textId="77777777" w:rsidR="009E01F8" w:rsidRPr="00CD729C" w:rsidRDefault="00C21A11" w:rsidP="009B4BB6">
      <w:pPr>
        <w:pStyle w:val="Text"/>
        <w:widowControl w:val="0"/>
        <w:numPr>
          <w:ilvl w:val="0"/>
          <w:numId w:val="25"/>
        </w:numPr>
        <w:tabs>
          <w:tab w:val="clear" w:pos="357"/>
          <w:tab w:val="num" w:pos="567"/>
        </w:tabs>
        <w:spacing w:before="0"/>
        <w:ind w:left="567" w:hanging="567"/>
        <w:jc w:val="left"/>
        <w:rPr>
          <w:color w:val="000000"/>
          <w:sz w:val="22"/>
          <w:szCs w:val="22"/>
          <w:lang w:val="lv-LV"/>
        </w:rPr>
      </w:pPr>
      <w:r w:rsidRPr="00CD729C">
        <w:rPr>
          <w:color w:val="000000"/>
          <w:sz w:val="22"/>
          <w:szCs w:val="22"/>
          <w:lang w:val="lv-LV"/>
        </w:rPr>
        <w:t>g</w:t>
      </w:r>
      <w:r w:rsidR="009E01F8" w:rsidRPr="00CD729C">
        <w:rPr>
          <w:color w:val="000000"/>
          <w:sz w:val="22"/>
          <w:szCs w:val="22"/>
          <w:lang w:val="lv-LV"/>
        </w:rPr>
        <w:t>alvassāpes vai nogurums.</w:t>
      </w:r>
    </w:p>
    <w:p w14:paraId="3D3955B3" w14:textId="77777777" w:rsidR="009E01F8" w:rsidRPr="00CD729C" w:rsidRDefault="00C21A11" w:rsidP="009B4BB6">
      <w:pPr>
        <w:pStyle w:val="Text"/>
        <w:widowControl w:val="0"/>
        <w:numPr>
          <w:ilvl w:val="0"/>
          <w:numId w:val="24"/>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s</w:t>
      </w:r>
      <w:r w:rsidR="009E01F8" w:rsidRPr="00CD729C">
        <w:rPr>
          <w:color w:val="000000"/>
          <w:sz w:val="22"/>
          <w:szCs w:val="22"/>
          <w:lang w:val="lv-LV"/>
        </w:rPr>
        <w:t>likta dūša, vemšana, caureja vai gremošanas traucējumi.</w:t>
      </w:r>
    </w:p>
    <w:p w14:paraId="3D3955B4" w14:textId="77777777" w:rsidR="009E01F8" w:rsidRPr="00CD729C" w:rsidRDefault="00C21A11" w:rsidP="009B4BB6">
      <w:pPr>
        <w:pStyle w:val="Text"/>
        <w:widowControl w:val="0"/>
        <w:numPr>
          <w:ilvl w:val="0"/>
          <w:numId w:val="24"/>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i</w:t>
      </w:r>
      <w:r w:rsidR="009E01F8" w:rsidRPr="00CD729C">
        <w:rPr>
          <w:color w:val="000000"/>
          <w:sz w:val="22"/>
          <w:szCs w:val="22"/>
          <w:lang w:val="lv-LV"/>
        </w:rPr>
        <w:t>zsitumi.</w:t>
      </w:r>
    </w:p>
    <w:p w14:paraId="3D3955B5" w14:textId="77777777" w:rsidR="009E01F8" w:rsidRPr="00CD729C" w:rsidRDefault="00C21A11" w:rsidP="009B4BB6">
      <w:pPr>
        <w:pStyle w:val="Text"/>
        <w:widowControl w:val="0"/>
        <w:numPr>
          <w:ilvl w:val="0"/>
          <w:numId w:val="24"/>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m</w:t>
      </w:r>
      <w:r w:rsidR="009E01F8" w:rsidRPr="00CD729C">
        <w:rPr>
          <w:color w:val="000000"/>
          <w:sz w:val="22"/>
          <w:szCs w:val="22"/>
          <w:lang w:val="lv-LV"/>
        </w:rPr>
        <w:t>uskuļu krampji vai locītavu, muskuļu vai kaulu sāpes</w:t>
      </w:r>
      <w:r w:rsidR="006A7EB7">
        <w:rPr>
          <w:color w:val="000000"/>
          <w:sz w:val="22"/>
          <w:szCs w:val="22"/>
          <w:lang w:val="lv-LV"/>
        </w:rPr>
        <w:t xml:space="preserve"> ārstēšanas ar Glivec laikā vai pēc Glivec lietošanas pārtraukšanas</w:t>
      </w:r>
      <w:r w:rsidR="009E01F8" w:rsidRPr="00CD729C">
        <w:rPr>
          <w:color w:val="000000"/>
          <w:sz w:val="22"/>
          <w:szCs w:val="22"/>
          <w:lang w:val="lv-LV"/>
        </w:rPr>
        <w:t>.</w:t>
      </w:r>
    </w:p>
    <w:p w14:paraId="3D3955B6" w14:textId="77777777" w:rsidR="009E01F8" w:rsidRPr="00CD729C" w:rsidRDefault="00C21A11" w:rsidP="009B4BB6">
      <w:pPr>
        <w:pStyle w:val="Text"/>
        <w:widowControl w:val="0"/>
        <w:numPr>
          <w:ilvl w:val="0"/>
          <w:numId w:val="24"/>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t</w:t>
      </w:r>
      <w:r w:rsidR="009E01F8" w:rsidRPr="00CD729C">
        <w:rPr>
          <w:color w:val="000000"/>
          <w:sz w:val="22"/>
          <w:szCs w:val="22"/>
          <w:lang w:val="lv-LV"/>
        </w:rPr>
        <w:t>ūska, piemēram, potīšu tūska vai pietūkušas acis.</w:t>
      </w:r>
    </w:p>
    <w:p w14:paraId="3D3955B7" w14:textId="77777777" w:rsidR="009E01F8" w:rsidRPr="00CD729C" w:rsidRDefault="00C21A11" w:rsidP="009B4BB6">
      <w:pPr>
        <w:pStyle w:val="Text"/>
        <w:keepNext/>
        <w:widowControl w:val="0"/>
        <w:numPr>
          <w:ilvl w:val="0"/>
          <w:numId w:val="24"/>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ķ</w:t>
      </w:r>
      <w:r w:rsidR="009E01F8" w:rsidRPr="00CD729C">
        <w:rPr>
          <w:color w:val="000000"/>
          <w:sz w:val="22"/>
          <w:szCs w:val="22"/>
          <w:lang w:val="lv-LV"/>
        </w:rPr>
        <w:t>ermeņa masas palielināšanās.</w:t>
      </w:r>
    </w:p>
    <w:p w14:paraId="3D3955B8"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 xml:space="preserve">Ja jebkura no šīm parādībām ir smaga, </w:t>
      </w:r>
      <w:r w:rsidRPr="00CD729C">
        <w:rPr>
          <w:b/>
          <w:color w:val="000000"/>
          <w:szCs w:val="22"/>
        </w:rPr>
        <w:t>pastāstiet par to savam ārstam</w:t>
      </w:r>
      <w:r w:rsidRPr="00CD729C">
        <w:rPr>
          <w:color w:val="000000"/>
          <w:szCs w:val="22"/>
        </w:rPr>
        <w:t>.</w:t>
      </w:r>
    </w:p>
    <w:p w14:paraId="3D3955B9" w14:textId="77777777" w:rsidR="009E01F8" w:rsidRPr="00CD729C" w:rsidRDefault="009E01F8" w:rsidP="009B4BB6">
      <w:pPr>
        <w:widowControl w:val="0"/>
        <w:tabs>
          <w:tab w:val="clear" w:pos="567"/>
        </w:tabs>
        <w:spacing w:line="240" w:lineRule="auto"/>
        <w:rPr>
          <w:color w:val="000000"/>
          <w:szCs w:val="22"/>
        </w:rPr>
      </w:pPr>
    </w:p>
    <w:p w14:paraId="3D3955BA" w14:textId="77777777" w:rsidR="009E01F8" w:rsidRPr="00CD729C" w:rsidRDefault="009E01F8" w:rsidP="009B4BB6">
      <w:pPr>
        <w:pStyle w:val="Text"/>
        <w:keepNext/>
        <w:widowControl w:val="0"/>
        <w:spacing w:before="0"/>
        <w:rPr>
          <w:color w:val="000000"/>
          <w:sz w:val="22"/>
          <w:szCs w:val="22"/>
          <w:lang w:val="lv-LV"/>
        </w:rPr>
      </w:pPr>
      <w:r w:rsidRPr="00CD729C">
        <w:rPr>
          <w:b/>
          <w:color w:val="000000"/>
          <w:sz w:val="22"/>
          <w:szCs w:val="22"/>
          <w:lang w:val="lv-LV"/>
        </w:rPr>
        <w:t>Biežas</w:t>
      </w:r>
      <w:r w:rsidRPr="00CD729C">
        <w:rPr>
          <w:color w:val="000000"/>
          <w:sz w:val="22"/>
          <w:szCs w:val="22"/>
          <w:lang w:val="lv-LV"/>
        </w:rPr>
        <w:t xml:space="preserve"> </w:t>
      </w:r>
      <w:r w:rsidRPr="00CD729C">
        <w:rPr>
          <w:color w:val="000000"/>
          <w:szCs w:val="22"/>
          <w:lang w:val="lv-LV"/>
        </w:rPr>
        <w:t>(</w:t>
      </w:r>
      <w:r w:rsidRPr="00CD729C">
        <w:rPr>
          <w:sz w:val="22"/>
          <w:szCs w:val="22"/>
          <w:lang w:val="lv-LV"/>
        </w:rPr>
        <w:t>var attīstīties mazāk kā 1 cilvēkam no katriem 10 cilvēkiem</w:t>
      </w:r>
      <w:r w:rsidRPr="00CD729C">
        <w:rPr>
          <w:szCs w:val="22"/>
          <w:lang w:val="lv-LV"/>
        </w:rPr>
        <w:t>):</w:t>
      </w:r>
    </w:p>
    <w:p w14:paraId="3D3955BB" w14:textId="77777777" w:rsidR="009E01F8" w:rsidRPr="00CD729C" w:rsidRDefault="00C21A11" w:rsidP="009B4BB6">
      <w:pPr>
        <w:pStyle w:val="Text"/>
        <w:widowControl w:val="0"/>
        <w:numPr>
          <w:ilvl w:val="0"/>
          <w:numId w:val="27"/>
        </w:numPr>
        <w:tabs>
          <w:tab w:val="clear" w:pos="357"/>
        </w:tabs>
        <w:spacing w:before="0"/>
        <w:ind w:left="567" w:hanging="567"/>
        <w:jc w:val="left"/>
        <w:rPr>
          <w:color w:val="000000"/>
          <w:sz w:val="22"/>
          <w:szCs w:val="22"/>
          <w:lang w:val="lv-LV"/>
        </w:rPr>
      </w:pPr>
      <w:r w:rsidRPr="00CD729C">
        <w:rPr>
          <w:color w:val="000000"/>
          <w:sz w:val="22"/>
          <w:szCs w:val="22"/>
          <w:lang w:val="lv-LV"/>
        </w:rPr>
        <w:t>ē</w:t>
      </w:r>
      <w:r w:rsidR="009E01F8" w:rsidRPr="00CD729C">
        <w:rPr>
          <w:color w:val="000000"/>
          <w:sz w:val="22"/>
          <w:szCs w:val="22"/>
          <w:lang w:val="lv-LV"/>
        </w:rPr>
        <w:t>stgribas zudums, samazināta ķermeņa masa vai garšas sajūtas traucējumi.</w:t>
      </w:r>
    </w:p>
    <w:p w14:paraId="3D3955BC" w14:textId="77777777" w:rsidR="009E01F8" w:rsidRPr="00CD729C" w:rsidRDefault="00C21A11"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r</w:t>
      </w:r>
      <w:r w:rsidR="009E01F8" w:rsidRPr="00CD729C">
        <w:rPr>
          <w:color w:val="000000"/>
          <w:sz w:val="22"/>
          <w:szCs w:val="22"/>
          <w:lang w:val="lv-LV"/>
        </w:rPr>
        <w:t>eiboņi vai vājums.</w:t>
      </w:r>
    </w:p>
    <w:p w14:paraId="3D3955BD" w14:textId="77777777" w:rsidR="009E01F8" w:rsidRPr="00CD729C" w:rsidRDefault="00C21A11"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m</w:t>
      </w:r>
      <w:r w:rsidR="009E01F8" w:rsidRPr="00CD729C">
        <w:rPr>
          <w:color w:val="000000"/>
          <w:sz w:val="22"/>
          <w:szCs w:val="22"/>
          <w:lang w:val="lv-LV"/>
        </w:rPr>
        <w:t>iega traucējumi (bezmiegs).</w:t>
      </w:r>
    </w:p>
    <w:p w14:paraId="3D3955BE" w14:textId="77777777" w:rsidR="009E01F8" w:rsidRPr="00CD729C" w:rsidRDefault="00C21A11"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i</w:t>
      </w:r>
      <w:r w:rsidR="009E01F8" w:rsidRPr="00CD729C">
        <w:rPr>
          <w:color w:val="000000"/>
          <w:sz w:val="22"/>
          <w:szCs w:val="22"/>
          <w:lang w:val="lv-LV"/>
        </w:rPr>
        <w:t>zdalījumi no acīm un nieze, apsārtums un pietūkums (konjunktivīts), pastiprināta asaru izdale vai neskaidra redze.</w:t>
      </w:r>
    </w:p>
    <w:p w14:paraId="3D3955BF" w14:textId="77777777" w:rsidR="009E01F8" w:rsidRPr="00CD729C" w:rsidRDefault="00C21A11"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d</w:t>
      </w:r>
      <w:r w:rsidR="009E01F8" w:rsidRPr="00CD729C">
        <w:rPr>
          <w:color w:val="000000"/>
          <w:sz w:val="22"/>
          <w:szCs w:val="22"/>
          <w:lang w:val="lv-LV"/>
        </w:rPr>
        <w:t>eguna asiņošana.</w:t>
      </w:r>
    </w:p>
    <w:p w14:paraId="3D3955C0" w14:textId="77777777" w:rsidR="009E01F8" w:rsidRPr="00CD729C" w:rsidRDefault="00C21A11"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s</w:t>
      </w:r>
      <w:r w:rsidR="009E01F8" w:rsidRPr="00CD729C">
        <w:rPr>
          <w:color w:val="000000"/>
          <w:sz w:val="22"/>
          <w:szCs w:val="22"/>
          <w:lang w:val="lv-LV"/>
        </w:rPr>
        <w:t>āpes vēderā vai tūska, gāzu uzkrāšanās, grēmas vai aizcietējums.</w:t>
      </w:r>
    </w:p>
    <w:p w14:paraId="3D3955C1" w14:textId="77777777" w:rsidR="009E01F8" w:rsidRPr="00CD729C" w:rsidRDefault="00C21A11"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n</w:t>
      </w:r>
      <w:r w:rsidR="009E01F8" w:rsidRPr="00CD729C">
        <w:rPr>
          <w:color w:val="000000"/>
          <w:sz w:val="22"/>
          <w:szCs w:val="22"/>
          <w:lang w:val="lv-LV"/>
        </w:rPr>
        <w:t>ieze.</w:t>
      </w:r>
    </w:p>
    <w:p w14:paraId="3D3955C2" w14:textId="77777777" w:rsidR="009E01F8" w:rsidRPr="00CD729C" w:rsidRDefault="00C21A11"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n</w:t>
      </w:r>
      <w:r w:rsidR="009E01F8" w:rsidRPr="00CD729C">
        <w:rPr>
          <w:color w:val="000000"/>
          <w:sz w:val="22"/>
          <w:szCs w:val="22"/>
          <w:lang w:val="lv-LV"/>
        </w:rPr>
        <w:t>eparasta matu izkrišana vai tie kļūst retāki.</w:t>
      </w:r>
    </w:p>
    <w:p w14:paraId="3D3955C3" w14:textId="77777777" w:rsidR="009E01F8" w:rsidRPr="00CD729C" w:rsidRDefault="00C21A11"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r</w:t>
      </w:r>
      <w:r w:rsidR="009E01F8" w:rsidRPr="00CD729C">
        <w:rPr>
          <w:color w:val="000000"/>
          <w:sz w:val="22"/>
          <w:szCs w:val="22"/>
          <w:lang w:val="lv-LV"/>
        </w:rPr>
        <w:t>oku vai kāju nejutība.</w:t>
      </w:r>
    </w:p>
    <w:p w14:paraId="3D3955C4" w14:textId="77777777" w:rsidR="009E01F8" w:rsidRPr="00CD729C" w:rsidRDefault="00C21A11"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č</w:t>
      </w:r>
      <w:r w:rsidR="009E01F8" w:rsidRPr="00CD729C">
        <w:rPr>
          <w:color w:val="000000"/>
          <w:sz w:val="22"/>
          <w:szCs w:val="22"/>
          <w:lang w:val="lv-LV"/>
        </w:rPr>
        <w:t>ūlas mutē.</w:t>
      </w:r>
    </w:p>
    <w:p w14:paraId="3D3955C5" w14:textId="77777777" w:rsidR="009E01F8" w:rsidRPr="00CD729C" w:rsidRDefault="00C21A11"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l</w:t>
      </w:r>
      <w:r w:rsidR="009E01F8" w:rsidRPr="00CD729C">
        <w:rPr>
          <w:color w:val="000000"/>
          <w:sz w:val="22"/>
          <w:szCs w:val="22"/>
          <w:lang w:val="lv-LV"/>
        </w:rPr>
        <w:t>ocītavu sāpes un locītavu pietūkums.</w:t>
      </w:r>
    </w:p>
    <w:p w14:paraId="3D3955C6" w14:textId="77777777" w:rsidR="009E01F8" w:rsidRPr="00CD729C" w:rsidRDefault="00C21A11"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s</w:t>
      </w:r>
      <w:r w:rsidR="009E01F8" w:rsidRPr="00CD729C">
        <w:rPr>
          <w:color w:val="000000"/>
          <w:sz w:val="22"/>
          <w:szCs w:val="22"/>
          <w:lang w:val="lv-LV"/>
        </w:rPr>
        <w:t>ausa mute, sausa āda vai sausuma sajūta acīs.</w:t>
      </w:r>
    </w:p>
    <w:p w14:paraId="3D3955C7" w14:textId="77777777" w:rsidR="009E01F8" w:rsidRPr="00CD729C" w:rsidRDefault="00C21A11" w:rsidP="009B4BB6">
      <w:pPr>
        <w:pStyle w:val="T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s</w:t>
      </w:r>
      <w:r w:rsidR="009E01F8" w:rsidRPr="00CD729C">
        <w:rPr>
          <w:color w:val="000000"/>
          <w:sz w:val="22"/>
          <w:szCs w:val="22"/>
          <w:lang w:val="lv-LV"/>
        </w:rPr>
        <w:t>amazināts vai palielināts ādas jutīgums.</w:t>
      </w:r>
    </w:p>
    <w:p w14:paraId="3D3955C8" w14:textId="77777777" w:rsidR="009E01F8" w:rsidRPr="00CD729C" w:rsidRDefault="00C21A11" w:rsidP="009B4BB6">
      <w:pPr>
        <w:pStyle w:val="Text"/>
        <w:keepNext/>
        <w:widowControl w:val="0"/>
        <w:numPr>
          <w:ilvl w:val="0"/>
          <w:numId w:val="26"/>
        </w:numPr>
        <w:tabs>
          <w:tab w:val="clear" w:pos="717"/>
          <w:tab w:val="num" w:pos="567"/>
        </w:tabs>
        <w:spacing w:before="0"/>
        <w:ind w:left="567" w:hanging="567"/>
        <w:jc w:val="left"/>
        <w:rPr>
          <w:color w:val="000000"/>
          <w:sz w:val="22"/>
          <w:szCs w:val="22"/>
          <w:lang w:val="lv-LV"/>
        </w:rPr>
      </w:pPr>
      <w:r w:rsidRPr="00CD729C">
        <w:rPr>
          <w:color w:val="000000"/>
          <w:sz w:val="22"/>
          <w:szCs w:val="22"/>
          <w:lang w:val="lv-LV"/>
        </w:rPr>
        <w:t>k</w:t>
      </w:r>
      <w:r w:rsidR="009E01F8" w:rsidRPr="00CD729C">
        <w:rPr>
          <w:color w:val="000000"/>
          <w:sz w:val="22"/>
          <w:szCs w:val="22"/>
          <w:lang w:val="lv-LV"/>
        </w:rPr>
        <w:t>arstuma viļņi, drebuļi vai svīšana naktī.</w:t>
      </w:r>
    </w:p>
    <w:p w14:paraId="3D3955C9" w14:textId="77777777" w:rsidR="009E01F8" w:rsidRPr="00CD729C" w:rsidRDefault="009E01F8" w:rsidP="009B4BB6">
      <w:pPr>
        <w:widowControl w:val="0"/>
        <w:tabs>
          <w:tab w:val="clear" w:pos="567"/>
        </w:tabs>
        <w:spacing w:line="240" w:lineRule="auto"/>
        <w:rPr>
          <w:color w:val="000000"/>
          <w:szCs w:val="22"/>
        </w:rPr>
      </w:pPr>
      <w:r w:rsidRPr="00CD729C">
        <w:rPr>
          <w:color w:val="000000"/>
          <w:szCs w:val="22"/>
        </w:rPr>
        <w:t xml:space="preserve">Ja jebkura no šīm parādībām ir smaga, </w:t>
      </w:r>
      <w:r w:rsidRPr="00CD729C">
        <w:rPr>
          <w:b/>
          <w:color w:val="000000"/>
          <w:szCs w:val="22"/>
        </w:rPr>
        <w:t>pastāstiet par to savam ārstam</w:t>
      </w:r>
      <w:r w:rsidRPr="00CD729C">
        <w:rPr>
          <w:color w:val="000000"/>
          <w:szCs w:val="22"/>
        </w:rPr>
        <w:t>.</w:t>
      </w:r>
    </w:p>
    <w:p w14:paraId="3D3955CA" w14:textId="77777777" w:rsidR="009E01F8" w:rsidRPr="00CD729C" w:rsidRDefault="009E01F8" w:rsidP="009B4BB6">
      <w:pPr>
        <w:pStyle w:val="Text"/>
        <w:widowControl w:val="0"/>
        <w:spacing w:before="0"/>
        <w:jc w:val="left"/>
        <w:rPr>
          <w:sz w:val="22"/>
          <w:szCs w:val="22"/>
          <w:lang w:val="lv-LV"/>
        </w:rPr>
      </w:pPr>
    </w:p>
    <w:p w14:paraId="3D3955CB" w14:textId="77777777" w:rsidR="009E01F8" w:rsidRPr="00CD729C" w:rsidRDefault="009E01F8" w:rsidP="009B4BB6">
      <w:pPr>
        <w:pStyle w:val="Text"/>
        <w:keepNext/>
        <w:widowControl w:val="0"/>
        <w:spacing w:before="0"/>
        <w:jc w:val="left"/>
        <w:rPr>
          <w:bCs/>
          <w:sz w:val="22"/>
          <w:szCs w:val="22"/>
          <w:lang w:val="lv-LV"/>
        </w:rPr>
      </w:pPr>
      <w:r w:rsidRPr="00CD729C">
        <w:rPr>
          <w:b/>
          <w:bCs/>
          <w:sz w:val="22"/>
          <w:szCs w:val="22"/>
          <w:lang w:val="lv-LV"/>
        </w:rPr>
        <w:t>Nav zināmi</w:t>
      </w:r>
      <w:r w:rsidRPr="00CD729C">
        <w:rPr>
          <w:bCs/>
          <w:sz w:val="22"/>
          <w:szCs w:val="22"/>
          <w:lang w:val="lv-LV"/>
        </w:rPr>
        <w:t xml:space="preserve"> (biežumu nevar noteikt pēc pieejamiem datiem):</w:t>
      </w:r>
    </w:p>
    <w:p w14:paraId="3D3955CC" w14:textId="77777777" w:rsidR="009E01F8" w:rsidRDefault="00C21A11" w:rsidP="009B4BB6">
      <w:pPr>
        <w:pStyle w:val="Text"/>
        <w:widowControl w:val="0"/>
        <w:numPr>
          <w:ilvl w:val="0"/>
          <w:numId w:val="34"/>
        </w:numPr>
        <w:tabs>
          <w:tab w:val="clear" w:pos="357"/>
          <w:tab w:val="num" w:pos="567"/>
        </w:tabs>
        <w:spacing w:before="0"/>
        <w:ind w:left="567" w:hanging="567"/>
        <w:jc w:val="left"/>
        <w:rPr>
          <w:sz w:val="22"/>
          <w:szCs w:val="22"/>
          <w:lang w:val="lv-LV"/>
        </w:rPr>
      </w:pPr>
      <w:r w:rsidRPr="00CD729C">
        <w:rPr>
          <w:sz w:val="22"/>
          <w:szCs w:val="22"/>
          <w:lang w:val="lv-LV"/>
        </w:rPr>
        <w:t>p</w:t>
      </w:r>
      <w:r w:rsidR="009E01F8" w:rsidRPr="00CD729C">
        <w:rPr>
          <w:sz w:val="22"/>
          <w:szCs w:val="22"/>
          <w:lang w:val="lv-LV"/>
        </w:rPr>
        <w:t>laukstu un pēdu apsārtums un/vai pietūkums, ko var pavadīt tirpšana un dedzinoša sajūta.</w:t>
      </w:r>
    </w:p>
    <w:p w14:paraId="3D3955CD" w14:textId="77777777" w:rsidR="00220E8E" w:rsidRPr="00CD729C" w:rsidRDefault="00220E8E" w:rsidP="009B4BB6">
      <w:pPr>
        <w:pStyle w:val="Text"/>
        <w:widowControl w:val="0"/>
        <w:numPr>
          <w:ilvl w:val="0"/>
          <w:numId w:val="34"/>
        </w:numPr>
        <w:tabs>
          <w:tab w:val="clear" w:pos="357"/>
          <w:tab w:val="num" w:pos="567"/>
        </w:tabs>
        <w:spacing w:before="0"/>
        <w:ind w:left="567" w:hanging="567"/>
        <w:jc w:val="left"/>
        <w:rPr>
          <w:sz w:val="22"/>
          <w:szCs w:val="22"/>
          <w:lang w:val="lv-LV"/>
        </w:rPr>
      </w:pPr>
      <w:r>
        <w:rPr>
          <w:sz w:val="22"/>
          <w:szCs w:val="22"/>
          <w:lang w:val="lv-LV"/>
        </w:rPr>
        <w:t>sāpīgi un/vai pūšļveida ādas bojājumi.</w:t>
      </w:r>
    </w:p>
    <w:p w14:paraId="3D3955CE" w14:textId="77777777" w:rsidR="009E01F8" w:rsidRPr="00CD729C" w:rsidRDefault="00C21A11" w:rsidP="009B4BB6">
      <w:pPr>
        <w:pStyle w:val="Text"/>
        <w:keepNext/>
        <w:widowControl w:val="0"/>
        <w:numPr>
          <w:ilvl w:val="0"/>
          <w:numId w:val="34"/>
        </w:numPr>
        <w:tabs>
          <w:tab w:val="clear" w:pos="357"/>
        </w:tabs>
        <w:spacing w:before="0"/>
        <w:ind w:left="567" w:hanging="567"/>
        <w:jc w:val="left"/>
        <w:rPr>
          <w:sz w:val="22"/>
          <w:szCs w:val="22"/>
          <w:lang w:val="lv-LV"/>
        </w:rPr>
      </w:pPr>
      <w:r w:rsidRPr="00CD729C">
        <w:rPr>
          <w:sz w:val="22"/>
          <w:szCs w:val="22"/>
          <w:lang w:val="lv-LV"/>
        </w:rPr>
        <w:t>a</w:t>
      </w:r>
      <w:r w:rsidR="009E01F8" w:rsidRPr="00CD729C">
        <w:rPr>
          <w:sz w:val="22"/>
          <w:szCs w:val="22"/>
          <w:lang w:val="lv-LV"/>
        </w:rPr>
        <w:t>ugšanas aizture bērniem un pusaudžiem.</w:t>
      </w:r>
    </w:p>
    <w:p w14:paraId="3D3955CF" w14:textId="77777777" w:rsidR="009E01F8" w:rsidRPr="00CD729C" w:rsidRDefault="009E01F8" w:rsidP="009B4BB6">
      <w:pPr>
        <w:pStyle w:val="Text"/>
        <w:widowControl w:val="0"/>
        <w:spacing w:before="0"/>
        <w:jc w:val="left"/>
        <w:rPr>
          <w:color w:val="000000"/>
          <w:sz w:val="22"/>
          <w:szCs w:val="22"/>
          <w:lang w:val="lv-LV"/>
        </w:rPr>
      </w:pPr>
      <w:r w:rsidRPr="00CD729C">
        <w:rPr>
          <w:color w:val="000000"/>
          <w:sz w:val="22"/>
          <w:szCs w:val="22"/>
          <w:lang w:val="lv-LV"/>
        </w:rPr>
        <w:t xml:space="preserve">Ja Jums attīstās kāda no minētajām blakusparādībām, </w:t>
      </w:r>
      <w:r w:rsidRPr="00CD729C">
        <w:rPr>
          <w:b/>
          <w:bCs/>
          <w:color w:val="000000"/>
          <w:sz w:val="22"/>
          <w:szCs w:val="22"/>
          <w:lang w:val="lv-LV"/>
        </w:rPr>
        <w:t>pastāstiet par to savam ārstam</w:t>
      </w:r>
      <w:r w:rsidRPr="00CD729C">
        <w:rPr>
          <w:b/>
          <w:color w:val="000000"/>
          <w:sz w:val="22"/>
          <w:szCs w:val="22"/>
          <w:lang w:val="lv-LV"/>
        </w:rPr>
        <w:t>.</w:t>
      </w:r>
    </w:p>
    <w:p w14:paraId="3D3955D0" w14:textId="77777777" w:rsidR="009E01F8" w:rsidRPr="00CD729C" w:rsidRDefault="009E01F8" w:rsidP="009B4BB6">
      <w:pPr>
        <w:widowControl w:val="0"/>
        <w:numPr>
          <w:ilvl w:val="12"/>
          <w:numId w:val="0"/>
        </w:numPr>
        <w:spacing w:line="240" w:lineRule="auto"/>
        <w:outlineLvl w:val="0"/>
      </w:pPr>
    </w:p>
    <w:p w14:paraId="3D3955D1" w14:textId="77777777" w:rsidR="009E01F8" w:rsidRPr="00CD729C" w:rsidRDefault="009E01F8" w:rsidP="009B4BB6">
      <w:pPr>
        <w:keepNext/>
        <w:widowControl w:val="0"/>
        <w:numPr>
          <w:ilvl w:val="12"/>
          <w:numId w:val="0"/>
        </w:numPr>
        <w:spacing w:line="240" w:lineRule="auto"/>
        <w:outlineLvl w:val="0"/>
        <w:rPr>
          <w:b/>
        </w:rPr>
      </w:pPr>
      <w:r w:rsidRPr="00CD729C">
        <w:rPr>
          <w:b/>
        </w:rPr>
        <w:t>Ziņošana par blakusparādībām</w:t>
      </w:r>
    </w:p>
    <w:p w14:paraId="3D3955D2" w14:textId="77777777" w:rsidR="009E01F8" w:rsidRPr="00CD729C" w:rsidRDefault="009E01F8" w:rsidP="009B4BB6">
      <w:pPr>
        <w:widowControl w:val="0"/>
        <w:numPr>
          <w:ilvl w:val="12"/>
          <w:numId w:val="0"/>
        </w:numPr>
        <w:spacing w:line="240" w:lineRule="auto"/>
      </w:pPr>
      <w:r w:rsidRPr="00CD729C">
        <w:rPr>
          <w:color w:val="000000"/>
          <w:szCs w:val="22"/>
        </w:rPr>
        <w:t xml:space="preserve">Ja Jums rodas jebkādas blakusparādības, konsultējieties ar ārstu, farmaceitu vai medmāsu. Tas attiecas arī uz iespējamajām blakusparādībām, kas nav minētas šajā instrukcijā. </w:t>
      </w:r>
      <w:r w:rsidRPr="00CD729C">
        <w:rPr>
          <w:snapToGrid w:val="0"/>
          <w:szCs w:val="22"/>
        </w:rPr>
        <w:t xml:space="preserve">Jūs varat ziņot par blakusparādībām arī tieši, </w:t>
      </w:r>
      <w:r w:rsidRPr="00055B57">
        <w:rPr>
          <w:snapToGrid w:val="0"/>
          <w:szCs w:val="22"/>
        </w:rPr>
        <w:t xml:space="preserve">izmantojot </w:t>
      </w:r>
      <w:hyperlink r:id="rId17" w:history="1">
        <w:r w:rsidRPr="00CD729C">
          <w:rPr>
            <w:rStyle w:val="Hyperlink"/>
            <w:snapToGrid w:val="0"/>
            <w:szCs w:val="22"/>
            <w:shd w:val="pct15" w:color="auto" w:fill="auto"/>
          </w:rPr>
          <w:t>V pielikumā</w:t>
        </w:r>
      </w:hyperlink>
      <w:r w:rsidRPr="00CD729C">
        <w:rPr>
          <w:snapToGrid w:val="0"/>
          <w:szCs w:val="22"/>
          <w:shd w:val="pct15" w:color="auto" w:fill="auto"/>
        </w:rPr>
        <w:t xml:space="preserve"> minēto nacionālās ziņošanas sistēmas kontaktinformāciju</w:t>
      </w:r>
      <w:r w:rsidRPr="00CD729C">
        <w:rPr>
          <w:snapToGrid w:val="0"/>
          <w:szCs w:val="22"/>
        </w:rPr>
        <w:t>. Ziņojot par blakusparādībām, Jūs varat palīdzēt nodrošināt daudz plašāku informāciju par šo zāļu drošumu.</w:t>
      </w:r>
    </w:p>
    <w:p w14:paraId="3D3955D3" w14:textId="77777777" w:rsidR="009E01F8" w:rsidRPr="00CD729C" w:rsidRDefault="009E01F8" w:rsidP="009B4BB6">
      <w:pPr>
        <w:widowControl w:val="0"/>
        <w:numPr>
          <w:ilvl w:val="12"/>
          <w:numId w:val="0"/>
        </w:numPr>
        <w:tabs>
          <w:tab w:val="clear" w:pos="567"/>
        </w:tabs>
        <w:spacing w:line="240" w:lineRule="auto"/>
        <w:ind w:left="567" w:hanging="567"/>
        <w:rPr>
          <w:color w:val="000000"/>
          <w:szCs w:val="22"/>
        </w:rPr>
      </w:pPr>
    </w:p>
    <w:p w14:paraId="3D3955D4" w14:textId="77777777" w:rsidR="009E01F8" w:rsidRPr="00CD729C" w:rsidRDefault="009E01F8" w:rsidP="009B4BB6">
      <w:pPr>
        <w:widowControl w:val="0"/>
        <w:numPr>
          <w:ilvl w:val="12"/>
          <w:numId w:val="0"/>
        </w:numPr>
        <w:tabs>
          <w:tab w:val="clear" w:pos="567"/>
        </w:tabs>
        <w:spacing w:line="240" w:lineRule="auto"/>
        <w:ind w:left="567" w:hanging="567"/>
        <w:rPr>
          <w:color w:val="000000"/>
          <w:szCs w:val="22"/>
        </w:rPr>
      </w:pPr>
    </w:p>
    <w:p w14:paraId="3D3955D5" w14:textId="77777777" w:rsidR="008328A8" w:rsidRPr="00CD729C" w:rsidRDefault="008328A8" w:rsidP="009B4BB6">
      <w:pPr>
        <w:keepNext/>
        <w:widowControl w:val="0"/>
        <w:numPr>
          <w:ilvl w:val="12"/>
          <w:numId w:val="0"/>
        </w:numPr>
        <w:tabs>
          <w:tab w:val="clear" w:pos="567"/>
        </w:tabs>
        <w:spacing w:line="240" w:lineRule="auto"/>
        <w:ind w:left="567" w:hanging="567"/>
        <w:rPr>
          <w:color w:val="000000"/>
          <w:szCs w:val="22"/>
        </w:rPr>
      </w:pPr>
      <w:r w:rsidRPr="00CD729C">
        <w:rPr>
          <w:b/>
          <w:color w:val="000000"/>
          <w:szCs w:val="22"/>
        </w:rPr>
        <w:t>5.</w:t>
      </w:r>
      <w:r w:rsidRPr="00CD729C">
        <w:rPr>
          <w:b/>
          <w:color w:val="000000"/>
          <w:szCs w:val="22"/>
        </w:rPr>
        <w:tab/>
        <w:t>Kā uzglabāt Glivec</w:t>
      </w:r>
    </w:p>
    <w:p w14:paraId="3D3955D6" w14:textId="77777777" w:rsidR="008328A8" w:rsidRPr="00CD729C" w:rsidRDefault="008328A8" w:rsidP="009B4BB6">
      <w:pPr>
        <w:keepNext/>
        <w:widowControl w:val="0"/>
        <w:numPr>
          <w:ilvl w:val="12"/>
          <w:numId w:val="0"/>
        </w:numPr>
        <w:tabs>
          <w:tab w:val="clear" w:pos="567"/>
        </w:tabs>
        <w:spacing w:line="240" w:lineRule="auto"/>
        <w:ind w:left="567" w:hanging="567"/>
        <w:rPr>
          <w:color w:val="000000"/>
          <w:szCs w:val="22"/>
        </w:rPr>
      </w:pPr>
    </w:p>
    <w:p w14:paraId="3D3955D7" w14:textId="77777777" w:rsidR="008328A8" w:rsidRPr="00CD729C" w:rsidRDefault="008328A8" w:rsidP="009B4BB6">
      <w:pPr>
        <w:widowControl w:val="0"/>
        <w:numPr>
          <w:ilvl w:val="0"/>
          <w:numId w:val="4"/>
        </w:numPr>
        <w:tabs>
          <w:tab w:val="clear" w:pos="360"/>
          <w:tab w:val="clear" w:pos="567"/>
        </w:tabs>
        <w:spacing w:line="240" w:lineRule="auto"/>
        <w:ind w:left="567" w:hanging="567"/>
        <w:rPr>
          <w:color w:val="000000"/>
          <w:szCs w:val="22"/>
        </w:rPr>
      </w:pPr>
      <w:r w:rsidRPr="00CD729C">
        <w:rPr>
          <w:color w:val="000000"/>
          <w:szCs w:val="22"/>
        </w:rPr>
        <w:t xml:space="preserve">Uzglabāt šīs zāles bērniem </w:t>
      </w:r>
      <w:r w:rsidRPr="00CD729C">
        <w:rPr>
          <w:szCs w:val="22"/>
        </w:rPr>
        <w:t xml:space="preserve">neredzamā un </w:t>
      </w:r>
      <w:r w:rsidRPr="00CD729C">
        <w:rPr>
          <w:color w:val="000000"/>
          <w:szCs w:val="22"/>
        </w:rPr>
        <w:t>nepieejamā vietā</w:t>
      </w:r>
      <w:r w:rsidR="00C62E82">
        <w:rPr>
          <w:color w:val="000000"/>
          <w:szCs w:val="22"/>
        </w:rPr>
        <w:t>.</w:t>
      </w:r>
    </w:p>
    <w:p w14:paraId="3D3955D8" w14:textId="77777777" w:rsidR="008328A8" w:rsidRPr="00CD729C" w:rsidRDefault="008328A8" w:rsidP="009B4BB6">
      <w:pPr>
        <w:widowControl w:val="0"/>
        <w:numPr>
          <w:ilvl w:val="0"/>
          <w:numId w:val="4"/>
        </w:numPr>
        <w:tabs>
          <w:tab w:val="clear" w:pos="360"/>
          <w:tab w:val="clear" w:pos="567"/>
        </w:tabs>
        <w:spacing w:line="240" w:lineRule="auto"/>
        <w:ind w:left="567" w:hanging="567"/>
        <w:rPr>
          <w:color w:val="000000"/>
          <w:szCs w:val="22"/>
        </w:rPr>
      </w:pPr>
      <w:r w:rsidRPr="00CD729C">
        <w:rPr>
          <w:color w:val="000000"/>
          <w:szCs w:val="22"/>
        </w:rPr>
        <w:t xml:space="preserve">Nelietot </w:t>
      </w:r>
      <w:r w:rsidRPr="00CD729C">
        <w:rPr>
          <w:szCs w:val="22"/>
        </w:rPr>
        <w:t xml:space="preserve">šīs zāles </w:t>
      </w:r>
      <w:r w:rsidRPr="00CD729C">
        <w:rPr>
          <w:color w:val="000000"/>
        </w:rPr>
        <w:t>pēc derīguma termiņa beigām, kas norādīts uz kastītes</w:t>
      </w:r>
      <w:r w:rsidR="00B40010">
        <w:rPr>
          <w:color w:val="000000"/>
        </w:rPr>
        <w:t xml:space="preserve"> pēc “EXP</w:t>
      </w:r>
      <w:r w:rsidR="00220E8E">
        <w:rPr>
          <w:color w:val="000000"/>
        </w:rPr>
        <w:t>”</w:t>
      </w:r>
      <w:r w:rsidR="00C62E82">
        <w:rPr>
          <w:color w:val="000000"/>
          <w:szCs w:val="22"/>
        </w:rPr>
        <w:t>.</w:t>
      </w:r>
    </w:p>
    <w:p w14:paraId="3D3955D9" w14:textId="77777777" w:rsidR="008328A8" w:rsidRPr="00CD729C" w:rsidRDefault="008328A8" w:rsidP="009B4BB6">
      <w:pPr>
        <w:widowControl w:val="0"/>
        <w:numPr>
          <w:ilvl w:val="0"/>
          <w:numId w:val="4"/>
        </w:numPr>
        <w:tabs>
          <w:tab w:val="clear" w:pos="360"/>
          <w:tab w:val="clear" w:pos="567"/>
        </w:tabs>
        <w:spacing w:line="240" w:lineRule="auto"/>
        <w:ind w:left="567" w:hanging="567"/>
        <w:rPr>
          <w:color w:val="000000"/>
          <w:szCs w:val="22"/>
        </w:rPr>
      </w:pPr>
      <w:r w:rsidRPr="00CD729C">
        <w:rPr>
          <w:color w:val="000000"/>
          <w:szCs w:val="22"/>
        </w:rPr>
        <w:t>Uzglabāt temperatūrā līdz 30</w:t>
      </w:r>
      <w:r w:rsidRPr="00CD729C">
        <w:rPr>
          <w:color w:val="000000"/>
          <w:szCs w:val="22"/>
        </w:rPr>
        <w:sym w:font="Symbol" w:char="F0B0"/>
      </w:r>
      <w:r w:rsidRPr="00CD729C">
        <w:rPr>
          <w:color w:val="000000"/>
          <w:szCs w:val="22"/>
        </w:rPr>
        <w:t>C</w:t>
      </w:r>
      <w:r w:rsidR="00C62E82">
        <w:rPr>
          <w:color w:val="000000"/>
          <w:szCs w:val="22"/>
        </w:rPr>
        <w:t>.</w:t>
      </w:r>
    </w:p>
    <w:p w14:paraId="3D3955DA" w14:textId="77777777" w:rsidR="008328A8" w:rsidRPr="00CD729C" w:rsidRDefault="008328A8" w:rsidP="009B4BB6">
      <w:pPr>
        <w:widowControl w:val="0"/>
        <w:numPr>
          <w:ilvl w:val="0"/>
          <w:numId w:val="4"/>
        </w:numPr>
        <w:tabs>
          <w:tab w:val="clear" w:pos="360"/>
          <w:tab w:val="clear" w:pos="567"/>
        </w:tabs>
        <w:spacing w:line="240" w:lineRule="auto"/>
        <w:ind w:left="567" w:hanging="567"/>
        <w:rPr>
          <w:color w:val="000000"/>
          <w:szCs w:val="22"/>
        </w:rPr>
      </w:pPr>
      <w:r w:rsidRPr="00CD729C">
        <w:rPr>
          <w:color w:val="000000"/>
          <w:szCs w:val="22"/>
        </w:rPr>
        <w:t>Uzglabāt oriģinālā iepakojumā</w:t>
      </w:r>
      <w:r w:rsidR="006A7EB7">
        <w:rPr>
          <w:color w:val="000000"/>
          <w:szCs w:val="22"/>
        </w:rPr>
        <w:t>, lai pas</w:t>
      </w:r>
      <w:r w:rsidRPr="00CD729C">
        <w:rPr>
          <w:color w:val="000000"/>
          <w:szCs w:val="22"/>
        </w:rPr>
        <w:t>argāt</w:t>
      </w:r>
      <w:r w:rsidR="006A7EB7">
        <w:rPr>
          <w:color w:val="000000"/>
          <w:szCs w:val="22"/>
        </w:rPr>
        <w:t>u</w:t>
      </w:r>
      <w:r w:rsidRPr="00CD729C">
        <w:rPr>
          <w:color w:val="000000"/>
          <w:szCs w:val="22"/>
        </w:rPr>
        <w:t xml:space="preserve"> no mitruma</w:t>
      </w:r>
      <w:r w:rsidR="00C62E82">
        <w:rPr>
          <w:color w:val="000000"/>
          <w:szCs w:val="22"/>
        </w:rPr>
        <w:t>.</w:t>
      </w:r>
    </w:p>
    <w:p w14:paraId="3D3955DB" w14:textId="77777777" w:rsidR="008328A8" w:rsidRPr="00CD729C" w:rsidRDefault="008328A8" w:rsidP="009B4BB6">
      <w:pPr>
        <w:widowControl w:val="0"/>
        <w:numPr>
          <w:ilvl w:val="0"/>
          <w:numId w:val="4"/>
        </w:numPr>
        <w:tabs>
          <w:tab w:val="clear" w:pos="360"/>
          <w:tab w:val="clear" w:pos="567"/>
        </w:tabs>
        <w:spacing w:line="240" w:lineRule="auto"/>
        <w:ind w:left="567" w:hanging="567"/>
        <w:rPr>
          <w:color w:val="000000"/>
          <w:szCs w:val="22"/>
        </w:rPr>
      </w:pPr>
      <w:r w:rsidRPr="00CD729C">
        <w:rPr>
          <w:color w:val="000000"/>
          <w:szCs w:val="22"/>
        </w:rPr>
        <w:t>Nelietot nevienu iepakojumu, kas ir bojāts vai ar atvēršanas pazīmēm</w:t>
      </w:r>
      <w:r w:rsidR="00C62E82">
        <w:rPr>
          <w:color w:val="000000"/>
          <w:szCs w:val="22"/>
        </w:rPr>
        <w:t>.</w:t>
      </w:r>
    </w:p>
    <w:p w14:paraId="3D3955DC" w14:textId="77777777" w:rsidR="00891892" w:rsidRPr="00CD729C" w:rsidRDefault="00891892" w:rsidP="009B4BB6">
      <w:pPr>
        <w:widowControl w:val="0"/>
        <w:numPr>
          <w:ilvl w:val="0"/>
          <w:numId w:val="4"/>
        </w:numPr>
        <w:tabs>
          <w:tab w:val="clear" w:pos="360"/>
          <w:tab w:val="num" w:pos="567"/>
        </w:tabs>
        <w:spacing w:line="240" w:lineRule="auto"/>
        <w:ind w:left="567" w:hanging="567"/>
        <w:rPr>
          <w:color w:val="000000"/>
          <w:szCs w:val="22"/>
        </w:rPr>
      </w:pPr>
      <w:r w:rsidRPr="00CD729C">
        <w:rPr>
          <w:color w:val="000000"/>
          <w:szCs w:val="22"/>
        </w:rPr>
        <w:t>Neizmetiet zāles kanalizācijā vai sadzīves atkritumos. Vaicājiet farmaceitam, kā izmest zāles, kuras vairs nelietojat. Šie pasākumi palīdzēs aizsargāt apkārtējo vidi.</w:t>
      </w:r>
    </w:p>
    <w:p w14:paraId="3D3955DD" w14:textId="77777777" w:rsidR="009F6C80" w:rsidRPr="00CD729C" w:rsidRDefault="009F6C80" w:rsidP="009B4BB6">
      <w:pPr>
        <w:widowControl w:val="0"/>
        <w:tabs>
          <w:tab w:val="clear" w:pos="567"/>
        </w:tabs>
        <w:spacing w:line="240" w:lineRule="auto"/>
        <w:rPr>
          <w:color w:val="000000"/>
          <w:szCs w:val="22"/>
        </w:rPr>
      </w:pPr>
    </w:p>
    <w:p w14:paraId="3D3955DE" w14:textId="77777777" w:rsidR="009F6C80" w:rsidRPr="00CD729C" w:rsidRDefault="009F6C80" w:rsidP="009B4BB6">
      <w:pPr>
        <w:widowControl w:val="0"/>
        <w:tabs>
          <w:tab w:val="clear" w:pos="567"/>
        </w:tabs>
        <w:spacing w:line="240" w:lineRule="auto"/>
        <w:rPr>
          <w:color w:val="000000"/>
          <w:szCs w:val="22"/>
        </w:rPr>
      </w:pPr>
    </w:p>
    <w:p w14:paraId="3D3955DF" w14:textId="77777777" w:rsidR="009F6C80" w:rsidRPr="00CD729C" w:rsidRDefault="009F6C80" w:rsidP="009B4BB6">
      <w:pPr>
        <w:keepNext/>
        <w:widowControl w:val="0"/>
        <w:numPr>
          <w:ilvl w:val="12"/>
          <w:numId w:val="0"/>
        </w:numPr>
        <w:tabs>
          <w:tab w:val="clear" w:pos="567"/>
        </w:tabs>
        <w:spacing w:line="240" w:lineRule="auto"/>
        <w:ind w:left="567" w:hanging="567"/>
        <w:rPr>
          <w:b/>
          <w:color w:val="000000"/>
          <w:szCs w:val="22"/>
        </w:rPr>
      </w:pPr>
      <w:r w:rsidRPr="00CD729C">
        <w:rPr>
          <w:b/>
          <w:color w:val="000000"/>
          <w:szCs w:val="22"/>
        </w:rPr>
        <w:t>6.</w:t>
      </w:r>
      <w:r w:rsidRPr="00CD729C">
        <w:rPr>
          <w:b/>
          <w:color w:val="000000"/>
          <w:szCs w:val="22"/>
        </w:rPr>
        <w:tab/>
      </w:r>
      <w:r w:rsidR="003B6C16" w:rsidRPr="00CD729C">
        <w:rPr>
          <w:b/>
          <w:color w:val="000000"/>
          <w:szCs w:val="22"/>
        </w:rPr>
        <w:t>Iepakojuma saturs un cita informācija</w:t>
      </w:r>
    </w:p>
    <w:p w14:paraId="3D3955E0" w14:textId="77777777" w:rsidR="009F6C80" w:rsidRPr="00CD729C" w:rsidRDefault="009F6C80" w:rsidP="009B4BB6">
      <w:pPr>
        <w:keepNext/>
        <w:widowControl w:val="0"/>
        <w:numPr>
          <w:ilvl w:val="12"/>
          <w:numId w:val="0"/>
        </w:numPr>
        <w:tabs>
          <w:tab w:val="clear" w:pos="567"/>
        </w:tabs>
        <w:spacing w:line="240" w:lineRule="auto"/>
        <w:ind w:left="567" w:hanging="567"/>
        <w:rPr>
          <w:color w:val="000000"/>
        </w:rPr>
      </w:pPr>
    </w:p>
    <w:p w14:paraId="3D3955E1" w14:textId="77777777" w:rsidR="009F6C80" w:rsidRPr="00CD729C" w:rsidRDefault="009F6C80" w:rsidP="009B4BB6">
      <w:pPr>
        <w:keepNext/>
        <w:widowControl w:val="0"/>
        <w:numPr>
          <w:ilvl w:val="12"/>
          <w:numId w:val="0"/>
        </w:numPr>
        <w:tabs>
          <w:tab w:val="clear" w:pos="567"/>
        </w:tabs>
        <w:spacing w:line="240" w:lineRule="auto"/>
        <w:ind w:left="567" w:hanging="567"/>
        <w:rPr>
          <w:b/>
          <w:color w:val="000000"/>
        </w:rPr>
      </w:pPr>
      <w:r w:rsidRPr="00CD729C">
        <w:rPr>
          <w:b/>
          <w:color w:val="000000"/>
        </w:rPr>
        <w:t>Ko Glivec satur</w:t>
      </w:r>
    </w:p>
    <w:p w14:paraId="38CB0CBE" w14:textId="01199F96" w:rsidR="009D47E9" w:rsidRPr="009D47E9" w:rsidRDefault="009F6C80" w:rsidP="00BD5036">
      <w:pPr>
        <w:keepNext/>
        <w:widowControl w:val="0"/>
        <w:numPr>
          <w:ilvl w:val="0"/>
          <w:numId w:val="9"/>
        </w:numPr>
        <w:tabs>
          <w:tab w:val="clear" w:pos="567"/>
        </w:tabs>
        <w:spacing w:line="240" w:lineRule="auto"/>
        <w:ind w:left="567" w:hanging="567"/>
        <w:rPr>
          <w:color w:val="000000"/>
        </w:rPr>
      </w:pPr>
      <w:r w:rsidRPr="00CD729C">
        <w:rPr>
          <w:color w:val="000000"/>
        </w:rPr>
        <w:t xml:space="preserve">Aktīvā viela ir </w:t>
      </w:r>
      <w:r w:rsidRPr="00CD729C">
        <w:rPr>
          <w:color w:val="000000"/>
          <w:szCs w:val="22"/>
        </w:rPr>
        <w:t>imatiniba me</w:t>
      </w:r>
      <w:r w:rsidR="006A7EB7">
        <w:rPr>
          <w:color w:val="000000"/>
          <w:szCs w:val="22"/>
        </w:rPr>
        <w:t>s</w:t>
      </w:r>
      <w:r w:rsidRPr="00CD729C">
        <w:rPr>
          <w:color w:val="000000"/>
          <w:szCs w:val="22"/>
        </w:rPr>
        <w:t>ilāts.</w:t>
      </w:r>
    </w:p>
    <w:p w14:paraId="3D3955E2" w14:textId="4F0BEFFE" w:rsidR="009F6C80" w:rsidRPr="009D47E9" w:rsidRDefault="009D47E9" w:rsidP="009D47E9">
      <w:pPr>
        <w:widowControl w:val="0"/>
        <w:numPr>
          <w:ilvl w:val="0"/>
          <w:numId w:val="9"/>
        </w:numPr>
        <w:tabs>
          <w:tab w:val="clear" w:pos="567"/>
        </w:tabs>
        <w:spacing w:line="240" w:lineRule="auto"/>
        <w:ind w:left="1134" w:hanging="567"/>
        <w:rPr>
          <w:color w:val="000000"/>
        </w:rPr>
      </w:pPr>
      <w:r>
        <w:rPr>
          <w:color w:val="000000"/>
          <w:szCs w:val="22"/>
        </w:rPr>
        <w:t>Katra</w:t>
      </w:r>
      <w:r w:rsidR="009F6C80" w:rsidRPr="00CD729C">
        <w:rPr>
          <w:color w:val="000000"/>
          <w:szCs w:val="22"/>
        </w:rPr>
        <w:t xml:space="preserve"> Glivec </w:t>
      </w:r>
      <w:r>
        <w:rPr>
          <w:color w:val="000000"/>
          <w:szCs w:val="22"/>
        </w:rPr>
        <w:t xml:space="preserve">100 mg </w:t>
      </w:r>
      <w:r w:rsidR="009F6C80" w:rsidRPr="00CD729C">
        <w:rPr>
          <w:color w:val="000000"/>
          <w:szCs w:val="22"/>
        </w:rPr>
        <w:t>apvalkotā tablete satur 100 mg imatiniba (me</w:t>
      </w:r>
      <w:r w:rsidR="00AD510A">
        <w:rPr>
          <w:color w:val="000000"/>
          <w:szCs w:val="22"/>
        </w:rPr>
        <w:t>s</w:t>
      </w:r>
      <w:r w:rsidR="009F6C80" w:rsidRPr="00CD729C">
        <w:rPr>
          <w:color w:val="000000"/>
          <w:szCs w:val="22"/>
        </w:rPr>
        <w:t>ilāta formā).</w:t>
      </w:r>
    </w:p>
    <w:p w14:paraId="332C1A80" w14:textId="4A32F962" w:rsidR="009D47E9" w:rsidRPr="00CD729C" w:rsidRDefault="009D47E9" w:rsidP="009D47E9">
      <w:pPr>
        <w:widowControl w:val="0"/>
        <w:numPr>
          <w:ilvl w:val="0"/>
          <w:numId w:val="9"/>
        </w:numPr>
        <w:tabs>
          <w:tab w:val="clear" w:pos="567"/>
        </w:tabs>
        <w:spacing w:line="240" w:lineRule="auto"/>
        <w:ind w:left="1134" w:hanging="567"/>
        <w:rPr>
          <w:color w:val="000000"/>
        </w:rPr>
      </w:pPr>
      <w:r>
        <w:rPr>
          <w:color w:val="000000"/>
          <w:szCs w:val="22"/>
        </w:rPr>
        <w:t>Katra</w:t>
      </w:r>
      <w:r w:rsidRPr="00CD729C">
        <w:rPr>
          <w:color w:val="000000"/>
          <w:szCs w:val="22"/>
        </w:rPr>
        <w:t xml:space="preserve"> Glivec </w:t>
      </w:r>
      <w:r>
        <w:rPr>
          <w:color w:val="000000"/>
          <w:szCs w:val="22"/>
        </w:rPr>
        <w:t>400 mg apvalkotā tablete satur 4</w:t>
      </w:r>
      <w:r w:rsidRPr="00CD729C">
        <w:rPr>
          <w:color w:val="000000"/>
          <w:szCs w:val="22"/>
        </w:rPr>
        <w:t>00 mg imatiniba (me</w:t>
      </w:r>
      <w:r>
        <w:rPr>
          <w:color w:val="000000"/>
          <w:szCs w:val="22"/>
        </w:rPr>
        <w:t>s</w:t>
      </w:r>
      <w:r w:rsidRPr="00CD729C">
        <w:rPr>
          <w:color w:val="000000"/>
          <w:szCs w:val="22"/>
        </w:rPr>
        <w:t>ilāta formā).</w:t>
      </w:r>
    </w:p>
    <w:p w14:paraId="3D3955E3" w14:textId="77777777" w:rsidR="009F6C80" w:rsidRPr="00CD729C" w:rsidRDefault="009F6C80" w:rsidP="009B4BB6">
      <w:pPr>
        <w:widowControl w:val="0"/>
        <w:numPr>
          <w:ilvl w:val="0"/>
          <w:numId w:val="9"/>
        </w:numPr>
        <w:tabs>
          <w:tab w:val="clear" w:pos="567"/>
        </w:tabs>
        <w:spacing w:line="240" w:lineRule="auto"/>
        <w:ind w:left="567" w:hanging="567"/>
        <w:rPr>
          <w:color w:val="000000"/>
        </w:rPr>
      </w:pPr>
      <w:r w:rsidRPr="00CD729C">
        <w:rPr>
          <w:color w:val="000000"/>
        </w:rPr>
        <w:t xml:space="preserve">Citas sastāvdaļas ir </w:t>
      </w:r>
      <w:r w:rsidRPr="00CD729C">
        <w:rPr>
          <w:color w:val="000000"/>
          <w:szCs w:val="22"/>
        </w:rPr>
        <w:t>mikrokristālisk</w:t>
      </w:r>
      <w:r w:rsidR="00320AAC" w:rsidRPr="00CD729C">
        <w:rPr>
          <w:color w:val="000000"/>
          <w:szCs w:val="22"/>
        </w:rPr>
        <w:t>ā</w:t>
      </w:r>
      <w:r w:rsidRPr="00CD729C">
        <w:rPr>
          <w:color w:val="000000"/>
          <w:szCs w:val="22"/>
        </w:rPr>
        <w:t xml:space="preserve"> celuloze, krospovidons, hipromeloze, magnija stearāts un koloidāls bezūdens silīcija dioksīds.</w:t>
      </w:r>
    </w:p>
    <w:p w14:paraId="3D3955E4" w14:textId="77777777" w:rsidR="009F6C80" w:rsidRPr="00CD729C" w:rsidRDefault="009F6C80" w:rsidP="009B4BB6">
      <w:pPr>
        <w:widowControl w:val="0"/>
        <w:numPr>
          <w:ilvl w:val="0"/>
          <w:numId w:val="9"/>
        </w:numPr>
        <w:tabs>
          <w:tab w:val="clear" w:pos="567"/>
        </w:tabs>
        <w:spacing w:line="240" w:lineRule="auto"/>
        <w:ind w:left="567" w:hanging="567"/>
        <w:rPr>
          <w:color w:val="000000"/>
        </w:rPr>
      </w:pPr>
      <w:r w:rsidRPr="00CD729C">
        <w:rPr>
          <w:color w:val="000000"/>
          <w:szCs w:val="22"/>
        </w:rPr>
        <w:t>Tabletes apvalks izgatavots no sarkanā dzelzs oksīda (E 172), dzeltenā dzelzs oksīda (E 172), makrogola, talka un hipromelozes.</w:t>
      </w:r>
    </w:p>
    <w:p w14:paraId="3D3955E5" w14:textId="77777777" w:rsidR="009F6C80" w:rsidRPr="00CD729C" w:rsidRDefault="009F6C80" w:rsidP="009B4BB6">
      <w:pPr>
        <w:widowControl w:val="0"/>
        <w:tabs>
          <w:tab w:val="clear" w:pos="567"/>
        </w:tabs>
        <w:spacing w:line="240" w:lineRule="auto"/>
        <w:rPr>
          <w:color w:val="000000"/>
        </w:rPr>
      </w:pPr>
    </w:p>
    <w:p w14:paraId="3D3955E6" w14:textId="77777777" w:rsidR="009F6C80" w:rsidRPr="00CD729C" w:rsidRDefault="009F6C80" w:rsidP="009B4BB6">
      <w:pPr>
        <w:keepNext/>
        <w:widowControl w:val="0"/>
        <w:tabs>
          <w:tab w:val="clear" w:pos="567"/>
        </w:tabs>
        <w:spacing w:line="240" w:lineRule="auto"/>
        <w:rPr>
          <w:b/>
          <w:color w:val="000000"/>
        </w:rPr>
      </w:pPr>
      <w:r w:rsidRPr="00CD729C">
        <w:rPr>
          <w:b/>
          <w:color w:val="000000"/>
        </w:rPr>
        <w:t>Glivec ārējais izskats un iepakojums</w:t>
      </w:r>
    </w:p>
    <w:p w14:paraId="3D3955E7" w14:textId="1802CD73" w:rsidR="009F6C80" w:rsidRPr="00CD729C" w:rsidRDefault="009F6C80" w:rsidP="009B4BB6">
      <w:pPr>
        <w:widowControl w:val="0"/>
        <w:tabs>
          <w:tab w:val="clear" w:pos="567"/>
        </w:tabs>
        <w:spacing w:line="240" w:lineRule="auto"/>
        <w:rPr>
          <w:color w:val="000000"/>
          <w:szCs w:val="22"/>
        </w:rPr>
      </w:pPr>
      <w:r w:rsidRPr="00CD729C">
        <w:rPr>
          <w:color w:val="000000"/>
          <w:szCs w:val="22"/>
        </w:rPr>
        <w:t>Glivec 100 mg apvalkotās tabletes ir ļoti tumši dzeltenas vai brūni oranžas ap</w:t>
      </w:r>
      <w:r w:rsidR="009D47E9">
        <w:rPr>
          <w:color w:val="000000"/>
          <w:szCs w:val="22"/>
        </w:rPr>
        <w:t>aļas</w:t>
      </w:r>
      <w:r w:rsidRPr="00CD729C">
        <w:rPr>
          <w:color w:val="000000"/>
          <w:szCs w:val="22"/>
        </w:rPr>
        <w:t xml:space="preserve"> tabletes. Tās vienā pusē ir marķējums “NVR”, otrā pusē – marķējums “SA” un dalījuma līnija.</w:t>
      </w:r>
    </w:p>
    <w:p w14:paraId="3D3955E8" w14:textId="2007A0E6" w:rsidR="009F6C80" w:rsidRDefault="009D47E9" w:rsidP="009B4BB6">
      <w:pPr>
        <w:widowControl w:val="0"/>
        <w:tabs>
          <w:tab w:val="clear" w:pos="567"/>
        </w:tabs>
        <w:spacing w:line="240" w:lineRule="auto"/>
        <w:rPr>
          <w:color w:val="000000"/>
          <w:szCs w:val="22"/>
        </w:rPr>
      </w:pPr>
      <w:r>
        <w:rPr>
          <w:color w:val="000000"/>
          <w:szCs w:val="22"/>
        </w:rPr>
        <w:t>Glivec 4</w:t>
      </w:r>
      <w:r w:rsidRPr="00CD729C">
        <w:rPr>
          <w:color w:val="000000"/>
          <w:szCs w:val="22"/>
        </w:rPr>
        <w:t>00 mg apvalkotās tabletes ir</w:t>
      </w:r>
      <w:r>
        <w:rPr>
          <w:color w:val="000000"/>
          <w:szCs w:val="22"/>
        </w:rPr>
        <w:t xml:space="preserve"> </w:t>
      </w:r>
      <w:r w:rsidRPr="00CD729C">
        <w:rPr>
          <w:color w:val="000000"/>
          <w:szCs w:val="22"/>
        </w:rPr>
        <w:t xml:space="preserve">ļoti tumši dzeltenas vai brūni oranžas </w:t>
      </w:r>
      <w:r>
        <w:rPr>
          <w:color w:val="000000"/>
          <w:szCs w:val="22"/>
        </w:rPr>
        <w:t>ovālas</w:t>
      </w:r>
      <w:r w:rsidRPr="00CD729C">
        <w:rPr>
          <w:color w:val="000000"/>
          <w:szCs w:val="22"/>
        </w:rPr>
        <w:t xml:space="preserve"> tabletes</w:t>
      </w:r>
      <w:r>
        <w:rPr>
          <w:color w:val="000000"/>
          <w:szCs w:val="22"/>
        </w:rPr>
        <w:t xml:space="preserve">. </w:t>
      </w:r>
      <w:r w:rsidRPr="00CD729C">
        <w:rPr>
          <w:color w:val="000000"/>
          <w:szCs w:val="22"/>
        </w:rPr>
        <w:t>Tās vienā pusē ir marķējums</w:t>
      </w:r>
      <w:r>
        <w:rPr>
          <w:color w:val="000000"/>
          <w:szCs w:val="22"/>
        </w:rPr>
        <w:t xml:space="preserve"> “glivec”.</w:t>
      </w:r>
    </w:p>
    <w:p w14:paraId="303E233A" w14:textId="77777777" w:rsidR="009D47E9" w:rsidRPr="00CD729C" w:rsidRDefault="009D47E9" w:rsidP="009B4BB6">
      <w:pPr>
        <w:widowControl w:val="0"/>
        <w:tabs>
          <w:tab w:val="clear" w:pos="567"/>
        </w:tabs>
        <w:spacing w:line="240" w:lineRule="auto"/>
        <w:rPr>
          <w:color w:val="000000"/>
          <w:szCs w:val="22"/>
        </w:rPr>
      </w:pPr>
    </w:p>
    <w:p w14:paraId="24C8E44B" w14:textId="3E90827A" w:rsidR="009D47E9" w:rsidRDefault="009D47E9" w:rsidP="009B4BB6">
      <w:pPr>
        <w:widowControl w:val="0"/>
        <w:tabs>
          <w:tab w:val="clear" w:pos="567"/>
        </w:tabs>
        <w:spacing w:line="240" w:lineRule="auto"/>
        <w:rPr>
          <w:color w:val="000000"/>
        </w:rPr>
      </w:pPr>
      <w:r w:rsidRPr="00CD729C">
        <w:rPr>
          <w:color w:val="000000"/>
          <w:szCs w:val="22"/>
        </w:rPr>
        <w:t>Glivec 100 mg apvalkotās tabletes</w:t>
      </w:r>
      <w:r w:rsidR="009F6C80" w:rsidRPr="00CD729C">
        <w:rPr>
          <w:color w:val="000000"/>
          <w:szCs w:val="22"/>
        </w:rPr>
        <w:t xml:space="preserve"> pieejamas iepakojumos pa </w:t>
      </w:r>
      <w:r w:rsidR="009F6C80" w:rsidRPr="00CD729C">
        <w:rPr>
          <w:color w:val="000000"/>
        </w:rPr>
        <w:t>20, 60, 120 vai 180 tabletēm</w:t>
      </w:r>
      <w:r>
        <w:rPr>
          <w:color w:val="000000"/>
        </w:rPr>
        <w:t>.</w:t>
      </w:r>
    </w:p>
    <w:p w14:paraId="55247006" w14:textId="77777777" w:rsidR="009D47E9" w:rsidRDefault="009D47E9" w:rsidP="009B4BB6">
      <w:pPr>
        <w:widowControl w:val="0"/>
        <w:tabs>
          <w:tab w:val="clear" w:pos="567"/>
        </w:tabs>
        <w:spacing w:line="240" w:lineRule="auto"/>
        <w:rPr>
          <w:color w:val="000000"/>
        </w:rPr>
      </w:pPr>
      <w:r w:rsidRPr="00CD729C">
        <w:rPr>
          <w:color w:val="000000"/>
          <w:szCs w:val="22"/>
        </w:rPr>
        <w:t>Glivec 100 mg apvalkotās tabletes</w:t>
      </w:r>
      <w:r>
        <w:rPr>
          <w:color w:val="000000"/>
          <w:szCs w:val="22"/>
        </w:rPr>
        <w:t xml:space="preserve"> </w:t>
      </w:r>
      <w:r w:rsidRPr="00CD729C">
        <w:rPr>
          <w:color w:val="000000"/>
          <w:szCs w:val="22"/>
        </w:rPr>
        <w:t xml:space="preserve">pieejamas iepakojumos pa </w:t>
      </w:r>
      <w:r>
        <w:rPr>
          <w:color w:val="000000"/>
        </w:rPr>
        <w:t>10, 30</w:t>
      </w:r>
      <w:r w:rsidRPr="00CD729C">
        <w:rPr>
          <w:color w:val="000000"/>
        </w:rPr>
        <w:t xml:space="preserve"> </w:t>
      </w:r>
      <w:r>
        <w:rPr>
          <w:color w:val="000000"/>
        </w:rPr>
        <w:t>vai 9</w:t>
      </w:r>
      <w:r w:rsidRPr="00CD729C">
        <w:rPr>
          <w:color w:val="000000"/>
        </w:rPr>
        <w:t>0 tabletēm</w:t>
      </w:r>
      <w:r>
        <w:rPr>
          <w:color w:val="000000"/>
        </w:rPr>
        <w:t>.</w:t>
      </w:r>
    </w:p>
    <w:p w14:paraId="3D3955E9" w14:textId="63F22AA4" w:rsidR="009F6C80" w:rsidRPr="00CD729C" w:rsidRDefault="009D47E9" w:rsidP="009B4BB6">
      <w:pPr>
        <w:widowControl w:val="0"/>
        <w:tabs>
          <w:tab w:val="clear" w:pos="567"/>
        </w:tabs>
        <w:spacing w:line="240" w:lineRule="auto"/>
        <w:rPr>
          <w:color w:val="000000"/>
        </w:rPr>
      </w:pPr>
      <w:r>
        <w:rPr>
          <w:color w:val="000000"/>
        </w:rPr>
        <w:t>V</w:t>
      </w:r>
      <w:r w:rsidR="009F6C80" w:rsidRPr="00CD729C">
        <w:rPr>
          <w:color w:val="000000"/>
        </w:rPr>
        <w:t>isi iepakojuma lielumi tirgū var nebūt pieejami</w:t>
      </w:r>
      <w:r w:rsidR="009F6C80" w:rsidRPr="00CD729C">
        <w:rPr>
          <w:color w:val="000000"/>
          <w:szCs w:val="22"/>
        </w:rPr>
        <w:t>.</w:t>
      </w:r>
    </w:p>
    <w:p w14:paraId="3D3955EA" w14:textId="77777777" w:rsidR="009F6C80" w:rsidRPr="00CD729C" w:rsidRDefault="009F6C80" w:rsidP="009B4BB6">
      <w:pPr>
        <w:widowControl w:val="0"/>
        <w:tabs>
          <w:tab w:val="clear" w:pos="567"/>
        </w:tabs>
        <w:spacing w:line="240" w:lineRule="auto"/>
        <w:rPr>
          <w:color w:val="000000"/>
        </w:rPr>
      </w:pPr>
    </w:p>
    <w:p w14:paraId="3D3955EB" w14:textId="77777777" w:rsidR="009F6C80" w:rsidRPr="00CD729C" w:rsidRDefault="009F6C80" w:rsidP="009B4BB6">
      <w:pPr>
        <w:pStyle w:val="ParastaisTreknraksts"/>
        <w:keepNext/>
        <w:widowControl w:val="0"/>
        <w:numPr>
          <w:ilvl w:val="12"/>
          <w:numId w:val="0"/>
        </w:numPr>
        <w:ind w:left="567" w:hanging="567"/>
        <w:rPr>
          <w:color w:val="000000"/>
          <w:szCs w:val="22"/>
        </w:rPr>
      </w:pPr>
      <w:r w:rsidRPr="00CD729C">
        <w:rPr>
          <w:color w:val="000000"/>
          <w:szCs w:val="22"/>
        </w:rPr>
        <w:t>Reģistrācijas apliecības īpašnieks</w:t>
      </w:r>
    </w:p>
    <w:p w14:paraId="3D3955EC" w14:textId="77777777" w:rsidR="009F6C80" w:rsidRPr="00CD729C" w:rsidRDefault="009F6C80" w:rsidP="009B4BB6">
      <w:pPr>
        <w:keepNext/>
        <w:widowControl w:val="0"/>
        <w:tabs>
          <w:tab w:val="clear" w:pos="567"/>
        </w:tabs>
        <w:spacing w:line="240" w:lineRule="auto"/>
        <w:ind w:left="567" w:hanging="567"/>
        <w:rPr>
          <w:color w:val="000000"/>
          <w:szCs w:val="22"/>
        </w:rPr>
      </w:pPr>
      <w:r w:rsidRPr="00CD729C">
        <w:rPr>
          <w:color w:val="000000"/>
          <w:szCs w:val="22"/>
        </w:rPr>
        <w:t>Novartis Europharm Limited</w:t>
      </w:r>
    </w:p>
    <w:p w14:paraId="3D3955ED" w14:textId="77777777" w:rsidR="00410A76" w:rsidRPr="00EB33FE" w:rsidRDefault="00410A76" w:rsidP="009B4BB6">
      <w:pPr>
        <w:keepNext/>
        <w:widowControl w:val="0"/>
        <w:spacing w:line="240" w:lineRule="auto"/>
        <w:rPr>
          <w:color w:val="000000"/>
        </w:rPr>
      </w:pPr>
      <w:r w:rsidRPr="00EB33FE">
        <w:rPr>
          <w:color w:val="000000"/>
        </w:rPr>
        <w:t>Vista Building</w:t>
      </w:r>
    </w:p>
    <w:p w14:paraId="3D3955EE" w14:textId="77777777" w:rsidR="00410A76" w:rsidRPr="00EB33FE" w:rsidRDefault="00410A76" w:rsidP="009B4BB6">
      <w:pPr>
        <w:keepNext/>
        <w:widowControl w:val="0"/>
        <w:spacing w:line="240" w:lineRule="auto"/>
        <w:rPr>
          <w:color w:val="000000"/>
        </w:rPr>
      </w:pPr>
      <w:r w:rsidRPr="00EB33FE">
        <w:rPr>
          <w:color w:val="000000"/>
        </w:rPr>
        <w:t>Elm Park, Merrion Road</w:t>
      </w:r>
    </w:p>
    <w:p w14:paraId="3D3955EF" w14:textId="77777777" w:rsidR="00410A76" w:rsidRPr="00EB33FE" w:rsidRDefault="00410A76" w:rsidP="009B4BB6">
      <w:pPr>
        <w:keepNext/>
        <w:widowControl w:val="0"/>
        <w:spacing w:line="240" w:lineRule="auto"/>
        <w:rPr>
          <w:color w:val="000000"/>
        </w:rPr>
      </w:pPr>
      <w:r w:rsidRPr="00EB33FE">
        <w:rPr>
          <w:color w:val="000000"/>
        </w:rPr>
        <w:t>Dublin 4</w:t>
      </w:r>
    </w:p>
    <w:p w14:paraId="3D3955F0" w14:textId="77777777" w:rsidR="009F6C80" w:rsidRPr="00CD729C" w:rsidRDefault="00410A76" w:rsidP="009B4BB6">
      <w:pPr>
        <w:widowControl w:val="0"/>
        <w:numPr>
          <w:ilvl w:val="12"/>
          <w:numId w:val="0"/>
        </w:numPr>
        <w:tabs>
          <w:tab w:val="clear" w:pos="567"/>
        </w:tabs>
        <w:spacing w:line="240" w:lineRule="auto"/>
        <w:ind w:left="567" w:hanging="567"/>
        <w:rPr>
          <w:color w:val="000000"/>
          <w:szCs w:val="22"/>
        </w:rPr>
      </w:pPr>
      <w:r w:rsidRPr="00EB33FE">
        <w:rPr>
          <w:color w:val="000000"/>
        </w:rPr>
        <w:t>Īrija</w:t>
      </w:r>
    </w:p>
    <w:p w14:paraId="3D3955F1" w14:textId="77777777" w:rsidR="009F6C80" w:rsidRPr="00CD729C" w:rsidRDefault="009F6C80" w:rsidP="009B4BB6">
      <w:pPr>
        <w:widowControl w:val="0"/>
        <w:numPr>
          <w:ilvl w:val="12"/>
          <w:numId w:val="0"/>
        </w:numPr>
        <w:tabs>
          <w:tab w:val="clear" w:pos="567"/>
        </w:tabs>
        <w:spacing w:line="240" w:lineRule="auto"/>
        <w:ind w:left="567" w:hanging="567"/>
        <w:rPr>
          <w:color w:val="000000"/>
          <w:szCs w:val="22"/>
        </w:rPr>
      </w:pPr>
    </w:p>
    <w:p w14:paraId="3D3955F2" w14:textId="77777777" w:rsidR="009F6C80" w:rsidRPr="00CD729C" w:rsidRDefault="009F6C80" w:rsidP="009B4BB6">
      <w:pPr>
        <w:pStyle w:val="ParastaisTreknraksts"/>
        <w:keepNext/>
        <w:widowControl w:val="0"/>
        <w:numPr>
          <w:ilvl w:val="12"/>
          <w:numId w:val="0"/>
        </w:numPr>
        <w:ind w:left="567" w:hanging="567"/>
        <w:rPr>
          <w:color w:val="000000"/>
          <w:szCs w:val="22"/>
        </w:rPr>
      </w:pPr>
      <w:r w:rsidRPr="00CD729C">
        <w:rPr>
          <w:color w:val="000000"/>
          <w:szCs w:val="22"/>
        </w:rPr>
        <w:t>Ražotājs</w:t>
      </w:r>
    </w:p>
    <w:p w14:paraId="3D3955F3" w14:textId="77777777" w:rsidR="00BB79C5" w:rsidRPr="00E36D64" w:rsidRDefault="00BB79C5" w:rsidP="009B4BB6">
      <w:pPr>
        <w:keepNext/>
        <w:widowControl w:val="0"/>
        <w:tabs>
          <w:tab w:val="left" w:pos="7513"/>
        </w:tabs>
        <w:spacing w:line="240" w:lineRule="auto"/>
        <w:rPr>
          <w:szCs w:val="22"/>
          <w:lang w:val="fr-CH"/>
        </w:rPr>
      </w:pPr>
      <w:r w:rsidRPr="00E36D64">
        <w:rPr>
          <w:szCs w:val="22"/>
          <w:lang w:val="fr-CH"/>
        </w:rPr>
        <w:t>Lek d.d, PE PROIZVODNJA LENDAVA</w:t>
      </w:r>
    </w:p>
    <w:p w14:paraId="3D3955F4" w14:textId="77777777" w:rsidR="00BB79C5" w:rsidRPr="001968F8" w:rsidRDefault="00BB79C5" w:rsidP="009B4BB6">
      <w:pPr>
        <w:keepNext/>
        <w:widowControl w:val="0"/>
        <w:tabs>
          <w:tab w:val="left" w:pos="7513"/>
        </w:tabs>
        <w:spacing w:line="240" w:lineRule="auto"/>
        <w:rPr>
          <w:szCs w:val="22"/>
          <w:lang w:val="fr-CH"/>
        </w:rPr>
      </w:pPr>
      <w:r w:rsidRPr="001968F8">
        <w:rPr>
          <w:szCs w:val="22"/>
          <w:lang w:val="fr-CH"/>
        </w:rPr>
        <w:t>Trimlini 2D</w:t>
      </w:r>
    </w:p>
    <w:p w14:paraId="3D3955F5" w14:textId="77777777" w:rsidR="00BB79C5" w:rsidRPr="001968F8" w:rsidRDefault="00BB79C5" w:rsidP="009B4BB6">
      <w:pPr>
        <w:keepNext/>
        <w:widowControl w:val="0"/>
        <w:tabs>
          <w:tab w:val="left" w:pos="7513"/>
        </w:tabs>
        <w:spacing w:line="240" w:lineRule="auto"/>
        <w:rPr>
          <w:szCs w:val="22"/>
          <w:lang w:val="fr-CH"/>
        </w:rPr>
      </w:pPr>
      <w:r w:rsidRPr="001968F8">
        <w:rPr>
          <w:szCs w:val="22"/>
          <w:lang w:val="fr-CH"/>
        </w:rPr>
        <w:t>Lendava, 9220</w:t>
      </w:r>
    </w:p>
    <w:p w14:paraId="3D3955F6" w14:textId="77777777" w:rsidR="00BB79C5" w:rsidRPr="001968F8" w:rsidRDefault="00BB79C5" w:rsidP="009B4BB6">
      <w:pPr>
        <w:widowControl w:val="0"/>
        <w:tabs>
          <w:tab w:val="left" w:pos="7513"/>
        </w:tabs>
        <w:spacing w:line="240" w:lineRule="auto"/>
        <w:rPr>
          <w:szCs w:val="22"/>
          <w:lang w:val="pt-BR"/>
        </w:rPr>
      </w:pPr>
      <w:r w:rsidRPr="00E36D64">
        <w:rPr>
          <w:szCs w:val="22"/>
          <w:lang w:val="fr-CH"/>
        </w:rPr>
        <w:t>Slovēnija</w:t>
      </w:r>
    </w:p>
    <w:p w14:paraId="3D3955F7" w14:textId="77777777" w:rsidR="00BB79C5" w:rsidRPr="001968F8" w:rsidRDefault="00BB79C5" w:rsidP="009B4BB6">
      <w:pPr>
        <w:widowControl w:val="0"/>
        <w:tabs>
          <w:tab w:val="left" w:pos="7513"/>
        </w:tabs>
        <w:spacing w:line="240" w:lineRule="auto"/>
        <w:rPr>
          <w:szCs w:val="22"/>
          <w:lang w:val="pt-BR"/>
        </w:rPr>
      </w:pPr>
    </w:p>
    <w:p w14:paraId="3D3955F8" w14:textId="77777777" w:rsidR="009F6C80" w:rsidRPr="007A0160" w:rsidRDefault="009F6C80" w:rsidP="009B4BB6">
      <w:pPr>
        <w:keepNext/>
        <w:widowControl w:val="0"/>
        <w:numPr>
          <w:ilvl w:val="12"/>
          <w:numId w:val="0"/>
        </w:numPr>
        <w:tabs>
          <w:tab w:val="clear" w:pos="567"/>
        </w:tabs>
        <w:spacing w:line="240" w:lineRule="auto"/>
        <w:ind w:left="567" w:hanging="567"/>
        <w:rPr>
          <w:color w:val="000000"/>
          <w:szCs w:val="22"/>
          <w:shd w:val="pct15" w:color="auto" w:fill="auto"/>
        </w:rPr>
      </w:pPr>
      <w:r w:rsidRPr="007A0160">
        <w:rPr>
          <w:color w:val="000000"/>
          <w:szCs w:val="22"/>
          <w:shd w:val="pct15" w:color="auto" w:fill="auto"/>
        </w:rPr>
        <w:t>Novartis Pharma GmbH</w:t>
      </w:r>
    </w:p>
    <w:p w14:paraId="3D3955F9" w14:textId="77777777" w:rsidR="009F6C80" w:rsidRPr="007A0160" w:rsidRDefault="009F6C80" w:rsidP="009B4BB6">
      <w:pPr>
        <w:keepNext/>
        <w:widowControl w:val="0"/>
        <w:numPr>
          <w:ilvl w:val="12"/>
          <w:numId w:val="0"/>
        </w:numPr>
        <w:tabs>
          <w:tab w:val="clear" w:pos="567"/>
        </w:tabs>
        <w:spacing w:line="240" w:lineRule="auto"/>
        <w:ind w:left="567" w:hanging="567"/>
        <w:rPr>
          <w:color w:val="000000"/>
          <w:szCs w:val="22"/>
          <w:shd w:val="pct15" w:color="auto" w:fill="auto"/>
        </w:rPr>
      </w:pPr>
      <w:r w:rsidRPr="007A0160">
        <w:rPr>
          <w:color w:val="000000"/>
          <w:szCs w:val="22"/>
          <w:shd w:val="pct15" w:color="auto" w:fill="auto"/>
        </w:rPr>
        <w:t>Roonstrasse 25</w:t>
      </w:r>
    </w:p>
    <w:p w14:paraId="3D3955FA" w14:textId="77777777" w:rsidR="009F6C80" w:rsidRPr="007A0160" w:rsidRDefault="009F6C80" w:rsidP="009B4BB6">
      <w:pPr>
        <w:keepNext/>
        <w:widowControl w:val="0"/>
        <w:numPr>
          <w:ilvl w:val="12"/>
          <w:numId w:val="0"/>
        </w:numPr>
        <w:tabs>
          <w:tab w:val="clear" w:pos="567"/>
        </w:tabs>
        <w:spacing w:line="240" w:lineRule="auto"/>
        <w:ind w:left="567" w:hanging="567"/>
        <w:rPr>
          <w:color w:val="000000"/>
          <w:szCs w:val="22"/>
          <w:shd w:val="pct15" w:color="auto" w:fill="auto"/>
        </w:rPr>
      </w:pPr>
      <w:r w:rsidRPr="007A0160">
        <w:rPr>
          <w:color w:val="000000"/>
          <w:szCs w:val="22"/>
          <w:shd w:val="pct15" w:color="auto" w:fill="auto"/>
        </w:rPr>
        <w:t>D-90429 Nürnberg</w:t>
      </w:r>
    </w:p>
    <w:p w14:paraId="3D3955FB" w14:textId="77777777" w:rsidR="009F6C80" w:rsidRPr="007A0160" w:rsidRDefault="009F6C80" w:rsidP="009B4BB6">
      <w:pPr>
        <w:widowControl w:val="0"/>
        <w:numPr>
          <w:ilvl w:val="12"/>
          <w:numId w:val="0"/>
        </w:numPr>
        <w:tabs>
          <w:tab w:val="clear" w:pos="567"/>
        </w:tabs>
        <w:spacing w:line="240" w:lineRule="auto"/>
        <w:ind w:left="567" w:hanging="567"/>
        <w:rPr>
          <w:color w:val="000000"/>
          <w:szCs w:val="22"/>
          <w:shd w:val="pct15" w:color="auto" w:fill="auto"/>
        </w:rPr>
      </w:pPr>
      <w:r w:rsidRPr="007A0160">
        <w:rPr>
          <w:color w:val="000000"/>
          <w:szCs w:val="22"/>
          <w:shd w:val="pct15" w:color="auto" w:fill="auto"/>
        </w:rPr>
        <w:t>Vācija</w:t>
      </w:r>
    </w:p>
    <w:p w14:paraId="3D3955FC" w14:textId="77777777" w:rsidR="009F6C80" w:rsidRPr="00CD729C" w:rsidRDefault="009F6C80" w:rsidP="009B4BB6">
      <w:pPr>
        <w:widowControl w:val="0"/>
        <w:numPr>
          <w:ilvl w:val="12"/>
          <w:numId w:val="0"/>
        </w:numPr>
        <w:tabs>
          <w:tab w:val="clear" w:pos="567"/>
        </w:tabs>
        <w:spacing w:line="240" w:lineRule="auto"/>
        <w:ind w:left="567" w:hanging="567"/>
        <w:rPr>
          <w:color w:val="000000"/>
          <w:szCs w:val="22"/>
        </w:rPr>
      </w:pPr>
    </w:p>
    <w:p w14:paraId="3D3955FD" w14:textId="77777777" w:rsidR="009F6C80" w:rsidRPr="00CD729C" w:rsidRDefault="009F6C80" w:rsidP="009B4BB6">
      <w:pPr>
        <w:keepNext/>
        <w:widowControl w:val="0"/>
        <w:numPr>
          <w:ilvl w:val="12"/>
          <w:numId w:val="0"/>
        </w:numPr>
        <w:tabs>
          <w:tab w:val="clear" w:pos="567"/>
        </w:tabs>
        <w:spacing w:line="240" w:lineRule="auto"/>
        <w:rPr>
          <w:rStyle w:val="PageNumber"/>
          <w:color w:val="000000"/>
          <w:szCs w:val="22"/>
        </w:rPr>
      </w:pPr>
      <w:r w:rsidRPr="00CD729C">
        <w:rPr>
          <w:color w:val="000000"/>
          <w:szCs w:val="22"/>
        </w:rPr>
        <w:t xml:space="preserve">Lai </w:t>
      </w:r>
      <w:r w:rsidR="003B2B72" w:rsidRPr="00CD729C">
        <w:rPr>
          <w:color w:val="000000"/>
          <w:szCs w:val="22"/>
        </w:rPr>
        <w:t xml:space="preserve">saņemtu </w:t>
      </w:r>
      <w:r w:rsidRPr="00CD729C">
        <w:rPr>
          <w:color w:val="000000"/>
          <w:szCs w:val="22"/>
        </w:rPr>
        <w:t xml:space="preserve">papildu informāciju par šīm zālēm, lūdzam sazināties ar </w:t>
      </w:r>
      <w:r w:rsidR="003B6C16" w:rsidRPr="00CD729C">
        <w:rPr>
          <w:color w:val="000000"/>
          <w:szCs w:val="22"/>
        </w:rPr>
        <w:t>r</w:t>
      </w:r>
      <w:r w:rsidRPr="00CD729C">
        <w:rPr>
          <w:color w:val="000000"/>
          <w:szCs w:val="22"/>
        </w:rPr>
        <w:t>eģistrācijas apliecības īpašnieka vietējo pārstāvniecību.</w:t>
      </w:r>
    </w:p>
    <w:p w14:paraId="3D3955FE" w14:textId="77777777" w:rsidR="005B6FF1" w:rsidRPr="00CD729C" w:rsidRDefault="005B6FF1" w:rsidP="009B4BB6">
      <w:pPr>
        <w:keepNext/>
        <w:widowControl w:val="0"/>
        <w:tabs>
          <w:tab w:val="clear" w:pos="567"/>
        </w:tabs>
        <w:spacing w:line="240" w:lineRule="auto"/>
        <w:ind w:right="-449"/>
        <w:rPr>
          <w:color w:val="000000"/>
          <w:szCs w:val="22"/>
        </w:rPr>
      </w:pPr>
    </w:p>
    <w:tbl>
      <w:tblPr>
        <w:tblW w:w="9300" w:type="dxa"/>
        <w:tblLayout w:type="fixed"/>
        <w:tblLook w:val="0000" w:firstRow="0" w:lastRow="0" w:firstColumn="0" w:lastColumn="0" w:noHBand="0" w:noVBand="0"/>
      </w:tblPr>
      <w:tblGrid>
        <w:gridCol w:w="4650"/>
        <w:gridCol w:w="4650"/>
      </w:tblGrid>
      <w:tr w:rsidR="005B6FF1" w:rsidRPr="00CD729C" w14:paraId="3D395607" w14:textId="77777777" w:rsidTr="00055B57">
        <w:trPr>
          <w:cantSplit/>
        </w:trPr>
        <w:tc>
          <w:tcPr>
            <w:tcW w:w="4650" w:type="dxa"/>
          </w:tcPr>
          <w:p w14:paraId="3D3955FF" w14:textId="77777777" w:rsidR="005B6FF1" w:rsidRPr="00CD729C" w:rsidRDefault="005B6FF1" w:rsidP="009B4BB6">
            <w:pPr>
              <w:widowControl w:val="0"/>
              <w:spacing w:line="240" w:lineRule="auto"/>
              <w:rPr>
                <w:b/>
                <w:color w:val="000000"/>
                <w:szCs w:val="22"/>
              </w:rPr>
            </w:pPr>
            <w:r w:rsidRPr="00CD729C">
              <w:rPr>
                <w:b/>
                <w:color w:val="000000"/>
                <w:szCs w:val="22"/>
              </w:rPr>
              <w:t>België/Belgique/Belgien</w:t>
            </w:r>
          </w:p>
          <w:p w14:paraId="3D395600" w14:textId="77777777" w:rsidR="005B6FF1" w:rsidRPr="00CD729C" w:rsidRDefault="005B6FF1" w:rsidP="009B4BB6">
            <w:pPr>
              <w:widowControl w:val="0"/>
              <w:spacing w:line="240" w:lineRule="auto"/>
              <w:rPr>
                <w:color w:val="000000"/>
                <w:szCs w:val="22"/>
              </w:rPr>
            </w:pPr>
            <w:r w:rsidRPr="00CD729C">
              <w:rPr>
                <w:color w:val="000000"/>
                <w:szCs w:val="22"/>
              </w:rPr>
              <w:t>Novartis Pharma N.V.</w:t>
            </w:r>
          </w:p>
          <w:p w14:paraId="3D395601" w14:textId="77777777" w:rsidR="005B6FF1" w:rsidRPr="00CD729C" w:rsidRDefault="005B6FF1" w:rsidP="009B4BB6">
            <w:pPr>
              <w:widowControl w:val="0"/>
              <w:spacing w:line="240" w:lineRule="auto"/>
              <w:rPr>
                <w:color w:val="000000"/>
                <w:szCs w:val="22"/>
              </w:rPr>
            </w:pPr>
            <w:r w:rsidRPr="00CD729C">
              <w:rPr>
                <w:color w:val="000000"/>
                <w:szCs w:val="22"/>
              </w:rPr>
              <w:t>Tél/Tel: +32 2 246 16 11</w:t>
            </w:r>
          </w:p>
          <w:p w14:paraId="3D395602" w14:textId="77777777" w:rsidR="005B6FF1" w:rsidRPr="00CD729C" w:rsidRDefault="005B6FF1" w:rsidP="009B4BB6">
            <w:pPr>
              <w:widowControl w:val="0"/>
              <w:spacing w:line="240" w:lineRule="auto"/>
              <w:rPr>
                <w:b/>
                <w:color w:val="000000"/>
                <w:szCs w:val="22"/>
              </w:rPr>
            </w:pPr>
          </w:p>
        </w:tc>
        <w:tc>
          <w:tcPr>
            <w:tcW w:w="4650" w:type="dxa"/>
          </w:tcPr>
          <w:p w14:paraId="3D395603" w14:textId="77777777" w:rsidR="005B6FF1" w:rsidRPr="00CD729C" w:rsidRDefault="005B6FF1" w:rsidP="009B4BB6">
            <w:pPr>
              <w:widowControl w:val="0"/>
              <w:spacing w:line="240" w:lineRule="auto"/>
              <w:rPr>
                <w:b/>
                <w:color w:val="000000"/>
                <w:szCs w:val="22"/>
              </w:rPr>
            </w:pPr>
            <w:r w:rsidRPr="00CD729C">
              <w:rPr>
                <w:b/>
                <w:color w:val="000000"/>
                <w:szCs w:val="22"/>
              </w:rPr>
              <w:t>Lietuva</w:t>
            </w:r>
          </w:p>
          <w:p w14:paraId="3D395604" w14:textId="1EB205EA" w:rsidR="005B6FF1" w:rsidRPr="00CD729C" w:rsidRDefault="007357F4" w:rsidP="009B4BB6">
            <w:pPr>
              <w:widowControl w:val="0"/>
              <w:spacing w:line="240" w:lineRule="auto"/>
              <w:rPr>
                <w:color w:val="000000"/>
                <w:szCs w:val="22"/>
              </w:rPr>
            </w:pPr>
            <w:r w:rsidRPr="00FE0849">
              <w:rPr>
                <w:szCs w:val="22"/>
                <w:lang w:val="es-ES"/>
              </w:rPr>
              <w:t>SIA Novartis Baltics Lietuvos filialas</w:t>
            </w:r>
          </w:p>
          <w:p w14:paraId="3D395605" w14:textId="77777777" w:rsidR="005B6FF1" w:rsidRPr="00CD729C" w:rsidRDefault="005B6FF1" w:rsidP="009B4BB6">
            <w:pPr>
              <w:widowControl w:val="0"/>
              <w:spacing w:line="240" w:lineRule="auto"/>
              <w:rPr>
                <w:color w:val="000000"/>
                <w:szCs w:val="22"/>
              </w:rPr>
            </w:pPr>
            <w:r w:rsidRPr="00CD729C">
              <w:rPr>
                <w:color w:val="000000"/>
                <w:szCs w:val="22"/>
              </w:rPr>
              <w:t>Tel: +370 5 269 16 50</w:t>
            </w:r>
          </w:p>
          <w:p w14:paraId="3D395606" w14:textId="77777777" w:rsidR="005B6FF1" w:rsidRPr="00CD729C" w:rsidRDefault="005B6FF1" w:rsidP="009B4BB6">
            <w:pPr>
              <w:widowControl w:val="0"/>
              <w:spacing w:line="240" w:lineRule="auto"/>
              <w:rPr>
                <w:color w:val="000000"/>
                <w:szCs w:val="22"/>
              </w:rPr>
            </w:pPr>
          </w:p>
        </w:tc>
      </w:tr>
      <w:tr w:rsidR="005B6FF1" w:rsidRPr="00CD729C" w14:paraId="3D395610" w14:textId="77777777" w:rsidTr="00055B57">
        <w:trPr>
          <w:cantSplit/>
        </w:trPr>
        <w:tc>
          <w:tcPr>
            <w:tcW w:w="4650" w:type="dxa"/>
          </w:tcPr>
          <w:p w14:paraId="3D395608" w14:textId="77777777" w:rsidR="005B6FF1" w:rsidRPr="00CD729C" w:rsidRDefault="005B6FF1" w:rsidP="009B4BB6">
            <w:pPr>
              <w:widowControl w:val="0"/>
              <w:spacing w:line="240" w:lineRule="auto"/>
              <w:rPr>
                <w:b/>
                <w:color w:val="000000"/>
                <w:szCs w:val="22"/>
              </w:rPr>
            </w:pPr>
            <w:r w:rsidRPr="00CD729C">
              <w:rPr>
                <w:b/>
                <w:color w:val="000000"/>
                <w:szCs w:val="22"/>
              </w:rPr>
              <w:t>България</w:t>
            </w:r>
          </w:p>
          <w:p w14:paraId="3D395609" w14:textId="77777777" w:rsidR="005B6FF1" w:rsidRPr="00CD729C" w:rsidRDefault="00220E8E" w:rsidP="009B4BB6">
            <w:pPr>
              <w:widowControl w:val="0"/>
              <w:spacing w:line="240" w:lineRule="auto"/>
              <w:rPr>
                <w:color w:val="000000"/>
                <w:szCs w:val="22"/>
              </w:rPr>
            </w:pPr>
            <w:r w:rsidRPr="0051657E">
              <w:rPr>
                <w:szCs w:val="22"/>
                <w:lang w:val="fr-FR"/>
              </w:rPr>
              <w:t>Novartis Bulgaria EOOD</w:t>
            </w:r>
          </w:p>
          <w:p w14:paraId="3D39560A" w14:textId="77777777" w:rsidR="005B6FF1" w:rsidRPr="00CD729C" w:rsidRDefault="005B6FF1" w:rsidP="009B4BB6">
            <w:pPr>
              <w:widowControl w:val="0"/>
              <w:spacing w:line="240" w:lineRule="auto"/>
              <w:rPr>
                <w:color w:val="000000"/>
                <w:szCs w:val="22"/>
              </w:rPr>
            </w:pPr>
            <w:r w:rsidRPr="00CD729C">
              <w:rPr>
                <w:color w:val="000000"/>
                <w:szCs w:val="22"/>
              </w:rPr>
              <w:t>Тел.: +359 2 489 98 28</w:t>
            </w:r>
          </w:p>
          <w:p w14:paraId="3D39560B" w14:textId="77777777" w:rsidR="005B6FF1" w:rsidRPr="00CD729C" w:rsidRDefault="005B6FF1" w:rsidP="009B4BB6">
            <w:pPr>
              <w:widowControl w:val="0"/>
              <w:spacing w:line="240" w:lineRule="auto"/>
              <w:rPr>
                <w:b/>
                <w:color w:val="000000"/>
                <w:szCs w:val="22"/>
              </w:rPr>
            </w:pPr>
          </w:p>
        </w:tc>
        <w:tc>
          <w:tcPr>
            <w:tcW w:w="4650" w:type="dxa"/>
          </w:tcPr>
          <w:p w14:paraId="3D39560C" w14:textId="77777777" w:rsidR="005B6FF1" w:rsidRPr="00CD729C" w:rsidRDefault="005B6FF1" w:rsidP="009B4BB6">
            <w:pPr>
              <w:widowControl w:val="0"/>
              <w:spacing w:line="240" w:lineRule="auto"/>
              <w:rPr>
                <w:b/>
                <w:color w:val="000000"/>
                <w:szCs w:val="22"/>
              </w:rPr>
            </w:pPr>
            <w:r w:rsidRPr="00CD729C">
              <w:rPr>
                <w:b/>
                <w:color w:val="000000"/>
                <w:szCs w:val="22"/>
              </w:rPr>
              <w:t>Luxembourg/Luxemburg</w:t>
            </w:r>
          </w:p>
          <w:p w14:paraId="3D39560D" w14:textId="77777777" w:rsidR="005B6FF1" w:rsidRPr="00CD729C" w:rsidRDefault="005B6FF1" w:rsidP="009B4BB6">
            <w:pPr>
              <w:widowControl w:val="0"/>
              <w:spacing w:line="240" w:lineRule="auto"/>
              <w:rPr>
                <w:color w:val="000000"/>
                <w:szCs w:val="22"/>
              </w:rPr>
            </w:pPr>
            <w:r w:rsidRPr="00CD729C">
              <w:rPr>
                <w:color w:val="000000"/>
                <w:szCs w:val="22"/>
              </w:rPr>
              <w:t>Novartis Pharma N.V.</w:t>
            </w:r>
          </w:p>
          <w:p w14:paraId="3D39560E" w14:textId="77777777" w:rsidR="005B6FF1" w:rsidRPr="00CD729C" w:rsidRDefault="005B6FF1" w:rsidP="009B4BB6">
            <w:pPr>
              <w:widowControl w:val="0"/>
              <w:spacing w:line="240" w:lineRule="auto"/>
              <w:rPr>
                <w:color w:val="000000"/>
                <w:szCs w:val="22"/>
              </w:rPr>
            </w:pPr>
            <w:r w:rsidRPr="00CD729C">
              <w:rPr>
                <w:color w:val="000000"/>
                <w:szCs w:val="22"/>
              </w:rPr>
              <w:t>Tél/Tel: +32 2 246 16 11</w:t>
            </w:r>
          </w:p>
          <w:p w14:paraId="3D39560F" w14:textId="77777777" w:rsidR="005B6FF1" w:rsidRPr="00CD729C" w:rsidRDefault="005B6FF1" w:rsidP="009B4BB6">
            <w:pPr>
              <w:widowControl w:val="0"/>
              <w:spacing w:line="240" w:lineRule="auto"/>
              <w:rPr>
                <w:color w:val="000000"/>
                <w:szCs w:val="22"/>
              </w:rPr>
            </w:pPr>
          </w:p>
        </w:tc>
      </w:tr>
      <w:tr w:rsidR="005B6FF1" w:rsidRPr="00CD729C" w14:paraId="3D395618" w14:textId="77777777" w:rsidTr="00055B57">
        <w:trPr>
          <w:cantSplit/>
        </w:trPr>
        <w:tc>
          <w:tcPr>
            <w:tcW w:w="4650" w:type="dxa"/>
          </w:tcPr>
          <w:p w14:paraId="3D395611" w14:textId="77777777" w:rsidR="005B6FF1" w:rsidRPr="00CD729C" w:rsidRDefault="005B6FF1" w:rsidP="009B4BB6">
            <w:pPr>
              <w:widowControl w:val="0"/>
              <w:spacing w:line="240" w:lineRule="auto"/>
              <w:rPr>
                <w:b/>
                <w:color w:val="000000"/>
                <w:szCs w:val="22"/>
              </w:rPr>
            </w:pPr>
            <w:r w:rsidRPr="00CD729C">
              <w:rPr>
                <w:b/>
                <w:color w:val="000000"/>
                <w:szCs w:val="22"/>
              </w:rPr>
              <w:t>Česká republika</w:t>
            </w:r>
          </w:p>
          <w:p w14:paraId="3D395612" w14:textId="77777777" w:rsidR="005B6FF1" w:rsidRPr="00CD729C" w:rsidRDefault="005B6FF1" w:rsidP="009B4BB6">
            <w:pPr>
              <w:widowControl w:val="0"/>
              <w:spacing w:line="240" w:lineRule="auto"/>
              <w:rPr>
                <w:color w:val="000000"/>
                <w:szCs w:val="22"/>
              </w:rPr>
            </w:pPr>
            <w:r w:rsidRPr="00CD729C">
              <w:rPr>
                <w:color w:val="000000"/>
                <w:szCs w:val="22"/>
              </w:rPr>
              <w:t>Novartis s.r.o.</w:t>
            </w:r>
          </w:p>
          <w:p w14:paraId="3D395613" w14:textId="77777777" w:rsidR="005B6FF1" w:rsidRPr="00CD729C" w:rsidRDefault="005B6FF1" w:rsidP="009B4BB6">
            <w:pPr>
              <w:widowControl w:val="0"/>
              <w:spacing w:line="240" w:lineRule="auto"/>
              <w:rPr>
                <w:color w:val="000000"/>
                <w:szCs w:val="22"/>
              </w:rPr>
            </w:pPr>
            <w:r w:rsidRPr="00CD729C">
              <w:rPr>
                <w:color w:val="000000"/>
                <w:szCs w:val="22"/>
              </w:rPr>
              <w:t>Tel: +420 225 775 111</w:t>
            </w:r>
          </w:p>
          <w:p w14:paraId="3D395614" w14:textId="77777777" w:rsidR="005B6FF1" w:rsidRPr="00CD729C" w:rsidRDefault="005B6FF1" w:rsidP="009B4BB6">
            <w:pPr>
              <w:widowControl w:val="0"/>
              <w:spacing w:line="240" w:lineRule="auto"/>
              <w:rPr>
                <w:b/>
                <w:color w:val="000000"/>
                <w:szCs w:val="22"/>
              </w:rPr>
            </w:pPr>
          </w:p>
        </w:tc>
        <w:tc>
          <w:tcPr>
            <w:tcW w:w="4650" w:type="dxa"/>
          </w:tcPr>
          <w:p w14:paraId="3D395615" w14:textId="77777777" w:rsidR="005B6FF1" w:rsidRPr="00CD729C" w:rsidRDefault="005B6FF1" w:rsidP="009B4BB6">
            <w:pPr>
              <w:widowControl w:val="0"/>
              <w:spacing w:line="240" w:lineRule="auto"/>
              <w:rPr>
                <w:b/>
                <w:color w:val="000000"/>
                <w:szCs w:val="22"/>
              </w:rPr>
            </w:pPr>
            <w:r w:rsidRPr="00CD729C">
              <w:rPr>
                <w:b/>
                <w:color w:val="000000"/>
                <w:szCs w:val="22"/>
              </w:rPr>
              <w:t>Magyarország</w:t>
            </w:r>
          </w:p>
          <w:p w14:paraId="3D395616" w14:textId="77777777" w:rsidR="005B6FF1" w:rsidRPr="00CD729C" w:rsidRDefault="005B6FF1" w:rsidP="009B4BB6">
            <w:pPr>
              <w:widowControl w:val="0"/>
              <w:spacing w:line="240" w:lineRule="auto"/>
              <w:rPr>
                <w:color w:val="000000"/>
                <w:szCs w:val="22"/>
              </w:rPr>
            </w:pPr>
            <w:r w:rsidRPr="00CD729C">
              <w:rPr>
                <w:color w:val="000000"/>
                <w:szCs w:val="22"/>
              </w:rPr>
              <w:t>Novartis Hungária Kft.</w:t>
            </w:r>
          </w:p>
          <w:p w14:paraId="3D395617" w14:textId="77777777" w:rsidR="005B6FF1" w:rsidRPr="00CD729C" w:rsidRDefault="005B6FF1" w:rsidP="009B4BB6">
            <w:pPr>
              <w:widowControl w:val="0"/>
              <w:spacing w:line="240" w:lineRule="auto"/>
              <w:rPr>
                <w:color w:val="000000"/>
                <w:szCs w:val="22"/>
              </w:rPr>
            </w:pPr>
            <w:r w:rsidRPr="00CD729C">
              <w:rPr>
                <w:color w:val="000000"/>
                <w:szCs w:val="22"/>
              </w:rPr>
              <w:t>Tel.: +36 1 457 65 00</w:t>
            </w:r>
          </w:p>
        </w:tc>
      </w:tr>
      <w:tr w:rsidR="005B6FF1" w:rsidRPr="00CD729C" w14:paraId="3D395620" w14:textId="77777777" w:rsidTr="00055B57">
        <w:trPr>
          <w:cantSplit/>
        </w:trPr>
        <w:tc>
          <w:tcPr>
            <w:tcW w:w="4650" w:type="dxa"/>
          </w:tcPr>
          <w:p w14:paraId="3D395619" w14:textId="77777777" w:rsidR="005B6FF1" w:rsidRPr="00CD729C" w:rsidRDefault="005B6FF1" w:rsidP="009B4BB6">
            <w:pPr>
              <w:widowControl w:val="0"/>
              <w:spacing w:line="240" w:lineRule="auto"/>
              <w:rPr>
                <w:b/>
                <w:color w:val="000000"/>
                <w:szCs w:val="22"/>
              </w:rPr>
            </w:pPr>
            <w:r w:rsidRPr="00CD729C">
              <w:rPr>
                <w:b/>
                <w:color w:val="000000"/>
                <w:szCs w:val="22"/>
              </w:rPr>
              <w:t>Danmark</w:t>
            </w:r>
          </w:p>
          <w:p w14:paraId="3D39561A" w14:textId="77777777" w:rsidR="005B6FF1" w:rsidRPr="00CD729C" w:rsidRDefault="005B6FF1" w:rsidP="009B4BB6">
            <w:pPr>
              <w:widowControl w:val="0"/>
              <w:spacing w:line="240" w:lineRule="auto"/>
              <w:rPr>
                <w:color w:val="000000"/>
                <w:szCs w:val="22"/>
              </w:rPr>
            </w:pPr>
            <w:r w:rsidRPr="00CD729C">
              <w:rPr>
                <w:color w:val="000000"/>
                <w:szCs w:val="22"/>
              </w:rPr>
              <w:t>Novartis Healthcare A/S</w:t>
            </w:r>
          </w:p>
          <w:p w14:paraId="3D39561B" w14:textId="77777777" w:rsidR="005B6FF1" w:rsidRPr="00CD729C" w:rsidRDefault="005B6FF1" w:rsidP="009B4BB6">
            <w:pPr>
              <w:widowControl w:val="0"/>
              <w:spacing w:line="240" w:lineRule="auto"/>
              <w:rPr>
                <w:color w:val="000000"/>
                <w:szCs w:val="22"/>
              </w:rPr>
            </w:pPr>
            <w:r w:rsidRPr="00CD729C">
              <w:rPr>
                <w:color w:val="000000"/>
                <w:szCs w:val="22"/>
              </w:rPr>
              <w:t>Tlf: +45 39 16 84 00</w:t>
            </w:r>
          </w:p>
          <w:p w14:paraId="3D39561C" w14:textId="77777777" w:rsidR="005B6FF1" w:rsidRPr="00CD729C" w:rsidRDefault="005B6FF1" w:rsidP="009B4BB6">
            <w:pPr>
              <w:widowControl w:val="0"/>
              <w:spacing w:line="240" w:lineRule="auto"/>
              <w:rPr>
                <w:b/>
                <w:color w:val="000000"/>
                <w:szCs w:val="22"/>
              </w:rPr>
            </w:pPr>
          </w:p>
        </w:tc>
        <w:tc>
          <w:tcPr>
            <w:tcW w:w="4650" w:type="dxa"/>
          </w:tcPr>
          <w:p w14:paraId="3D39561D" w14:textId="77777777" w:rsidR="005B6FF1" w:rsidRPr="00CD729C" w:rsidRDefault="005B6FF1" w:rsidP="009B4BB6">
            <w:pPr>
              <w:widowControl w:val="0"/>
              <w:spacing w:line="240" w:lineRule="auto"/>
              <w:rPr>
                <w:b/>
                <w:color w:val="000000"/>
                <w:szCs w:val="22"/>
              </w:rPr>
            </w:pPr>
            <w:r w:rsidRPr="00CD729C">
              <w:rPr>
                <w:b/>
                <w:color w:val="000000"/>
                <w:szCs w:val="22"/>
              </w:rPr>
              <w:t>Malta</w:t>
            </w:r>
          </w:p>
          <w:p w14:paraId="3D39561E" w14:textId="77777777" w:rsidR="005B6FF1" w:rsidRPr="00CD729C" w:rsidRDefault="005B6FF1" w:rsidP="009B4BB6">
            <w:pPr>
              <w:widowControl w:val="0"/>
              <w:spacing w:line="240" w:lineRule="auto"/>
              <w:rPr>
                <w:color w:val="000000"/>
                <w:szCs w:val="22"/>
              </w:rPr>
            </w:pPr>
            <w:r w:rsidRPr="00CD729C">
              <w:rPr>
                <w:color w:val="000000"/>
                <w:szCs w:val="22"/>
              </w:rPr>
              <w:t>Novartis Pharma Services Inc.</w:t>
            </w:r>
          </w:p>
          <w:p w14:paraId="3D39561F" w14:textId="77777777" w:rsidR="005B6FF1" w:rsidRPr="00CD729C" w:rsidRDefault="005B6FF1" w:rsidP="009B4BB6">
            <w:pPr>
              <w:widowControl w:val="0"/>
              <w:spacing w:line="240" w:lineRule="auto"/>
              <w:rPr>
                <w:color w:val="000000"/>
                <w:szCs w:val="22"/>
              </w:rPr>
            </w:pPr>
            <w:r w:rsidRPr="00CD729C">
              <w:rPr>
                <w:color w:val="000000"/>
                <w:szCs w:val="22"/>
              </w:rPr>
              <w:t xml:space="preserve">Tel: +356 </w:t>
            </w:r>
            <w:r w:rsidRPr="00CD729C">
              <w:rPr>
                <w:color w:val="000000"/>
              </w:rPr>
              <w:t>2122 2872</w:t>
            </w:r>
          </w:p>
        </w:tc>
      </w:tr>
      <w:tr w:rsidR="005B6FF1" w:rsidRPr="00CD729C" w14:paraId="3D395628" w14:textId="77777777" w:rsidTr="00055B57">
        <w:trPr>
          <w:cantSplit/>
        </w:trPr>
        <w:tc>
          <w:tcPr>
            <w:tcW w:w="4650" w:type="dxa"/>
          </w:tcPr>
          <w:p w14:paraId="3D395621" w14:textId="77777777" w:rsidR="005B6FF1" w:rsidRPr="00CD729C" w:rsidRDefault="005B6FF1" w:rsidP="009B4BB6">
            <w:pPr>
              <w:widowControl w:val="0"/>
              <w:spacing w:line="240" w:lineRule="auto"/>
              <w:rPr>
                <w:b/>
                <w:color w:val="000000"/>
                <w:szCs w:val="22"/>
              </w:rPr>
            </w:pPr>
            <w:r w:rsidRPr="00CD729C">
              <w:rPr>
                <w:b/>
                <w:color w:val="000000"/>
                <w:szCs w:val="22"/>
              </w:rPr>
              <w:t>Deutschland</w:t>
            </w:r>
          </w:p>
          <w:p w14:paraId="3D395622" w14:textId="77777777" w:rsidR="005B6FF1" w:rsidRPr="00CD729C" w:rsidRDefault="005B6FF1" w:rsidP="009B4BB6">
            <w:pPr>
              <w:widowControl w:val="0"/>
              <w:spacing w:line="240" w:lineRule="auto"/>
              <w:rPr>
                <w:color w:val="000000"/>
                <w:szCs w:val="22"/>
              </w:rPr>
            </w:pPr>
            <w:r w:rsidRPr="00CD729C">
              <w:rPr>
                <w:color w:val="000000"/>
                <w:szCs w:val="22"/>
              </w:rPr>
              <w:t>Novartis Pharma GmbH</w:t>
            </w:r>
          </w:p>
          <w:p w14:paraId="3D395623" w14:textId="77777777" w:rsidR="005B6FF1" w:rsidRPr="00CD729C" w:rsidRDefault="005B6FF1" w:rsidP="009B4BB6">
            <w:pPr>
              <w:widowControl w:val="0"/>
              <w:spacing w:line="240" w:lineRule="auto"/>
              <w:rPr>
                <w:color w:val="000000"/>
                <w:szCs w:val="22"/>
              </w:rPr>
            </w:pPr>
            <w:r w:rsidRPr="00CD729C">
              <w:rPr>
                <w:color w:val="000000"/>
                <w:szCs w:val="22"/>
              </w:rPr>
              <w:t>Tel: +49 911 273 0</w:t>
            </w:r>
          </w:p>
          <w:p w14:paraId="3D395624" w14:textId="77777777" w:rsidR="005B6FF1" w:rsidRPr="00CD729C" w:rsidRDefault="005B6FF1" w:rsidP="009B4BB6">
            <w:pPr>
              <w:widowControl w:val="0"/>
              <w:spacing w:line="240" w:lineRule="auto"/>
              <w:rPr>
                <w:b/>
                <w:color w:val="000000"/>
                <w:szCs w:val="22"/>
              </w:rPr>
            </w:pPr>
          </w:p>
        </w:tc>
        <w:tc>
          <w:tcPr>
            <w:tcW w:w="4650" w:type="dxa"/>
          </w:tcPr>
          <w:p w14:paraId="3D395625" w14:textId="77777777" w:rsidR="005B6FF1" w:rsidRPr="00CD729C" w:rsidRDefault="005B6FF1" w:rsidP="009B4BB6">
            <w:pPr>
              <w:widowControl w:val="0"/>
              <w:spacing w:line="240" w:lineRule="auto"/>
              <w:rPr>
                <w:b/>
                <w:color w:val="000000"/>
                <w:szCs w:val="22"/>
              </w:rPr>
            </w:pPr>
            <w:r w:rsidRPr="00CD729C">
              <w:rPr>
                <w:b/>
                <w:color w:val="000000"/>
                <w:szCs w:val="22"/>
              </w:rPr>
              <w:t>Nederland</w:t>
            </w:r>
          </w:p>
          <w:p w14:paraId="3D395626" w14:textId="77777777" w:rsidR="005B6FF1" w:rsidRPr="00CD729C" w:rsidRDefault="005B6FF1" w:rsidP="009B4BB6">
            <w:pPr>
              <w:widowControl w:val="0"/>
              <w:spacing w:line="240" w:lineRule="auto"/>
              <w:rPr>
                <w:color w:val="000000"/>
                <w:szCs w:val="22"/>
              </w:rPr>
            </w:pPr>
            <w:r w:rsidRPr="00CD729C">
              <w:rPr>
                <w:color w:val="000000"/>
                <w:szCs w:val="22"/>
              </w:rPr>
              <w:t>Novartis Pharma B.V.</w:t>
            </w:r>
          </w:p>
          <w:p w14:paraId="3D395627" w14:textId="2E99AE70" w:rsidR="005B6FF1" w:rsidRPr="00CD729C" w:rsidRDefault="005B6FF1" w:rsidP="009B4BB6">
            <w:pPr>
              <w:widowControl w:val="0"/>
              <w:spacing w:line="240" w:lineRule="auto"/>
              <w:rPr>
                <w:color w:val="000000"/>
                <w:szCs w:val="22"/>
              </w:rPr>
            </w:pPr>
            <w:r w:rsidRPr="00CD729C">
              <w:rPr>
                <w:color w:val="000000"/>
                <w:szCs w:val="22"/>
              </w:rPr>
              <w:t xml:space="preserve">Tel: +31 </w:t>
            </w:r>
            <w:r w:rsidR="001A5F16" w:rsidRPr="006F623A">
              <w:rPr>
                <w:color w:val="000000"/>
                <w:szCs w:val="22"/>
                <w:lang w:val="de-CH"/>
              </w:rPr>
              <w:t>88 04 52</w:t>
            </w:r>
            <w:r w:rsidRPr="00CD729C">
              <w:rPr>
                <w:color w:val="000000"/>
                <w:szCs w:val="22"/>
              </w:rPr>
              <w:t xml:space="preserve"> </w:t>
            </w:r>
            <w:r w:rsidR="003B2B72" w:rsidRPr="00CD729C">
              <w:rPr>
                <w:color w:val="000000"/>
                <w:szCs w:val="22"/>
              </w:rPr>
              <w:t>555</w:t>
            </w:r>
          </w:p>
        </w:tc>
      </w:tr>
      <w:tr w:rsidR="005B6FF1" w:rsidRPr="00CD729C" w14:paraId="3D395630" w14:textId="77777777" w:rsidTr="00055B57">
        <w:trPr>
          <w:cantSplit/>
        </w:trPr>
        <w:tc>
          <w:tcPr>
            <w:tcW w:w="4650" w:type="dxa"/>
          </w:tcPr>
          <w:p w14:paraId="3D395629" w14:textId="77777777" w:rsidR="005B6FF1" w:rsidRPr="00CD729C" w:rsidRDefault="005B6FF1" w:rsidP="009B4BB6">
            <w:pPr>
              <w:widowControl w:val="0"/>
              <w:spacing w:line="240" w:lineRule="auto"/>
              <w:rPr>
                <w:b/>
                <w:color w:val="000000"/>
                <w:szCs w:val="22"/>
              </w:rPr>
            </w:pPr>
            <w:r w:rsidRPr="00CD729C">
              <w:rPr>
                <w:b/>
                <w:color w:val="000000"/>
                <w:szCs w:val="22"/>
              </w:rPr>
              <w:t>Eesti</w:t>
            </w:r>
          </w:p>
          <w:p w14:paraId="3D39562A" w14:textId="77777777" w:rsidR="005B6FF1" w:rsidRPr="00CD729C" w:rsidRDefault="00FE0849" w:rsidP="009B4BB6">
            <w:pPr>
              <w:widowControl w:val="0"/>
              <w:spacing w:line="240" w:lineRule="auto"/>
              <w:rPr>
                <w:color w:val="000000"/>
                <w:szCs w:val="22"/>
              </w:rPr>
            </w:pPr>
            <w:r w:rsidRPr="00FE0849">
              <w:rPr>
                <w:color w:val="000000"/>
                <w:szCs w:val="22"/>
              </w:rPr>
              <w:t>SIA Novartis Baltics Eesti filiaal</w:t>
            </w:r>
          </w:p>
          <w:p w14:paraId="3D39562B" w14:textId="77777777" w:rsidR="005B6FF1" w:rsidRPr="00CD729C" w:rsidRDefault="005B6FF1" w:rsidP="009B4BB6">
            <w:pPr>
              <w:widowControl w:val="0"/>
              <w:spacing w:line="240" w:lineRule="auto"/>
              <w:rPr>
                <w:color w:val="000000"/>
                <w:szCs w:val="22"/>
              </w:rPr>
            </w:pPr>
            <w:r w:rsidRPr="00CD729C">
              <w:rPr>
                <w:color w:val="000000"/>
                <w:szCs w:val="22"/>
              </w:rPr>
              <w:t>Tel: +372 66 30 810</w:t>
            </w:r>
          </w:p>
          <w:p w14:paraId="3D39562C" w14:textId="77777777" w:rsidR="005B6FF1" w:rsidRPr="00CD729C" w:rsidRDefault="005B6FF1" w:rsidP="009B4BB6">
            <w:pPr>
              <w:widowControl w:val="0"/>
              <w:spacing w:line="240" w:lineRule="auto"/>
              <w:rPr>
                <w:b/>
                <w:color w:val="000000"/>
                <w:szCs w:val="22"/>
              </w:rPr>
            </w:pPr>
          </w:p>
        </w:tc>
        <w:tc>
          <w:tcPr>
            <w:tcW w:w="4650" w:type="dxa"/>
          </w:tcPr>
          <w:p w14:paraId="3D39562D" w14:textId="77777777" w:rsidR="005B6FF1" w:rsidRPr="00CD729C" w:rsidRDefault="005B6FF1" w:rsidP="009B4BB6">
            <w:pPr>
              <w:widowControl w:val="0"/>
              <w:spacing w:line="240" w:lineRule="auto"/>
              <w:rPr>
                <w:b/>
                <w:color w:val="000000"/>
                <w:szCs w:val="22"/>
              </w:rPr>
            </w:pPr>
            <w:r w:rsidRPr="00CD729C">
              <w:rPr>
                <w:b/>
                <w:color w:val="000000"/>
                <w:szCs w:val="22"/>
              </w:rPr>
              <w:t>Norge</w:t>
            </w:r>
          </w:p>
          <w:p w14:paraId="3D39562E" w14:textId="77777777" w:rsidR="005B6FF1" w:rsidRPr="00CD729C" w:rsidRDefault="005B6FF1" w:rsidP="009B4BB6">
            <w:pPr>
              <w:widowControl w:val="0"/>
              <w:spacing w:line="240" w:lineRule="auto"/>
              <w:rPr>
                <w:color w:val="000000"/>
                <w:szCs w:val="22"/>
              </w:rPr>
            </w:pPr>
            <w:r w:rsidRPr="00CD729C">
              <w:rPr>
                <w:color w:val="000000"/>
                <w:szCs w:val="22"/>
              </w:rPr>
              <w:t>Novartis Norge AS</w:t>
            </w:r>
          </w:p>
          <w:p w14:paraId="3D39562F" w14:textId="77777777" w:rsidR="005B6FF1" w:rsidRPr="00CD729C" w:rsidRDefault="005B6FF1" w:rsidP="009B4BB6">
            <w:pPr>
              <w:widowControl w:val="0"/>
              <w:spacing w:line="240" w:lineRule="auto"/>
              <w:rPr>
                <w:color w:val="000000"/>
                <w:szCs w:val="22"/>
              </w:rPr>
            </w:pPr>
            <w:r w:rsidRPr="00CD729C">
              <w:rPr>
                <w:color w:val="000000"/>
                <w:szCs w:val="22"/>
              </w:rPr>
              <w:t>Tlf: +47 23 05 20 00</w:t>
            </w:r>
          </w:p>
        </w:tc>
      </w:tr>
      <w:tr w:rsidR="005B6FF1" w:rsidRPr="00CD729C" w14:paraId="3D395638" w14:textId="77777777" w:rsidTr="00055B57">
        <w:trPr>
          <w:cantSplit/>
        </w:trPr>
        <w:tc>
          <w:tcPr>
            <w:tcW w:w="4650" w:type="dxa"/>
          </w:tcPr>
          <w:p w14:paraId="3D395631" w14:textId="77777777" w:rsidR="005B6FF1" w:rsidRPr="00CD729C" w:rsidRDefault="005B6FF1" w:rsidP="009B4BB6">
            <w:pPr>
              <w:widowControl w:val="0"/>
              <w:spacing w:line="240" w:lineRule="auto"/>
              <w:rPr>
                <w:b/>
                <w:color w:val="000000"/>
                <w:szCs w:val="22"/>
              </w:rPr>
            </w:pPr>
            <w:r w:rsidRPr="00CD729C">
              <w:rPr>
                <w:b/>
                <w:color w:val="000000"/>
                <w:szCs w:val="22"/>
              </w:rPr>
              <w:t>Ελλάδα</w:t>
            </w:r>
          </w:p>
          <w:p w14:paraId="3D395632" w14:textId="77777777" w:rsidR="005B6FF1" w:rsidRPr="00CD729C" w:rsidRDefault="005B6FF1" w:rsidP="009B4BB6">
            <w:pPr>
              <w:widowControl w:val="0"/>
              <w:spacing w:line="240" w:lineRule="auto"/>
              <w:rPr>
                <w:color w:val="000000"/>
                <w:szCs w:val="22"/>
              </w:rPr>
            </w:pPr>
            <w:r w:rsidRPr="00CD729C">
              <w:rPr>
                <w:color w:val="000000"/>
                <w:szCs w:val="22"/>
              </w:rPr>
              <w:t>Novartis (Hellas) A.E.B.E.</w:t>
            </w:r>
          </w:p>
          <w:p w14:paraId="3D395633" w14:textId="77777777" w:rsidR="005B6FF1" w:rsidRPr="00CD729C" w:rsidRDefault="005B6FF1" w:rsidP="009B4BB6">
            <w:pPr>
              <w:widowControl w:val="0"/>
              <w:spacing w:line="240" w:lineRule="auto"/>
              <w:rPr>
                <w:color w:val="000000"/>
                <w:szCs w:val="22"/>
              </w:rPr>
            </w:pPr>
            <w:r w:rsidRPr="00CD729C">
              <w:rPr>
                <w:color w:val="000000"/>
                <w:szCs w:val="22"/>
              </w:rPr>
              <w:t>Τηλ: +30 210 281 17 12</w:t>
            </w:r>
          </w:p>
          <w:p w14:paraId="3D395634" w14:textId="77777777" w:rsidR="005B6FF1" w:rsidRPr="00CD729C" w:rsidRDefault="005B6FF1" w:rsidP="009B4BB6">
            <w:pPr>
              <w:widowControl w:val="0"/>
              <w:spacing w:line="240" w:lineRule="auto"/>
              <w:rPr>
                <w:b/>
                <w:color w:val="000000"/>
                <w:szCs w:val="22"/>
              </w:rPr>
            </w:pPr>
          </w:p>
        </w:tc>
        <w:tc>
          <w:tcPr>
            <w:tcW w:w="4650" w:type="dxa"/>
          </w:tcPr>
          <w:p w14:paraId="3D395635" w14:textId="77777777" w:rsidR="005B6FF1" w:rsidRPr="00CD729C" w:rsidRDefault="005B6FF1" w:rsidP="009B4BB6">
            <w:pPr>
              <w:widowControl w:val="0"/>
              <w:spacing w:line="240" w:lineRule="auto"/>
              <w:rPr>
                <w:b/>
                <w:color w:val="000000"/>
                <w:szCs w:val="22"/>
              </w:rPr>
            </w:pPr>
            <w:r w:rsidRPr="00CD729C">
              <w:rPr>
                <w:b/>
                <w:color w:val="000000"/>
                <w:szCs w:val="22"/>
              </w:rPr>
              <w:t>Österreich</w:t>
            </w:r>
          </w:p>
          <w:p w14:paraId="3D395636" w14:textId="77777777" w:rsidR="005B6FF1" w:rsidRPr="00CD729C" w:rsidRDefault="005B6FF1" w:rsidP="009B4BB6">
            <w:pPr>
              <w:widowControl w:val="0"/>
              <w:spacing w:line="240" w:lineRule="auto"/>
              <w:rPr>
                <w:color w:val="000000"/>
                <w:szCs w:val="22"/>
              </w:rPr>
            </w:pPr>
            <w:r w:rsidRPr="00CD729C">
              <w:rPr>
                <w:color w:val="000000"/>
                <w:szCs w:val="22"/>
              </w:rPr>
              <w:t>Novartis Pharma GmbH</w:t>
            </w:r>
          </w:p>
          <w:p w14:paraId="3D395637" w14:textId="77777777" w:rsidR="005B6FF1" w:rsidRPr="00CD729C" w:rsidRDefault="005B6FF1" w:rsidP="009B4BB6">
            <w:pPr>
              <w:widowControl w:val="0"/>
              <w:spacing w:line="240" w:lineRule="auto"/>
              <w:rPr>
                <w:color w:val="000000"/>
                <w:szCs w:val="22"/>
              </w:rPr>
            </w:pPr>
            <w:r w:rsidRPr="00CD729C">
              <w:rPr>
                <w:color w:val="000000"/>
                <w:szCs w:val="22"/>
              </w:rPr>
              <w:t>Tel: +43 1 86 6570</w:t>
            </w:r>
          </w:p>
        </w:tc>
      </w:tr>
      <w:tr w:rsidR="005B6FF1" w:rsidRPr="00CD729C" w14:paraId="3D395640" w14:textId="77777777" w:rsidTr="00055B57">
        <w:trPr>
          <w:cantSplit/>
        </w:trPr>
        <w:tc>
          <w:tcPr>
            <w:tcW w:w="4650" w:type="dxa"/>
          </w:tcPr>
          <w:p w14:paraId="3D395639" w14:textId="77777777" w:rsidR="005B6FF1" w:rsidRPr="00CD729C" w:rsidRDefault="005B6FF1" w:rsidP="009B4BB6">
            <w:pPr>
              <w:widowControl w:val="0"/>
              <w:spacing w:line="240" w:lineRule="auto"/>
              <w:rPr>
                <w:b/>
                <w:color w:val="000000"/>
                <w:szCs w:val="22"/>
              </w:rPr>
            </w:pPr>
            <w:r w:rsidRPr="00CD729C">
              <w:rPr>
                <w:b/>
                <w:color w:val="000000"/>
                <w:szCs w:val="22"/>
              </w:rPr>
              <w:t>España</w:t>
            </w:r>
          </w:p>
          <w:p w14:paraId="3D39563A" w14:textId="77777777" w:rsidR="005B6FF1" w:rsidRPr="00CD729C" w:rsidRDefault="005B6FF1" w:rsidP="009B4BB6">
            <w:pPr>
              <w:widowControl w:val="0"/>
              <w:spacing w:line="240" w:lineRule="auto"/>
              <w:rPr>
                <w:color w:val="000000"/>
                <w:szCs w:val="22"/>
              </w:rPr>
            </w:pPr>
            <w:r w:rsidRPr="00CD729C">
              <w:rPr>
                <w:color w:val="000000"/>
                <w:szCs w:val="22"/>
              </w:rPr>
              <w:t>Novartis Farmacéutica, S.A.</w:t>
            </w:r>
          </w:p>
          <w:p w14:paraId="3D39563B" w14:textId="77777777" w:rsidR="005B6FF1" w:rsidRPr="00CD729C" w:rsidRDefault="005B6FF1" w:rsidP="009B4BB6">
            <w:pPr>
              <w:widowControl w:val="0"/>
              <w:spacing w:line="240" w:lineRule="auto"/>
              <w:rPr>
                <w:color w:val="000000"/>
                <w:szCs w:val="22"/>
              </w:rPr>
            </w:pPr>
            <w:r w:rsidRPr="00CD729C">
              <w:rPr>
                <w:color w:val="000000"/>
                <w:szCs w:val="22"/>
              </w:rPr>
              <w:t>Tel: +34 93 306 42 00</w:t>
            </w:r>
          </w:p>
          <w:p w14:paraId="3D39563C" w14:textId="77777777" w:rsidR="005B6FF1" w:rsidRPr="00CD729C" w:rsidRDefault="005B6FF1" w:rsidP="009B4BB6">
            <w:pPr>
              <w:widowControl w:val="0"/>
              <w:spacing w:line="240" w:lineRule="auto"/>
              <w:rPr>
                <w:b/>
                <w:color w:val="000000"/>
                <w:szCs w:val="22"/>
              </w:rPr>
            </w:pPr>
          </w:p>
        </w:tc>
        <w:tc>
          <w:tcPr>
            <w:tcW w:w="4650" w:type="dxa"/>
          </w:tcPr>
          <w:p w14:paraId="3D39563D" w14:textId="77777777" w:rsidR="005B6FF1" w:rsidRPr="00CD729C" w:rsidRDefault="005B6FF1" w:rsidP="009B4BB6">
            <w:pPr>
              <w:widowControl w:val="0"/>
              <w:spacing w:line="240" w:lineRule="auto"/>
              <w:rPr>
                <w:b/>
                <w:color w:val="000000"/>
                <w:szCs w:val="22"/>
              </w:rPr>
            </w:pPr>
            <w:r w:rsidRPr="00CD729C">
              <w:rPr>
                <w:b/>
                <w:color w:val="000000"/>
                <w:szCs w:val="22"/>
              </w:rPr>
              <w:t>Polska</w:t>
            </w:r>
          </w:p>
          <w:p w14:paraId="3D39563E" w14:textId="77777777" w:rsidR="005B6FF1" w:rsidRPr="00CD729C" w:rsidRDefault="005B6FF1" w:rsidP="009B4BB6">
            <w:pPr>
              <w:widowControl w:val="0"/>
              <w:spacing w:line="240" w:lineRule="auto"/>
              <w:rPr>
                <w:color w:val="000000"/>
                <w:szCs w:val="22"/>
              </w:rPr>
            </w:pPr>
            <w:r w:rsidRPr="00CD729C">
              <w:rPr>
                <w:color w:val="000000"/>
                <w:szCs w:val="22"/>
              </w:rPr>
              <w:t>Novartis Poland Sp. z o.o.</w:t>
            </w:r>
          </w:p>
          <w:p w14:paraId="3D39563F" w14:textId="77777777" w:rsidR="005B6FF1" w:rsidRPr="00CD729C" w:rsidRDefault="005B6FF1" w:rsidP="009B4BB6">
            <w:pPr>
              <w:widowControl w:val="0"/>
              <w:spacing w:line="240" w:lineRule="auto"/>
              <w:rPr>
                <w:color w:val="000000"/>
                <w:szCs w:val="22"/>
              </w:rPr>
            </w:pPr>
            <w:r w:rsidRPr="00CD729C">
              <w:rPr>
                <w:color w:val="000000"/>
                <w:szCs w:val="22"/>
              </w:rPr>
              <w:t xml:space="preserve">Tel.: +48 22 </w:t>
            </w:r>
            <w:r w:rsidRPr="00CD729C">
              <w:rPr>
                <w:szCs w:val="22"/>
              </w:rPr>
              <w:t>375 4888</w:t>
            </w:r>
          </w:p>
        </w:tc>
      </w:tr>
      <w:tr w:rsidR="005B6FF1" w:rsidRPr="00CD729C" w14:paraId="3D395648" w14:textId="77777777" w:rsidTr="00055B57">
        <w:trPr>
          <w:cantSplit/>
        </w:trPr>
        <w:tc>
          <w:tcPr>
            <w:tcW w:w="4650" w:type="dxa"/>
          </w:tcPr>
          <w:p w14:paraId="3D395641" w14:textId="77777777" w:rsidR="005B6FF1" w:rsidRPr="00CD729C" w:rsidRDefault="005B6FF1" w:rsidP="009B4BB6">
            <w:pPr>
              <w:widowControl w:val="0"/>
              <w:spacing w:line="240" w:lineRule="auto"/>
              <w:rPr>
                <w:b/>
                <w:color w:val="000000"/>
                <w:szCs w:val="22"/>
              </w:rPr>
            </w:pPr>
            <w:r w:rsidRPr="00CD729C">
              <w:rPr>
                <w:b/>
                <w:color w:val="000000"/>
                <w:szCs w:val="22"/>
              </w:rPr>
              <w:t>France</w:t>
            </w:r>
          </w:p>
          <w:p w14:paraId="3D395642" w14:textId="77777777" w:rsidR="005B6FF1" w:rsidRPr="00CD729C" w:rsidRDefault="005B6FF1" w:rsidP="009B4BB6">
            <w:pPr>
              <w:widowControl w:val="0"/>
              <w:spacing w:line="240" w:lineRule="auto"/>
              <w:rPr>
                <w:color w:val="000000"/>
                <w:szCs w:val="22"/>
              </w:rPr>
            </w:pPr>
            <w:r w:rsidRPr="00CD729C">
              <w:rPr>
                <w:color w:val="000000"/>
                <w:szCs w:val="22"/>
              </w:rPr>
              <w:t>Novartis Pharma S.A.S.</w:t>
            </w:r>
          </w:p>
          <w:p w14:paraId="3D395643" w14:textId="77777777" w:rsidR="005B6FF1" w:rsidRPr="00CD729C" w:rsidRDefault="005B6FF1" w:rsidP="009B4BB6">
            <w:pPr>
              <w:widowControl w:val="0"/>
              <w:spacing w:line="240" w:lineRule="auto"/>
              <w:rPr>
                <w:color w:val="000000"/>
                <w:szCs w:val="22"/>
              </w:rPr>
            </w:pPr>
            <w:r w:rsidRPr="00CD729C">
              <w:rPr>
                <w:color w:val="000000"/>
                <w:szCs w:val="22"/>
              </w:rPr>
              <w:t>Tél: +33 1 55 47 66 00</w:t>
            </w:r>
          </w:p>
          <w:p w14:paraId="3D395644" w14:textId="77777777" w:rsidR="005B6FF1" w:rsidRPr="00CD729C" w:rsidRDefault="005B6FF1" w:rsidP="009B4BB6">
            <w:pPr>
              <w:widowControl w:val="0"/>
              <w:spacing w:line="240" w:lineRule="auto"/>
              <w:rPr>
                <w:b/>
                <w:color w:val="000000"/>
                <w:szCs w:val="22"/>
              </w:rPr>
            </w:pPr>
          </w:p>
        </w:tc>
        <w:tc>
          <w:tcPr>
            <w:tcW w:w="4650" w:type="dxa"/>
          </w:tcPr>
          <w:p w14:paraId="3D395645" w14:textId="77777777" w:rsidR="005B6FF1" w:rsidRPr="00CD729C" w:rsidRDefault="005B6FF1" w:rsidP="009B4BB6">
            <w:pPr>
              <w:widowControl w:val="0"/>
              <w:spacing w:line="240" w:lineRule="auto"/>
              <w:rPr>
                <w:b/>
                <w:color w:val="000000"/>
                <w:szCs w:val="22"/>
              </w:rPr>
            </w:pPr>
            <w:r w:rsidRPr="00CD729C">
              <w:rPr>
                <w:b/>
                <w:color w:val="000000"/>
                <w:szCs w:val="22"/>
              </w:rPr>
              <w:t>Portugal</w:t>
            </w:r>
          </w:p>
          <w:p w14:paraId="3D395646" w14:textId="77777777" w:rsidR="005B6FF1" w:rsidRPr="00CD729C" w:rsidRDefault="005B6FF1" w:rsidP="009B4BB6">
            <w:pPr>
              <w:widowControl w:val="0"/>
              <w:spacing w:line="240" w:lineRule="auto"/>
              <w:rPr>
                <w:color w:val="000000"/>
                <w:szCs w:val="22"/>
              </w:rPr>
            </w:pPr>
            <w:r w:rsidRPr="00CD729C">
              <w:rPr>
                <w:color w:val="000000"/>
                <w:szCs w:val="22"/>
              </w:rPr>
              <w:t>Novartis Farma - Produtos Farmacêuticos, S.A.</w:t>
            </w:r>
          </w:p>
          <w:p w14:paraId="3D395647" w14:textId="77777777" w:rsidR="005B6FF1" w:rsidRPr="00CD729C" w:rsidRDefault="005B6FF1" w:rsidP="009B4BB6">
            <w:pPr>
              <w:widowControl w:val="0"/>
              <w:spacing w:line="240" w:lineRule="auto"/>
              <w:rPr>
                <w:color w:val="000000"/>
                <w:szCs w:val="22"/>
              </w:rPr>
            </w:pPr>
            <w:r w:rsidRPr="00CD729C">
              <w:rPr>
                <w:color w:val="000000"/>
                <w:szCs w:val="22"/>
              </w:rPr>
              <w:t>Tel: +351 21 000 8600</w:t>
            </w:r>
          </w:p>
        </w:tc>
      </w:tr>
      <w:tr w:rsidR="005B6FF1" w:rsidRPr="00CD729C" w14:paraId="3D395650" w14:textId="77777777" w:rsidTr="00055B57">
        <w:trPr>
          <w:cantSplit/>
        </w:trPr>
        <w:tc>
          <w:tcPr>
            <w:tcW w:w="4650" w:type="dxa"/>
          </w:tcPr>
          <w:p w14:paraId="3D395649" w14:textId="77777777" w:rsidR="005B6FF1" w:rsidRPr="00CD729C" w:rsidRDefault="005B6FF1" w:rsidP="009B4BB6">
            <w:pPr>
              <w:widowControl w:val="0"/>
              <w:spacing w:line="240" w:lineRule="auto"/>
              <w:rPr>
                <w:rFonts w:eastAsia="PMingLiU"/>
                <w:b/>
              </w:rPr>
            </w:pPr>
            <w:r w:rsidRPr="00CD729C">
              <w:rPr>
                <w:rFonts w:eastAsia="PMingLiU"/>
                <w:b/>
              </w:rPr>
              <w:t>Hrvatska</w:t>
            </w:r>
          </w:p>
          <w:p w14:paraId="3D39564A" w14:textId="77777777" w:rsidR="005B6FF1" w:rsidRPr="00CD729C" w:rsidRDefault="005B6FF1" w:rsidP="009B4BB6">
            <w:pPr>
              <w:widowControl w:val="0"/>
              <w:spacing w:line="240" w:lineRule="auto"/>
            </w:pPr>
            <w:r w:rsidRPr="00CD729C">
              <w:t>Novartis Hrvatska d.o.o.</w:t>
            </w:r>
          </w:p>
          <w:p w14:paraId="3D39564B" w14:textId="77777777" w:rsidR="005B6FF1" w:rsidRPr="00CD729C" w:rsidRDefault="005B6FF1" w:rsidP="009B4BB6">
            <w:pPr>
              <w:widowControl w:val="0"/>
              <w:spacing w:line="240" w:lineRule="auto"/>
            </w:pPr>
            <w:r w:rsidRPr="00CD729C">
              <w:t>Tel. +385 1 6274 220</w:t>
            </w:r>
          </w:p>
          <w:p w14:paraId="3D39564C" w14:textId="77777777" w:rsidR="005B6FF1" w:rsidRPr="00CD729C" w:rsidRDefault="005B6FF1" w:rsidP="009B4BB6">
            <w:pPr>
              <w:widowControl w:val="0"/>
              <w:spacing w:line="240" w:lineRule="auto"/>
              <w:rPr>
                <w:b/>
                <w:color w:val="000000"/>
                <w:szCs w:val="22"/>
              </w:rPr>
            </w:pPr>
          </w:p>
        </w:tc>
        <w:tc>
          <w:tcPr>
            <w:tcW w:w="4650" w:type="dxa"/>
          </w:tcPr>
          <w:p w14:paraId="3D39564D" w14:textId="77777777" w:rsidR="005B6FF1" w:rsidRPr="00CD729C" w:rsidRDefault="005B6FF1" w:rsidP="009B4BB6">
            <w:pPr>
              <w:widowControl w:val="0"/>
              <w:spacing w:line="240" w:lineRule="auto"/>
              <w:rPr>
                <w:b/>
                <w:color w:val="000000"/>
                <w:szCs w:val="22"/>
              </w:rPr>
            </w:pPr>
            <w:r w:rsidRPr="00CD729C">
              <w:rPr>
                <w:b/>
                <w:color w:val="000000"/>
                <w:szCs w:val="22"/>
              </w:rPr>
              <w:t>România</w:t>
            </w:r>
          </w:p>
          <w:p w14:paraId="3D39564E" w14:textId="77777777" w:rsidR="005B6FF1" w:rsidRPr="00CD729C" w:rsidRDefault="005B6FF1" w:rsidP="009B4BB6">
            <w:pPr>
              <w:widowControl w:val="0"/>
              <w:spacing w:line="240" w:lineRule="auto"/>
              <w:rPr>
                <w:color w:val="000000"/>
                <w:szCs w:val="22"/>
              </w:rPr>
            </w:pPr>
            <w:r w:rsidRPr="00CD729C">
              <w:rPr>
                <w:color w:val="000000"/>
                <w:szCs w:val="22"/>
              </w:rPr>
              <w:t xml:space="preserve">Novartis Pharma Services </w:t>
            </w:r>
            <w:r w:rsidRPr="00CD729C">
              <w:rPr>
                <w:color w:val="2F2F2F"/>
                <w:szCs w:val="22"/>
              </w:rPr>
              <w:t>Romania SRL</w:t>
            </w:r>
          </w:p>
          <w:p w14:paraId="3D39564F" w14:textId="77777777" w:rsidR="005B6FF1" w:rsidRPr="00CD729C" w:rsidRDefault="005B6FF1" w:rsidP="009B4BB6">
            <w:pPr>
              <w:widowControl w:val="0"/>
              <w:spacing w:line="240" w:lineRule="auto"/>
              <w:rPr>
                <w:color w:val="000000"/>
                <w:szCs w:val="22"/>
              </w:rPr>
            </w:pPr>
            <w:r w:rsidRPr="00CD729C">
              <w:rPr>
                <w:color w:val="000000"/>
                <w:szCs w:val="22"/>
              </w:rPr>
              <w:t>Tel: +40 21 31299 01</w:t>
            </w:r>
          </w:p>
        </w:tc>
      </w:tr>
      <w:tr w:rsidR="005B6FF1" w:rsidRPr="00CD729C" w14:paraId="3D395658" w14:textId="77777777" w:rsidTr="00055B57">
        <w:trPr>
          <w:cantSplit/>
        </w:trPr>
        <w:tc>
          <w:tcPr>
            <w:tcW w:w="4650" w:type="dxa"/>
          </w:tcPr>
          <w:p w14:paraId="3D395651" w14:textId="77777777" w:rsidR="005B6FF1" w:rsidRPr="00CD729C" w:rsidRDefault="005B6FF1" w:rsidP="009B4BB6">
            <w:pPr>
              <w:widowControl w:val="0"/>
              <w:spacing w:line="240" w:lineRule="auto"/>
              <w:rPr>
                <w:b/>
                <w:color w:val="000000"/>
                <w:szCs w:val="22"/>
              </w:rPr>
            </w:pPr>
            <w:r w:rsidRPr="00CD729C">
              <w:rPr>
                <w:b/>
                <w:color w:val="000000"/>
                <w:szCs w:val="22"/>
              </w:rPr>
              <w:t>Ireland</w:t>
            </w:r>
          </w:p>
          <w:p w14:paraId="3D395652" w14:textId="77777777" w:rsidR="005B6FF1" w:rsidRPr="00CD729C" w:rsidRDefault="005B6FF1" w:rsidP="009B4BB6">
            <w:pPr>
              <w:widowControl w:val="0"/>
              <w:spacing w:line="240" w:lineRule="auto"/>
              <w:rPr>
                <w:color w:val="000000"/>
                <w:szCs w:val="22"/>
              </w:rPr>
            </w:pPr>
            <w:r w:rsidRPr="00CD729C">
              <w:rPr>
                <w:color w:val="000000"/>
                <w:szCs w:val="22"/>
              </w:rPr>
              <w:t>Novartis Ireland Limited</w:t>
            </w:r>
          </w:p>
          <w:p w14:paraId="3D395653" w14:textId="77777777" w:rsidR="005B6FF1" w:rsidRPr="00CD729C" w:rsidRDefault="005B6FF1" w:rsidP="009B4BB6">
            <w:pPr>
              <w:widowControl w:val="0"/>
              <w:spacing w:line="240" w:lineRule="auto"/>
              <w:rPr>
                <w:color w:val="000000"/>
                <w:szCs w:val="22"/>
              </w:rPr>
            </w:pPr>
            <w:r w:rsidRPr="00CD729C">
              <w:rPr>
                <w:color w:val="000000"/>
                <w:szCs w:val="22"/>
              </w:rPr>
              <w:t>Tel: +353 1 260 12 55</w:t>
            </w:r>
          </w:p>
          <w:p w14:paraId="3D395654" w14:textId="77777777" w:rsidR="005B6FF1" w:rsidRPr="00CD729C" w:rsidRDefault="005B6FF1" w:rsidP="009B4BB6">
            <w:pPr>
              <w:widowControl w:val="0"/>
              <w:spacing w:line="240" w:lineRule="auto"/>
              <w:rPr>
                <w:b/>
                <w:color w:val="000000"/>
                <w:szCs w:val="22"/>
              </w:rPr>
            </w:pPr>
          </w:p>
        </w:tc>
        <w:tc>
          <w:tcPr>
            <w:tcW w:w="4650" w:type="dxa"/>
          </w:tcPr>
          <w:p w14:paraId="3D395655" w14:textId="77777777" w:rsidR="005B6FF1" w:rsidRPr="00CD729C" w:rsidRDefault="005B6FF1" w:rsidP="009B4BB6">
            <w:pPr>
              <w:widowControl w:val="0"/>
              <w:spacing w:line="240" w:lineRule="auto"/>
              <w:rPr>
                <w:b/>
                <w:color w:val="000000"/>
                <w:szCs w:val="22"/>
              </w:rPr>
            </w:pPr>
            <w:r w:rsidRPr="00CD729C">
              <w:rPr>
                <w:b/>
                <w:color w:val="000000"/>
                <w:szCs w:val="22"/>
              </w:rPr>
              <w:t>Slovenija</w:t>
            </w:r>
          </w:p>
          <w:p w14:paraId="3D395656" w14:textId="77777777" w:rsidR="005B6FF1" w:rsidRPr="00CD729C" w:rsidRDefault="005B6FF1" w:rsidP="009B4BB6">
            <w:pPr>
              <w:widowControl w:val="0"/>
              <w:spacing w:line="240" w:lineRule="auto"/>
              <w:rPr>
                <w:color w:val="000000"/>
                <w:szCs w:val="22"/>
              </w:rPr>
            </w:pPr>
            <w:r w:rsidRPr="00CD729C">
              <w:rPr>
                <w:color w:val="000000"/>
                <w:szCs w:val="22"/>
              </w:rPr>
              <w:t>Novartis Pharma Services Inc.</w:t>
            </w:r>
          </w:p>
          <w:p w14:paraId="3D395657" w14:textId="77777777" w:rsidR="005B6FF1" w:rsidRPr="00CD729C" w:rsidRDefault="005B6FF1" w:rsidP="009B4BB6">
            <w:pPr>
              <w:widowControl w:val="0"/>
              <w:spacing w:line="240" w:lineRule="auto"/>
              <w:rPr>
                <w:color w:val="000000"/>
                <w:szCs w:val="22"/>
              </w:rPr>
            </w:pPr>
            <w:r w:rsidRPr="00CD729C">
              <w:rPr>
                <w:color w:val="000000"/>
                <w:szCs w:val="22"/>
              </w:rPr>
              <w:t>Tel: +386 1 300 75 50</w:t>
            </w:r>
          </w:p>
        </w:tc>
      </w:tr>
      <w:tr w:rsidR="005B6FF1" w:rsidRPr="00CD729C" w14:paraId="3D395661" w14:textId="77777777" w:rsidTr="00055B57">
        <w:trPr>
          <w:cantSplit/>
        </w:trPr>
        <w:tc>
          <w:tcPr>
            <w:tcW w:w="4650" w:type="dxa"/>
          </w:tcPr>
          <w:p w14:paraId="3D395659" w14:textId="77777777" w:rsidR="005B6FF1" w:rsidRPr="00CD729C" w:rsidRDefault="005B6FF1" w:rsidP="009B4BB6">
            <w:pPr>
              <w:widowControl w:val="0"/>
              <w:spacing w:line="240" w:lineRule="auto"/>
              <w:rPr>
                <w:b/>
                <w:color w:val="000000"/>
                <w:szCs w:val="22"/>
              </w:rPr>
            </w:pPr>
            <w:r w:rsidRPr="00CD729C">
              <w:rPr>
                <w:b/>
                <w:color w:val="000000"/>
                <w:szCs w:val="22"/>
              </w:rPr>
              <w:t>Ísland</w:t>
            </w:r>
          </w:p>
          <w:p w14:paraId="3D39565A" w14:textId="77777777" w:rsidR="005B6FF1" w:rsidRPr="00CD729C" w:rsidRDefault="005B6FF1" w:rsidP="009B4BB6">
            <w:pPr>
              <w:widowControl w:val="0"/>
              <w:spacing w:line="240" w:lineRule="auto"/>
              <w:rPr>
                <w:color w:val="000000"/>
                <w:szCs w:val="22"/>
              </w:rPr>
            </w:pPr>
            <w:r w:rsidRPr="00CD729C">
              <w:rPr>
                <w:color w:val="000000"/>
                <w:szCs w:val="22"/>
              </w:rPr>
              <w:t>Vistor hf.</w:t>
            </w:r>
          </w:p>
          <w:p w14:paraId="3D39565B" w14:textId="77777777" w:rsidR="005B6FF1" w:rsidRPr="00CD729C" w:rsidRDefault="005B6FF1" w:rsidP="009B4BB6">
            <w:pPr>
              <w:widowControl w:val="0"/>
              <w:spacing w:line="240" w:lineRule="auto"/>
              <w:rPr>
                <w:color w:val="000000"/>
                <w:szCs w:val="22"/>
              </w:rPr>
            </w:pPr>
            <w:r w:rsidRPr="00CD729C">
              <w:rPr>
                <w:color w:val="000000"/>
              </w:rPr>
              <w:t>Sími</w:t>
            </w:r>
            <w:r w:rsidRPr="00CD729C">
              <w:rPr>
                <w:color w:val="000000"/>
                <w:szCs w:val="22"/>
              </w:rPr>
              <w:t>: +354 535 7000</w:t>
            </w:r>
          </w:p>
          <w:p w14:paraId="3D39565C" w14:textId="77777777" w:rsidR="005B6FF1" w:rsidRPr="00CD729C" w:rsidRDefault="005B6FF1" w:rsidP="009B4BB6">
            <w:pPr>
              <w:widowControl w:val="0"/>
              <w:spacing w:line="240" w:lineRule="auto"/>
              <w:rPr>
                <w:b/>
                <w:color w:val="000000"/>
                <w:szCs w:val="22"/>
              </w:rPr>
            </w:pPr>
          </w:p>
        </w:tc>
        <w:tc>
          <w:tcPr>
            <w:tcW w:w="4650" w:type="dxa"/>
          </w:tcPr>
          <w:p w14:paraId="3D39565D" w14:textId="77777777" w:rsidR="005B6FF1" w:rsidRPr="00CD729C" w:rsidRDefault="005B6FF1" w:rsidP="009B4BB6">
            <w:pPr>
              <w:widowControl w:val="0"/>
              <w:spacing w:line="240" w:lineRule="auto"/>
              <w:rPr>
                <w:b/>
                <w:color w:val="000000"/>
                <w:szCs w:val="22"/>
              </w:rPr>
            </w:pPr>
            <w:r w:rsidRPr="00CD729C">
              <w:rPr>
                <w:b/>
                <w:color w:val="000000"/>
                <w:szCs w:val="22"/>
              </w:rPr>
              <w:t>Slovenská republika</w:t>
            </w:r>
          </w:p>
          <w:p w14:paraId="3D39565E" w14:textId="77777777" w:rsidR="005B6FF1" w:rsidRPr="00CD729C" w:rsidRDefault="005B6FF1" w:rsidP="009B4BB6">
            <w:pPr>
              <w:widowControl w:val="0"/>
              <w:spacing w:line="240" w:lineRule="auto"/>
              <w:rPr>
                <w:color w:val="000000"/>
                <w:szCs w:val="22"/>
              </w:rPr>
            </w:pPr>
            <w:r w:rsidRPr="00CD729C">
              <w:rPr>
                <w:color w:val="000000"/>
                <w:szCs w:val="22"/>
              </w:rPr>
              <w:t>Novartis Slovakia s.r.o.</w:t>
            </w:r>
          </w:p>
          <w:p w14:paraId="3D39565F" w14:textId="77777777" w:rsidR="005B6FF1" w:rsidRPr="00CD729C" w:rsidRDefault="005B6FF1" w:rsidP="009B4BB6">
            <w:pPr>
              <w:widowControl w:val="0"/>
              <w:spacing w:line="240" w:lineRule="auto"/>
              <w:rPr>
                <w:color w:val="000000"/>
                <w:szCs w:val="22"/>
              </w:rPr>
            </w:pPr>
            <w:r w:rsidRPr="00CD729C">
              <w:rPr>
                <w:color w:val="000000"/>
                <w:szCs w:val="22"/>
              </w:rPr>
              <w:t>Tel: +421 2 5542 5439</w:t>
            </w:r>
          </w:p>
          <w:p w14:paraId="3D395660" w14:textId="77777777" w:rsidR="005B6FF1" w:rsidRPr="00CD729C" w:rsidRDefault="005B6FF1" w:rsidP="009B4BB6">
            <w:pPr>
              <w:widowControl w:val="0"/>
              <w:spacing w:line="240" w:lineRule="auto"/>
              <w:rPr>
                <w:color w:val="000000"/>
                <w:szCs w:val="22"/>
              </w:rPr>
            </w:pPr>
          </w:p>
        </w:tc>
      </w:tr>
      <w:tr w:rsidR="005B6FF1" w:rsidRPr="00CD729C" w14:paraId="3D395669" w14:textId="77777777" w:rsidTr="00055B57">
        <w:trPr>
          <w:cantSplit/>
        </w:trPr>
        <w:tc>
          <w:tcPr>
            <w:tcW w:w="4650" w:type="dxa"/>
          </w:tcPr>
          <w:p w14:paraId="3D395662" w14:textId="77777777" w:rsidR="005B6FF1" w:rsidRPr="00CD729C" w:rsidRDefault="005B6FF1" w:rsidP="009B4BB6">
            <w:pPr>
              <w:widowControl w:val="0"/>
              <w:spacing w:line="240" w:lineRule="auto"/>
              <w:rPr>
                <w:b/>
                <w:color w:val="000000"/>
                <w:szCs w:val="22"/>
              </w:rPr>
            </w:pPr>
            <w:r w:rsidRPr="00CD729C">
              <w:rPr>
                <w:b/>
                <w:color w:val="000000"/>
                <w:szCs w:val="22"/>
              </w:rPr>
              <w:t>Italia</w:t>
            </w:r>
          </w:p>
          <w:p w14:paraId="3D395663" w14:textId="77777777" w:rsidR="005B6FF1" w:rsidRPr="00CD729C" w:rsidRDefault="005B6FF1" w:rsidP="009B4BB6">
            <w:pPr>
              <w:widowControl w:val="0"/>
              <w:spacing w:line="240" w:lineRule="auto"/>
              <w:rPr>
                <w:color w:val="000000"/>
                <w:szCs w:val="22"/>
              </w:rPr>
            </w:pPr>
            <w:r w:rsidRPr="00CD729C">
              <w:rPr>
                <w:color w:val="000000"/>
                <w:szCs w:val="22"/>
              </w:rPr>
              <w:t>Novartis Farma S.p.A.</w:t>
            </w:r>
          </w:p>
          <w:p w14:paraId="3D395664" w14:textId="77777777" w:rsidR="005B6FF1" w:rsidRPr="00CD729C" w:rsidRDefault="005B6FF1" w:rsidP="009B4BB6">
            <w:pPr>
              <w:widowControl w:val="0"/>
              <w:spacing w:line="240" w:lineRule="auto"/>
              <w:rPr>
                <w:b/>
                <w:color w:val="000000"/>
                <w:szCs w:val="22"/>
              </w:rPr>
            </w:pPr>
            <w:r w:rsidRPr="00CD729C">
              <w:rPr>
                <w:color w:val="000000"/>
                <w:szCs w:val="22"/>
              </w:rPr>
              <w:t>Tel: +39 02 96 54 1</w:t>
            </w:r>
          </w:p>
        </w:tc>
        <w:tc>
          <w:tcPr>
            <w:tcW w:w="4650" w:type="dxa"/>
          </w:tcPr>
          <w:p w14:paraId="3D395665" w14:textId="77777777" w:rsidR="005B6FF1" w:rsidRPr="00CD729C" w:rsidRDefault="005B6FF1" w:rsidP="009B4BB6">
            <w:pPr>
              <w:widowControl w:val="0"/>
              <w:spacing w:line="240" w:lineRule="auto"/>
              <w:rPr>
                <w:b/>
                <w:color w:val="000000"/>
                <w:szCs w:val="22"/>
              </w:rPr>
            </w:pPr>
            <w:r w:rsidRPr="00CD729C">
              <w:rPr>
                <w:b/>
                <w:color w:val="000000"/>
                <w:szCs w:val="22"/>
              </w:rPr>
              <w:t>Suomi/Finland</w:t>
            </w:r>
          </w:p>
          <w:p w14:paraId="3D395666" w14:textId="77777777" w:rsidR="005B6FF1" w:rsidRPr="00CD729C" w:rsidRDefault="005B6FF1" w:rsidP="009B4BB6">
            <w:pPr>
              <w:widowControl w:val="0"/>
              <w:spacing w:line="240" w:lineRule="auto"/>
              <w:rPr>
                <w:color w:val="000000"/>
                <w:szCs w:val="22"/>
              </w:rPr>
            </w:pPr>
            <w:r w:rsidRPr="00CD729C">
              <w:rPr>
                <w:color w:val="000000"/>
                <w:szCs w:val="22"/>
              </w:rPr>
              <w:t>Novartis Finland Oy</w:t>
            </w:r>
          </w:p>
          <w:p w14:paraId="3D395667" w14:textId="77777777" w:rsidR="005B6FF1" w:rsidRPr="00CD729C" w:rsidRDefault="005B6FF1" w:rsidP="009B4BB6">
            <w:pPr>
              <w:widowControl w:val="0"/>
              <w:spacing w:line="240" w:lineRule="auto"/>
              <w:rPr>
                <w:color w:val="000000"/>
                <w:szCs w:val="22"/>
              </w:rPr>
            </w:pPr>
            <w:r w:rsidRPr="00CD729C">
              <w:rPr>
                <w:color w:val="000000"/>
                <w:szCs w:val="22"/>
              </w:rPr>
              <w:t xml:space="preserve">Puh/Tel: </w:t>
            </w:r>
            <w:r w:rsidRPr="00CD729C">
              <w:rPr>
                <w:color w:val="000000"/>
                <w:szCs w:val="22"/>
                <w:lang w:bidi="he-IL"/>
              </w:rPr>
              <w:t>+358 (0)10 6133 200</w:t>
            </w:r>
          </w:p>
          <w:p w14:paraId="3D395668" w14:textId="77777777" w:rsidR="005B6FF1" w:rsidRPr="00CD729C" w:rsidRDefault="005B6FF1" w:rsidP="009B4BB6">
            <w:pPr>
              <w:widowControl w:val="0"/>
              <w:spacing w:line="240" w:lineRule="auto"/>
              <w:rPr>
                <w:color w:val="000000"/>
                <w:szCs w:val="22"/>
              </w:rPr>
            </w:pPr>
          </w:p>
        </w:tc>
      </w:tr>
      <w:tr w:rsidR="005B6FF1" w:rsidRPr="00CD729C" w14:paraId="3D395672" w14:textId="77777777" w:rsidTr="00055B57">
        <w:trPr>
          <w:cantSplit/>
        </w:trPr>
        <w:tc>
          <w:tcPr>
            <w:tcW w:w="4650" w:type="dxa"/>
          </w:tcPr>
          <w:p w14:paraId="3D39566A" w14:textId="77777777" w:rsidR="005B6FF1" w:rsidRPr="00CD729C" w:rsidRDefault="005B6FF1" w:rsidP="009B4BB6">
            <w:pPr>
              <w:widowControl w:val="0"/>
              <w:spacing w:line="240" w:lineRule="auto"/>
              <w:rPr>
                <w:b/>
                <w:color w:val="000000"/>
                <w:szCs w:val="22"/>
              </w:rPr>
            </w:pPr>
            <w:r w:rsidRPr="00CD729C">
              <w:rPr>
                <w:b/>
                <w:color w:val="000000"/>
                <w:szCs w:val="22"/>
              </w:rPr>
              <w:t>Κύπρος</w:t>
            </w:r>
          </w:p>
          <w:p w14:paraId="3D39566B" w14:textId="77777777" w:rsidR="005B6FF1" w:rsidRPr="00CD729C" w:rsidRDefault="005B6FF1" w:rsidP="009B4BB6">
            <w:pPr>
              <w:widowControl w:val="0"/>
              <w:spacing w:line="240" w:lineRule="auto"/>
              <w:rPr>
                <w:color w:val="000000"/>
                <w:szCs w:val="22"/>
              </w:rPr>
            </w:pPr>
            <w:r w:rsidRPr="00CD729C">
              <w:rPr>
                <w:color w:val="000000"/>
                <w:szCs w:val="22"/>
                <w:lang w:bidi="he-IL"/>
              </w:rPr>
              <w:t>Novartis Pharma Services Inc.</w:t>
            </w:r>
          </w:p>
          <w:p w14:paraId="3D39566C" w14:textId="77777777" w:rsidR="005B6FF1" w:rsidRPr="00CD729C" w:rsidRDefault="005B6FF1" w:rsidP="009B4BB6">
            <w:pPr>
              <w:widowControl w:val="0"/>
              <w:spacing w:line="240" w:lineRule="auto"/>
              <w:rPr>
                <w:color w:val="000000"/>
                <w:szCs w:val="22"/>
              </w:rPr>
            </w:pPr>
            <w:r w:rsidRPr="00CD729C">
              <w:rPr>
                <w:color w:val="000000"/>
                <w:szCs w:val="22"/>
              </w:rPr>
              <w:t>Τηλ: +357 22 690 690</w:t>
            </w:r>
          </w:p>
          <w:p w14:paraId="3D39566D" w14:textId="77777777" w:rsidR="005B6FF1" w:rsidRPr="00CD729C" w:rsidRDefault="005B6FF1" w:rsidP="009B4BB6">
            <w:pPr>
              <w:widowControl w:val="0"/>
              <w:spacing w:line="240" w:lineRule="auto"/>
              <w:rPr>
                <w:b/>
                <w:color w:val="000000"/>
                <w:szCs w:val="22"/>
              </w:rPr>
            </w:pPr>
          </w:p>
        </w:tc>
        <w:tc>
          <w:tcPr>
            <w:tcW w:w="4650" w:type="dxa"/>
          </w:tcPr>
          <w:p w14:paraId="3D39566E" w14:textId="77777777" w:rsidR="005B6FF1" w:rsidRPr="00CD729C" w:rsidRDefault="005B6FF1" w:rsidP="009B4BB6">
            <w:pPr>
              <w:widowControl w:val="0"/>
              <w:spacing w:line="240" w:lineRule="auto"/>
              <w:rPr>
                <w:b/>
                <w:color w:val="000000"/>
                <w:szCs w:val="22"/>
              </w:rPr>
            </w:pPr>
            <w:r w:rsidRPr="00CD729C">
              <w:rPr>
                <w:b/>
                <w:color w:val="000000"/>
                <w:szCs w:val="22"/>
              </w:rPr>
              <w:t>Sverige</w:t>
            </w:r>
          </w:p>
          <w:p w14:paraId="3D39566F" w14:textId="77777777" w:rsidR="005B6FF1" w:rsidRPr="00CD729C" w:rsidRDefault="005B6FF1" w:rsidP="009B4BB6">
            <w:pPr>
              <w:widowControl w:val="0"/>
              <w:spacing w:line="240" w:lineRule="auto"/>
              <w:rPr>
                <w:color w:val="000000"/>
                <w:szCs w:val="22"/>
              </w:rPr>
            </w:pPr>
            <w:r w:rsidRPr="00CD729C">
              <w:rPr>
                <w:color w:val="000000"/>
                <w:szCs w:val="22"/>
              </w:rPr>
              <w:t>Novartis Sverige AB</w:t>
            </w:r>
          </w:p>
          <w:p w14:paraId="3D395670" w14:textId="77777777" w:rsidR="005B6FF1" w:rsidRPr="00CD729C" w:rsidRDefault="005B6FF1" w:rsidP="009B4BB6">
            <w:pPr>
              <w:widowControl w:val="0"/>
              <w:spacing w:line="240" w:lineRule="auto"/>
              <w:rPr>
                <w:color w:val="000000"/>
                <w:szCs w:val="22"/>
              </w:rPr>
            </w:pPr>
            <w:r w:rsidRPr="00CD729C">
              <w:rPr>
                <w:color w:val="000000"/>
                <w:szCs w:val="22"/>
              </w:rPr>
              <w:t>Tel: +46 8 732 32 00</w:t>
            </w:r>
          </w:p>
          <w:p w14:paraId="3D395671" w14:textId="77777777" w:rsidR="005B6FF1" w:rsidRPr="00CD729C" w:rsidRDefault="005B6FF1" w:rsidP="009B4BB6">
            <w:pPr>
              <w:widowControl w:val="0"/>
              <w:spacing w:line="240" w:lineRule="auto"/>
              <w:rPr>
                <w:color w:val="000000"/>
                <w:szCs w:val="22"/>
              </w:rPr>
            </w:pPr>
          </w:p>
        </w:tc>
      </w:tr>
      <w:tr w:rsidR="005B6FF1" w:rsidRPr="00CD729C" w14:paraId="3D39567B" w14:textId="77777777" w:rsidTr="00055B57">
        <w:trPr>
          <w:cantSplit/>
        </w:trPr>
        <w:tc>
          <w:tcPr>
            <w:tcW w:w="4650" w:type="dxa"/>
          </w:tcPr>
          <w:p w14:paraId="3D395673" w14:textId="77777777" w:rsidR="005B6FF1" w:rsidRPr="00CD729C" w:rsidRDefault="005B6FF1" w:rsidP="009B4BB6">
            <w:pPr>
              <w:widowControl w:val="0"/>
              <w:spacing w:line="240" w:lineRule="auto"/>
              <w:rPr>
                <w:b/>
                <w:color w:val="000000"/>
                <w:szCs w:val="22"/>
              </w:rPr>
            </w:pPr>
            <w:r w:rsidRPr="00CD729C">
              <w:rPr>
                <w:b/>
                <w:color w:val="000000"/>
                <w:szCs w:val="22"/>
              </w:rPr>
              <w:t>Latvija</w:t>
            </w:r>
          </w:p>
          <w:p w14:paraId="3D395674" w14:textId="34E334D3" w:rsidR="005B6FF1" w:rsidRPr="00CD729C" w:rsidRDefault="00220E8E" w:rsidP="009B4BB6">
            <w:pPr>
              <w:widowControl w:val="0"/>
              <w:spacing w:line="240" w:lineRule="auto"/>
              <w:rPr>
                <w:color w:val="000000"/>
                <w:szCs w:val="22"/>
              </w:rPr>
            </w:pPr>
            <w:r w:rsidRPr="0051657E">
              <w:rPr>
                <w:szCs w:val="22"/>
                <w:lang w:val="it-IT"/>
              </w:rPr>
              <w:t>SIA Novartis Baltics</w:t>
            </w:r>
          </w:p>
          <w:p w14:paraId="3D395675" w14:textId="77777777" w:rsidR="005B6FF1" w:rsidRPr="00CD729C" w:rsidRDefault="005B6FF1" w:rsidP="009B4BB6">
            <w:pPr>
              <w:widowControl w:val="0"/>
              <w:spacing w:line="240" w:lineRule="auto"/>
              <w:rPr>
                <w:color w:val="000000"/>
                <w:szCs w:val="22"/>
              </w:rPr>
            </w:pPr>
            <w:r w:rsidRPr="00CD729C">
              <w:rPr>
                <w:color w:val="000000"/>
                <w:szCs w:val="22"/>
              </w:rPr>
              <w:t>Tel: +371 67 887 070</w:t>
            </w:r>
          </w:p>
          <w:p w14:paraId="3D395676" w14:textId="77777777" w:rsidR="005B6FF1" w:rsidRPr="00CD729C" w:rsidRDefault="005B6FF1" w:rsidP="009B4BB6">
            <w:pPr>
              <w:widowControl w:val="0"/>
              <w:spacing w:line="240" w:lineRule="auto"/>
              <w:rPr>
                <w:b/>
                <w:color w:val="000000"/>
                <w:szCs w:val="22"/>
              </w:rPr>
            </w:pPr>
          </w:p>
        </w:tc>
        <w:tc>
          <w:tcPr>
            <w:tcW w:w="4650" w:type="dxa"/>
          </w:tcPr>
          <w:p w14:paraId="3D395677" w14:textId="77777777" w:rsidR="005B6FF1" w:rsidRPr="00CD729C" w:rsidRDefault="005B6FF1" w:rsidP="009B4BB6">
            <w:pPr>
              <w:widowControl w:val="0"/>
              <w:spacing w:line="240" w:lineRule="auto"/>
              <w:rPr>
                <w:b/>
                <w:color w:val="000000"/>
                <w:szCs w:val="22"/>
              </w:rPr>
            </w:pPr>
            <w:r w:rsidRPr="00CD729C">
              <w:rPr>
                <w:b/>
                <w:color w:val="000000"/>
                <w:szCs w:val="22"/>
              </w:rPr>
              <w:t>United Kingdom</w:t>
            </w:r>
          </w:p>
          <w:p w14:paraId="3D395678" w14:textId="77777777" w:rsidR="005B6FF1" w:rsidRPr="00CD729C" w:rsidRDefault="005B6FF1" w:rsidP="009B4BB6">
            <w:pPr>
              <w:widowControl w:val="0"/>
              <w:spacing w:line="240" w:lineRule="auto"/>
              <w:rPr>
                <w:color w:val="000000"/>
                <w:szCs w:val="22"/>
              </w:rPr>
            </w:pPr>
            <w:r w:rsidRPr="00CD729C">
              <w:rPr>
                <w:color w:val="000000"/>
                <w:szCs w:val="22"/>
              </w:rPr>
              <w:t>Novartis Pharmaceuticals UK Ltd.</w:t>
            </w:r>
          </w:p>
          <w:p w14:paraId="3D395679" w14:textId="77777777" w:rsidR="005B6FF1" w:rsidRPr="00CD729C" w:rsidRDefault="005B6FF1" w:rsidP="009B4BB6">
            <w:pPr>
              <w:widowControl w:val="0"/>
              <w:spacing w:line="240" w:lineRule="auto"/>
              <w:rPr>
                <w:color w:val="000000"/>
                <w:szCs w:val="22"/>
              </w:rPr>
            </w:pPr>
            <w:r w:rsidRPr="00CD729C">
              <w:rPr>
                <w:color w:val="000000"/>
                <w:szCs w:val="22"/>
              </w:rPr>
              <w:t>Tel: +44 1276 698370</w:t>
            </w:r>
          </w:p>
          <w:p w14:paraId="3D39567A" w14:textId="77777777" w:rsidR="005B6FF1" w:rsidRPr="00CD729C" w:rsidRDefault="005B6FF1" w:rsidP="009B4BB6">
            <w:pPr>
              <w:widowControl w:val="0"/>
              <w:spacing w:line="240" w:lineRule="auto"/>
              <w:rPr>
                <w:color w:val="000000"/>
                <w:szCs w:val="22"/>
              </w:rPr>
            </w:pPr>
          </w:p>
        </w:tc>
      </w:tr>
    </w:tbl>
    <w:p w14:paraId="3D39567C" w14:textId="77777777" w:rsidR="005B6FF1" w:rsidRPr="00CD729C" w:rsidRDefault="005B6FF1" w:rsidP="009B4BB6">
      <w:pPr>
        <w:widowControl w:val="0"/>
        <w:tabs>
          <w:tab w:val="clear" w:pos="567"/>
        </w:tabs>
        <w:spacing w:line="240" w:lineRule="auto"/>
        <w:ind w:right="-449"/>
        <w:rPr>
          <w:color w:val="000000"/>
          <w:szCs w:val="22"/>
        </w:rPr>
      </w:pPr>
    </w:p>
    <w:p w14:paraId="3D39567D" w14:textId="77777777" w:rsidR="009F6C80" w:rsidRPr="00CD729C" w:rsidRDefault="009F6C80" w:rsidP="009B4BB6">
      <w:pPr>
        <w:widowControl w:val="0"/>
        <w:tabs>
          <w:tab w:val="clear" w:pos="567"/>
        </w:tabs>
        <w:spacing w:line="240" w:lineRule="auto"/>
        <w:rPr>
          <w:color w:val="000000"/>
        </w:rPr>
      </w:pPr>
      <w:r w:rsidRPr="00CD729C">
        <w:rPr>
          <w:b/>
          <w:color w:val="000000"/>
          <w:szCs w:val="22"/>
        </w:rPr>
        <w:t xml:space="preserve">Šī lietošanas instrukcija pēdējo reizi </w:t>
      </w:r>
      <w:r w:rsidR="003B6C16" w:rsidRPr="00CD729C">
        <w:rPr>
          <w:b/>
          <w:color w:val="000000"/>
          <w:szCs w:val="22"/>
        </w:rPr>
        <w:t>pārskatīta</w:t>
      </w:r>
    </w:p>
    <w:p w14:paraId="3D39567E" w14:textId="77777777" w:rsidR="009F6C80" w:rsidRPr="00CD729C" w:rsidRDefault="009F6C80" w:rsidP="009B4BB6">
      <w:pPr>
        <w:widowControl w:val="0"/>
        <w:numPr>
          <w:ilvl w:val="12"/>
          <w:numId w:val="0"/>
        </w:numPr>
        <w:tabs>
          <w:tab w:val="clear" w:pos="567"/>
        </w:tabs>
        <w:spacing w:line="240" w:lineRule="auto"/>
        <w:ind w:left="567" w:hanging="567"/>
      </w:pPr>
    </w:p>
    <w:p w14:paraId="3D39567F" w14:textId="77777777" w:rsidR="003B6C16" w:rsidRPr="00CD729C" w:rsidRDefault="003B6C16" w:rsidP="009B4BB6">
      <w:pPr>
        <w:keepNext/>
        <w:widowControl w:val="0"/>
        <w:tabs>
          <w:tab w:val="clear" w:pos="567"/>
        </w:tabs>
        <w:spacing w:line="240" w:lineRule="auto"/>
        <w:rPr>
          <w:b/>
        </w:rPr>
      </w:pPr>
      <w:r w:rsidRPr="00CD729C">
        <w:rPr>
          <w:b/>
        </w:rPr>
        <w:t>Citi informācijas avoti</w:t>
      </w:r>
    </w:p>
    <w:p w14:paraId="3D395680" w14:textId="77777777" w:rsidR="009F6C80" w:rsidRPr="00CD729C" w:rsidRDefault="009F6C80" w:rsidP="009B4BB6">
      <w:pPr>
        <w:widowControl w:val="0"/>
        <w:numPr>
          <w:ilvl w:val="12"/>
          <w:numId w:val="0"/>
        </w:numPr>
        <w:tabs>
          <w:tab w:val="clear" w:pos="567"/>
        </w:tabs>
        <w:spacing w:line="240" w:lineRule="auto"/>
        <w:rPr>
          <w:color w:val="000000"/>
        </w:rPr>
      </w:pPr>
      <w:r w:rsidRPr="00CD729C">
        <w:t xml:space="preserve">Sīkāka informācija par šīm zālēm ir pieejama Eiropas Zāļu aģentūras </w:t>
      </w:r>
      <w:r w:rsidR="003B6C16" w:rsidRPr="00CD729C">
        <w:t xml:space="preserve">tīmekļa vietnē </w:t>
      </w:r>
      <w:r w:rsidRPr="00CD729C">
        <w:rPr>
          <w:color w:val="000000"/>
        </w:rPr>
        <w:t>http://www.ema.europa.eu</w:t>
      </w:r>
      <w:r w:rsidR="003B6C16" w:rsidRPr="00CD729C">
        <w:rPr>
          <w:color w:val="000000"/>
        </w:rPr>
        <w:t>.</w:t>
      </w:r>
    </w:p>
    <w:p w14:paraId="3D395812" w14:textId="3FF7F243" w:rsidR="009F6C80" w:rsidRPr="00593860" w:rsidRDefault="009F6C80" w:rsidP="00CF0F8A">
      <w:pPr>
        <w:widowControl w:val="0"/>
        <w:tabs>
          <w:tab w:val="clear" w:pos="567"/>
        </w:tabs>
        <w:spacing w:line="240" w:lineRule="auto"/>
        <w:ind w:left="567" w:hanging="567"/>
        <w:jc w:val="center"/>
        <w:rPr>
          <w:color w:val="000000"/>
          <w:szCs w:val="22"/>
        </w:rPr>
      </w:pPr>
    </w:p>
    <w:p w14:paraId="3D395813" w14:textId="77777777" w:rsidR="005117C7" w:rsidRPr="00593860" w:rsidRDefault="005117C7" w:rsidP="009B4BB6">
      <w:pPr>
        <w:widowControl w:val="0"/>
        <w:spacing w:line="240" w:lineRule="auto"/>
        <w:rPr>
          <w:color w:val="000000"/>
          <w:szCs w:val="22"/>
        </w:rPr>
      </w:pPr>
    </w:p>
    <w:sectPr w:rsidR="005117C7" w:rsidRPr="00593860" w:rsidSect="006243F9">
      <w:headerReference w:type="even" r:id="rId18"/>
      <w:headerReference w:type="default" r:id="rId19"/>
      <w:footerReference w:type="even" r:id="rId20"/>
      <w:footerReference w:type="default" r:id="rId21"/>
      <w:headerReference w:type="first" r:id="rId22"/>
      <w:footerReference w:type="first" r:id="rId23"/>
      <w:endnotePr>
        <w:numFmt w:val="decimal"/>
      </w:endnotePr>
      <w:pgSz w:w="11907" w:h="16840"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395842" w14:textId="77777777" w:rsidR="00C23AAA" w:rsidRDefault="00C23AAA">
      <w:r>
        <w:separator/>
      </w:r>
    </w:p>
  </w:endnote>
  <w:endnote w:type="continuationSeparator" w:id="0">
    <w:p w14:paraId="3D395843" w14:textId="77777777" w:rsidR="00C23AAA" w:rsidRDefault="00C23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MS Mincho"/>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Helv">
    <w:panose1 w:val="020B0604020202030204"/>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C1478" w14:textId="77777777" w:rsidR="00944918" w:rsidRDefault="009449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95844" w14:textId="6D28CC7F" w:rsidR="00C23AAA" w:rsidRDefault="00C23AAA">
    <w:pPr>
      <w:pStyle w:val="Footer"/>
      <w:tabs>
        <w:tab w:val="clear" w:pos="8930"/>
        <w:tab w:val="right" w:pos="8931"/>
      </w:tabs>
      <w:ind w:right="96"/>
      <w:jc w:val="center"/>
    </w:pPr>
    <w:r>
      <w:fldChar w:fldCharType="begin"/>
    </w:r>
    <w:r>
      <w:instrText xml:space="preserve"> EQ </w:instrText>
    </w:r>
    <w:r>
      <w:fldChar w:fldCharType="end"/>
    </w:r>
    <w:r w:rsidRPr="006243F9">
      <w:rPr>
        <w:rStyle w:val="PageNumber"/>
        <w:rFonts w:ascii="Arial" w:hAnsi="Arial" w:cs="Arial"/>
      </w:rPr>
      <w:fldChar w:fldCharType="begin"/>
    </w:r>
    <w:r w:rsidRPr="006243F9">
      <w:rPr>
        <w:rStyle w:val="PageNumber"/>
        <w:rFonts w:ascii="Arial" w:hAnsi="Arial" w:cs="Arial"/>
      </w:rPr>
      <w:instrText xml:space="preserve">PAGE  </w:instrText>
    </w:r>
    <w:r w:rsidRPr="006243F9">
      <w:rPr>
        <w:rStyle w:val="PageNumber"/>
        <w:rFonts w:ascii="Arial" w:hAnsi="Arial" w:cs="Arial"/>
      </w:rPr>
      <w:fldChar w:fldCharType="separate"/>
    </w:r>
    <w:r w:rsidR="00BD5036">
      <w:rPr>
        <w:rStyle w:val="PageNumber"/>
        <w:rFonts w:ascii="Arial" w:hAnsi="Arial" w:cs="Arial"/>
        <w:noProof/>
      </w:rPr>
      <w:t>103</w:t>
    </w:r>
    <w:r w:rsidRPr="006243F9">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95845" w14:textId="77777777" w:rsidR="00C23AAA" w:rsidRDefault="00C23AAA" w:rsidP="005365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D395846" w14:textId="77777777" w:rsidR="00C23AAA" w:rsidRDefault="00C23AAA">
    <w:pPr>
      <w:pStyle w:val="Footer"/>
      <w:tabs>
        <w:tab w:val="clear" w:pos="8930"/>
        <w:tab w:val="right" w:pos="8931"/>
      </w:tabs>
      <w:ind w:right="96"/>
      <w:jc w:val="center"/>
    </w:pPr>
    <w:r>
      <w:fldChar w:fldCharType="begin"/>
    </w:r>
    <w:r>
      <w:instrText xml:space="preserve"> EQ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95840" w14:textId="77777777" w:rsidR="00C23AAA" w:rsidRDefault="00C23AAA">
      <w:r>
        <w:separator/>
      </w:r>
    </w:p>
  </w:footnote>
  <w:footnote w:type="continuationSeparator" w:id="0">
    <w:p w14:paraId="3D395841" w14:textId="77777777" w:rsidR="00C23AAA" w:rsidRDefault="00C23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9DCB7" w14:textId="77777777" w:rsidR="00944918" w:rsidRDefault="009449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9BBB2" w14:textId="77777777" w:rsidR="00944918" w:rsidRDefault="009449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E1704" w14:textId="77777777" w:rsidR="00944918" w:rsidRDefault="00944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AD26A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DB058B"/>
    <w:multiLevelType w:val="hybridMultilevel"/>
    <w:tmpl w:val="19202D8A"/>
    <w:lvl w:ilvl="0" w:tplc="0CB60D60">
      <w:start w:val="1"/>
      <w:numFmt w:val="bullet"/>
      <w:lvlText w:val=""/>
      <w:lvlJc w:val="left"/>
      <w:pPr>
        <w:tabs>
          <w:tab w:val="num" w:pos="720"/>
        </w:tabs>
        <w:ind w:left="720" w:hanging="360"/>
      </w:pPr>
      <w:rPr>
        <w:rFonts w:ascii="Symbol" w:hAnsi="Symbol" w:hint="default"/>
        <w:color w:val="auto"/>
      </w:rPr>
    </w:lvl>
    <w:lvl w:ilvl="1" w:tplc="0F22DAC4">
      <w:numFmt w:val="bullet"/>
      <w:lvlText w:val="-"/>
      <w:lvlJc w:val="left"/>
      <w:pPr>
        <w:tabs>
          <w:tab w:val="num" w:pos="1440"/>
        </w:tabs>
        <w:ind w:left="1440" w:hanging="360"/>
      </w:pPr>
      <w:rPr>
        <w:rFonts w:ascii="Times New Roman" w:eastAsia="Times New Roman" w:hAnsi="Times New Roman" w:cs="Times New Roman" w:hint="default"/>
        <w:b/>
        <w:color w:val="0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7148A5"/>
    <w:multiLevelType w:val="hybridMultilevel"/>
    <w:tmpl w:val="54C0A426"/>
    <w:lvl w:ilvl="0" w:tplc="F24C0F7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E625DC"/>
    <w:multiLevelType w:val="hybridMultilevel"/>
    <w:tmpl w:val="494AFC9A"/>
    <w:lvl w:ilvl="0" w:tplc="66DC7050">
      <w:start w:val="200"/>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C76D66"/>
    <w:multiLevelType w:val="hybridMultilevel"/>
    <w:tmpl w:val="B112ABCC"/>
    <w:lvl w:ilvl="0" w:tplc="5CC6A978">
      <w:start w:val="2"/>
      <w:numFmt w:val="bullet"/>
      <w:lvlText w:val="-"/>
      <w:lvlJc w:val="left"/>
      <w:pPr>
        <w:tabs>
          <w:tab w:val="num" w:pos="927"/>
        </w:tabs>
        <w:ind w:left="927" w:hanging="360"/>
      </w:pPr>
      <w:rPr>
        <w:rFonts w:hint="default"/>
        <w:u w:val="none" w:color="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485E6A"/>
    <w:multiLevelType w:val="hybridMultilevel"/>
    <w:tmpl w:val="C1B24C64"/>
    <w:lvl w:ilvl="0" w:tplc="5DD064FC">
      <w:start w:val="1"/>
      <w:numFmt w:val="bullet"/>
      <w:lvlText w:val=""/>
      <w:lvlJc w:val="left"/>
      <w:pPr>
        <w:tabs>
          <w:tab w:val="num" w:pos="717"/>
        </w:tabs>
        <w:ind w:left="717" w:hanging="357"/>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30B05"/>
    <w:multiLevelType w:val="hybridMultilevel"/>
    <w:tmpl w:val="F70C3C58"/>
    <w:lvl w:ilvl="0" w:tplc="23443C8A">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70E78"/>
    <w:multiLevelType w:val="hybridMultilevel"/>
    <w:tmpl w:val="A2982986"/>
    <w:lvl w:ilvl="0" w:tplc="A470CBB0">
      <w:start w:val="1"/>
      <w:numFmt w:val="bullet"/>
      <w:lvlText w:val="-"/>
      <w:lvlJc w:val="left"/>
      <w:pPr>
        <w:tabs>
          <w:tab w:val="num" w:pos="360"/>
        </w:tabs>
        <w:ind w:left="360" w:hanging="360"/>
      </w:pPr>
      <w:rPr>
        <w:rFonts w:ascii="Times New Roman" w:hAnsi="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313F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844778"/>
    <w:multiLevelType w:val="hybridMultilevel"/>
    <w:tmpl w:val="90BCEB84"/>
    <w:lvl w:ilvl="0" w:tplc="66DC7050">
      <w:start w:val="200"/>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0E7440"/>
    <w:multiLevelType w:val="multilevel"/>
    <w:tmpl w:val="B1A46980"/>
    <w:lvl w:ilvl="0">
      <w:start w:val="8"/>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3645EBD"/>
    <w:multiLevelType w:val="hybridMultilevel"/>
    <w:tmpl w:val="A8CC254C"/>
    <w:lvl w:ilvl="0" w:tplc="04260001">
      <w:start w:val="1"/>
      <w:numFmt w:val="bullet"/>
      <w:lvlText w:val=""/>
      <w:lvlJc w:val="left"/>
      <w:pPr>
        <w:tabs>
          <w:tab w:val="num" w:pos="720"/>
        </w:tabs>
        <w:ind w:left="720" w:hanging="360"/>
      </w:pPr>
      <w:rPr>
        <w:rFonts w:ascii="Symbol" w:hAnsi="Symbol" w:hint="default"/>
      </w:rPr>
    </w:lvl>
    <w:lvl w:ilvl="1" w:tplc="04260003" w:tentative="1">
      <w:start w:val="1"/>
      <w:numFmt w:val="bullet"/>
      <w:lvlText w:val="o"/>
      <w:lvlJc w:val="left"/>
      <w:pPr>
        <w:tabs>
          <w:tab w:val="num" w:pos="1440"/>
        </w:tabs>
        <w:ind w:left="1440" w:hanging="360"/>
      </w:pPr>
      <w:rPr>
        <w:rFonts w:ascii="Courier New" w:hAnsi="Courier New" w:hint="default"/>
      </w:rPr>
    </w:lvl>
    <w:lvl w:ilvl="2" w:tplc="04260005" w:tentative="1">
      <w:start w:val="1"/>
      <w:numFmt w:val="bullet"/>
      <w:lvlText w:val=""/>
      <w:lvlJc w:val="left"/>
      <w:pPr>
        <w:tabs>
          <w:tab w:val="num" w:pos="2160"/>
        </w:tabs>
        <w:ind w:left="2160" w:hanging="360"/>
      </w:pPr>
      <w:rPr>
        <w:rFonts w:ascii="Wingdings" w:hAnsi="Wingdings" w:hint="default"/>
      </w:rPr>
    </w:lvl>
    <w:lvl w:ilvl="3" w:tplc="04260001" w:tentative="1">
      <w:start w:val="1"/>
      <w:numFmt w:val="bullet"/>
      <w:lvlText w:val=""/>
      <w:lvlJc w:val="left"/>
      <w:pPr>
        <w:tabs>
          <w:tab w:val="num" w:pos="2880"/>
        </w:tabs>
        <w:ind w:left="2880" w:hanging="360"/>
      </w:pPr>
      <w:rPr>
        <w:rFonts w:ascii="Symbol" w:hAnsi="Symbol" w:hint="default"/>
      </w:rPr>
    </w:lvl>
    <w:lvl w:ilvl="4" w:tplc="04260003" w:tentative="1">
      <w:start w:val="1"/>
      <w:numFmt w:val="bullet"/>
      <w:lvlText w:val="o"/>
      <w:lvlJc w:val="left"/>
      <w:pPr>
        <w:tabs>
          <w:tab w:val="num" w:pos="3600"/>
        </w:tabs>
        <w:ind w:left="3600" w:hanging="360"/>
      </w:pPr>
      <w:rPr>
        <w:rFonts w:ascii="Courier New" w:hAnsi="Courier New" w:hint="default"/>
      </w:rPr>
    </w:lvl>
    <w:lvl w:ilvl="5" w:tplc="04260005" w:tentative="1">
      <w:start w:val="1"/>
      <w:numFmt w:val="bullet"/>
      <w:lvlText w:val=""/>
      <w:lvlJc w:val="left"/>
      <w:pPr>
        <w:tabs>
          <w:tab w:val="num" w:pos="4320"/>
        </w:tabs>
        <w:ind w:left="4320" w:hanging="360"/>
      </w:pPr>
      <w:rPr>
        <w:rFonts w:ascii="Wingdings" w:hAnsi="Wingdings" w:hint="default"/>
      </w:rPr>
    </w:lvl>
    <w:lvl w:ilvl="6" w:tplc="04260001" w:tentative="1">
      <w:start w:val="1"/>
      <w:numFmt w:val="bullet"/>
      <w:lvlText w:val=""/>
      <w:lvlJc w:val="left"/>
      <w:pPr>
        <w:tabs>
          <w:tab w:val="num" w:pos="5040"/>
        </w:tabs>
        <w:ind w:left="5040" w:hanging="360"/>
      </w:pPr>
      <w:rPr>
        <w:rFonts w:ascii="Symbol" w:hAnsi="Symbol" w:hint="default"/>
      </w:rPr>
    </w:lvl>
    <w:lvl w:ilvl="7" w:tplc="04260003" w:tentative="1">
      <w:start w:val="1"/>
      <w:numFmt w:val="bullet"/>
      <w:lvlText w:val="o"/>
      <w:lvlJc w:val="left"/>
      <w:pPr>
        <w:tabs>
          <w:tab w:val="num" w:pos="5760"/>
        </w:tabs>
        <w:ind w:left="5760" w:hanging="360"/>
      </w:pPr>
      <w:rPr>
        <w:rFonts w:ascii="Courier New" w:hAnsi="Courier New" w:hint="default"/>
      </w:rPr>
    </w:lvl>
    <w:lvl w:ilvl="8" w:tplc="042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8D74B7"/>
    <w:multiLevelType w:val="singleLevel"/>
    <w:tmpl w:val="58960F68"/>
    <w:lvl w:ilvl="0">
      <w:start w:val="6"/>
      <w:numFmt w:val="bullet"/>
      <w:lvlText w:val="-"/>
      <w:lvlJc w:val="left"/>
      <w:pPr>
        <w:tabs>
          <w:tab w:val="num" w:pos="360"/>
        </w:tabs>
        <w:ind w:left="360" w:hanging="360"/>
      </w:pPr>
      <w:rPr>
        <w:rFonts w:hint="default"/>
      </w:rPr>
    </w:lvl>
  </w:abstractNum>
  <w:abstractNum w:abstractNumId="14" w15:restartNumberingAfterBreak="0">
    <w:nsid w:val="295B5358"/>
    <w:multiLevelType w:val="hybridMultilevel"/>
    <w:tmpl w:val="43FC7630"/>
    <w:lvl w:ilvl="0" w:tplc="A470CBB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B63049"/>
    <w:multiLevelType w:val="hybridMultilevel"/>
    <w:tmpl w:val="1366A3C8"/>
    <w:lvl w:ilvl="0" w:tplc="BEAA04CE">
      <w:start w:val="1"/>
      <w:numFmt w:val="bullet"/>
      <w:lvlText w:val=""/>
      <w:lvlJc w:val="left"/>
      <w:pPr>
        <w:tabs>
          <w:tab w:val="num" w:pos="357"/>
        </w:tabs>
        <w:ind w:left="357"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EE2DDA"/>
    <w:multiLevelType w:val="multilevel"/>
    <w:tmpl w:val="B1A46980"/>
    <w:lvl w:ilvl="0">
      <w:start w:val="8"/>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02A734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071CC6"/>
    <w:multiLevelType w:val="hybridMultilevel"/>
    <w:tmpl w:val="02C8F354"/>
    <w:lvl w:ilvl="0" w:tplc="66DC7050">
      <w:start w:val="200"/>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1362C6D"/>
    <w:multiLevelType w:val="hybridMultilevel"/>
    <w:tmpl w:val="DD4668E2"/>
    <w:lvl w:ilvl="0" w:tplc="A470CBB0">
      <w:start w:val="1"/>
      <w:numFmt w:val="bullet"/>
      <w:lvlText w:val="-"/>
      <w:lvlJc w:val="left"/>
      <w:pPr>
        <w:tabs>
          <w:tab w:val="num" w:pos="360"/>
        </w:tabs>
        <w:ind w:left="360" w:hanging="360"/>
      </w:pPr>
      <w:rPr>
        <w:rFonts w:ascii="Times New Roman" w:hAnsi="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3F07F1"/>
    <w:multiLevelType w:val="hybridMultilevel"/>
    <w:tmpl w:val="7A20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E559B6"/>
    <w:multiLevelType w:val="hybridMultilevel"/>
    <w:tmpl w:val="78DE65E4"/>
    <w:lvl w:ilvl="0" w:tplc="66DC7050">
      <w:start w:val="200"/>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7A45207"/>
    <w:multiLevelType w:val="hybridMultilevel"/>
    <w:tmpl w:val="76D656A0"/>
    <w:lvl w:ilvl="0" w:tplc="0CB60D6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BFE45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D581660"/>
    <w:multiLevelType w:val="multilevel"/>
    <w:tmpl w:val="B1A46980"/>
    <w:lvl w:ilvl="0">
      <w:start w:val="8"/>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15:restartNumberingAfterBreak="0">
    <w:nsid w:val="3FEE5B4C"/>
    <w:multiLevelType w:val="hybridMultilevel"/>
    <w:tmpl w:val="8DE069A2"/>
    <w:lvl w:ilvl="0" w:tplc="B4D4A7CA">
      <w:start w:val="1"/>
      <w:numFmt w:val="bullet"/>
      <w:lvlText w:val=""/>
      <w:lvlJc w:val="left"/>
      <w:pPr>
        <w:tabs>
          <w:tab w:val="num" w:pos="357"/>
        </w:tabs>
        <w:ind w:left="357" w:hanging="35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9D6658"/>
    <w:multiLevelType w:val="multilevel"/>
    <w:tmpl w:val="17F8F9DC"/>
    <w:lvl w:ilvl="0">
      <w:start w:val="1"/>
      <w:numFmt w:val="bullet"/>
      <w:pStyle w:val="Bullet"/>
      <w:lvlText w:val=""/>
      <w:lvlJc w:val="left"/>
      <w:pPr>
        <w:tabs>
          <w:tab w:val="num" w:pos="567"/>
        </w:tabs>
        <w:ind w:left="567" w:hanging="454"/>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CB3C47"/>
    <w:multiLevelType w:val="hybridMultilevel"/>
    <w:tmpl w:val="6C6834B2"/>
    <w:lvl w:ilvl="0" w:tplc="0CB60D6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9C5D5E"/>
    <w:multiLevelType w:val="hybridMultilevel"/>
    <w:tmpl w:val="E8661256"/>
    <w:lvl w:ilvl="0" w:tplc="0CB60D6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BE3006"/>
    <w:multiLevelType w:val="hybridMultilevel"/>
    <w:tmpl w:val="9CD662A2"/>
    <w:lvl w:ilvl="0" w:tplc="FFFFFFFF">
      <w:start w:val="1"/>
      <w:numFmt w:val="bullet"/>
      <w:lvlText w:val="-"/>
      <w:legacy w:legacy="1" w:legacySpace="0" w:legacyIndent="360"/>
      <w:lvlJc w:val="left"/>
      <w:pPr>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26644C"/>
    <w:multiLevelType w:val="hybridMultilevel"/>
    <w:tmpl w:val="FF8E949E"/>
    <w:lvl w:ilvl="0" w:tplc="B4D4A7CA">
      <w:start w:val="1"/>
      <w:numFmt w:val="bullet"/>
      <w:lvlText w:val=""/>
      <w:lvlJc w:val="left"/>
      <w:pPr>
        <w:tabs>
          <w:tab w:val="num" w:pos="357"/>
        </w:tabs>
        <w:ind w:left="357" w:hanging="35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5AC7A10"/>
    <w:multiLevelType w:val="hybridMultilevel"/>
    <w:tmpl w:val="36281CB2"/>
    <w:lvl w:ilvl="0" w:tplc="0CB60D6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A016E1"/>
    <w:multiLevelType w:val="hybridMultilevel"/>
    <w:tmpl w:val="D934633E"/>
    <w:lvl w:ilvl="0" w:tplc="A470CBB0">
      <w:start w:val="1"/>
      <w:numFmt w:val="bullet"/>
      <w:lvlText w:val="-"/>
      <w:lvlJc w:val="left"/>
      <w:pPr>
        <w:tabs>
          <w:tab w:val="num" w:pos="360"/>
        </w:tabs>
        <w:ind w:left="36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C11816"/>
    <w:multiLevelType w:val="hybridMultilevel"/>
    <w:tmpl w:val="6964B4B2"/>
    <w:lvl w:ilvl="0" w:tplc="0CB60D6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6DC4A8B"/>
    <w:multiLevelType w:val="hybridMultilevel"/>
    <w:tmpl w:val="07E43322"/>
    <w:lvl w:ilvl="0" w:tplc="A470CBB0">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80F5073"/>
    <w:multiLevelType w:val="hybridMultilevel"/>
    <w:tmpl w:val="2962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A34F9C"/>
    <w:multiLevelType w:val="hybridMultilevel"/>
    <w:tmpl w:val="384637CC"/>
    <w:lvl w:ilvl="0" w:tplc="A470CBB0">
      <w:start w:val="1"/>
      <w:numFmt w:val="bullet"/>
      <w:lvlText w:val="-"/>
      <w:lvlJc w:val="left"/>
      <w:pPr>
        <w:tabs>
          <w:tab w:val="num" w:pos="360"/>
        </w:tabs>
        <w:ind w:left="360" w:hanging="360"/>
      </w:pPr>
      <w:rPr>
        <w:rFonts w:ascii="Times New Roman" w:hAnsi="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267B4D"/>
    <w:multiLevelType w:val="hybridMultilevel"/>
    <w:tmpl w:val="3D1A9270"/>
    <w:lvl w:ilvl="0" w:tplc="A470CBB0">
      <w:start w:val="1"/>
      <w:numFmt w:val="bullet"/>
      <w:lvlText w:val="-"/>
      <w:lvlJc w:val="left"/>
      <w:pPr>
        <w:tabs>
          <w:tab w:val="num" w:pos="360"/>
        </w:tabs>
        <w:ind w:left="360" w:hanging="360"/>
      </w:pPr>
      <w:rPr>
        <w:rFonts w:ascii="Times New Roman" w:hAnsi="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C77669"/>
    <w:multiLevelType w:val="hybridMultilevel"/>
    <w:tmpl w:val="BADACE8C"/>
    <w:lvl w:ilvl="0" w:tplc="5DD064FC">
      <w:start w:val="1"/>
      <w:numFmt w:val="bullet"/>
      <w:lvlText w:val=""/>
      <w:lvlJc w:val="left"/>
      <w:pPr>
        <w:tabs>
          <w:tab w:val="num" w:pos="717"/>
        </w:tabs>
        <w:ind w:left="717" w:hanging="357"/>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23"/>
  </w:num>
  <w:num w:numId="4">
    <w:abstractNumId w:val="17"/>
  </w:num>
  <w:num w:numId="5">
    <w:abstractNumId w:val="9"/>
  </w:num>
  <w:num w:numId="6">
    <w:abstractNumId w:val="11"/>
  </w:num>
  <w:num w:numId="7">
    <w:abstractNumId w:val="16"/>
  </w:num>
  <w:num w:numId="8">
    <w:abstractNumId w:val="24"/>
  </w:num>
  <w:num w:numId="9">
    <w:abstractNumId w:val="0"/>
    <w:lvlOverride w:ilvl="0">
      <w:lvl w:ilvl="0">
        <w:start w:val="1"/>
        <w:numFmt w:val="bullet"/>
        <w:lvlText w:val="-"/>
        <w:legacy w:legacy="1" w:legacySpace="0" w:legacyIndent="360"/>
        <w:lvlJc w:val="left"/>
        <w:pPr>
          <w:ind w:left="360" w:hanging="360"/>
        </w:pPr>
      </w:lvl>
    </w:lvlOverride>
  </w:num>
  <w:num w:numId="10">
    <w:abstractNumId w:val="33"/>
  </w:num>
  <w:num w:numId="11">
    <w:abstractNumId w:val="22"/>
  </w:num>
  <w:num w:numId="12">
    <w:abstractNumId w:val="31"/>
  </w:num>
  <w:num w:numId="13">
    <w:abstractNumId w:val="28"/>
  </w:num>
  <w:num w:numId="14">
    <w:abstractNumId w:val="2"/>
  </w:num>
  <w:num w:numId="15">
    <w:abstractNumId w:val="27"/>
  </w:num>
  <w:num w:numId="16">
    <w:abstractNumId w:val="1"/>
  </w:num>
  <w:num w:numId="17">
    <w:abstractNumId w:val="3"/>
  </w:num>
  <w:num w:numId="18">
    <w:abstractNumId w:val="37"/>
  </w:num>
  <w:num w:numId="19">
    <w:abstractNumId w:val="34"/>
  </w:num>
  <w:num w:numId="20">
    <w:abstractNumId w:val="21"/>
  </w:num>
  <w:num w:numId="21">
    <w:abstractNumId w:val="38"/>
  </w:num>
  <w:num w:numId="22">
    <w:abstractNumId w:val="14"/>
  </w:num>
  <w:num w:numId="23">
    <w:abstractNumId w:val="29"/>
  </w:num>
  <w:num w:numId="24">
    <w:abstractNumId w:val="6"/>
  </w:num>
  <w:num w:numId="25">
    <w:abstractNumId w:val="30"/>
  </w:num>
  <w:num w:numId="26">
    <w:abstractNumId w:val="39"/>
  </w:num>
  <w:num w:numId="27">
    <w:abstractNumId w:val="25"/>
  </w:num>
  <w:num w:numId="28">
    <w:abstractNumId w:val="18"/>
  </w:num>
  <w:num w:numId="29">
    <w:abstractNumId w:val="19"/>
  </w:num>
  <w:num w:numId="30">
    <w:abstractNumId w:val="10"/>
  </w:num>
  <w:num w:numId="31">
    <w:abstractNumId w:val="4"/>
  </w:num>
  <w:num w:numId="32">
    <w:abstractNumId w:val="8"/>
  </w:num>
  <w:num w:numId="33">
    <w:abstractNumId w:val="32"/>
  </w:num>
  <w:num w:numId="34">
    <w:abstractNumId w:val="7"/>
  </w:num>
  <w:num w:numId="35">
    <w:abstractNumId w:val="15"/>
  </w:num>
  <w:num w:numId="36">
    <w:abstractNumId w:val="20"/>
  </w:num>
  <w:num w:numId="37">
    <w:abstractNumId w:val="36"/>
  </w:num>
  <w:num w:numId="38">
    <w:abstractNumId w:val="12"/>
  </w:num>
  <w:num w:numId="39">
    <w:abstractNumId w:val="35"/>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it-IT" w:vendorID="64" w:dllVersion="6" w:nlCheck="1" w:checkStyle="0"/>
  <w:activeWritingStyle w:appName="MSWord" w:lang="en-US" w:vendorID="64" w:dllVersion="6" w:nlCheck="1" w:checkStyle="0"/>
  <w:activeWritingStyle w:appName="MSWord" w:lang="es-ES" w:vendorID="64" w:dllVersion="6" w:nlCheck="1" w:checkStyle="0"/>
  <w:activeWritingStyle w:appName="MSWord" w:lang="fr-FR" w:vendorID="64" w:dllVersion="6" w:nlCheck="1" w:checkStyle="0"/>
  <w:activeWritingStyle w:appName="MSWord" w:lang="en-GB" w:vendorID="64" w:dllVersion="6" w:nlCheck="1" w:checkStyle="0"/>
  <w:activeWritingStyle w:appName="MSWord" w:lang="es-ES" w:vendorID="64" w:dllVersion="0" w:nlCheck="1" w:checkStyle="0"/>
  <w:activeWritingStyle w:appName="MSWord" w:lang="fr-FR" w:vendorID="64" w:dllVersion="0" w:nlCheck="1" w:checkStyle="0"/>
  <w:activeWritingStyle w:appName="MSWord" w:lang="fr-CH" w:vendorID="64" w:dllVersion="6" w:nlCheck="1" w:checkStyle="0"/>
  <w:activeWritingStyle w:appName="MSWord" w:lang="de-DE" w:vendorID="64" w:dllVersion="6" w:nlCheck="1" w:checkStyle="0"/>
  <w:activeWritingStyle w:appName="MSWord" w:lang="en-US" w:vendorID="8" w:dllVersion="513" w:checkStyle="1"/>
  <w:activeWritingStyle w:appName="MSWord" w:lang="en-GB" w:vendorID="8" w:dllVersion="513" w:checkStyle="1"/>
  <w:activeWritingStyle w:appName="MSWord" w:lang="fr-FR" w:vendorID="9" w:dllVersion="512" w:checkStyle="1"/>
  <w:activeWritingStyle w:appName="MSWord" w:lang="lv-LV" w:vendorID="71" w:dllVersion="512" w:checkStyle="1"/>
  <w:activeWritingStyle w:appName="MSWord" w:lang="it-IT" w:vendorID="3" w:dllVersion="517"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76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8662AA"/>
    <w:rsid w:val="000004C2"/>
    <w:rsid w:val="00000B11"/>
    <w:rsid w:val="00000FB3"/>
    <w:rsid w:val="000046C1"/>
    <w:rsid w:val="00005208"/>
    <w:rsid w:val="0000520C"/>
    <w:rsid w:val="00007844"/>
    <w:rsid w:val="00007A2C"/>
    <w:rsid w:val="00010A70"/>
    <w:rsid w:val="0001160C"/>
    <w:rsid w:val="00011FE9"/>
    <w:rsid w:val="000139F0"/>
    <w:rsid w:val="00013C53"/>
    <w:rsid w:val="00015703"/>
    <w:rsid w:val="00015FEC"/>
    <w:rsid w:val="0001751E"/>
    <w:rsid w:val="00020923"/>
    <w:rsid w:val="0002134C"/>
    <w:rsid w:val="0002221F"/>
    <w:rsid w:val="00022FD1"/>
    <w:rsid w:val="00023EAD"/>
    <w:rsid w:val="000245C7"/>
    <w:rsid w:val="00024C78"/>
    <w:rsid w:val="000261C4"/>
    <w:rsid w:val="000261F0"/>
    <w:rsid w:val="00026B36"/>
    <w:rsid w:val="000272C2"/>
    <w:rsid w:val="000272E0"/>
    <w:rsid w:val="000276C9"/>
    <w:rsid w:val="000304C2"/>
    <w:rsid w:val="00030C01"/>
    <w:rsid w:val="00030DED"/>
    <w:rsid w:val="00031B2E"/>
    <w:rsid w:val="00033189"/>
    <w:rsid w:val="00033A37"/>
    <w:rsid w:val="00035210"/>
    <w:rsid w:val="00035B73"/>
    <w:rsid w:val="0003617F"/>
    <w:rsid w:val="00036762"/>
    <w:rsid w:val="00037637"/>
    <w:rsid w:val="0004067C"/>
    <w:rsid w:val="00043473"/>
    <w:rsid w:val="000438E6"/>
    <w:rsid w:val="000461FF"/>
    <w:rsid w:val="000462C0"/>
    <w:rsid w:val="00047575"/>
    <w:rsid w:val="00050E57"/>
    <w:rsid w:val="00051870"/>
    <w:rsid w:val="00052000"/>
    <w:rsid w:val="00052101"/>
    <w:rsid w:val="00052A74"/>
    <w:rsid w:val="00053481"/>
    <w:rsid w:val="00053F73"/>
    <w:rsid w:val="00054D99"/>
    <w:rsid w:val="00055209"/>
    <w:rsid w:val="00055B57"/>
    <w:rsid w:val="00055FE8"/>
    <w:rsid w:val="000571CF"/>
    <w:rsid w:val="000578FD"/>
    <w:rsid w:val="00061FE1"/>
    <w:rsid w:val="00062E1F"/>
    <w:rsid w:val="00063533"/>
    <w:rsid w:val="00064570"/>
    <w:rsid w:val="000654C1"/>
    <w:rsid w:val="00065AC7"/>
    <w:rsid w:val="00066635"/>
    <w:rsid w:val="00066EBD"/>
    <w:rsid w:val="000714EA"/>
    <w:rsid w:val="00071DC5"/>
    <w:rsid w:val="00074AB9"/>
    <w:rsid w:val="000771DC"/>
    <w:rsid w:val="00077637"/>
    <w:rsid w:val="000776FB"/>
    <w:rsid w:val="000800AC"/>
    <w:rsid w:val="000800C6"/>
    <w:rsid w:val="000804D8"/>
    <w:rsid w:val="00080506"/>
    <w:rsid w:val="00080C19"/>
    <w:rsid w:val="00080C52"/>
    <w:rsid w:val="00082599"/>
    <w:rsid w:val="00084A98"/>
    <w:rsid w:val="00084AD4"/>
    <w:rsid w:val="0008524E"/>
    <w:rsid w:val="0008602F"/>
    <w:rsid w:val="00086A37"/>
    <w:rsid w:val="00087740"/>
    <w:rsid w:val="00090004"/>
    <w:rsid w:val="000917ED"/>
    <w:rsid w:val="000920FD"/>
    <w:rsid w:val="000927DD"/>
    <w:rsid w:val="000937E5"/>
    <w:rsid w:val="00093923"/>
    <w:rsid w:val="00094AC1"/>
    <w:rsid w:val="00096280"/>
    <w:rsid w:val="00096797"/>
    <w:rsid w:val="00096EFB"/>
    <w:rsid w:val="000A11AA"/>
    <w:rsid w:val="000A2154"/>
    <w:rsid w:val="000A320D"/>
    <w:rsid w:val="000A32EB"/>
    <w:rsid w:val="000A3A6C"/>
    <w:rsid w:val="000A4340"/>
    <w:rsid w:val="000A45ED"/>
    <w:rsid w:val="000A48F1"/>
    <w:rsid w:val="000A4A18"/>
    <w:rsid w:val="000A4AEA"/>
    <w:rsid w:val="000A4FC3"/>
    <w:rsid w:val="000A5AE0"/>
    <w:rsid w:val="000A5E78"/>
    <w:rsid w:val="000A647E"/>
    <w:rsid w:val="000B1313"/>
    <w:rsid w:val="000B264A"/>
    <w:rsid w:val="000B2D7E"/>
    <w:rsid w:val="000B2D8A"/>
    <w:rsid w:val="000B3F51"/>
    <w:rsid w:val="000B4067"/>
    <w:rsid w:val="000B407C"/>
    <w:rsid w:val="000B43F8"/>
    <w:rsid w:val="000B5AAA"/>
    <w:rsid w:val="000B5B10"/>
    <w:rsid w:val="000B7663"/>
    <w:rsid w:val="000C00D0"/>
    <w:rsid w:val="000C0172"/>
    <w:rsid w:val="000C16C8"/>
    <w:rsid w:val="000C1B8B"/>
    <w:rsid w:val="000C1F7F"/>
    <w:rsid w:val="000C697E"/>
    <w:rsid w:val="000C6D50"/>
    <w:rsid w:val="000D127F"/>
    <w:rsid w:val="000D1ED9"/>
    <w:rsid w:val="000D4226"/>
    <w:rsid w:val="000D4E1E"/>
    <w:rsid w:val="000D6130"/>
    <w:rsid w:val="000D7048"/>
    <w:rsid w:val="000E00AF"/>
    <w:rsid w:val="000E2705"/>
    <w:rsid w:val="000E27C8"/>
    <w:rsid w:val="000E3482"/>
    <w:rsid w:val="000E4F50"/>
    <w:rsid w:val="000E5595"/>
    <w:rsid w:val="000E5845"/>
    <w:rsid w:val="000E6FF4"/>
    <w:rsid w:val="000E758E"/>
    <w:rsid w:val="000E7B27"/>
    <w:rsid w:val="000E7D1E"/>
    <w:rsid w:val="000F1321"/>
    <w:rsid w:val="000F3ECA"/>
    <w:rsid w:val="000F40AC"/>
    <w:rsid w:val="000F46BF"/>
    <w:rsid w:val="000F4940"/>
    <w:rsid w:val="000F4CC7"/>
    <w:rsid w:val="000F4E2C"/>
    <w:rsid w:val="000F6B15"/>
    <w:rsid w:val="001002C7"/>
    <w:rsid w:val="00100E43"/>
    <w:rsid w:val="00101186"/>
    <w:rsid w:val="001029B9"/>
    <w:rsid w:val="00102FE3"/>
    <w:rsid w:val="00103233"/>
    <w:rsid w:val="0010403E"/>
    <w:rsid w:val="0010633C"/>
    <w:rsid w:val="00106B4E"/>
    <w:rsid w:val="00107358"/>
    <w:rsid w:val="00107DF5"/>
    <w:rsid w:val="00111792"/>
    <w:rsid w:val="00111F16"/>
    <w:rsid w:val="00112B85"/>
    <w:rsid w:val="001136E2"/>
    <w:rsid w:val="00114886"/>
    <w:rsid w:val="0011631A"/>
    <w:rsid w:val="00116AAF"/>
    <w:rsid w:val="00116C39"/>
    <w:rsid w:val="00116C7C"/>
    <w:rsid w:val="00117818"/>
    <w:rsid w:val="001206BC"/>
    <w:rsid w:val="00121A26"/>
    <w:rsid w:val="00124412"/>
    <w:rsid w:val="00124536"/>
    <w:rsid w:val="00124C66"/>
    <w:rsid w:val="001254D2"/>
    <w:rsid w:val="00130CC6"/>
    <w:rsid w:val="001321C5"/>
    <w:rsid w:val="0013252E"/>
    <w:rsid w:val="0013260E"/>
    <w:rsid w:val="00132B88"/>
    <w:rsid w:val="00132FE3"/>
    <w:rsid w:val="001330DF"/>
    <w:rsid w:val="00133942"/>
    <w:rsid w:val="0013549A"/>
    <w:rsid w:val="00135E0F"/>
    <w:rsid w:val="0014176E"/>
    <w:rsid w:val="00141E32"/>
    <w:rsid w:val="00142A7B"/>
    <w:rsid w:val="001440B0"/>
    <w:rsid w:val="0014658B"/>
    <w:rsid w:val="0014666D"/>
    <w:rsid w:val="00147B54"/>
    <w:rsid w:val="0015032C"/>
    <w:rsid w:val="0015173E"/>
    <w:rsid w:val="00151759"/>
    <w:rsid w:val="00151964"/>
    <w:rsid w:val="001519C4"/>
    <w:rsid w:val="00151E97"/>
    <w:rsid w:val="00152162"/>
    <w:rsid w:val="00152320"/>
    <w:rsid w:val="00153324"/>
    <w:rsid w:val="001545DB"/>
    <w:rsid w:val="00155708"/>
    <w:rsid w:val="001557BB"/>
    <w:rsid w:val="0015632D"/>
    <w:rsid w:val="001563A9"/>
    <w:rsid w:val="00156ADB"/>
    <w:rsid w:val="001572E4"/>
    <w:rsid w:val="001600DC"/>
    <w:rsid w:val="00160AB1"/>
    <w:rsid w:val="00162B69"/>
    <w:rsid w:val="0016555A"/>
    <w:rsid w:val="0016560A"/>
    <w:rsid w:val="00170EBB"/>
    <w:rsid w:val="00171909"/>
    <w:rsid w:val="00171BAB"/>
    <w:rsid w:val="001727D3"/>
    <w:rsid w:val="001734F4"/>
    <w:rsid w:val="001740B5"/>
    <w:rsid w:val="001756D8"/>
    <w:rsid w:val="00175B70"/>
    <w:rsid w:val="00176982"/>
    <w:rsid w:val="00180DA3"/>
    <w:rsid w:val="00180FC1"/>
    <w:rsid w:val="0018110A"/>
    <w:rsid w:val="00183A2B"/>
    <w:rsid w:val="00185C80"/>
    <w:rsid w:val="00185DE3"/>
    <w:rsid w:val="001907CA"/>
    <w:rsid w:val="0019252A"/>
    <w:rsid w:val="00192C3D"/>
    <w:rsid w:val="001931D5"/>
    <w:rsid w:val="001933AE"/>
    <w:rsid w:val="00193CD2"/>
    <w:rsid w:val="0019559B"/>
    <w:rsid w:val="00195CF5"/>
    <w:rsid w:val="00195DB7"/>
    <w:rsid w:val="00195EDE"/>
    <w:rsid w:val="001A0D4F"/>
    <w:rsid w:val="001A260E"/>
    <w:rsid w:val="001A2618"/>
    <w:rsid w:val="001A5F16"/>
    <w:rsid w:val="001A60BC"/>
    <w:rsid w:val="001A614D"/>
    <w:rsid w:val="001A7561"/>
    <w:rsid w:val="001B04A2"/>
    <w:rsid w:val="001B0663"/>
    <w:rsid w:val="001B33AD"/>
    <w:rsid w:val="001B3EE3"/>
    <w:rsid w:val="001B6755"/>
    <w:rsid w:val="001B6F98"/>
    <w:rsid w:val="001B7185"/>
    <w:rsid w:val="001B7713"/>
    <w:rsid w:val="001C285C"/>
    <w:rsid w:val="001C292E"/>
    <w:rsid w:val="001C2D84"/>
    <w:rsid w:val="001C31CE"/>
    <w:rsid w:val="001C5F4D"/>
    <w:rsid w:val="001C63E6"/>
    <w:rsid w:val="001C64D9"/>
    <w:rsid w:val="001C6681"/>
    <w:rsid w:val="001C6F0D"/>
    <w:rsid w:val="001D282A"/>
    <w:rsid w:val="001D438A"/>
    <w:rsid w:val="001D55CF"/>
    <w:rsid w:val="001D5EBD"/>
    <w:rsid w:val="001E0450"/>
    <w:rsid w:val="001E0795"/>
    <w:rsid w:val="001E2014"/>
    <w:rsid w:val="001E2077"/>
    <w:rsid w:val="001E2243"/>
    <w:rsid w:val="001E3BB0"/>
    <w:rsid w:val="001E3C71"/>
    <w:rsid w:val="001E4662"/>
    <w:rsid w:val="001E4915"/>
    <w:rsid w:val="001E59E8"/>
    <w:rsid w:val="001E63F7"/>
    <w:rsid w:val="001E65BD"/>
    <w:rsid w:val="001E7706"/>
    <w:rsid w:val="001F0851"/>
    <w:rsid w:val="001F0C3E"/>
    <w:rsid w:val="001F15ED"/>
    <w:rsid w:val="001F1C35"/>
    <w:rsid w:val="001F2160"/>
    <w:rsid w:val="001F2B92"/>
    <w:rsid w:val="001F2F7E"/>
    <w:rsid w:val="001F31B4"/>
    <w:rsid w:val="001F39FC"/>
    <w:rsid w:val="001F3E17"/>
    <w:rsid w:val="001F434B"/>
    <w:rsid w:val="001F5807"/>
    <w:rsid w:val="001F6085"/>
    <w:rsid w:val="001F6790"/>
    <w:rsid w:val="001F67D7"/>
    <w:rsid w:val="001F757C"/>
    <w:rsid w:val="001F79CA"/>
    <w:rsid w:val="001F7DD7"/>
    <w:rsid w:val="00200589"/>
    <w:rsid w:val="002006AD"/>
    <w:rsid w:val="00202D1D"/>
    <w:rsid w:val="00202ED7"/>
    <w:rsid w:val="00203C0B"/>
    <w:rsid w:val="00207526"/>
    <w:rsid w:val="00210240"/>
    <w:rsid w:val="00210B03"/>
    <w:rsid w:val="00211136"/>
    <w:rsid w:val="002138B0"/>
    <w:rsid w:val="00213B15"/>
    <w:rsid w:val="00216B35"/>
    <w:rsid w:val="0021759C"/>
    <w:rsid w:val="00217B64"/>
    <w:rsid w:val="002204A0"/>
    <w:rsid w:val="00220C59"/>
    <w:rsid w:val="00220E8E"/>
    <w:rsid w:val="002228C3"/>
    <w:rsid w:val="0022417B"/>
    <w:rsid w:val="002243CD"/>
    <w:rsid w:val="0022652B"/>
    <w:rsid w:val="00226560"/>
    <w:rsid w:val="002315E7"/>
    <w:rsid w:val="0023214C"/>
    <w:rsid w:val="00232354"/>
    <w:rsid w:val="00233152"/>
    <w:rsid w:val="002331E7"/>
    <w:rsid w:val="00233BC3"/>
    <w:rsid w:val="00233DD4"/>
    <w:rsid w:val="0023446F"/>
    <w:rsid w:val="00235067"/>
    <w:rsid w:val="00236385"/>
    <w:rsid w:val="002407E1"/>
    <w:rsid w:val="00241371"/>
    <w:rsid w:val="002422C7"/>
    <w:rsid w:val="00242AB3"/>
    <w:rsid w:val="00243653"/>
    <w:rsid w:val="00243A63"/>
    <w:rsid w:val="00243C3F"/>
    <w:rsid w:val="00243F1E"/>
    <w:rsid w:val="002443A3"/>
    <w:rsid w:val="00244695"/>
    <w:rsid w:val="00244859"/>
    <w:rsid w:val="00245751"/>
    <w:rsid w:val="00246718"/>
    <w:rsid w:val="00246C81"/>
    <w:rsid w:val="00247282"/>
    <w:rsid w:val="0025043B"/>
    <w:rsid w:val="002545A1"/>
    <w:rsid w:val="00254B49"/>
    <w:rsid w:val="00254F4D"/>
    <w:rsid w:val="002551A4"/>
    <w:rsid w:val="00255D2D"/>
    <w:rsid w:val="00256E3B"/>
    <w:rsid w:val="002571B9"/>
    <w:rsid w:val="00257D67"/>
    <w:rsid w:val="0026037C"/>
    <w:rsid w:val="00260548"/>
    <w:rsid w:val="00260A9A"/>
    <w:rsid w:val="0026108B"/>
    <w:rsid w:val="002611CB"/>
    <w:rsid w:val="00262904"/>
    <w:rsid w:val="0026322A"/>
    <w:rsid w:val="00263F92"/>
    <w:rsid w:val="00264D23"/>
    <w:rsid w:val="00264D69"/>
    <w:rsid w:val="0026609B"/>
    <w:rsid w:val="00267514"/>
    <w:rsid w:val="00270705"/>
    <w:rsid w:val="002707EF"/>
    <w:rsid w:val="00273DA6"/>
    <w:rsid w:val="00274BC7"/>
    <w:rsid w:val="00275701"/>
    <w:rsid w:val="00275964"/>
    <w:rsid w:val="00275CCD"/>
    <w:rsid w:val="00276FF8"/>
    <w:rsid w:val="00280460"/>
    <w:rsid w:val="00280C2F"/>
    <w:rsid w:val="0028312A"/>
    <w:rsid w:val="002841A9"/>
    <w:rsid w:val="00284A01"/>
    <w:rsid w:val="0028525A"/>
    <w:rsid w:val="0028581B"/>
    <w:rsid w:val="00285A81"/>
    <w:rsid w:val="00286878"/>
    <w:rsid w:val="00290110"/>
    <w:rsid w:val="002902CA"/>
    <w:rsid w:val="002913B2"/>
    <w:rsid w:val="002919B4"/>
    <w:rsid w:val="00291C6E"/>
    <w:rsid w:val="002928AC"/>
    <w:rsid w:val="00292C59"/>
    <w:rsid w:val="00293CD6"/>
    <w:rsid w:val="002945AD"/>
    <w:rsid w:val="00295920"/>
    <w:rsid w:val="00297353"/>
    <w:rsid w:val="002973C5"/>
    <w:rsid w:val="002A00E9"/>
    <w:rsid w:val="002A09B4"/>
    <w:rsid w:val="002A3051"/>
    <w:rsid w:val="002A3F50"/>
    <w:rsid w:val="002A5976"/>
    <w:rsid w:val="002A5994"/>
    <w:rsid w:val="002A5C9D"/>
    <w:rsid w:val="002A785F"/>
    <w:rsid w:val="002B1603"/>
    <w:rsid w:val="002B18C2"/>
    <w:rsid w:val="002B1E42"/>
    <w:rsid w:val="002B2529"/>
    <w:rsid w:val="002B5915"/>
    <w:rsid w:val="002B6AFE"/>
    <w:rsid w:val="002B6F41"/>
    <w:rsid w:val="002C1697"/>
    <w:rsid w:val="002C2BE2"/>
    <w:rsid w:val="002C2C3E"/>
    <w:rsid w:val="002C2FB2"/>
    <w:rsid w:val="002C36EE"/>
    <w:rsid w:val="002C3F8A"/>
    <w:rsid w:val="002C4DDB"/>
    <w:rsid w:val="002C5241"/>
    <w:rsid w:val="002C64A2"/>
    <w:rsid w:val="002C68A1"/>
    <w:rsid w:val="002D0B6A"/>
    <w:rsid w:val="002D0D0B"/>
    <w:rsid w:val="002D304F"/>
    <w:rsid w:val="002D3A55"/>
    <w:rsid w:val="002D4E7A"/>
    <w:rsid w:val="002D52EA"/>
    <w:rsid w:val="002D5547"/>
    <w:rsid w:val="002D58AF"/>
    <w:rsid w:val="002D5EF3"/>
    <w:rsid w:val="002D6641"/>
    <w:rsid w:val="002E2492"/>
    <w:rsid w:val="002E324A"/>
    <w:rsid w:val="002E3297"/>
    <w:rsid w:val="002E45C9"/>
    <w:rsid w:val="002E474E"/>
    <w:rsid w:val="002E49B5"/>
    <w:rsid w:val="002E6D66"/>
    <w:rsid w:val="002E6E75"/>
    <w:rsid w:val="002F0544"/>
    <w:rsid w:val="002F093A"/>
    <w:rsid w:val="002F268D"/>
    <w:rsid w:val="002F374F"/>
    <w:rsid w:val="002F3A88"/>
    <w:rsid w:val="002F4384"/>
    <w:rsid w:val="002F44FA"/>
    <w:rsid w:val="002F478D"/>
    <w:rsid w:val="002F57A1"/>
    <w:rsid w:val="002F590C"/>
    <w:rsid w:val="002F6903"/>
    <w:rsid w:val="002F6958"/>
    <w:rsid w:val="002F6AE9"/>
    <w:rsid w:val="00301C68"/>
    <w:rsid w:val="0030212A"/>
    <w:rsid w:val="00303470"/>
    <w:rsid w:val="00304EB8"/>
    <w:rsid w:val="003056D7"/>
    <w:rsid w:val="003100CA"/>
    <w:rsid w:val="003106D7"/>
    <w:rsid w:val="003115C8"/>
    <w:rsid w:val="00311A23"/>
    <w:rsid w:val="00313EB8"/>
    <w:rsid w:val="00313F9F"/>
    <w:rsid w:val="0031489F"/>
    <w:rsid w:val="00314DE6"/>
    <w:rsid w:val="00316C1C"/>
    <w:rsid w:val="00316DA7"/>
    <w:rsid w:val="003207D8"/>
    <w:rsid w:val="00320A2B"/>
    <w:rsid w:val="00320AAC"/>
    <w:rsid w:val="00320FC8"/>
    <w:rsid w:val="00321AE5"/>
    <w:rsid w:val="00322339"/>
    <w:rsid w:val="0032362D"/>
    <w:rsid w:val="003239C1"/>
    <w:rsid w:val="00323B35"/>
    <w:rsid w:val="00326485"/>
    <w:rsid w:val="00327757"/>
    <w:rsid w:val="00330654"/>
    <w:rsid w:val="003317E7"/>
    <w:rsid w:val="0033297C"/>
    <w:rsid w:val="003334F8"/>
    <w:rsid w:val="003350D9"/>
    <w:rsid w:val="00335734"/>
    <w:rsid w:val="00340055"/>
    <w:rsid w:val="00340A5E"/>
    <w:rsid w:val="00340FE6"/>
    <w:rsid w:val="00341FA1"/>
    <w:rsid w:val="0034216B"/>
    <w:rsid w:val="00342B86"/>
    <w:rsid w:val="00342D18"/>
    <w:rsid w:val="0034378B"/>
    <w:rsid w:val="003437C3"/>
    <w:rsid w:val="00345987"/>
    <w:rsid w:val="00345AD1"/>
    <w:rsid w:val="003468B4"/>
    <w:rsid w:val="003502BF"/>
    <w:rsid w:val="00352E24"/>
    <w:rsid w:val="0035507E"/>
    <w:rsid w:val="003555EA"/>
    <w:rsid w:val="00356C90"/>
    <w:rsid w:val="00357092"/>
    <w:rsid w:val="00357707"/>
    <w:rsid w:val="00357A28"/>
    <w:rsid w:val="0036052C"/>
    <w:rsid w:val="00360965"/>
    <w:rsid w:val="003618A5"/>
    <w:rsid w:val="003619AC"/>
    <w:rsid w:val="0036204D"/>
    <w:rsid w:val="0036450A"/>
    <w:rsid w:val="003655CE"/>
    <w:rsid w:val="00366C5D"/>
    <w:rsid w:val="00370538"/>
    <w:rsid w:val="00371589"/>
    <w:rsid w:val="0037160F"/>
    <w:rsid w:val="003719D1"/>
    <w:rsid w:val="00371C3B"/>
    <w:rsid w:val="00372413"/>
    <w:rsid w:val="00372595"/>
    <w:rsid w:val="0037323D"/>
    <w:rsid w:val="00373696"/>
    <w:rsid w:val="0037457F"/>
    <w:rsid w:val="00374874"/>
    <w:rsid w:val="00374BED"/>
    <w:rsid w:val="00374E37"/>
    <w:rsid w:val="003756E9"/>
    <w:rsid w:val="0037711B"/>
    <w:rsid w:val="00377F48"/>
    <w:rsid w:val="003803F8"/>
    <w:rsid w:val="00380D7E"/>
    <w:rsid w:val="003813CA"/>
    <w:rsid w:val="00383959"/>
    <w:rsid w:val="0038400D"/>
    <w:rsid w:val="003843D3"/>
    <w:rsid w:val="00385060"/>
    <w:rsid w:val="003852EB"/>
    <w:rsid w:val="00390B1D"/>
    <w:rsid w:val="0039228B"/>
    <w:rsid w:val="00393568"/>
    <w:rsid w:val="00394EE9"/>
    <w:rsid w:val="0039594B"/>
    <w:rsid w:val="00395DB1"/>
    <w:rsid w:val="00396B93"/>
    <w:rsid w:val="00396D2A"/>
    <w:rsid w:val="00396ED3"/>
    <w:rsid w:val="003A05D7"/>
    <w:rsid w:val="003A1F34"/>
    <w:rsid w:val="003A29D2"/>
    <w:rsid w:val="003A2B2E"/>
    <w:rsid w:val="003A2B68"/>
    <w:rsid w:val="003A32BE"/>
    <w:rsid w:val="003A3E2C"/>
    <w:rsid w:val="003A5D5A"/>
    <w:rsid w:val="003A7443"/>
    <w:rsid w:val="003A7629"/>
    <w:rsid w:val="003B0257"/>
    <w:rsid w:val="003B074E"/>
    <w:rsid w:val="003B0829"/>
    <w:rsid w:val="003B1142"/>
    <w:rsid w:val="003B2B68"/>
    <w:rsid w:val="003B2B72"/>
    <w:rsid w:val="003B2D8D"/>
    <w:rsid w:val="003B306A"/>
    <w:rsid w:val="003B5069"/>
    <w:rsid w:val="003B5A4A"/>
    <w:rsid w:val="003B5E32"/>
    <w:rsid w:val="003B6C16"/>
    <w:rsid w:val="003B6C84"/>
    <w:rsid w:val="003C05E3"/>
    <w:rsid w:val="003C52F6"/>
    <w:rsid w:val="003C79ED"/>
    <w:rsid w:val="003D0698"/>
    <w:rsid w:val="003D160F"/>
    <w:rsid w:val="003D2331"/>
    <w:rsid w:val="003D2627"/>
    <w:rsid w:val="003D3099"/>
    <w:rsid w:val="003D521A"/>
    <w:rsid w:val="003D6BFE"/>
    <w:rsid w:val="003D6E86"/>
    <w:rsid w:val="003E019E"/>
    <w:rsid w:val="003E06BA"/>
    <w:rsid w:val="003E0D22"/>
    <w:rsid w:val="003E0D2A"/>
    <w:rsid w:val="003E37B8"/>
    <w:rsid w:val="003E4FA6"/>
    <w:rsid w:val="003E6297"/>
    <w:rsid w:val="003E6698"/>
    <w:rsid w:val="003E7B32"/>
    <w:rsid w:val="003E7DC8"/>
    <w:rsid w:val="003F02F6"/>
    <w:rsid w:val="003F03AC"/>
    <w:rsid w:val="003F087B"/>
    <w:rsid w:val="003F1DC8"/>
    <w:rsid w:val="003F53A8"/>
    <w:rsid w:val="003F57F8"/>
    <w:rsid w:val="003F703E"/>
    <w:rsid w:val="003F7449"/>
    <w:rsid w:val="00400E1A"/>
    <w:rsid w:val="00403B09"/>
    <w:rsid w:val="004042E7"/>
    <w:rsid w:val="0040530A"/>
    <w:rsid w:val="00405E0B"/>
    <w:rsid w:val="004060D7"/>
    <w:rsid w:val="004066A6"/>
    <w:rsid w:val="00406C25"/>
    <w:rsid w:val="00406D1A"/>
    <w:rsid w:val="00407096"/>
    <w:rsid w:val="00407F0E"/>
    <w:rsid w:val="004104F2"/>
    <w:rsid w:val="00410A76"/>
    <w:rsid w:val="00410D7F"/>
    <w:rsid w:val="004116C4"/>
    <w:rsid w:val="00412E17"/>
    <w:rsid w:val="00412E40"/>
    <w:rsid w:val="00413495"/>
    <w:rsid w:val="00413E84"/>
    <w:rsid w:val="00414861"/>
    <w:rsid w:val="00415F90"/>
    <w:rsid w:val="004163D0"/>
    <w:rsid w:val="004200A6"/>
    <w:rsid w:val="0042590B"/>
    <w:rsid w:val="00426DC1"/>
    <w:rsid w:val="00430D65"/>
    <w:rsid w:val="00431150"/>
    <w:rsid w:val="004312E5"/>
    <w:rsid w:val="004325B4"/>
    <w:rsid w:val="00433898"/>
    <w:rsid w:val="00435808"/>
    <w:rsid w:val="00436D82"/>
    <w:rsid w:val="00437071"/>
    <w:rsid w:val="00437271"/>
    <w:rsid w:val="00437626"/>
    <w:rsid w:val="00444664"/>
    <w:rsid w:val="00445238"/>
    <w:rsid w:val="00445DA6"/>
    <w:rsid w:val="00446324"/>
    <w:rsid w:val="004466BA"/>
    <w:rsid w:val="004474B1"/>
    <w:rsid w:val="00451CE5"/>
    <w:rsid w:val="00452E28"/>
    <w:rsid w:val="00452FE8"/>
    <w:rsid w:val="00453D84"/>
    <w:rsid w:val="004540BA"/>
    <w:rsid w:val="00455AB6"/>
    <w:rsid w:val="0045647E"/>
    <w:rsid w:val="004574E2"/>
    <w:rsid w:val="00457A11"/>
    <w:rsid w:val="004625CA"/>
    <w:rsid w:val="004631A3"/>
    <w:rsid w:val="00464698"/>
    <w:rsid w:val="00464963"/>
    <w:rsid w:val="00465B1A"/>
    <w:rsid w:val="0046768A"/>
    <w:rsid w:val="004719CF"/>
    <w:rsid w:val="0047220D"/>
    <w:rsid w:val="00473880"/>
    <w:rsid w:val="00473DA1"/>
    <w:rsid w:val="004741CD"/>
    <w:rsid w:val="00475A4F"/>
    <w:rsid w:val="00475F30"/>
    <w:rsid w:val="00476ADA"/>
    <w:rsid w:val="00476DEC"/>
    <w:rsid w:val="0048201B"/>
    <w:rsid w:val="00484376"/>
    <w:rsid w:val="00485123"/>
    <w:rsid w:val="00491995"/>
    <w:rsid w:val="00491DE4"/>
    <w:rsid w:val="00492989"/>
    <w:rsid w:val="00495296"/>
    <w:rsid w:val="00496E3D"/>
    <w:rsid w:val="004A12D0"/>
    <w:rsid w:val="004A12EE"/>
    <w:rsid w:val="004A1D39"/>
    <w:rsid w:val="004A2616"/>
    <w:rsid w:val="004A2940"/>
    <w:rsid w:val="004A2976"/>
    <w:rsid w:val="004A2E03"/>
    <w:rsid w:val="004A38C0"/>
    <w:rsid w:val="004A4660"/>
    <w:rsid w:val="004A46EA"/>
    <w:rsid w:val="004A5EBD"/>
    <w:rsid w:val="004A76F0"/>
    <w:rsid w:val="004B0AB1"/>
    <w:rsid w:val="004B15B9"/>
    <w:rsid w:val="004B3147"/>
    <w:rsid w:val="004B49AE"/>
    <w:rsid w:val="004B6EF1"/>
    <w:rsid w:val="004B7700"/>
    <w:rsid w:val="004C0C62"/>
    <w:rsid w:val="004C0DD2"/>
    <w:rsid w:val="004C261F"/>
    <w:rsid w:val="004C381F"/>
    <w:rsid w:val="004C3D63"/>
    <w:rsid w:val="004C4DD5"/>
    <w:rsid w:val="004C4FE4"/>
    <w:rsid w:val="004C573C"/>
    <w:rsid w:val="004C5A1F"/>
    <w:rsid w:val="004C7135"/>
    <w:rsid w:val="004C7A89"/>
    <w:rsid w:val="004C7DC2"/>
    <w:rsid w:val="004D0B21"/>
    <w:rsid w:val="004D36FB"/>
    <w:rsid w:val="004D4634"/>
    <w:rsid w:val="004D50AC"/>
    <w:rsid w:val="004D53A7"/>
    <w:rsid w:val="004D7123"/>
    <w:rsid w:val="004D7F1C"/>
    <w:rsid w:val="004E068E"/>
    <w:rsid w:val="004E1144"/>
    <w:rsid w:val="004E47D6"/>
    <w:rsid w:val="004E4C4C"/>
    <w:rsid w:val="004E61FE"/>
    <w:rsid w:val="004E62A5"/>
    <w:rsid w:val="004E65B3"/>
    <w:rsid w:val="004E79F7"/>
    <w:rsid w:val="004F02B8"/>
    <w:rsid w:val="004F06D0"/>
    <w:rsid w:val="004F0A27"/>
    <w:rsid w:val="004F0F52"/>
    <w:rsid w:val="004F2E7F"/>
    <w:rsid w:val="004F64B7"/>
    <w:rsid w:val="004F6860"/>
    <w:rsid w:val="00500B2C"/>
    <w:rsid w:val="00500BE3"/>
    <w:rsid w:val="00501E96"/>
    <w:rsid w:val="005050A3"/>
    <w:rsid w:val="005050F4"/>
    <w:rsid w:val="00505B07"/>
    <w:rsid w:val="005066E6"/>
    <w:rsid w:val="00507982"/>
    <w:rsid w:val="005117C7"/>
    <w:rsid w:val="005140FE"/>
    <w:rsid w:val="00514BD0"/>
    <w:rsid w:val="00514C6B"/>
    <w:rsid w:val="00515456"/>
    <w:rsid w:val="00516207"/>
    <w:rsid w:val="00517415"/>
    <w:rsid w:val="005219EC"/>
    <w:rsid w:val="0052257F"/>
    <w:rsid w:val="005227A3"/>
    <w:rsid w:val="00524960"/>
    <w:rsid w:val="00524AEC"/>
    <w:rsid w:val="00525209"/>
    <w:rsid w:val="005257FF"/>
    <w:rsid w:val="00525902"/>
    <w:rsid w:val="00525B85"/>
    <w:rsid w:val="0052653D"/>
    <w:rsid w:val="005276D4"/>
    <w:rsid w:val="00527E66"/>
    <w:rsid w:val="00527EA3"/>
    <w:rsid w:val="00531072"/>
    <w:rsid w:val="005320C6"/>
    <w:rsid w:val="00535746"/>
    <w:rsid w:val="00535B4E"/>
    <w:rsid w:val="00535D9F"/>
    <w:rsid w:val="00536391"/>
    <w:rsid w:val="0053653B"/>
    <w:rsid w:val="0053790A"/>
    <w:rsid w:val="005402B4"/>
    <w:rsid w:val="00540F99"/>
    <w:rsid w:val="00541118"/>
    <w:rsid w:val="00541141"/>
    <w:rsid w:val="00542A75"/>
    <w:rsid w:val="00543F38"/>
    <w:rsid w:val="0054546C"/>
    <w:rsid w:val="00545A10"/>
    <w:rsid w:val="00545FF7"/>
    <w:rsid w:val="0054685F"/>
    <w:rsid w:val="005473FD"/>
    <w:rsid w:val="00547A98"/>
    <w:rsid w:val="00550738"/>
    <w:rsid w:val="005509B9"/>
    <w:rsid w:val="00551AD3"/>
    <w:rsid w:val="00552C22"/>
    <w:rsid w:val="00552E84"/>
    <w:rsid w:val="00554C32"/>
    <w:rsid w:val="00555C54"/>
    <w:rsid w:val="00556626"/>
    <w:rsid w:val="00557445"/>
    <w:rsid w:val="00560D93"/>
    <w:rsid w:val="00561153"/>
    <w:rsid w:val="00561580"/>
    <w:rsid w:val="00561785"/>
    <w:rsid w:val="00562AFF"/>
    <w:rsid w:val="00563C1C"/>
    <w:rsid w:val="00564E34"/>
    <w:rsid w:val="005655FB"/>
    <w:rsid w:val="00566A0A"/>
    <w:rsid w:val="00566DA4"/>
    <w:rsid w:val="00570634"/>
    <w:rsid w:val="00570D37"/>
    <w:rsid w:val="00570FB7"/>
    <w:rsid w:val="005719AE"/>
    <w:rsid w:val="00572BED"/>
    <w:rsid w:val="00574C88"/>
    <w:rsid w:val="00575233"/>
    <w:rsid w:val="00576614"/>
    <w:rsid w:val="0057783E"/>
    <w:rsid w:val="00580075"/>
    <w:rsid w:val="005815B5"/>
    <w:rsid w:val="00582859"/>
    <w:rsid w:val="00582A98"/>
    <w:rsid w:val="00583906"/>
    <w:rsid w:val="00584FEF"/>
    <w:rsid w:val="0058651E"/>
    <w:rsid w:val="005868AA"/>
    <w:rsid w:val="005879AB"/>
    <w:rsid w:val="00590874"/>
    <w:rsid w:val="00591451"/>
    <w:rsid w:val="00591F69"/>
    <w:rsid w:val="0059270C"/>
    <w:rsid w:val="0059294D"/>
    <w:rsid w:val="00592DD0"/>
    <w:rsid w:val="005930AB"/>
    <w:rsid w:val="00593860"/>
    <w:rsid w:val="00594D9B"/>
    <w:rsid w:val="0059753F"/>
    <w:rsid w:val="005A5C46"/>
    <w:rsid w:val="005A7064"/>
    <w:rsid w:val="005A7A0A"/>
    <w:rsid w:val="005A7F85"/>
    <w:rsid w:val="005B0AC0"/>
    <w:rsid w:val="005B10CB"/>
    <w:rsid w:val="005B2D93"/>
    <w:rsid w:val="005B42FC"/>
    <w:rsid w:val="005B4BC4"/>
    <w:rsid w:val="005B6D2B"/>
    <w:rsid w:val="005B6FF1"/>
    <w:rsid w:val="005B7254"/>
    <w:rsid w:val="005B7B07"/>
    <w:rsid w:val="005C000F"/>
    <w:rsid w:val="005C0146"/>
    <w:rsid w:val="005C1C2E"/>
    <w:rsid w:val="005C278C"/>
    <w:rsid w:val="005C411C"/>
    <w:rsid w:val="005C5450"/>
    <w:rsid w:val="005C6C84"/>
    <w:rsid w:val="005D5C57"/>
    <w:rsid w:val="005D5D3F"/>
    <w:rsid w:val="005D6D86"/>
    <w:rsid w:val="005D6F66"/>
    <w:rsid w:val="005E2501"/>
    <w:rsid w:val="005E47C7"/>
    <w:rsid w:val="005E577B"/>
    <w:rsid w:val="005E6A87"/>
    <w:rsid w:val="005E6C32"/>
    <w:rsid w:val="005E790C"/>
    <w:rsid w:val="005E7D1C"/>
    <w:rsid w:val="005F067E"/>
    <w:rsid w:val="005F10E2"/>
    <w:rsid w:val="005F30AB"/>
    <w:rsid w:val="005F5A5A"/>
    <w:rsid w:val="005F6636"/>
    <w:rsid w:val="005F78CA"/>
    <w:rsid w:val="00600D1C"/>
    <w:rsid w:val="00600D94"/>
    <w:rsid w:val="006024A2"/>
    <w:rsid w:val="00604C1F"/>
    <w:rsid w:val="00604CC3"/>
    <w:rsid w:val="006069CB"/>
    <w:rsid w:val="006106FC"/>
    <w:rsid w:val="006108F0"/>
    <w:rsid w:val="00612000"/>
    <w:rsid w:val="006128C2"/>
    <w:rsid w:val="00612F35"/>
    <w:rsid w:val="00614C5C"/>
    <w:rsid w:val="00615767"/>
    <w:rsid w:val="006176C0"/>
    <w:rsid w:val="0062139B"/>
    <w:rsid w:val="00621448"/>
    <w:rsid w:val="0062248B"/>
    <w:rsid w:val="00622BBC"/>
    <w:rsid w:val="006236F0"/>
    <w:rsid w:val="006243F9"/>
    <w:rsid w:val="00624E14"/>
    <w:rsid w:val="0062502C"/>
    <w:rsid w:val="00625356"/>
    <w:rsid w:val="0062727B"/>
    <w:rsid w:val="00627335"/>
    <w:rsid w:val="00627EC7"/>
    <w:rsid w:val="006302AE"/>
    <w:rsid w:val="006302D8"/>
    <w:rsid w:val="00630D98"/>
    <w:rsid w:val="0063218E"/>
    <w:rsid w:val="00632257"/>
    <w:rsid w:val="0063231F"/>
    <w:rsid w:val="006333F1"/>
    <w:rsid w:val="006337E8"/>
    <w:rsid w:val="00635720"/>
    <w:rsid w:val="00636D30"/>
    <w:rsid w:val="0063767F"/>
    <w:rsid w:val="0064178C"/>
    <w:rsid w:val="00642174"/>
    <w:rsid w:val="00643AF0"/>
    <w:rsid w:val="00644418"/>
    <w:rsid w:val="00645B56"/>
    <w:rsid w:val="00651206"/>
    <w:rsid w:val="00652DF5"/>
    <w:rsid w:val="00652F8E"/>
    <w:rsid w:val="00653BBF"/>
    <w:rsid w:val="00654F41"/>
    <w:rsid w:val="0065532B"/>
    <w:rsid w:val="00656CC9"/>
    <w:rsid w:val="00660371"/>
    <w:rsid w:val="006617BB"/>
    <w:rsid w:val="00661C52"/>
    <w:rsid w:val="00662A64"/>
    <w:rsid w:val="00662BB4"/>
    <w:rsid w:val="00664D1E"/>
    <w:rsid w:val="00666AC2"/>
    <w:rsid w:val="00667593"/>
    <w:rsid w:val="0067018C"/>
    <w:rsid w:val="006709D8"/>
    <w:rsid w:val="00670F3E"/>
    <w:rsid w:val="00671AE6"/>
    <w:rsid w:val="00671D45"/>
    <w:rsid w:val="006726B9"/>
    <w:rsid w:val="00675D73"/>
    <w:rsid w:val="006762C9"/>
    <w:rsid w:val="00680DBF"/>
    <w:rsid w:val="00683A0B"/>
    <w:rsid w:val="00684218"/>
    <w:rsid w:val="0068434B"/>
    <w:rsid w:val="006849EF"/>
    <w:rsid w:val="00684D27"/>
    <w:rsid w:val="00687D09"/>
    <w:rsid w:val="00690E48"/>
    <w:rsid w:val="006928BF"/>
    <w:rsid w:val="006939BA"/>
    <w:rsid w:val="00694200"/>
    <w:rsid w:val="0069482B"/>
    <w:rsid w:val="00694F5D"/>
    <w:rsid w:val="00695A9B"/>
    <w:rsid w:val="006962E8"/>
    <w:rsid w:val="006969A1"/>
    <w:rsid w:val="00697D65"/>
    <w:rsid w:val="006A22DA"/>
    <w:rsid w:val="006A29D3"/>
    <w:rsid w:val="006A4152"/>
    <w:rsid w:val="006A57A7"/>
    <w:rsid w:val="006A6D27"/>
    <w:rsid w:val="006A7AAF"/>
    <w:rsid w:val="006A7EB7"/>
    <w:rsid w:val="006B02F0"/>
    <w:rsid w:val="006B0EF2"/>
    <w:rsid w:val="006B16CF"/>
    <w:rsid w:val="006B1ABE"/>
    <w:rsid w:val="006B2AC8"/>
    <w:rsid w:val="006B3AAF"/>
    <w:rsid w:val="006B4C77"/>
    <w:rsid w:val="006B6AD2"/>
    <w:rsid w:val="006B6D5C"/>
    <w:rsid w:val="006B71E1"/>
    <w:rsid w:val="006B73A7"/>
    <w:rsid w:val="006C0834"/>
    <w:rsid w:val="006C0AEF"/>
    <w:rsid w:val="006C2BBC"/>
    <w:rsid w:val="006C4207"/>
    <w:rsid w:val="006C44AB"/>
    <w:rsid w:val="006C4929"/>
    <w:rsid w:val="006C5469"/>
    <w:rsid w:val="006C5A5D"/>
    <w:rsid w:val="006C5C4E"/>
    <w:rsid w:val="006C689A"/>
    <w:rsid w:val="006D1CFA"/>
    <w:rsid w:val="006D3055"/>
    <w:rsid w:val="006D3A8E"/>
    <w:rsid w:val="006D53EB"/>
    <w:rsid w:val="006D5C53"/>
    <w:rsid w:val="006E0F0A"/>
    <w:rsid w:val="006E19AB"/>
    <w:rsid w:val="006E2167"/>
    <w:rsid w:val="006E3A03"/>
    <w:rsid w:val="006E50EB"/>
    <w:rsid w:val="006E6BD2"/>
    <w:rsid w:val="006E6F7E"/>
    <w:rsid w:val="006E7C8E"/>
    <w:rsid w:val="006F13A2"/>
    <w:rsid w:val="006F43C8"/>
    <w:rsid w:val="006F4C97"/>
    <w:rsid w:val="006F571D"/>
    <w:rsid w:val="006F63F8"/>
    <w:rsid w:val="006F7511"/>
    <w:rsid w:val="007001E2"/>
    <w:rsid w:val="007010E4"/>
    <w:rsid w:val="00703128"/>
    <w:rsid w:val="00704389"/>
    <w:rsid w:val="00706900"/>
    <w:rsid w:val="00707573"/>
    <w:rsid w:val="00711345"/>
    <w:rsid w:val="007119FA"/>
    <w:rsid w:val="007130AD"/>
    <w:rsid w:val="007133C8"/>
    <w:rsid w:val="00713A9D"/>
    <w:rsid w:val="00713C17"/>
    <w:rsid w:val="00713C93"/>
    <w:rsid w:val="00713D6A"/>
    <w:rsid w:val="00714DFF"/>
    <w:rsid w:val="00720B86"/>
    <w:rsid w:val="007212FE"/>
    <w:rsid w:val="007228BD"/>
    <w:rsid w:val="007249D4"/>
    <w:rsid w:val="00724DB8"/>
    <w:rsid w:val="007256B8"/>
    <w:rsid w:val="007274CE"/>
    <w:rsid w:val="0072796A"/>
    <w:rsid w:val="00727FD5"/>
    <w:rsid w:val="00730AB4"/>
    <w:rsid w:val="00731DC1"/>
    <w:rsid w:val="00732DB1"/>
    <w:rsid w:val="00735412"/>
    <w:rsid w:val="007357F4"/>
    <w:rsid w:val="00736194"/>
    <w:rsid w:val="007362ED"/>
    <w:rsid w:val="00736C9F"/>
    <w:rsid w:val="00740AC0"/>
    <w:rsid w:val="00741BD7"/>
    <w:rsid w:val="007423D1"/>
    <w:rsid w:val="007428DF"/>
    <w:rsid w:val="007433AB"/>
    <w:rsid w:val="00743B0B"/>
    <w:rsid w:val="007463B3"/>
    <w:rsid w:val="00747B36"/>
    <w:rsid w:val="00747F44"/>
    <w:rsid w:val="00750541"/>
    <w:rsid w:val="007510C6"/>
    <w:rsid w:val="00753746"/>
    <w:rsid w:val="00754868"/>
    <w:rsid w:val="00763921"/>
    <w:rsid w:val="00766DAC"/>
    <w:rsid w:val="007673DA"/>
    <w:rsid w:val="00767DA1"/>
    <w:rsid w:val="0077203C"/>
    <w:rsid w:val="0077234A"/>
    <w:rsid w:val="00772E5F"/>
    <w:rsid w:val="007738D3"/>
    <w:rsid w:val="0077474B"/>
    <w:rsid w:val="00775642"/>
    <w:rsid w:val="00775D10"/>
    <w:rsid w:val="007763DD"/>
    <w:rsid w:val="00776A37"/>
    <w:rsid w:val="007803FF"/>
    <w:rsid w:val="0078173F"/>
    <w:rsid w:val="00781D0C"/>
    <w:rsid w:val="00783051"/>
    <w:rsid w:val="007832B8"/>
    <w:rsid w:val="00785363"/>
    <w:rsid w:val="00786BCF"/>
    <w:rsid w:val="00786D99"/>
    <w:rsid w:val="00787299"/>
    <w:rsid w:val="00793692"/>
    <w:rsid w:val="00794089"/>
    <w:rsid w:val="00794C76"/>
    <w:rsid w:val="00795690"/>
    <w:rsid w:val="00795C7D"/>
    <w:rsid w:val="00796EB3"/>
    <w:rsid w:val="007971BC"/>
    <w:rsid w:val="00797389"/>
    <w:rsid w:val="00797592"/>
    <w:rsid w:val="00797C43"/>
    <w:rsid w:val="00797ECA"/>
    <w:rsid w:val="007A0160"/>
    <w:rsid w:val="007A0E98"/>
    <w:rsid w:val="007A11EF"/>
    <w:rsid w:val="007A3A44"/>
    <w:rsid w:val="007A4142"/>
    <w:rsid w:val="007B1D08"/>
    <w:rsid w:val="007B228F"/>
    <w:rsid w:val="007B26BB"/>
    <w:rsid w:val="007B2A60"/>
    <w:rsid w:val="007B4394"/>
    <w:rsid w:val="007B47AB"/>
    <w:rsid w:val="007B481B"/>
    <w:rsid w:val="007B5EC9"/>
    <w:rsid w:val="007B6572"/>
    <w:rsid w:val="007B6A39"/>
    <w:rsid w:val="007B7958"/>
    <w:rsid w:val="007C0564"/>
    <w:rsid w:val="007C0B3A"/>
    <w:rsid w:val="007C1FA9"/>
    <w:rsid w:val="007C38DD"/>
    <w:rsid w:val="007C636C"/>
    <w:rsid w:val="007C6526"/>
    <w:rsid w:val="007C7BA0"/>
    <w:rsid w:val="007D0712"/>
    <w:rsid w:val="007D10D3"/>
    <w:rsid w:val="007D2A5E"/>
    <w:rsid w:val="007D3147"/>
    <w:rsid w:val="007D3F06"/>
    <w:rsid w:val="007D4A0B"/>
    <w:rsid w:val="007D4BF1"/>
    <w:rsid w:val="007D4C55"/>
    <w:rsid w:val="007D4D39"/>
    <w:rsid w:val="007D6BE8"/>
    <w:rsid w:val="007D6F58"/>
    <w:rsid w:val="007D7777"/>
    <w:rsid w:val="007E046A"/>
    <w:rsid w:val="007E1CA1"/>
    <w:rsid w:val="007E2E53"/>
    <w:rsid w:val="007E44DF"/>
    <w:rsid w:val="007E4D93"/>
    <w:rsid w:val="007E5075"/>
    <w:rsid w:val="007E5B5E"/>
    <w:rsid w:val="007E63FB"/>
    <w:rsid w:val="007E69C4"/>
    <w:rsid w:val="007E72CE"/>
    <w:rsid w:val="007E76EF"/>
    <w:rsid w:val="007E793D"/>
    <w:rsid w:val="007E79EC"/>
    <w:rsid w:val="007F084B"/>
    <w:rsid w:val="007F1380"/>
    <w:rsid w:val="007F285A"/>
    <w:rsid w:val="007F2DB4"/>
    <w:rsid w:val="007F2E9A"/>
    <w:rsid w:val="007F3921"/>
    <w:rsid w:val="007F48AD"/>
    <w:rsid w:val="007F4A8A"/>
    <w:rsid w:val="007F60A5"/>
    <w:rsid w:val="007F7447"/>
    <w:rsid w:val="00800D82"/>
    <w:rsid w:val="008014A3"/>
    <w:rsid w:val="00802B04"/>
    <w:rsid w:val="00802CD5"/>
    <w:rsid w:val="00802FF4"/>
    <w:rsid w:val="008033B9"/>
    <w:rsid w:val="0080367F"/>
    <w:rsid w:val="00803783"/>
    <w:rsid w:val="00805F2F"/>
    <w:rsid w:val="00806075"/>
    <w:rsid w:val="00807314"/>
    <w:rsid w:val="00814CFA"/>
    <w:rsid w:val="0081509B"/>
    <w:rsid w:val="00815238"/>
    <w:rsid w:val="00815405"/>
    <w:rsid w:val="0081577F"/>
    <w:rsid w:val="00815FBF"/>
    <w:rsid w:val="008162A2"/>
    <w:rsid w:val="008163DF"/>
    <w:rsid w:val="0081646F"/>
    <w:rsid w:val="0081691D"/>
    <w:rsid w:val="00816ADB"/>
    <w:rsid w:val="00817337"/>
    <w:rsid w:val="00821EA8"/>
    <w:rsid w:val="00825732"/>
    <w:rsid w:val="00826394"/>
    <w:rsid w:val="008263D5"/>
    <w:rsid w:val="00826D50"/>
    <w:rsid w:val="00826EE9"/>
    <w:rsid w:val="00827CFA"/>
    <w:rsid w:val="008328A8"/>
    <w:rsid w:val="00832AAF"/>
    <w:rsid w:val="00834189"/>
    <w:rsid w:val="00834540"/>
    <w:rsid w:val="00834BE2"/>
    <w:rsid w:val="00835259"/>
    <w:rsid w:val="00836286"/>
    <w:rsid w:val="00837C0A"/>
    <w:rsid w:val="00840D5F"/>
    <w:rsid w:val="00842F22"/>
    <w:rsid w:val="008435EE"/>
    <w:rsid w:val="00843965"/>
    <w:rsid w:val="00843EC6"/>
    <w:rsid w:val="00844889"/>
    <w:rsid w:val="00844FFB"/>
    <w:rsid w:val="008457D4"/>
    <w:rsid w:val="0084621F"/>
    <w:rsid w:val="00850929"/>
    <w:rsid w:val="00851A6B"/>
    <w:rsid w:val="00851D9F"/>
    <w:rsid w:val="0085249D"/>
    <w:rsid w:val="00852559"/>
    <w:rsid w:val="008526A8"/>
    <w:rsid w:val="00853C5F"/>
    <w:rsid w:val="00857C3E"/>
    <w:rsid w:val="00857D9F"/>
    <w:rsid w:val="00860531"/>
    <w:rsid w:val="00860706"/>
    <w:rsid w:val="00860BF0"/>
    <w:rsid w:val="008612D2"/>
    <w:rsid w:val="00861FAD"/>
    <w:rsid w:val="00861FCA"/>
    <w:rsid w:val="0086210A"/>
    <w:rsid w:val="00862F2C"/>
    <w:rsid w:val="00863031"/>
    <w:rsid w:val="00863FD9"/>
    <w:rsid w:val="0086403B"/>
    <w:rsid w:val="008640C1"/>
    <w:rsid w:val="00864911"/>
    <w:rsid w:val="00866277"/>
    <w:rsid w:val="008662AA"/>
    <w:rsid w:val="00866EB5"/>
    <w:rsid w:val="00866EEA"/>
    <w:rsid w:val="00867C5E"/>
    <w:rsid w:val="00872327"/>
    <w:rsid w:val="0087475D"/>
    <w:rsid w:val="008749B3"/>
    <w:rsid w:val="008752AD"/>
    <w:rsid w:val="008757F7"/>
    <w:rsid w:val="008762F2"/>
    <w:rsid w:val="008768DE"/>
    <w:rsid w:val="00877446"/>
    <w:rsid w:val="00877594"/>
    <w:rsid w:val="00877EB9"/>
    <w:rsid w:val="00881A2C"/>
    <w:rsid w:val="008820EB"/>
    <w:rsid w:val="00885724"/>
    <w:rsid w:val="00885DC5"/>
    <w:rsid w:val="00886C8C"/>
    <w:rsid w:val="0089116C"/>
    <w:rsid w:val="008915A2"/>
    <w:rsid w:val="00891892"/>
    <w:rsid w:val="00893B4C"/>
    <w:rsid w:val="00893F5E"/>
    <w:rsid w:val="00894C44"/>
    <w:rsid w:val="008966CD"/>
    <w:rsid w:val="00897357"/>
    <w:rsid w:val="008974FA"/>
    <w:rsid w:val="00897C6E"/>
    <w:rsid w:val="008A2414"/>
    <w:rsid w:val="008A2DEA"/>
    <w:rsid w:val="008A3A4E"/>
    <w:rsid w:val="008A5348"/>
    <w:rsid w:val="008A5354"/>
    <w:rsid w:val="008A5E75"/>
    <w:rsid w:val="008A6776"/>
    <w:rsid w:val="008A74E7"/>
    <w:rsid w:val="008B0206"/>
    <w:rsid w:val="008B0442"/>
    <w:rsid w:val="008B18D8"/>
    <w:rsid w:val="008B2560"/>
    <w:rsid w:val="008B34CE"/>
    <w:rsid w:val="008B4C64"/>
    <w:rsid w:val="008B4EC4"/>
    <w:rsid w:val="008C023B"/>
    <w:rsid w:val="008C0309"/>
    <w:rsid w:val="008C0CD0"/>
    <w:rsid w:val="008C3031"/>
    <w:rsid w:val="008C7D7B"/>
    <w:rsid w:val="008D3AA2"/>
    <w:rsid w:val="008D5207"/>
    <w:rsid w:val="008D5220"/>
    <w:rsid w:val="008D647B"/>
    <w:rsid w:val="008D676E"/>
    <w:rsid w:val="008D724E"/>
    <w:rsid w:val="008E02AD"/>
    <w:rsid w:val="008E2635"/>
    <w:rsid w:val="008E2ACD"/>
    <w:rsid w:val="008E3EAD"/>
    <w:rsid w:val="008E5EAF"/>
    <w:rsid w:val="008E7282"/>
    <w:rsid w:val="008E72E2"/>
    <w:rsid w:val="008E7452"/>
    <w:rsid w:val="008F0292"/>
    <w:rsid w:val="008F19A1"/>
    <w:rsid w:val="008F3539"/>
    <w:rsid w:val="008F3B04"/>
    <w:rsid w:val="008F5117"/>
    <w:rsid w:val="008F5AE1"/>
    <w:rsid w:val="0090097A"/>
    <w:rsid w:val="009026B1"/>
    <w:rsid w:val="00907E4D"/>
    <w:rsid w:val="00910225"/>
    <w:rsid w:val="00910ACD"/>
    <w:rsid w:val="00910E6C"/>
    <w:rsid w:val="00912109"/>
    <w:rsid w:val="00912C11"/>
    <w:rsid w:val="00915CB7"/>
    <w:rsid w:val="00915D73"/>
    <w:rsid w:val="00917296"/>
    <w:rsid w:val="009172D7"/>
    <w:rsid w:val="00920B72"/>
    <w:rsid w:val="00920C5A"/>
    <w:rsid w:val="009215DC"/>
    <w:rsid w:val="009217ED"/>
    <w:rsid w:val="009255B6"/>
    <w:rsid w:val="0092646F"/>
    <w:rsid w:val="00927FB4"/>
    <w:rsid w:val="009306DA"/>
    <w:rsid w:val="00930952"/>
    <w:rsid w:val="00931C1A"/>
    <w:rsid w:val="00931D3C"/>
    <w:rsid w:val="0093229E"/>
    <w:rsid w:val="00932B04"/>
    <w:rsid w:val="00933088"/>
    <w:rsid w:val="009338DC"/>
    <w:rsid w:val="00934C36"/>
    <w:rsid w:val="009358C6"/>
    <w:rsid w:val="009366F6"/>
    <w:rsid w:val="00937C5D"/>
    <w:rsid w:val="00937D73"/>
    <w:rsid w:val="00940508"/>
    <w:rsid w:val="00943A9D"/>
    <w:rsid w:val="00944918"/>
    <w:rsid w:val="0094537A"/>
    <w:rsid w:val="00946577"/>
    <w:rsid w:val="009466B7"/>
    <w:rsid w:val="00947212"/>
    <w:rsid w:val="00947955"/>
    <w:rsid w:val="009500DF"/>
    <w:rsid w:val="00950E1E"/>
    <w:rsid w:val="0095226D"/>
    <w:rsid w:val="0095267E"/>
    <w:rsid w:val="009528C9"/>
    <w:rsid w:val="0095388E"/>
    <w:rsid w:val="0095456E"/>
    <w:rsid w:val="00955318"/>
    <w:rsid w:val="00955AA5"/>
    <w:rsid w:val="009564F2"/>
    <w:rsid w:val="0095756E"/>
    <w:rsid w:val="00957F78"/>
    <w:rsid w:val="00961329"/>
    <w:rsid w:val="00962E27"/>
    <w:rsid w:val="00963048"/>
    <w:rsid w:val="00964367"/>
    <w:rsid w:val="00964BDC"/>
    <w:rsid w:val="00967D99"/>
    <w:rsid w:val="009700C2"/>
    <w:rsid w:val="0097047B"/>
    <w:rsid w:val="0097050B"/>
    <w:rsid w:val="009718B2"/>
    <w:rsid w:val="0097221E"/>
    <w:rsid w:val="0097235A"/>
    <w:rsid w:val="00972CD9"/>
    <w:rsid w:val="00973C59"/>
    <w:rsid w:val="009744E0"/>
    <w:rsid w:val="00974E8A"/>
    <w:rsid w:val="0097555D"/>
    <w:rsid w:val="009770CD"/>
    <w:rsid w:val="00977550"/>
    <w:rsid w:val="00977B0D"/>
    <w:rsid w:val="00980CCB"/>
    <w:rsid w:val="00983A69"/>
    <w:rsid w:val="00984B8B"/>
    <w:rsid w:val="00986019"/>
    <w:rsid w:val="00986A48"/>
    <w:rsid w:val="00987514"/>
    <w:rsid w:val="00991008"/>
    <w:rsid w:val="00991D2A"/>
    <w:rsid w:val="00992B6B"/>
    <w:rsid w:val="0099438E"/>
    <w:rsid w:val="00994C93"/>
    <w:rsid w:val="00995197"/>
    <w:rsid w:val="00995FAC"/>
    <w:rsid w:val="00997128"/>
    <w:rsid w:val="0099771E"/>
    <w:rsid w:val="009A0FF7"/>
    <w:rsid w:val="009A1FE0"/>
    <w:rsid w:val="009A2CFF"/>
    <w:rsid w:val="009A3992"/>
    <w:rsid w:val="009A428F"/>
    <w:rsid w:val="009A4DCD"/>
    <w:rsid w:val="009A5529"/>
    <w:rsid w:val="009A5C35"/>
    <w:rsid w:val="009A5D67"/>
    <w:rsid w:val="009A5FD5"/>
    <w:rsid w:val="009A77AE"/>
    <w:rsid w:val="009B00B4"/>
    <w:rsid w:val="009B1D29"/>
    <w:rsid w:val="009B4994"/>
    <w:rsid w:val="009B4BB6"/>
    <w:rsid w:val="009B638A"/>
    <w:rsid w:val="009C0A53"/>
    <w:rsid w:val="009C0D22"/>
    <w:rsid w:val="009C2DA1"/>
    <w:rsid w:val="009C4842"/>
    <w:rsid w:val="009C54AF"/>
    <w:rsid w:val="009C590A"/>
    <w:rsid w:val="009C5FA1"/>
    <w:rsid w:val="009C7938"/>
    <w:rsid w:val="009D1938"/>
    <w:rsid w:val="009D1E15"/>
    <w:rsid w:val="009D295B"/>
    <w:rsid w:val="009D4057"/>
    <w:rsid w:val="009D47E9"/>
    <w:rsid w:val="009D58CC"/>
    <w:rsid w:val="009D6A16"/>
    <w:rsid w:val="009D72E3"/>
    <w:rsid w:val="009D7F0C"/>
    <w:rsid w:val="009E0183"/>
    <w:rsid w:val="009E01F8"/>
    <w:rsid w:val="009E02A8"/>
    <w:rsid w:val="009E093E"/>
    <w:rsid w:val="009E0C3C"/>
    <w:rsid w:val="009E1205"/>
    <w:rsid w:val="009E2F68"/>
    <w:rsid w:val="009E3299"/>
    <w:rsid w:val="009E3686"/>
    <w:rsid w:val="009E40EA"/>
    <w:rsid w:val="009E4F83"/>
    <w:rsid w:val="009E5160"/>
    <w:rsid w:val="009E5D68"/>
    <w:rsid w:val="009E711D"/>
    <w:rsid w:val="009E7567"/>
    <w:rsid w:val="009F227D"/>
    <w:rsid w:val="009F24DA"/>
    <w:rsid w:val="009F29DE"/>
    <w:rsid w:val="009F3313"/>
    <w:rsid w:val="009F5D45"/>
    <w:rsid w:val="009F63E6"/>
    <w:rsid w:val="009F6C80"/>
    <w:rsid w:val="009F763E"/>
    <w:rsid w:val="00A002BE"/>
    <w:rsid w:val="00A0109B"/>
    <w:rsid w:val="00A02262"/>
    <w:rsid w:val="00A031F4"/>
    <w:rsid w:val="00A04030"/>
    <w:rsid w:val="00A04C41"/>
    <w:rsid w:val="00A10624"/>
    <w:rsid w:val="00A13B4E"/>
    <w:rsid w:val="00A13D50"/>
    <w:rsid w:val="00A140DC"/>
    <w:rsid w:val="00A154B5"/>
    <w:rsid w:val="00A1560D"/>
    <w:rsid w:val="00A159DE"/>
    <w:rsid w:val="00A16CCC"/>
    <w:rsid w:val="00A176D7"/>
    <w:rsid w:val="00A17E72"/>
    <w:rsid w:val="00A17FFE"/>
    <w:rsid w:val="00A211BA"/>
    <w:rsid w:val="00A22AE0"/>
    <w:rsid w:val="00A2424D"/>
    <w:rsid w:val="00A26484"/>
    <w:rsid w:val="00A26633"/>
    <w:rsid w:val="00A271FB"/>
    <w:rsid w:val="00A30A5C"/>
    <w:rsid w:val="00A32E0A"/>
    <w:rsid w:val="00A32F51"/>
    <w:rsid w:val="00A33104"/>
    <w:rsid w:val="00A33932"/>
    <w:rsid w:val="00A35901"/>
    <w:rsid w:val="00A36EF5"/>
    <w:rsid w:val="00A36F4C"/>
    <w:rsid w:val="00A3738E"/>
    <w:rsid w:val="00A41292"/>
    <w:rsid w:val="00A41CA4"/>
    <w:rsid w:val="00A41E10"/>
    <w:rsid w:val="00A42DDB"/>
    <w:rsid w:val="00A43ED5"/>
    <w:rsid w:val="00A46087"/>
    <w:rsid w:val="00A47178"/>
    <w:rsid w:val="00A475F1"/>
    <w:rsid w:val="00A47B28"/>
    <w:rsid w:val="00A51961"/>
    <w:rsid w:val="00A52149"/>
    <w:rsid w:val="00A5279B"/>
    <w:rsid w:val="00A537D2"/>
    <w:rsid w:val="00A54AAA"/>
    <w:rsid w:val="00A55CF4"/>
    <w:rsid w:val="00A55D62"/>
    <w:rsid w:val="00A55FC1"/>
    <w:rsid w:val="00A56255"/>
    <w:rsid w:val="00A568DB"/>
    <w:rsid w:val="00A60B5C"/>
    <w:rsid w:val="00A62BBE"/>
    <w:rsid w:val="00A63FAB"/>
    <w:rsid w:val="00A64570"/>
    <w:rsid w:val="00A671E8"/>
    <w:rsid w:val="00A716DB"/>
    <w:rsid w:val="00A717A5"/>
    <w:rsid w:val="00A74530"/>
    <w:rsid w:val="00A76817"/>
    <w:rsid w:val="00A77E8F"/>
    <w:rsid w:val="00A80AAE"/>
    <w:rsid w:val="00A82119"/>
    <w:rsid w:val="00A82506"/>
    <w:rsid w:val="00A83032"/>
    <w:rsid w:val="00A83CC9"/>
    <w:rsid w:val="00A84692"/>
    <w:rsid w:val="00A84FE2"/>
    <w:rsid w:val="00A8522C"/>
    <w:rsid w:val="00A874E7"/>
    <w:rsid w:val="00A87819"/>
    <w:rsid w:val="00A9018E"/>
    <w:rsid w:val="00A90A2B"/>
    <w:rsid w:val="00A91600"/>
    <w:rsid w:val="00A91A5F"/>
    <w:rsid w:val="00A96D1B"/>
    <w:rsid w:val="00AA2762"/>
    <w:rsid w:val="00AA2A43"/>
    <w:rsid w:val="00AA3A81"/>
    <w:rsid w:val="00AA40B0"/>
    <w:rsid w:val="00AA479B"/>
    <w:rsid w:val="00AA5777"/>
    <w:rsid w:val="00AA600E"/>
    <w:rsid w:val="00AA6695"/>
    <w:rsid w:val="00AA771C"/>
    <w:rsid w:val="00AB01F2"/>
    <w:rsid w:val="00AB123A"/>
    <w:rsid w:val="00AB198B"/>
    <w:rsid w:val="00AB1BFB"/>
    <w:rsid w:val="00AB2CD6"/>
    <w:rsid w:val="00AB35BB"/>
    <w:rsid w:val="00AB432C"/>
    <w:rsid w:val="00AB4F2C"/>
    <w:rsid w:val="00AB4FE5"/>
    <w:rsid w:val="00AB527B"/>
    <w:rsid w:val="00AB58B9"/>
    <w:rsid w:val="00AB633E"/>
    <w:rsid w:val="00AB65A9"/>
    <w:rsid w:val="00AB6706"/>
    <w:rsid w:val="00AB6D0C"/>
    <w:rsid w:val="00AB792E"/>
    <w:rsid w:val="00AC0586"/>
    <w:rsid w:val="00AC1BAD"/>
    <w:rsid w:val="00AC4BA5"/>
    <w:rsid w:val="00AC4D38"/>
    <w:rsid w:val="00AC4E6C"/>
    <w:rsid w:val="00AC57DB"/>
    <w:rsid w:val="00AC5E36"/>
    <w:rsid w:val="00AC671F"/>
    <w:rsid w:val="00AC7742"/>
    <w:rsid w:val="00AD011C"/>
    <w:rsid w:val="00AD1DD2"/>
    <w:rsid w:val="00AD29C7"/>
    <w:rsid w:val="00AD3F58"/>
    <w:rsid w:val="00AD510A"/>
    <w:rsid w:val="00AD57DA"/>
    <w:rsid w:val="00AD6ECC"/>
    <w:rsid w:val="00AD7509"/>
    <w:rsid w:val="00AE1906"/>
    <w:rsid w:val="00AE3B4E"/>
    <w:rsid w:val="00AE3C79"/>
    <w:rsid w:val="00AE7354"/>
    <w:rsid w:val="00AE78D1"/>
    <w:rsid w:val="00AF1580"/>
    <w:rsid w:val="00AF1E86"/>
    <w:rsid w:val="00AF2829"/>
    <w:rsid w:val="00AF328C"/>
    <w:rsid w:val="00AF3EF2"/>
    <w:rsid w:val="00AF46BF"/>
    <w:rsid w:val="00AF4C14"/>
    <w:rsid w:val="00AF58E9"/>
    <w:rsid w:val="00AF596F"/>
    <w:rsid w:val="00AF600F"/>
    <w:rsid w:val="00AF6440"/>
    <w:rsid w:val="00AF768F"/>
    <w:rsid w:val="00B029BB"/>
    <w:rsid w:val="00B03062"/>
    <w:rsid w:val="00B04A68"/>
    <w:rsid w:val="00B05210"/>
    <w:rsid w:val="00B102EF"/>
    <w:rsid w:val="00B109E2"/>
    <w:rsid w:val="00B10C27"/>
    <w:rsid w:val="00B112DE"/>
    <w:rsid w:val="00B1188E"/>
    <w:rsid w:val="00B11E41"/>
    <w:rsid w:val="00B14EE9"/>
    <w:rsid w:val="00B14FFF"/>
    <w:rsid w:val="00B2019E"/>
    <w:rsid w:val="00B20AF7"/>
    <w:rsid w:val="00B20E4D"/>
    <w:rsid w:val="00B21479"/>
    <w:rsid w:val="00B225E5"/>
    <w:rsid w:val="00B2355C"/>
    <w:rsid w:val="00B23FBF"/>
    <w:rsid w:val="00B24987"/>
    <w:rsid w:val="00B25B27"/>
    <w:rsid w:val="00B30641"/>
    <w:rsid w:val="00B3233B"/>
    <w:rsid w:val="00B3238B"/>
    <w:rsid w:val="00B3249E"/>
    <w:rsid w:val="00B33C51"/>
    <w:rsid w:val="00B34048"/>
    <w:rsid w:val="00B34AB3"/>
    <w:rsid w:val="00B3567D"/>
    <w:rsid w:val="00B35B9C"/>
    <w:rsid w:val="00B35D7A"/>
    <w:rsid w:val="00B3762D"/>
    <w:rsid w:val="00B37BDC"/>
    <w:rsid w:val="00B40010"/>
    <w:rsid w:val="00B400D3"/>
    <w:rsid w:val="00B428F8"/>
    <w:rsid w:val="00B43B2F"/>
    <w:rsid w:val="00B4466E"/>
    <w:rsid w:val="00B451F3"/>
    <w:rsid w:val="00B511D1"/>
    <w:rsid w:val="00B52BB0"/>
    <w:rsid w:val="00B53E28"/>
    <w:rsid w:val="00B54120"/>
    <w:rsid w:val="00B54B1C"/>
    <w:rsid w:val="00B5698C"/>
    <w:rsid w:val="00B56E53"/>
    <w:rsid w:val="00B5737F"/>
    <w:rsid w:val="00B575E2"/>
    <w:rsid w:val="00B57E44"/>
    <w:rsid w:val="00B60FC1"/>
    <w:rsid w:val="00B61AE4"/>
    <w:rsid w:val="00B637E3"/>
    <w:rsid w:val="00B647B3"/>
    <w:rsid w:val="00B649EF"/>
    <w:rsid w:val="00B64A28"/>
    <w:rsid w:val="00B64DC6"/>
    <w:rsid w:val="00B65953"/>
    <w:rsid w:val="00B662BA"/>
    <w:rsid w:val="00B679DD"/>
    <w:rsid w:val="00B7011F"/>
    <w:rsid w:val="00B7025E"/>
    <w:rsid w:val="00B70AC0"/>
    <w:rsid w:val="00B70AE5"/>
    <w:rsid w:val="00B772A8"/>
    <w:rsid w:val="00B803A0"/>
    <w:rsid w:val="00B8141C"/>
    <w:rsid w:val="00B859C1"/>
    <w:rsid w:val="00B85C01"/>
    <w:rsid w:val="00B91166"/>
    <w:rsid w:val="00B920EC"/>
    <w:rsid w:val="00B927F9"/>
    <w:rsid w:val="00B93DA9"/>
    <w:rsid w:val="00B94F59"/>
    <w:rsid w:val="00B956CA"/>
    <w:rsid w:val="00B96269"/>
    <w:rsid w:val="00B96A9B"/>
    <w:rsid w:val="00BA1575"/>
    <w:rsid w:val="00BA1617"/>
    <w:rsid w:val="00BA19B1"/>
    <w:rsid w:val="00BA2793"/>
    <w:rsid w:val="00BA3014"/>
    <w:rsid w:val="00BA3D5E"/>
    <w:rsid w:val="00BA3EF1"/>
    <w:rsid w:val="00BA4489"/>
    <w:rsid w:val="00BA4A62"/>
    <w:rsid w:val="00BA64DD"/>
    <w:rsid w:val="00BA6ABD"/>
    <w:rsid w:val="00BA6CEA"/>
    <w:rsid w:val="00BA797D"/>
    <w:rsid w:val="00BA7E7C"/>
    <w:rsid w:val="00BB23A1"/>
    <w:rsid w:val="00BB47FD"/>
    <w:rsid w:val="00BB4ADE"/>
    <w:rsid w:val="00BB5589"/>
    <w:rsid w:val="00BB6C65"/>
    <w:rsid w:val="00BB7592"/>
    <w:rsid w:val="00BB79C5"/>
    <w:rsid w:val="00BB7E1D"/>
    <w:rsid w:val="00BC0996"/>
    <w:rsid w:val="00BC43BC"/>
    <w:rsid w:val="00BC44F6"/>
    <w:rsid w:val="00BC6862"/>
    <w:rsid w:val="00BC6A3D"/>
    <w:rsid w:val="00BC7872"/>
    <w:rsid w:val="00BC7AD6"/>
    <w:rsid w:val="00BD02D9"/>
    <w:rsid w:val="00BD0C16"/>
    <w:rsid w:val="00BD1293"/>
    <w:rsid w:val="00BD2002"/>
    <w:rsid w:val="00BD2D86"/>
    <w:rsid w:val="00BD3E47"/>
    <w:rsid w:val="00BD4D89"/>
    <w:rsid w:val="00BD5036"/>
    <w:rsid w:val="00BD60C4"/>
    <w:rsid w:val="00BD6421"/>
    <w:rsid w:val="00BD6FF3"/>
    <w:rsid w:val="00BD7ED3"/>
    <w:rsid w:val="00BE0B34"/>
    <w:rsid w:val="00BE1F1D"/>
    <w:rsid w:val="00BE3B8E"/>
    <w:rsid w:val="00BE51C9"/>
    <w:rsid w:val="00BE5E3A"/>
    <w:rsid w:val="00BE6B51"/>
    <w:rsid w:val="00BE7A8B"/>
    <w:rsid w:val="00BF08E6"/>
    <w:rsid w:val="00BF0E9B"/>
    <w:rsid w:val="00BF34F9"/>
    <w:rsid w:val="00BF39FD"/>
    <w:rsid w:val="00BF3DA7"/>
    <w:rsid w:val="00BF4334"/>
    <w:rsid w:val="00BF53A0"/>
    <w:rsid w:val="00BF5E30"/>
    <w:rsid w:val="00BF675D"/>
    <w:rsid w:val="00C0006F"/>
    <w:rsid w:val="00C00894"/>
    <w:rsid w:val="00C0092C"/>
    <w:rsid w:val="00C00B82"/>
    <w:rsid w:val="00C00BEE"/>
    <w:rsid w:val="00C00E5D"/>
    <w:rsid w:val="00C0162F"/>
    <w:rsid w:val="00C0385D"/>
    <w:rsid w:val="00C0538B"/>
    <w:rsid w:val="00C05702"/>
    <w:rsid w:val="00C06329"/>
    <w:rsid w:val="00C06678"/>
    <w:rsid w:val="00C06DC1"/>
    <w:rsid w:val="00C06E39"/>
    <w:rsid w:val="00C07BFB"/>
    <w:rsid w:val="00C07F0F"/>
    <w:rsid w:val="00C1011F"/>
    <w:rsid w:val="00C102ED"/>
    <w:rsid w:val="00C1136B"/>
    <w:rsid w:val="00C11BD0"/>
    <w:rsid w:val="00C1262A"/>
    <w:rsid w:val="00C13245"/>
    <w:rsid w:val="00C15BAC"/>
    <w:rsid w:val="00C15F0B"/>
    <w:rsid w:val="00C21A11"/>
    <w:rsid w:val="00C21DCA"/>
    <w:rsid w:val="00C22288"/>
    <w:rsid w:val="00C23AAA"/>
    <w:rsid w:val="00C23BF6"/>
    <w:rsid w:val="00C2405F"/>
    <w:rsid w:val="00C241E7"/>
    <w:rsid w:val="00C24F63"/>
    <w:rsid w:val="00C25D51"/>
    <w:rsid w:val="00C25F96"/>
    <w:rsid w:val="00C27D3D"/>
    <w:rsid w:val="00C30023"/>
    <w:rsid w:val="00C300C9"/>
    <w:rsid w:val="00C300D9"/>
    <w:rsid w:val="00C3088C"/>
    <w:rsid w:val="00C31AC5"/>
    <w:rsid w:val="00C335C0"/>
    <w:rsid w:val="00C336A6"/>
    <w:rsid w:val="00C3458E"/>
    <w:rsid w:val="00C35EC8"/>
    <w:rsid w:val="00C36301"/>
    <w:rsid w:val="00C3691A"/>
    <w:rsid w:val="00C37AA8"/>
    <w:rsid w:val="00C37FF4"/>
    <w:rsid w:val="00C40791"/>
    <w:rsid w:val="00C40C5E"/>
    <w:rsid w:val="00C41280"/>
    <w:rsid w:val="00C41357"/>
    <w:rsid w:val="00C41BF3"/>
    <w:rsid w:val="00C42413"/>
    <w:rsid w:val="00C42EB8"/>
    <w:rsid w:val="00C43079"/>
    <w:rsid w:val="00C44061"/>
    <w:rsid w:val="00C455E2"/>
    <w:rsid w:val="00C5056E"/>
    <w:rsid w:val="00C51004"/>
    <w:rsid w:val="00C514BA"/>
    <w:rsid w:val="00C52DA9"/>
    <w:rsid w:val="00C53447"/>
    <w:rsid w:val="00C54AE4"/>
    <w:rsid w:val="00C54AED"/>
    <w:rsid w:val="00C552F7"/>
    <w:rsid w:val="00C55795"/>
    <w:rsid w:val="00C560EE"/>
    <w:rsid w:val="00C569C5"/>
    <w:rsid w:val="00C573CC"/>
    <w:rsid w:val="00C60DF4"/>
    <w:rsid w:val="00C60F7F"/>
    <w:rsid w:val="00C613BA"/>
    <w:rsid w:val="00C617CB"/>
    <w:rsid w:val="00C617DF"/>
    <w:rsid w:val="00C62870"/>
    <w:rsid w:val="00C62E82"/>
    <w:rsid w:val="00C63A8A"/>
    <w:rsid w:val="00C64C30"/>
    <w:rsid w:val="00C66414"/>
    <w:rsid w:val="00C674BE"/>
    <w:rsid w:val="00C72611"/>
    <w:rsid w:val="00C755CA"/>
    <w:rsid w:val="00C75DE9"/>
    <w:rsid w:val="00C7713B"/>
    <w:rsid w:val="00C77C1B"/>
    <w:rsid w:val="00C807A0"/>
    <w:rsid w:val="00C80AAC"/>
    <w:rsid w:val="00C81A51"/>
    <w:rsid w:val="00C821D2"/>
    <w:rsid w:val="00C82716"/>
    <w:rsid w:val="00C843E0"/>
    <w:rsid w:val="00C84DC9"/>
    <w:rsid w:val="00C86969"/>
    <w:rsid w:val="00C87502"/>
    <w:rsid w:val="00C9146D"/>
    <w:rsid w:val="00C95AFC"/>
    <w:rsid w:val="00C95C48"/>
    <w:rsid w:val="00C9638B"/>
    <w:rsid w:val="00C9755E"/>
    <w:rsid w:val="00CA28DB"/>
    <w:rsid w:val="00CA295D"/>
    <w:rsid w:val="00CA2EE3"/>
    <w:rsid w:val="00CA4908"/>
    <w:rsid w:val="00CA4B0A"/>
    <w:rsid w:val="00CA4E20"/>
    <w:rsid w:val="00CA5EAA"/>
    <w:rsid w:val="00CB3DD4"/>
    <w:rsid w:val="00CB47D6"/>
    <w:rsid w:val="00CB4B2E"/>
    <w:rsid w:val="00CB5386"/>
    <w:rsid w:val="00CB6614"/>
    <w:rsid w:val="00CB668E"/>
    <w:rsid w:val="00CB72D8"/>
    <w:rsid w:val="00CB7F87"/>
    <w:rsid w:val="00CC0E12"/>
    <w:rsid w:val="00CC0E42"/>
    <w:rsid w:val="00CC116F"/>
    <w:rsid w:val="00CC1341"/>
    <w:rsid w:val="00CC13A4"/>
    <w:rsid w:val="00CC2D0B"/>
    <w:rsid w:val="00CC3164"/>
    <w:rsid w:val="00CC3621"/>
    <w:rsid w:val="00CC4C47"/>
    <w:rsid w:val="00CC5724"/>
    <w:rsid w:val="00CC7C7E"/>
    <w:rsid w:val="00CC7FCC"/>
    <w:rsid w:val="00CD055F"/>
    <w:rsid w:val="00CD0F2A"/>
    <w:rsid w:val="00CD12C0"/>
    <w:rsid w:val="00CD2226"/>
    <w:rsid w:val="00CD238E"/>
    <w:rsid w:val="00CD2C35"/>
    <w:rsid w:val="00CD3015"/>
    <w:rsid w:val="00CD312F"/>
    <w:rsid w:val="00CD505A"/>
    <w:rsid w:val="00CD6841"/>
    <w:rsid w:val="00CD68E7"/>
    <w:rsid w:val="00CD729C"/>
    <w:rsid w:val="00CE1E25"/>
    <w:rsid w:val="00CE2759"/>
    <w:rsid w:val="00CE3531"/>
    <w:rsid w:val="00CE3CA6"/>
    <w:rsid w:val="00CE49B6"/>
    <w:rsid w:val="00CE542E"/>
    <w:rsid w:val="00CE567F"/>
    <w:rsid w:val="00CE6412"/>
    <w:rsid w:val="00CE7441"/>
    <w:rsid w:val="00CF0749"/>
    <w:rsid w:val="00CF0877"/>
    <w:rsid w:val="00CF0F8A"/>
    <w:rsid w:val="00CF1A26"/>
    <w:rsid w:val="00CF1B7C"/>
    <w:rsid w:val="00CF3EFD"/>
    <w:rsid w:val="00CF5E6E"/>
    <w:rsid w:val="00CF6DEB"/>
    <w:rsid w:val="00CF71A7"/>
    <w:rsid w:val="00D007DC"/>
    <w:rsid w:val="00D01904"/>
    <w:rsid w:val="00D02DB9"/>
    <w:rsid w:val="00D03185"/>
    <w:rsid w:val="00D032A0"/>
    <w:rsid w:val="00D03B04"/>
    <w:rsid w:val="00D04DCF"/>
    <w:rsid w:val="00D05968"/>
    <w:rsid w:val="00D074D7"/>
    <w:rsid w:val="00D112D2"/>
    <w:rsid w:val="00D11BA2"/>
    <w:rsid w:val="00D11CD8"/>
    <w:rsid w:val="00D11F69"/>
    <w:rsid w:val="00D12BAD"/>
    <w:rsid w:val="00D13030"/>
    <w:rsid w:val="00D13227"/>
    <w:rsid w:val="00D13C9E"/>
    <w:rsid w:val="00D16177"/>
    <w:rsid w:val="00D20A35"/>
    <w:rsid w:val="00D21D47"/>
    <w:rsid w:val="00D21FF5"/>
    <w:rsid w:val="00D23200"/>
    <w:rsid w:val="00D242B9"/>
    <w:rsid w:val="00D24908"/>
    <w:rsid w:val="00D24F0A"/>
    <w:rsid w:val="00D2558A"/>
    <w:rsid w:val="00D275AF"/>
    <w:rsid w:val="00D2768E"/>
    <w:rsid w:val="00D3114E"/>
    <w:rsid w:val="00D3167F"/>
    <w:rsid w:val="00D34D21"/>
    <w:rsid w:val="00D34F13"/>
    <w:rsid w:val="00D35446"/>
    <w:rsid w:val="00D363B0"/>
    <w:rsid w:val="00D367D1"/>
    <w:rsid w:val="00D3700E"/>
    <w:rsid w:val="00D377F1"/>
    <w:rsid w:val="00D37FB2"/>
    <w:rsid w:val="00D4204D"/>
    <w:rsid w:val="00D426E3"/>
    <w:rsid w:val="00D4283F"/>
    <w:rsid w:val="00D43B6F"/>
    <w:rsid w:val="00D442D3"/>
    <w:rsid w:val="00D448E8"/>
    <w:rsid w:val="00D44BFC"/>
    <w:rsid w:val="00D44C26"/>
    <w:rsid w:val="00D46074"/>
    <w:rsid w:val="00D46509"/>
    <w:rsid w:val="00D47A97"/>
    <w:rsid w:val="00D5038C"/>
    <w:rsid w:val="00D5143A"/>
    <w:rsid w:val="00D51DBE"/>
    <w:rsid w:val="00D51F79"/>
    <w:rsid w:val="00D522D4"/>
    <w:rsid w:val="00D5265E"/>
    <w:rsid w:val="00D54999"/>
    <w:rsid w:val="00D551DA"/>
    <w:rsid w:val="00D56F45"/>
    <w:rsid w:val="00D60F14"/>
    <w:rsid w:val="00D60F8A"/>
    <w:rsid w:val="00D61178"/>
    <w:rsid w:val="00D6144F"/>
    <w:rsid w:val="00D622C4"/>
    <w:rsid w:val="00D62F25"/>
    <w:rsid w:val="00D64571"/>
    <w:rsid w:val="00D646D2"/>
    <w:rsid w:val="00D64DBF"/>
    <w:rsid w:val="00D66460"/>
    <w:rsid w:val="00D667F1"/>
    <w:rsid w:val="00D66D1E"/>
    <w:rsid w:val="00D677BF"/>
    <w:rsid w:val="00D70BE7"/>
    <w:rsid w:val="00D7130B"/>
    <w:rsid w:val="00D71436"/>
    <w:rsid w:val="00D71C21"/>
    <w:rsid w:val="00D72848"/>
    <w:rsid w:val="00D75362"/>
    <w:rsid w:val="00D75927"/>
    <w:rsid w:val="00D75946"/>
    <w:rsid w:val="00D80839"/>
    <w:rsid w:val="00D80B02"/>
    <w:rsid w:val="00D81AA2"/>
    <w:rsid w:val="00D83566"/>
    <w:rsid w:val="00D8391B"/>
    <w:rsid w:val="00D83C68"/>
    <w:rsid w:val="00D84D54"/>
    <w:rsid w:val="00D84E7C"/>
    <w:rsid w:val="00D858C6"/>
    <w:rsid w:val="00D94AF7"/>
    <w:rsid w:val="00D94F10"/>
    <w:rsid w:val="00D95724"/>
    <w:rsid w:val="00D97C6C"/>
    <w:rsid w:val="00D97E54"/>
    <w:rsid w:val="00DA1F89"/>
    <w:rsid w:val="00DA3429"/>
    <w:rsid w:val="00DA4E2B"/>
    <w:rsid w:val="00DA553B"/>
    <w:rsid w:val="00DA5E22"/>
    <w:rsid w:val="00DA6B22"/>
    <w:rsid w:val="00DB0A19"/>
    <w:rsid w:val="00DB0D98"/>
    <w:rsid w:val="00DB1380"/>
    <w:rsid w:val="00DB2767"/>
    <w:rsid w:val="00DB2E42"/>
    <w:rsid w:val="00DB31FE"/>
    <w:rsid w:val="00DB690E"/>
    <w:rsid w:val="00DB6C50"/>
    <w:rsid w:val="00DB74ED"/>
    <w:rsid w:val="00DC111E"/>
    <w:rsid w:val="00DC2646"/>
    <w:rsid w:val="00DC2BF3"/>
    <w:rsid w:val="00DC32B2"/>
    <w:rsid w:val="00DC3D3C"/>
    <w:rsid w:val="00DC4272"/>
    <w:rsid w:val="00DC6275"/>
    <w:rsid w:val="00DC7024"/>
    <w:rsid w:val="00DC7226"/>
    <w:rsid w:val="00DD0777"/>
    <w:rsid w:val="00DD08C3"/>
    <w:rsid w:val="00DD2211"/>
    <w:rsid w:val="00DD2BE1"/>
    <w:rsid w:val="00DD4A62"/>
    <w:rsid w:val="00DD5512"/>
    <w:rsid w:val="00DD6BF8"/>
    <w:rsid w:val="00DE18FB"/>
    <w:rsid w:val="00DE1F3B"/>
    <w:rsid w:val="00DE23BD"/>
    <w:rsid w:val="00DE2563"/>
    <w:rsid w:val="00DE3CFB"/>
    <w:rsid w:val="00DE4D13"/>
    <w:rsid w:val="00DE4F96"/>
    <w:rsid w:val="00DE5EA7"/>
    <w:rsid w:val="00DE6024"/>
    <w:rsid w:val="00DE6A71"/>
    <w:rsid w:val="00DE6D15"/>
    <w:rsid w:val="00DE7003"/>
    <w:rsid w:val="00DE7514"/>
    <w:rsid w:val="00DE772D"/>
    <w:rsid w:val="00DF0BD0"/>
    <w:rsid w:val="00DF128E"/>
    <w:rsid w:val="00DF2A0D"/>
    <w:rsid w:val="00DF33CA"/>
    <w:rsid w:val="00DF3532"/>
    <w:rsid w:val="00DF3541"/>
    <w:rsid w:val="00DF3932"/>
    <w:rsid w:val="00DF40E1"/>
    <w:rsid w:val="00E00F8C"/>
    <w:rsid w:val="00E01287"/>
    <w:rsid w:val="00E01316"/>
    <w:rsid w:val="00E021A1"/>
    <w:rsid w:val="00E048EA"/>
    <w:rsid w:val="00E05B71"/>
    <w:rsid w:val="00E07156"/>
    <w:rsid w:val="00E073C6"/>
    <w:rsid w:val="00E12BD7"/>
    <w:rsid w:val="00E1677E"/>
    <w:rsid w:val="00E16B34"/>
    <w:rsid w:val="00E17F62"/>
    <w:rsid w:val="00E2052D"/>
    <w:rsid w:val="00E206B7"/>
    <w:rsid w:val="00E2143A"/>
    <w:rsid w:val="00E21ABA"/>
    <w:rsid w:val="00E22F1B"/>
    <w:rsid w:val="00E233F8"/>
    <w:rsid w:val="00E239A8"/>
    <w:rsid w:val="00E24C30"/>
    <w:rsid w:val="00E25695"/>
    <w:rsid w:val="00E268C3"/>
    <w:rsid w:val="00E26AA0"/>
    <w:rsid w:val="00E27546"/>
    <w:rsid w:val="00E27C53"/>
    <w:rsid w:val="00E3444C"/>
    <w:rsid w:val="00E3488E"/>
    <w:rsid w:val="00E34BEE"/>
    <w:rsid w:val="00E34CC5"/>
    <w:rsid w:val="00E35099"/>
    <w:rsid w:val="00E352EF"/>
    <w:rsid w:val="00E357A8"/>
    <w:rsid w:val="00E36007"/>
    <w:rsid w:val="00E36D64"/>
    <w:rsid w:val="00E3742A"/>
    <w:rsid w:val="00E430E3"/>
    <w:rsid w:val="00E44FC3"/>
    <w:rsid w:val="00E45725"/>
    <w:rsid w:val="00E45FDC"/>
    <w:rsid w:val="00E46076"/>
    <w:rsid w:val="00E50672"/>
    <w:rsid w:val="00E52E9E"/>
    <w:rsid w:val="00E53127"/>
    <w:rsid w:val="00E533A7"/>
    <w:rsid w:val="00E54C81"/>
    <w:rsid w:val="00E55B0F"/>
    <w:rsid w:val="00E57ED1"/>
    <w:rsid w:val="00E605F5"/>
    <w:rsid w:val="00E6099A"/>
    <w:rsid w:val="00E62CB1"/>
    <w:rsid w:val="00E62FCB"/>
    <w:rsid w:val="00E63C12"/>
    <w:rsid w:val="00E6512F"/>
    <w:rsid w:val="00E66EB7"/>
    <w:rsid w:val="00E67811"/>
    <w:rsid w:val="00E67D7D"/>
    <w:rsid w:val="00E67E03"/>
    <w:rsid w:val="00E70352"/>
    <w:rsid w:val="00E72001"/>
    <w:rsid w:val="00E72FFF"/>
    <w:rsid w:val="00E74900"/>
    <w:rsid w:val="00E74B9B"/>
    <w:rsid w:val="00E74EF1"/>
    <w:rsid w:val="00E75047"/>
    <w:rsid w:val="00E7596A"/>
    <w:rsid w:val="00E76085"/>
    <w:rsid w:val="00E76E7F"/>
    <w:rsid w:val="00E825C0"/>
    <w:rsid w:val="00E8270A"/>
    <w:rsid w:val="00E8272D"/>
    <w:rsid w:val="00E829EA"/>
    <w:rsid w:val="00E83379"/>
    <w:rsid w:val="00E841C2"/>
    <w:rsid w:val="00E851BB"/>
    <w:rsid w:val="00E853EB"/>
    <w:rsid w:val="00E85BDC"/>
    <w:rsid w:val="00E875FC"/>
    <w:rsid w:val="00E87703"/>
    <w:rsid w:val="00E9173D"/>
    <w:rsid w:val="00E9189E"/>
    <w:rsid w:val="00E91AE9"/>
    <w:rsid w:val="00E92A12"/>
    <w:rsid w:val="00E92CA8"/>
    <w:rsid w:val="00E9339F"/>
    <w:rsid w:val="00E93EEE"/>
    <w:rsid w:val="00E94ED5"/>
    <w:rsid w:val="00E954FE"/>
    <w:rsid w:val="00E9681B"/>
    <w:rsid w:val="00EA00E0"/>
    <w:rsid w:val="00EA04B3"/>
    <w:rsid w:val="00EA0DD2"/>
    <w:rsid w:val="00EA200B"/>
    <w:rsid w:val="00EA333F"/>
    <w:rsid w:val="00EA437A"/>
    <w:rsid w:val="00EA4B18"/>
    <w:rsid w:val="00EA6D9C"/>
    <w:rsid w:val="00EB0DFC"/>
    <w:rsid w:val="00EB0EAA"/>
    <w:rsid w:val="00EB2B89"/>
    <w:rsid w:val="00EB2DC3"/>
    <w:rsid w:val="00EB334D"/>
    <w:rsid w:val="00EB35A8"/>
    <w:rsid w:val="00EB4B95"/>
    <w:rsid w:val="00EB5895"/>
    <w:rsid w:val="00EB6E7B"/>
    <w:rsid w:val="00EB7ECA"/>
    <w:rsid w:val="00EC2029"/>
    <w:rsid w:val="00EC39D5"/>
    <w:rsid w:val="00EC50C3"/>
    <w:rsid w:val="00EC61D5"/>
    <w:rsid w:val="00ED0358"/>
    <w:rsid w:val="00ED196C"/>
    <w:rsid w:val="00ED2991"/>
    <w:rsid w:val="00ED2E0D"/>
    <w:rsid w:val="00ED4BB0"/>
    <w:rsid w:val="00ED784B"/>
    <w:rsid w:val="00ED7908"/>
    <w:rsid w:val="00ED7B76"/>
    <w:rsid w:val="00EE0671"/>
    <w:rsid w:val="00EE1698"/>
    <w:rsid w:val="00EE1B86"/>
    <w:rsid w:val="00EE2551"/>
    <w:rsid w:val="00EE4F45"/>
    <w:rsid w:val="00EE5488"/>
    <w:rsid w:val="00EE5520"/>
    <w:rsid w:val="00EE589C"/>
    <w:rsid w:val="00EE6D73"/>
    <w:rsid w:val="00EE6E12"/>
    <w:rsid w:val="00EE7052"/>
    <w:rsid w:val="00EE7A30"/>
    <w:rsid w:val="00EE7FD8"/>
    <w:rsid w:val="00EF0126"/>
    <w:rsid w:val="00EF017E"/>
    <w:rsid w:val="00EF2ABF"/>
    <w:rsid w:val="00EF4360"/>
    <w:rsid w:val="00EF45AF"/>
    <w:rsid w:val="00EF4650"/>
    <w:rsid w:val="00EF4777"/>
    <w:rsid w:val="00EF5A96"/>
    <w:rsid w:val="00F00394"/>
    <w:rsid w:val="00F0149E"/>
    <w:rsid w:val="00F01743"/>
    <w:rsid w:val="00F04A03"/>
    <w:rsid w:val="00F05C89"/>
    <w:rsid w:val="00F0735F"/>
    <w:rsid w:val="00F0756C"/>
    <w:rsid w:val="00F07A1E"/>
    <w:rsid w:val="00F10A50"/>
    <w:rsid w:val="00F13435"/>
    <w:rsid w:val="00F13FAC"/>
    <w:rsid w:val="00F1429F"/>
    <w:rsid w:val="00F147D5"/>
    <w:rsid w:val="00F16F89"/>
    <w:rsid w:val="00F1732B"/>
    <w:rsid w:val="00F210C5"/>
    <w:rsid w:val="00F210D1"/>
    <w:rsid w:val="00F2428B"/>
    <w:rsid w:val="00F2490C"/>
    <w:rsid w:val="00F253A4"/>
    <w:rsid w:val="00F25EF8"/>
    <w:rsid w:val="00F303A3"/>
    <w:rsid w:val="00F31B2A"/>
    <w:rsid w:val="00F32C8E"/>
    <w:rsid w:val="00F33F85"/>
    <w:rsid w:val="00F3427B"/>
    <w:rsid w:val="00F349C6"/>
    <w:rsid w:val="00F35294"/>
    <w:rsid w:val="00F42338"/>
    <w:rsid w:val="00F45251"/>
    <w:rsid w:val="00F45963"/>
    <w:rsid w:val="00F469B3"/>
    <w:rsid w:val="00F46CB8"/>
    <w:rsid w:val="00F472D0"/>
    <w:rsid w:val="00F47C6C"/>
    <w:rsid w:val="00F50B38"/>
    <w:rsid w:val="00F51815"/>
    <w:rsid w:val="00F51CFE"/>
    <w:rsid w:val="00F51E0B"/>
    <w:rsid w:val="00F528A3"/>
    <w:rsid w:val="00F52C97"/>
    <w:rsid w:val="00F52D31"/>
    <w:rsid w:val="00F5312A"/>
    <w:rsid w:val="00F533DC"/>
    <w:rsid w:val="00F54205"/>
    <w:rsid w:val="00F55B58"/>
    <w:rsid w:val="00F56C4A"/>
    <w:rsid w:val="00F56D26"/>
    <w:rsid w:val="00F6034F"/>
    <w:rsid w:val="00F6108B"/>
    <w:rsid w:val="00F6242D"/>
    <w:rsid w:val="00F626A7"/>
    <w:rsid w:val="00F6505D"/>
    <w:rsid w:val="00F66272"/>
    <w:rsid w:val="00F666AB"/>
    <w:rsid w:val="00F673A4"/>
    <w:rsid w:val="00F67662"/>
    <w:rsid w:val="00F67AEC"/>
    <w:rsid w:val="00F700F5"/>
    <w:rsid w:val="00F714FF"/>
    <w:rsid w:val="00F72972"/>
    <w:rsid w:val="00F72C18"/>
    <w:rsid w:val="00F73682"/>
    <w:rsid w:val="00F736B4"/>
    <w:rsid w:val="00F74EF9"/>
    <w:rsid w:val="00F75C3D"/>
    <w:rsid w:val="00F7774B"/>
    <w:rsid w:val="00F80239"/>
    <w:rsid w:val="00F80A7C"/>
    <w:rsid w:val="00F812F3"/>
    <w:rsid w:val="00F817F9"/>
    <w:rsid w:val="00F81D79"/>
    <w:rsid w:val="00F82C4E"/>
    <w:rsid w:val="00F83C00"/>
    <w:rsid w:val="00F84B7C"/>
    <w:rsid w:val="00F867B0"/>
    <w:rsid w:val="00F87E2E"/>
    <w:rsid w:val="00F9048E"/>
    <w:rsid w:val="00F908C5"/>
    <w:rsid w:val="00F90B66"/>
    <w:rsid w:val="00F90EA4"/>
    <w:rsid w:val="00F922BD"/>
    <w:rsid w:val="00F94C20"/>
    <w:rsid w:val="00F95994"/>
    <w:rsid w:val="00F959BC"/>
    <w:rsid w:val="00F96594"/>
    <w:rsid w:val="00F96ECC"/>
    <w:rsid w:val="00FA0054"/>
    <w:rsid w:val="00FA0877"/>
    <w:rsid w:val="00FA09D2"/>
    <w:rsid w:val="00FA0ED9"/>
    <w:rsid w:val="00FA1137"/>
    <w:rsid w:val="00FA4B99"/>
    <w:rsid w:val="00FA4BBF"/>
    <w:rsid w:val="00FA5703"/>
    <w:rsid w:val="00FA7553"/>
    <w:rsid w:val="00FB5575"/>
    <w:rsid w:val="00FB5FD0"/>
    <w:rsid w:val="00FB6413"/>
    <w:rsid w:val="00FB695B"/>
    <w:rsid w:val="00FB6FCC"/>
    <w:rsid w:val="00FB794E"/>
    <w:rsid w:val="00FB7F15"/>
    <w:rsid w:val="00FC00A5"/>
    <w:rsid w:val="00FC0B64"/>
    <w:rsid w:val="00FC10D7"/>
    <w:rsid w:val="00FC12F5"/>
    <w:rsid w:val="00FC1FAC"/>
    <w:rsid w:val="00FC3734"/>
    <w:rsid w:val="00FC3A22"/>
    <w:rsid w:val="00FC4146"/>
    <w:rsid w:val="00FC52F9"/>
    <w:rsid w:val="00FC5334"/>
    <w:rsid w:val="00FC5C09"/>
    <w:rsid w:val="00FC69AB"/>
    <w:rsid w:val="00FC6ED3"/>
    <w:rsid w:val="00FD1CF2"/>
    <w:rsid w:val="00FD3040"/>
    <w:rsid w:val="00FD3F47"/>
    <w:rsid w:val="00FD4037"/>
    <w:rsid w:val="00FD4765"/>
    <w:rsid w:val="00FD5544"/>
    <w:rsid w:val="00FD6385"/>
    <w:rsid w:val="00FE05F8"/>
    <w:rsid w:val="00FE0849"/>
    <w:rsid w:val="00FE1940"/>
    <w:rsid w:val="00FE21E9"/>
    <w:rsid w:val="00FE26C1"/>
    <w:rsid w:val="00FE2F65"/>
    <w:rsid w:val="00FE32AB"/>
    <w:rsid w:val="00FE35B4"/>
    <w:rsid w:val="00FE4455"/>
    <w:rsid w:val="00FE4DEF"/>
    <w:rsid w:val="00FE4FFB"/>
    <w:rsid w:val="00FE53FA"/>
    <w:rsid w:val="00FE7033"/>
    <w:rsid w:val="00FF0504"/>
    <w:rsid w:val="00FF0784"/>
    <w:rsid w:val="00FF23F5"/>
    <w:rsid w:val="00FF3725"/>
    <w:rsid w:val="00FF5EE7"/>
    <w:rsid w:val="00FF74B2"/>
    <w:rsid w:val="00FF7A3E"/>
    <w:rsid w:val="00FF7ACC"/>
    <w:rsid w:val="00FF7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14:docId w14:val="3D394366"/>
  <w15:chartTrackingRefBased/>
  <w15:docId w15:val="{7179978C-4F11-4563-85E5-69B4B8B7D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048"/>
    <w:pPr>
      <w:tabs>
        <w:tab w:val="left" w:pos="567"/>
      </w:tabs>
      <w:spacing w:line="260" w:lineRule="exact"/>
    </w:pPr>
    <w:rPr>
      <w:sz w:val="22"/>
      <w:lang w:val="lv-LV"/>
    </w:rPr>
  </w:style>
  <w:style w:type="paragraph" w:styleId="Heading1">
    <w:name w:val="heading 1"/>
    <w:basedOn w:val="Normal"/>
    <w:next w:val="Normal"/>
    <w:qFormat/>
    <w:pPr>
      <w:spacing w:before="240" w:after="120"/>
      <w:ind w:left="357" w:hanging="357"/>
      <w:outlineLvl w:val="0"/>
    </w:pPr>
    <w:rPr>
      <w:b/>
      <w:caps/>
      <w:sz w:val="26"/>
      <w:lang w:val="en-US"/>
    </w:rPr>
  </w:style>
  <w:style w:type="paragraph" w:styleId="Heading2">
    <w:name w:val="heading 2"/>
    <w:basedOn w:val="Normal"/>
    <w:next w:val="Normal"/>
    <w:qFormat/>
    <w:pPr>
      <w:keepNext/>
      <w:spacing w:before="240" w:after="60"/>
      <w:outlineLvl w:val="1"/>
    </w:pPr>
    <w:rPr>
      <w:rFonts w:ascii="Helvetica" w:hAnsi="Helvetica"/>
      <w:b/>
      <w:i/>
      <w:sz w:val="24"/>
    </w:r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jc w:val="both"/>
      <w:outlineLvl w:val="3"/>
    </w:pPr>
    <w:rPr>
      <w:b/>
      <w:noProof/>
    </w:rPr>
  </w:style>
  <w:style w:type="paragraph" w:styleId="Heading5">
    <w:name w:val="heading 5"/>
    <w:basedOn w:val="Normal"/>
    <w:next w:val="Normal"/>
    <w:qFormat/>
    <w:pPr>
      <w:keepNext/>
      <w:jc w:val="both"/>
      <w:outlineLvl w:val="4"/>
    </w:pPr>
    <w:rPr>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ind w:left="567" w:hanging="567"/>
      <w:jc w:val="both"/>
      <w:outlineLvl w:val="7"/>
    </w:pPr>
    <w:rPr>
      <w:b/>
      <w:i/>
    </w:rPr>
  </w:style>
  <w:style w:type="paragraph" w:styleId="Heading9">
    <w:name w:val="heading 9"/>
    <w:basedOn w:val="Normal"/>
    <w:next w:val="Normal"/>
    <w:qFormat/>
    <w:pPr>
      <w:keepNext/>
      <w:jc w:val="both"/>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pacing w:line="240" w:lineRule="auto"/>
    </w:pPr>
    <w:rPr>
      <w:rFonts w:ascii="Helvetica" w:hAnsi="Helvetica"/>
      <w:sz w:val="20"/>
    </w:rPr>
  </w:style>
  <w:style w:type="paragraph" w:styleId="Footer">
    <w:name w:val="footer"/>
    <w:basedOn w:val="Normal"/>
    <w:pPr>
      <w:tabs>
        <w:tab w:val="center" w:pos="4536"/>
        <w:tab w:val="center" w:pos="8930"/>
      </w:tabs>
      <w:spacing w:line="240" w:lineRule="auto"/>
    </w:pPr>
    <w:rPr>
      <w:rFonts w:ascii="Helvetica" w:hAnsi="Helvetica"/>
      <w:sz w:val="16"/>
    </w:rPr>
  </w:style>
  <w:style w:type="character" w:styleId="PageNumber">
    <w:name w:val="page number"/>
    <w:basedOn w:val="DefaultParagraphFont"/>
  </w:style>
  <w:style w:type="paragraph" w:styleId="EndnoteText">
    <w:name w:val="endnote text"/>
    <w:basedOn w:val="Normal"/>
    <w:next w:val="Normal"/>
    <w:link w:val="EndnoteTextChar"/>
    <w:semiHidden/>
    <w:pPr>
      <w:spacing w:line="240" w:lineRule="auto"/>
    </w:pPr>
  </w:style>
  <w:style w:type="character" w:styleId="EndnoteReference">
    <w:name w:val="endnote reference"/>
    <w:semiHidden/>
    <w:rPr>
      <w:vertAlign w:val="superscript"/>
    </w:rPr>
  </w:style>
  <w:style w:type="character" w:styleId="CommentReference">
    <w:name w:val="annotation reference"/>
    <w:uiPriority w:val="99"/>
    <w:rPr>
      <w:sz w:val="16"/>
    </w:rPr>
  </w:style>
  <w:style w:type="paragraph" w:styleId="CommentText">
    <w:name w:val="annotation text"/>
    <w:aliases w:val="Comment Text Char1 Char,Comment Text Char Char Char,Comment Text Char1"/>
    <w:basedOn w:val="Normal"/>
    <w:link w:val="CommentTextChar"/>
    <w:uiPriority w:val="99"/>
    <w:rPr>
      <w:sz w:val="20"/>
      <w:lang w:eastAsia="x-none"/>
    </w:rPr>
  </w:style>
  <w:style w:type="paragraph" w:styleId="BodyTextIndent">
    <w:name w:val="Body Text Indent"/>
    <w:basedOn w:val="Normal"/>
    <w:pPr>
      <w:tabs>
        <w:tab w:val="clear" w:pos="567"/>
      </w:tabs>
      <w:spacing w:line="240" w:lineRule="auto"/>
      <w:ind w:left="567" w:hanging="567"/>
    </w:pPr>
    <w:rPr>
      <w:b/>
      <w:color w:val="808080"/>
    </w:rPr>
  </w:style>
  <w:style w:type="paragraph" w:styleId="BodyText">
    <w:name w:val="Body Text"/>
    <w:basedOn w:val="Normal"/>
    <w:rPr>
      <w:b/>
      <w:i/>
    </w:rPr>
  </w:style>
  <w:style w:type="paragraph" w:styleId="BodyText3">
    <w:name w:val="Body Text 3"/>
    <w:basedOn w:val="Normal"/>
    <w:pPr>
      <w:jc w:val="both"/>
    </w:pPr>
    <w:rPr>
      <w:b/>
      <w:i/>
    </w:rPr>
  </w:style>
  <w:style w:type="paragraph" w:styleId="BodyTextIndent2">
    <w:name w:val="Body Text Indent 2"/>
    <w:basedOn w:val="Normal"/>
    <w:pPr>
      <w:ind w:left="567" w:hanging="567"/>
      <w:jc w:val="both"/>
    </w:pPr>
    <w:rPr>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3">
    <w:name w:val="Body Text Indent 3"/>
    <w:basedOn w:val="Normal"/>
    <w:pPr>
      <w:ind w:left="567" w:hanging="567"/>
    </w:pPr>
    <w:rPr>
      <w:i/>
      <w:color w:val="008000"/>
    </w:rPr>
  </w:style>
  <w:style w:type="paragraph" w:styleId="BlockText">
    <w:name w:val="Block Text"/>
    <w:basedOn w:val="Normal"/>
    <w:pPr>
      <w:tabs>
        <w:tab w:val="clear" w:pos="567"/>
        <w:tab w:val="left" w:pos="2657"/>
      </w:tabs>
      <w:spacing w:before="120" w:line="240" w:lineRule="auto"/>
      <w:ind w:left="-37" w:right="-28"/>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customStyle="1" w:styleId="Balonteksts1">
    <w:name w:val="Balonteksts1"/>
    <w:basedOn w:val="Normal"/>
    <w:rPr>
      <w:rFonts w:ascii="Tahoma" w:hAnsi="Tahoma"/>
      <w:sz w:val="16"/>
    </w:rPr>
  </w:style>
  <w:style w:type="paragraph" w:customStyle="1" w:styleId="Bullet">
    <w:name w:val="Bullet"/>
    <w:basedOn w:val="Normal"/>
    <w:pPr>
      <w:numPr>
        <w:numId w:val="1"/>
      </w:numPr>
    </w:pPr>
  </w:style>
  <w:style w:type="paragraph" w:customStyle="1" w:styleId="Komentratma1">
    <w:name w:val="Komentāra tēma1"/>
    <w:basedOn w:val="CommentText"/>
    <w:next w:val="CommentText"/>
    <w:rPr>
      <w:b/>
    </w:rPr>
  </w:style>
  <w:style w:type="paragraph" w:customStyle="1" w:styleId="BalloonText1">
    <w:name w:val="Balloon Text1"/>
    <w:basedOn w:val="Normal"/>
    <w:rPr>
      <w:rFonts w:ascii="Tahoma" w:hAnsi="Tahoma"/>
      <w:sz w:val="16"/>
    </w:rPr>
  </w:style>
  <w:style w:type="paragraph" w:customStyle="1" w:styleId="ParastaisTreknraksts">
    <w:name w:val="Parastais + Treknraksts"/>
    <w:basedOn w:val="Normal"/>
    <w:pPr>
      <w:tabs>
        <w:tab w:val="clear" w:pos="567"/>
      </w:tabs>
      <w:spacing w:line="240" w:lineRule="auto"/>
      <w:ind w:left="567" w:hanging="567"/>
    </w:pPr>
    <w:rPr>
      <w:b/>
    </w:rPr>
  </w:style>
  <w:style w:type="paragraph" w:styleId="Title">
    <w:name w:val="Title"/>
    <w:basedOn w:val="Normal"/>
    <w:qFormat/>
    <w:pPr>
      <w:tabs>
        <w:tab w:val="clear" w:pos="567"/>
      </w:tabs>
      <w:spacing w:line="240" w:lineRule="auto"/>
      <w:jc w:val="center"/>
    </w:pPr>
    <w:rPr>
      <w:b/>
      <w:lang w:val="en-GB"/>
    </w:rPr>
  </w:style>
  <w:style w:type="paragraph" w:styleId="BodyText2">
    <w:name w:val="Body Text 2"/>
    <w:basedOn w:val="Normal"/>
    <w:rPr>
      <w:b/>
    </w:rPr>
  </w:style>
  <w:style w:type="paragraph" w:customStyle="1" w:styleId="Text">
    <w:name w:val="Text"/>
    <w:basedOn w:val="Normal"/>
    <w:link w:val="TextChar"/>
    <w:pPr>
      <w:tabs>
        <w:tab w:val="clear" w:pos="567"/>
      </w:tabs>
      <w:spacing w:before="120" w:line="240" w:lineRule="auto"/>
      <w:jc w:val="both"/>
    </w:pPr>
    <w:rPr>
      <w:sz w:val="24"/>
      <w:lang w:val="en-GB"/>
    </w:rPr>
  </w:style>
  <w:style w:type="paragraph" w:customStyle="1" w:styleId="BalloonText2">
    <w:name w:val="Balloon Text2"/>
    <w:basedOn w:val="Normal"/>
    <w:semiHidden/>
    <w:rPr>
      <w:rFonts w:ascii="Tahoma" w:hAnsi="Tahoma" w:cs="Tahoma"/>
      <w:sz w:val="16"/>
      <w:szCs w:val="16"/>
    </w:rPr>
  </w:style>
  <w:style w:type="paragraph" w:customStyle="1" w:styleId="CommentSubject1">
    <w:name w:val="Comment Subject1"/>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table" w:styleId="TableGrid">
    <w:name w:val="Table Grid"/>
    <w:basedOn w:val="TableNormal"/>
    <w:rsid w:val="00732DB1"/>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Char">
    <w:name w:val="Text Char"/>
    <w:link w:val="Text"/>
    <w:rsid w:val="00AB633E"/>
    <w:rPr>
      <w:sz w:val="24"/>
      <w:lang w:val="en-GB" w:eastAsia="en-US" w:bidi="ar-SA"/>
    </w:rPr>
  </w:style>
  <w:style w:type="paragraph" w:customStyle="1" w:styleId="Table">
    <w:name w:val="Table"/>
    <w:basedOn w:val="Normal"/>
    <w:link w:val="TableChar"/>
    <w:rsid w:val="00F253A4"/>
    <w:pPr>
      <w:keepNext/>
      <w:keepLines/>
      <w:tabs>
        <w:tab w:val="clear" w:pos="567"/>
        <w:tab w:val="left" w:pos="284"/>
      </w:tabs>
      <w:spacing w:before="40" w:after="20" w:line="240" w:lineRule="auto"/>
    </w:pPr>
    <w:rPr>
      <w:rFonts w:ascii="Arial" w:hAnsi="Arial"/>
      <w:lang w:val="en-US"/>
    </w:rPr>
  </w:style>
  <w:style w:type="character" w:customStyle="1" w:styleId="TableChar">
    <w:name w:val="Table Char"/>
    <w:link w:val="Table"/>
    <w:rsid w:val="00F253A4"/>
    <w:rPr>
      <w:rFonts w:ascii="Arial" w:hAnsi="Arial"/>
      <w:sz w:val="22"/>
      <w:lang w:val="en-US" w:eastAsia="en-US" w:bidi="ar-SA"/>
    </w:rPr>
  </w:style>
  <w:style w:type="paragraph" w:customStyle="1" w:styleId="Nottoc-headings">
    <w:name w:val="Not toc-headings"/>
    <w:basedOn w:val="Normal"/>
    <w:next w:val="Text"/>
    <w:rsid w:val="006069CB"/>
    <w:pPr>
      <w:keepNext/>
      <w:keepLines/>
      <w:tabs>
        <w:tab w:val="clear" w:pos="567"/>
      </w:tabs>
      <w:spacing w:before="240" w:after="60" w:line="240" w:lineRule="auto"/>
      <w:ind w:left="1701" w:hanging="1701"/>
    </w:pPr>
    <w:rPr>
      <w:rFonts w:ascii="Arial" w:hAnsi="Arial"/>
      <w:b/>
      <w:sz w:val="24"/>
      <w:lang w:val="en-US"/>
    </w:rPr>
  </w:style>
  <w:style w:type="character" w:customStyle="1" w:styleId="EndnoteTextChar">
    <w:name w:val="Endnote Text Char"/>
    <w:link w:val="EndnoteText"/>
    <w:rsid w:val="00B956CA"/>
    <w:rPr>
      <w:sz w:val="22"/>
      <w:lang w:val="lv-LV" w:eastAsia="en-US" w:bidi="ar-SA"/>
    </w:rPr>
  </w:style>
  <w:style w:type="character" w:customStyle="1" w:styleId="Char">
    <w:name w:val="Char"/>
    <w:rsid w:val="00AC4E6C"/>
    <w:rPr>
      <w:sz w:val="22"/>
      <w:lang w:val="en-GB" w:eastAsia="en-US" w:bidi="ar-SA"/>
    </w:rPr>
  </w:style>
  <w:style w:type="paragraph" w:customStyle="1" w:styleId="Listlevel1">
    <w:name w:val="List level 1"/>
    <w:basedOn w:val="Normal"/>
    <w:rsid w:val="004C7DC2"/>
    <w:pPr>
      <w:tabs>
        <w:tab w:val="clear" w:pos="567"/>
      </w:tabs>
      <w:spacing w:before="40" w:after="20" w:line="240" w:lineRule="auto"/>
      <w:ind w:left="425" w:hanging="425"/>
    </w:pPr>
    <w:rPr>
      <w:sz w:val="24"/>
      <w:lang w:val="en-US"/>
    </w:rPr>
  </w:style>
  <w:style w:type="paragraph" w:customStyle="1" w:styleId="Listlevel2">
    <w:name w:val="List level 2"/>
    <w:basedOn w:val="Normal"/>
    <w:rsid w:val="00FC0B64"/>
    <w:pPr>
      <w:tabs>
        <w:tab w:val="clear" w:pos="567"/>
      </w:tabs>
      <w:spacing w:before="40" w:after="20" w:line="240" w:lineRule="auto"/>
      <w:ind w:left="850" w:hanging="425"/>
    </w:pPr>
    <w:rPr>
      <w:sz w:val="24"/>
      <w:lang w:val="en-US"/>
    </w:rPr>
  </w:style>
  <w:style w:type="paragraph" w:customStyle="1" w:styleId="a">
    <w:basedOn w:val="Normal"/>
    <w:rsid w:val="00236385"/>
    <w:pPr>
      <w:tabs>
        <w:tab w:val="clear" w:pos="567"/>
      </w:tabs>
      <w:spacing w:after="160" w:line="240" w:lineRule="exact"/>
    </w:pPr>
    <w:rPr>
      <w:rFonts w:ascii="Verdana" w:hAnsi="Verdana" w:cs="Verdana"/>
      <w:sz w:val="20"/>
      <w:lang w:val="en-GB"/>
    </w:rPr>
  </w:style>
  <w:style w:type="paragraph" w:customStyle="1" w:styleId="Style">
    <w:name w:val="Style"/>
    <w:basedOn w:val="Normal"/>
    <w:rsid w:val="009D58CC"/>
    <w:pPr>
      <w:tabs>
        <w:tab w:val="clear" w:pos="567"/>
      </w:tabs>
      <w:spacing w:after="160" w:line="240" w:lineRule="exact"/>
    </w:pPr>
    <w:rPr>
      <w:rFonts w:ascii="Verdana" w:hAnsi="Verdana" w:cs="Verdana"/>
      <w:sz w:val="20"/>
      <w:lang w:val="en-GB"/>
    </w:rPr>
  </w:style>
  <w:style w:type="paragraph" w:styleId="TOC6">
    <w:name w:val="toc 6"/>
    <w:basedOn w:val="Normal"/>
    <w:autoRedefine/>
    <w:semiHidden/>
    <w:rsid w:val="00F96ECC"/>
    <w:pPr>
      <w:keepNext/>
      <w:widowControl w:val="0"/>
      <w:tabs>
        <w:tab w:val="clear" w:pos="567"/>
        <w:tab w:val="right" w:leader="dot" w:pos="9061"/>
      </w:tabs>
      <w:spacing w:line="240" w:lineRule="auto"/>
      <w:ind w:left="992" w:right="227" w:hanging="992"/>
    </w:pPr>
    <w:rPr>
      <w:szCs w:val="22"/>
      <w:u w:val="single"/>
      <w:lang w:val="en-GB"/>
    </w:rPr>
  </w:style>
  <w:style w:type="paragraph" w:styleId="Revision">
    <w:name w:val="Revision"/>
    <w:hidden/>
    <w:uiPriority w:val="99"/>
    <w:semiHidden/>
    <w:rsid w:val="00500BE3"/>
    <w:rPr>
      <w:sz w:val="22"/>
      <w:lang w:val="lv-LV"/>
    </w:rPr>
  </w:style>
  <w:style w:type="character" w:customStyle="1" w:styleId="CommentTextChar">
    <w:name w:val="Comment Text Char"/>
    <w:aliases w:val="Comment Text Char1 Char Char,Comment Text Char Char Char Char,Comment Text Char1 Char1"/>
    <w:link w:val="CommentText"/>
    <w:rsid w:val="009F6C80"/>
    <w:rPr>
      <w:lang w:val="lv-LV"/>
    </w:rPr>
  </w:style>
  <w:style w:type="character" w:customStyle="1" w:styleId="st">
    <w:name w:val="st"/>
    <w:rsid w:val="00385060"/>
  </w:style>
  <w:style w:type="character" w:styleId="Emphasis">
    <w:name w:val="Emphasis"/>
    <w:qFormat/>
    <w:rsid w:val="00385060"/>
    <w:rPr>
      <w:i/>
      <w:iCs/>
    </w:rPr>
  </w:style>
  <w:style w:type="character" w:customStyle="1" w:styleId="NormalAgencyChar">
    <w:name w:val="Normal (Agency) Char"/>
    <w:link w:val="NormalAgency"/>
    <w:locked/>
    <w:rsid w:val="00377F48"/>
    <w:rPr>
      <w:rFonts w:ascii="Verdana" w:hAnsi="Verdana"/>
    </w:rPr>
  </w:style>
  <w:style w:type="paragraph" w:customStyle="1" w:styleId="NormalAgency">
    <w:name w:val="Normal (Agency)"/>
    <w:basedOn w:val="Normal"/>
    <w:link w:val="NormalAgencyChar"/>
    <w:rsid w:val="00377F48"/>
    <w:pPr>
      <w:tabs>
        <w:tab w:val="clear" w:pos="567"/>
      </w:tabs>
      <w:spacing w:line="240" w:lineRule="auto"/>
    </w:pPr>
    <w:rPr>
      <w:rFonts w:ascii="Verdana" w:hAnsi="Verdana"/>
      <w:sz w:val="20"/>
      <w:lang w:val="x-none" w:eastAsia="x-none"/>
    </w:rPr>
  </w:style>
  <w:style w:type="character" w:customStyle="1" w:styleId="hps">
    <w:name w:val="hps"/>
    <w:rsid w:val="00E92A12"/>
  </w:style>
  <w:style w:type="paragraph" w:customStyle="1" w:styleId="Default">
    <w:name w:val="Default"/>
    <w:rsid w:val="00DB74ED"/>
    <w:pPr>
      <w:autoSpaceDE w:val="0"/>
      <w:autoSpaceDN w:val="0"/>
      <w:adjustRightInd w:val="0"/>
    </w:pPr>
    <w:rPr>
      <w:rFonts w:ascii="Verdana" w:hAnsi="Verdana" w:cs="Verdana"/>
      <w:color w:val="000000"/>
      <w:sz w:val="24"/>
      <w:szCs w:val="24"/>
    </w:rPr>
  </w:style>
  <w:style w:type="character" w:customStyle="1" w:styleId="BodytextAgencyChar">
    <w:name w:val="Body text (Agency) Char"/>
    <w:link w:val="BodytextAgency"/>
    <w:qFormat/>
    <w:locked/>
    <w:rsid w:val="000C697E"/>
    <w:rPr>
      <w:rFonts w:ascii="Verdana" w:eastAsia="Verdana" w:hAnsi="Verdana" w:cs="Verdana"/>
      <w:sz w:val="18"/>
      <w:szCs w:val="18"/>
      <w:lang w:val="en-GB" w:eastAsia="en-GB"/>
    </w:rPr>
  </w:style>
  <w:style w:type="paragraph" w:customStyle="1" w:styleId="BodytextAgency">
    <w:name w:val="Body text (Agency)"/>
    <w:basedOn w:val="Normal"/>
    <w:link w:val="BodytextAgencyChar"/>
    <w:qFormat/>
    <w:rsid w:val="000C697E"/>
    <w:pPr>
      <w:tabs>
        <w:tab w:val="clear" w:pos="567"/>
      </w:tabs>
      <w:spacing w:after="140" w:line="280" w:lineRule="atLeast"/>
    </w:pPr>
    <w:rPr>
      <w:rFonts w:ascii="Verdana" w:eastAsia="Verdana" w:hAnsi="Verdana" w:cs="Verdana"/>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5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F96A0-217F-4560-A518-3D61242CCF23}">
  <ds:schemaRefs>
    <ds:schemaRef ds:uri="http://purl.org/dc/elements/1.1/"/>
    <ds:schemaRef ds:uri="http://schemas.microsoft.com/office/2006/metadata/properties"/>
    <ds:schemaRef ds:uri="08c21c09-beba-4072-8000-1dca26330969"/>
    <ds:schemaRef ds:uri="http://purl.org/dc/terms/"/>
    <ds:schemaRef ds:uri="http://schemas.openxmlformats.org/package/2006/metadata/core-properties"/>
    <ds:schemaRef ds:uri="http://schemas.microsoft.com/office/2006/documentManagement/types"/>
    <ds:schemaRef ds:uri="e84aa060-13d4-4ddd-8d65-c3aafff2663b"/>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3762E1F2-10C5-4172-B98C-D261125810E8}"/>
</file>

<file path=customXml/itemProps3.xml><?xml version="1.0" encoding="utf-8"?>
<ds:datastoreItem xmlns:ds="http://schemas.openxmlformats.org/officeDocument/2006/customXml" ds:itemID="{641FF8BE-4083-4ECA-99EA-8A4920DA87D2}">
  <ds:schemaRefs>
    <ds:schemaRef ds:uri="http://schemas.microsoft.com/sharepoint/v3/contenttype/forms"/>
  </ds:schemaRefs>
</ds:datastoreItem>
</file>

<file path=customXml/itemProps4.xml><?xml version="1.0" encoding="utf-8"?>
<ds:datastoreItem xmlns:ds="http://schemas.openxmlformats.org/officeDocument/2006/customXml" ds:itemID="{D317D3D2-3E89-4F40-9C1E-4B006B435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41230</Words>
  <Characters>235017</Characters>
  <Application>Microsoft Office Word</Application>
  <DocSecurity>0</DocSecurity>
  <Lines>1958</Lines>
  <Paragraphs>551</Paragraphs>
  <ScaleCrop>false</ScaleCrop>
  <HeadingPairs>
    <vt:vector size="2" baseType="variant">
      <vt:variant>
        <vt:lpstr>Title</vt:lpstr>
      </vt:variant>
      <vt:variant>
        <vt:i4>1</vt:i4>
      </vt:variant>
    </vt:vector>
  </HeadingPairs>
  <TitlesOfParts>
    <vt:vector size="1" baseType="lpstr">
      <vt:lpstr>Glivec, INN-imatinib</vt:lpstr>
    </vt:vector>
  </TitlesOfParts>
  <Company/>
  <LinksUpToDate>false</LinksUpToDate>
  <CharactersWithSpaces>275696</CharactersWithSpaces>
  <SharedDoc>false</SharedDoc>
  <HLinks>
    <vt:vector size="36" baseType="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Glivec, INN-imatinib</dc:title>
  <dc:subject>EPAR</dc:subject>
  <dc:creator>CHMP</dc:creator>
  <cp:keywords>Glivec, INN-imatinib</cp:keywords>
  <cp:lastModifiedBy>Lupescu Diana</cp:lastModifiedBy>
  <cp:revision>5</cp:revision>
  <cp:lastPrinted>2019-02-08T09:07:00Z</cp:lastPrinted>
  <dcterms:created xsi:type="dcterms:W3CDTF">2021-01-28T14:43:00Z</dcterms:created>
  <dcterms:modified xsi:type="dcterms:W3CDTF">2021-05-21T16:09:00Z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929bff8-5b33-42aa-95d2-28f72e792cb0_Enabled">
    <vt:lpwstr>True</vt:lpwstr>
  </property>
  <property fmtid="{D5CDD505-2E9C-101B-9397-08002B2CF9AE}" pid="3" name="MSIP_Label_4929bff8-5b33-42aa-95d2-28f72e792cb0_SiteId">
    <vt:lpwstr>f35a6974-607f-47d4-82d7-ff31d7dc53a5</vt:lpwstr>
  </property>
  <property fmtid="{D5CDD505-2E9C-101B-9397-08002B2CF9AE}" pid="4" name="MSIP_Label_4929bff8-5b33-42aa-95d2-28f72e792cb0_SetDate">
    <vt:lpwstr>2019-01-30T10:39:26.3481058Z</vt:lpwstr>
  </property>
  <property fmtid="{D5CDD505-2E9C-101B-9397-08002B2CF9AE}" pid="5" name="MSIP_Label_4929bff8-5b33-42aa-95d2-28f72e792cb0_Name">
    <vt:lpwstr>Business Use Only</vt:lpwstr>
  </property>
  <property fmtid="{D5CDD505-2E9C-101B-9397-08002B2CF9AE}" pid="6" name="MSIP_Label_4929bff8-5b33-42aa-95d2-28f72e792cb0_Extended_MSFT_Method">
    <vt:lpwstr>Automatic</vt:lpwstr>
  </property>
  <property fmtid="{D5CDD505-2E9C-101B-9397-08002B2CF9AE}" pid="7" name="Confidentiality">
    <vt:lpwstr>Business Use Only</vt:lpwstr>
  </property>
  <property fmtid="{D5CDD505-2E9C-101B-9397-08002B2CF9AE}" pid="8" name="ContentTypeId">
    <vt:lpwstr>0x010100726F91DD1AE57B44B1BCEB7F1056F5D0</vt:lpwstr>
  </property>
  <property fmtid="{D5CDD505-2E9C-101B-9397-08002B2CF9AE}" pid="9" name="MSIP_Label_0eea11ca-d417-4147-80ed-01a58412c458_Enabled">
    <vt:lpwstr>true</vt:lpwstr>
  </property>
  <property fmtid="{D5CDD505-2E9C-101B-9397-08002B2CF9AE}" pid="10" name="MSIP_Label_0eea11ca-d417-4147-80ed-01a58412c458_SetDate">
    <vt:lpwstr>2021-05-21T16:09:30Z</vt:lpwstr>
  </property>
  <property fmtid="{D5CDD505-2E9C-101B-9397-08002B2CF9AE}" pid="11" name="MSIP_Label_0eea11ca-d417-4147-80ed-01a58412c458_Method">
    <vt:lpwstr>Standard</vt:lpwstr>
  </property>
  <property fmtid="{D5CDD505-2E9C-101B-9397-08002B2CF9AE}" pid="12" name="MSIP_Label_0eea11ca-d417-4147-80ed-01a58412c458_Name">
    <vt:lpwstr>0eea11ca-d417-4147-80ed-01a58412c458</vt:lpwstr>
  </property>
  <property fmtid="{D5CDD505-2E9C-101B-9397-08002B2CF9AE}" pid="13" name="MSIP_Label_0eea11ca-d417-4147-80ed-01a58412c458_SiteId">
    <vt:lpwstr>bc9dc15c-61bc-4f03-b60b-e5b6d8922839</vt:lpwstr>
  </property>
  <property fmtid="{D5CDD505-2E9C-101B-9397-08002B2CF9AE}" pid="14" name="MSIP_Label_0eea11ca-d417-4147-80ed-01a58412c458_ActionId">
    <vt:lpwstr>6f8bd18e-021f-4c27-9aa3-e772ada7bc8b</vt:lpwstr>
  </property>
  <property fmtid="{D5CDD505-2E9C-101B-9397-08002B2CF9AE}" pid="15" name="MSIP_Label_0eea11ca-d417-4147-80ed-01a58412c458_ContentBits">
    <vt:lpwstr>2</vt:lpwstr>
  </property>
</Properties>
</file>