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AEA3" w14:textId="77777777" w:rsidR="00906898" w:rsidRDefault="00906898" w:rsidP="00E51817">
      <w:pPr>
        <w:widowControl w:val="0"/>
        <w:suppressAutoHyphens/>
        <w:ind w:right="14"/>
        <w:rPr>
          <w:color w:val="000000"/>
          <w:szCs w:val="22"/>
        </w:rPr>
      </w:pPr>
      <w:bookmarkStart w:id="0" w:name="_GoBack"/>
      <w:bookmarkEnd w:id="0"/>
    </w:p>
    <w:p w14:paraId="375EAEA4" w14:textId="77777777" w:rsidR="00906898" w:rsidRDefault="00906898" w:rsidP="00E51817">
      <w:pPr>
        <w:widowControl w:val="0"/>
        <w:suppressAutoHyphens/>
        <w:ind w:right="14"/>
        <w:rPr>
          <w:color w:val="000000"/>
          <w:szCs w:val="22"/>
        </w:rPr>
      </w:pPr>
    </w:p>
    <w:p w14:paraId="375EAEA5" w14:textId="77777777" w:rsidR="00906898" w:rsidRDefault="00906898" w:rsidP="00E51817">
      <w:pPr>
        <w:widowControl w:val="0"/>
        <w:suppressAutoHyphens/>
        <w:ind w:right="14"/>
        <w:rPr>
          <w:color w:val="000000"/>
          <w:szCs w:val="22"/>
        </w:rPr>
      </w:pPr>
    </w:p>
    <w:p w14:paraId="375EAEA6" w14:textId="77777777" w:rsidR="00906898" w:rsidRDefault="00906898" w:rsidP="00E51817">
      <w:pPr>
        <w:widowControl w:val="0"/>
        <w:suppressAutoHyphens/>
        <w:ind w:right="14"/>
        <w:rPr>
          <w:color w:val="000000"/>
          <w:szCs w:val="22"/>
        </w:rPr>
      </w:pPr>
    </w:p>
    <w:p w14:paraId="375EAEA7" w14:textId="77777777" w:rsidR="00906898" w:rsidRDefault="00906898" w:rsidP="00E51817">
      <w:pPr>
        <w:widowControl w:val="0"/>
        <w:suppressAutoHyphens/>
        <w:ind w:right="14"/>
        <w:rPr>
          <w:color w:val="000000"/>
          <w:szCs w:val="22"/>
        </w:rPr>
      </w:pPr>
    </w:p>
    <w:p w14:paraId="375EAEA8" w14:textId="77777777" w:rsidR="00906898" w:rsidRDefault="00906898" w:rsidP="00E51817">
      <w:pPr>
        <w:widowControl w:val="0"/>
        <w:suppressAutoHyphens/>
        <w:ind w:right="14"/>
        <w:rPr>
          <w:color w:val="000000"/>
          <w:szCs w:val="22"/>
        </w:rPr>
      </w:pPr>
    </w:p>
    <w:p w14:paraId="375EAEA9" w14:textId="77777777" w:rsidR="00906898" w:rsidRDefault="00906898" w:rsidP="00E51817">
      <w:pPr>
        <w:widowControl w:val="0"/>
        <w:suppressAutoHyphens/>
        <w:ind w:right="14"/>
        <w:rPr>
          <w:color w:val="000000"/>
          <w:szCs w:val="22"/>
        </w:rPr>
      </w:pPr>
    </w:p>
    <w:p w14:paraId="375EAEAA" w14:textId="77777777" w:rsidR="00906898" w:rsidRDefault="00906898" w:rsidP="00E51817">
      <w:pPr>
        <w:widowControl w:val="0"/>
        <w:suppressAutoHyphens/>
        <w:ind w:right="14"/>
        <w:rPr>
          <w:color w:val="000000"/>
          <w:szCs w:val="22"/>
        </w:rPr>
      </w:pPr>
    </w:p>
    <w:p w14:paraId="375EAEAB" w14:textId="77777777" w:rsidR="00906898" w:rsidRDefault="00906898" w:rsidP="00E51817">
      <w:pPr>
        <w:widowControl w:val="0"/>
        <w:suppressAutoHyphens/>
        <w:ind w:right="14"/>
        <w:rPr>
          <w:color w:val="000000"/>
          <w:szCs w:val="22"/>
        </w:rPr>
      </w:pPr>
    </w:p>
    <w:p w14:paraId="375EAEAC" w14:textId="77777777" w:rsidR="00906898" w:rsidRDefault="00906898" w:rsidP="00E51817">
      <w:pPr>
        <w:widowControl w:val="0"/>
        <w:suppressAutoHyphens/>
        <w:ind w:right="14"/>
        <w:rPr>
          <w:color w:val="000000"/>
          <w:szCs w:val="22"/>
        </w:rPr>
      </w:pPr>
    </w:p>
    <w:p w14:paraId="375EAEAD" w14:textId="77777777" w:rsidR="00906898" w:rsidRDefault="00906898" w:rsidP="00E51817">
      <w:pPr>
        <w:widowControl w:val="0"/>
        <w:suppressAutoHyphens/>
        <w:ind w:right="14"/>
        <w:rPr>
          <w:color w:val="000000"/>
          <w:szCs w:val="22"/>
        </w:rPr>
      </w:pPr>
    </w:p>
    <w:p w14:paraId="375EAEAE" w14:textId="77777777" w:rsidR="00906898" w:rsidRDefault="00906898" w:rsidP="00E51817">
      <w:pPr>
        <w:widowControl w:val="0"/>
        <w:suppressAutoHyphens/>
        <w:ind w:right="14"/>
        <w:rPr>
          <w:color w:val="000000"/>
          <w:szCs w:val="22"/>
        </w:rPr>
      </w:pPr>
    </w:p>
    <w:p w14:paraId="375EAEAF" w14:textId="77777777" w:rsidR="00906898" w:rsidRDefault="00906898" w:rsidP="00E51817">
      <w:pPr>
        <w:widowControl w:val="0"/>
        <w:suppressAutoHyphens/>
        <w:ind w:right="14"/>
        <w:rPr>
          <w:color w:val="000000"/>
          <w:szCs w:val="22"/>
        </w:rPr>
      </w:pPr>
    </w:p>
    <w:p w14:paraId="375EAEB0" w14:textId="77777777" w:rsidR="00906898" w:rsidRDefault="00906898" w:rsidP="00E51817">
      <w:pPr>
        <w:widowControl w:val="0"/>
        <w:suppressAutoHyphens/>
        <w:ind w:right="14"/>
        <w:rPr>
          <w:color w:val="000000"/>
          <w:szCs w:val="22"/>
        </w:rPr>
      </w:pPr>
    </w:p>
    <w:p w14:paraId="375EAEB1" w14:textId="77777777" w:rsidR="00906898" w:rsidRDefault="00906898" w:rsidP="00E51817">
      <w:pPr>
        <w:widowControl w:val="0"/>
        <w:suppressAutoHyphens/>
        <w:ind w:right="14"/>
        <w:rPr>
          <w:color w:val="000000"/>
          <w:szCs w:val="22"/>
        </w:rPr>
      </w:pPr>
    </w:p>
    <w:p w14:paraId="375EAEB2" w14:textId="77777777" w:rsidR="00906898" w:rsidRDefault="00906898" w:rsidP="00E51817">
      <w:pPr>
        <w:widowControl w:val="0"/>
        <w:suppressAutoHyphens/>
        <w:ind w:right="14"/>
        <w:rPr>
          <w:color w:val="000000"/>
          <w:szCs w:val="22"/>
        </w:rPr>
      </w:pPr>
    </w:p>
    <w:p w14:paraId="375EAEB3" w14:textId="77777777" w:rsidR="00906898" w:rsidRDefault="00906898" w:rsidP="00E51817">
      <w:pPr>
        <w:widowControl w:val="0"/>
        <w:suppressAutoHyphens/>
        <w:ind w:right="14"/>
        <w:rPr>
          <w:color w:val="000000"/>
          <w:szCs w:val="22"/>
        </w:rPr>
      </w:pPr>
    </w:p>
    <w:p w14:paraId="375EAEB4" w14:textId="77777777" w:rsidR="00906898" w:rsidRDefault="00906898" w:rsidP="00E51817">
      <w:pPr>
        <w:widowControl w:val="0"/>
        <w:suppressAutoHyphens/>
        <w:ind w:right="14"/>
        <w:rPr>
          <w:color w:val="000000"/>
          <w:szCs w:val="22"/>
        </w:rPr>
      </w:pPr>
    </w:p>
    <w:p w14:paraId="375EAEB5" w14:textId="77777777" w:rsidR="00906898" w:rsidRDefault="00906898" w:rsidP="00E51817">
      <w:pPr>
        <w:widowControl w:val="0"/>
        <w:suppressAutoHyphens/>
        <w:ind w:right="14"/>
        <w:rPr>
          <w:color w:val="000000"/>
          <w:szCs w:val="22"/>
        </w:rPr>
      </w:pPr>
    </w:p>
    <w:p w14:paraId="375EAEB6" w14:textId="77777777" w:rsidR="00906898" w:rsidRDefault="00906898" w:rsidP="00E51817">
      <w:pPr>
        <w:widowControl w:val="0"/>
        <w:suppressAutoHyphens/>
        <w:ind w:right="14"/>
        <w:rPr>
          <w:color w:val="000000"/>
          <w:szCs w:val="22"/>
        </w:rPr>
      </w:pPr>
    </w:p>
    <w:p w14:paraId="375EAEB7" w14:textId="77777777" w:rsidR="00906898" w:rsidRDefault="00906898" w:rsidP="00E51817">
      <w:pPr>
        <w:widowControl w:val="0"/>
        <w:suppressAutoHyphens/>
        <w:ind w:right="14"/>
        <w:rPr>
          <w:color w:val="000000"/>
          <w:szCs w:val="22"/>
        </w:rPr>
      </w:pPr>
    </w:p>
    <w:p w14:paraId="375EAEB8" w14:textId="77777777" w:rsidR="00906898" w:rsidRDefault="00906898" w:rsidP="00E51817">
      <w:pPr>
        <w:widowControl w:val="0"/>
        <w:suppressAutoHyphens/>
        <w:ind w:right="14"/>
        <w:rPr>
          <w:color w:val="000000"/>
          <w:szCs w:val="22"/>
        </w:rPr>
      </w:pPr>
    </w:p>
    <w:p w14:paraId="375EAEB9" w14:textId="77777777" w:rsidR="00906898" w:rsidRDefault="00906898" w:rsidP="00E51817">
      <w:pPr>
        <w:widowControl w:val="0"/>
        <w:suppressAutoHyphens/>
        <w:ind w:right="14"/>
        <w:rPr>
          <w:color w:val="000000"/>
          <w:szCs w:val="22"/>
        </w:rPr>
      </w:pPr>
    </w:p>
    <w:p w14:paraId="375EAEBA" w14:textId="77777777" w:rsidR="00906898" w:rsidRPr="00263DB9" w:rsidRDefault="00906898" w:rsidP="00E51817">
      <w:pPr>
        <w:pStyle w:val="Heading4"/>
        <w:keepNext w:val="0"/>
        <w:widowControl w:val="0"/>
        <w:rPr>
          <w:color w:val="000000"/>
          <w:szCs w:val="22"/>
        </w:rPr>
      </w:pPr>
      <w:r w:rsidRPr="00263DB9">
        <w:rPr>
          <w:color w:val="000000"/>
          <w:szCs w:val="22"/>
        </w:rPr>
        <w:t>ANEXO I</w:t>
      </w:r>
    </w:p>
    <w:p w14:paraId="375EAEBB" w14:textId="77777777" w:rsidR="00906898" w:rsidRPr="00263DB9" w:rsidRDefault="00906898" w:rsidP="00E51817">
      <w:pPr>
        <w:widowControl w:val="0"/>
        <w:suppressAutoHyphens/>
        <w:ind w:right="14"/>
        <w:jc w:val="center"/>
        <w:rPr>
          <w:color w:val="000000"/>
          <w:szCs w:val="22"/>
        </w:rPr>
      </w:pPr>
    </w:p>
    <w:p w14:paraId="375EAEBC" w14:textId="77777777" w:rsidR="00906898" w:rsidRPr="00263DB9" w:rsidRDefault="00906898" w:rsidP="00E51817">
      <w:pPr>
        <w:widowControl w:val="0"/>
        <w:suppressAutoHyphens/>
        <w:ind w:right="14"/>
        <w:jc w:val="center"/>
        <w:rPr>
          <w:b/>
          <w:color w:val="000000"/>
          <w:szCs w:val="22"/>
        </w:rPr>
      </w:pPr>
      <w:r w:rsidRPr="00263DB9">
        <w:rPr>
          <w:b/>
          <w:color w:val="000000"/>
          <w:szCs w:val="22"/>
        </w:rPr>
        <w:t>RESUMO DAS CARACTERÍSTICAS DO MEDICAMENTO</w:t>
      </w:r>
    </w:p>
    <w:p w14:paraId="375EAEBD" w14:textId="77777777" w:rsidR="00AF3385" w:rsidRPr="00263DB9" w:rsidRDefault="00906898" w:rsidP="00E51817">
      <w:pPr>
        <w:widowControl w:val="0"/>
        <w:suppressAutoHyphens/>
        <w:ind w:right="14"/>
        <w:rPr>
          <w:szCs w:val="22"/>
        </w:rPr>
      </w:pPr>
      <w:r w:rsidRPr="00263DB9">
        <w:rPr>
          <w:color w:val="000000"/>
          <w:szCs w:val="22"/>
        </w:rPr>
        <w:br w:type="page"/>
      </w:r>
      <w:r w:rsidR="006B5399" w:rsidRPr="00263DB9">
        <w:rPr>
          <w:noProof/>
          <w:lang w:val="en-GB" w:eastAsia="en-GB"/>
        </w:rPr>
        <w:lastRenderedPageBreak/>
        <w:drawing>
          <wp:inline distT="0" distB="0" distL="0" distR="0" wp14:anchorId="375EC35B" wp14:editId="375EC35C">
            <wp:extent cx="201295" cy="173990"/>
            <wp:effectExtent l="0" t="0" r="0" b="0"/>
            <wp:docPr id="1" name="Picture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_1000x858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AF3385" w:rsidRPr="00263DB9">
        <w:rPr>
          <w:noProof/>
          <w:szCs w:val="22"/>
        </w:rPr>
        <w:t>Este medicamento está sujeito a monitorização adicional. Isto irá permitir a rápida identificação de nova informação de segurança.</w:t>
      </w:r>
      <w:r w:rsidR="00AF3385" w:rsidRPr="00263DB9">
        <w:rPr>
          <w:szCs w:val="22"/>
        </w:rPr>
        <w:t xml:space="preserve"> </w:t>
      </w:r>
      <w:r w:rsidR="00AF3385" w:rsidRPr="00263DB9">
        <w:rPr>
          <w:noProof/>
          <w:szCs w:val="22"/>
        </w:rPr>
        <w:t>Pede-se aos profissionais de saúde que notifiquem quaisquer suspeitas de reações adversas.</w:t>
      </w:r>
      <w:r w:rsidR="00AF3385" w:rsidRPr="00263DB9">
        <w:rPr>
          <w:szCs w:val="22"/>
        </w:rPr>
        <w:t xml:space="preserve"> Para saber como notificar reações adversas, ver secção 4.8.</w:t>
      </w:r>
    </w:p>
    <w:p w14:paraId="375EAEBE" w14:textId="77777777" w:rsidR="00AF3385" w:rsidRPr="00263DB9" w:rsidRDefault="00AF3385" w:rsidP="00E51817">
      <w:pPr>
        <w:widowControl w:val="0"/>
        <w:suppressAutoHyphens/>
        <w:ind w:right="14"/>
        <w:rPr>
          <w:szCs w:val="22"/>
        </w:rPr>
      </w:pPr>
    </w:p>
    <w:p w14:paraId="375EAEBF" w14:textId="77777777" w:rsidR="00AF3385" w:rsidRPr="00263DB9" w:rsidRDefault="00AF3385" w:rsidP="00E51817">
      <w:pPr>
        <w:widowControl w:val="0"/>
        <w:tabs>
          <w:tab w:val="left" w:pos="0"/>
        </w:tabs>
        <w:suppressAutoHyphens/>
        <w:rPr>
          <w:szCs w:val="22"/>
        </w:rPr>
      </w:pPr>
    </w:p>
    <w:p w14:paraId="375EAEC0" w14:textId="77777777" w:rsidR="00906898" w:rsidRPr="00263DB9" w:rsidRDefault="00906898" w:rsidP="00E51817">
      <w:pPr>
        <w:widowControl w:val="0"/>
        <w:suppressAutoHyphens/>
        <w:ind w:left="567" w:hanging="567"/>
        <w:rPr>
          <w:color w:val="000000"/>
          <w:szCs w:val="22"/>
        </w:rPr>
      </w:pPr>
      <w:r w:rsidRPr="00263DB9">
        <w:rPr>
          <w:b/>
          <w:color w:val="000000"/>
          <w:szCs w:val="22"/>
        </w:rPr>
        <w:t>1.</w:t>
      </w:r>
      <w:r w:rsidRPr="00263DB9">
        <w:rPr>
          <w:b/>
          <w:color w:val="000000"/>
          <w:szCs w:val="22"/>
        </w:rPr>
        <w:tab/>
        <w:t>NOME DO MEDICAMENTO</w:t>
      </w:r>
    </w:p>
    <w:p w14:paraId="375EAEC1" w14:textId="77777777" w:rsidR="00906898" w:rsidRPr="00263DB9" w:rsidRDefault="00906898" w:rsidP="00E51817">
      <w:pPr>
        <w:widowControl w:val="0"/>
        <w:suppressAutoHyphens/>
        <w:rPr>
          <w:color w:val="000000"/>
          <w:szCs w:val="22"/>
        </w:rPr>
      </w:pPr>
    </w:p>
    <w:p w14:paraId="375EAEC3" w14:textId="77777777" w:rsidR="005D35DA" w:rsidRPr="00263DB9" w:rsidRDefault="005D35DA" w:rsidP="00E51817">
      <w:pPr>
        <w:widowControl w:val="0"/>
        <w:suppressAutoHyphens/>
        <w:rPr>
          <w:color w:val="000000"/>
          <w:szCs w:val="22"/>
        </w:rPr>
      </w:pPr>
      <w:r w:rsidRPr="00263DB9">
        <w:rPr>
          <w:color w:val="000000"/>
          <w:szCs w:val="22"/>
        </w:rPr>
        <w:t>Glivec 100 mg cápsulas</w:t>
      </w:r>
    </w:p>
    <w:p w14:paraId="375EAEC4" w14:textId="77777777" w:rsidR="00906898" w:rsidRPr="00263DB9" w:rsidRDefault="00906898" w:rsidP="00E51817">
      <w:pPr>
        <w:widowControl w:val="0"/>
        <w:suppressAutoHyphens/>
        <w:rPr>
          <w:color w:val="000000"/>
          <w:szCs w:val="22"/>
        </w:rPr>
      </w:pPr>
    </w:p>
    <w:p w14:paraId="375EAEC5" w14:textId="77777777" w:rsidR="00906898" w:rsidRPr="00263DB9" w:rsidRDefault="00906898" w:rsidP="00E51817">
      <w:pPr>
        <w:widowControl w:val="0"/>
        <w:suppressAutoHyphens/>
        <w:rPr>
          <w:color w:val="000000"/>
          <w:szCs w:val="22"/>
        </w:rPr>
      </w:pPr>
    </w:p>
    <w:p w14:paraId="375EAEC6" w14:textId="77777777" w:rsidR="00906898" w:rsidRPr="00263DB9" w:rsidRDefault="00906898" w:rsidP="00E51817">
      <w:pPr>
        <w:keepNext/>
        <w:widowControl w:val="0"/>
        <w:suppressAutoHyphens/>
        <w:ind w:left="567" w:hanging="567"/>
        <w:rPr>
          <w:color w:val="000000"/>
          <w:szCs w:val="22"/>
        </w:rPr>
      </w:pPr>
      <w:r w:rsidRPr="00263DB9">
        <w:rPr>
          <w:b/>
          <w:color w:val="000000"/>
          <w:szCs w:val="22"/>
        </w:rPr>
        <w:t>2.</w:t>
      </w:r>
      <w:r w:rsidRPr="00263DB9">
        <w:rPr>
          <w:b/>
          <w:color w:val="000000"/>
          <w:szCs w:val="22"/>
        </w:rPr>
        <w:tab/>
        <w:t>COMPOSIÇÃO QUALITATIVA E QUANTITATIVA</w:t>
      </w:r>
    </w:p>
    <w:p w14:paraId="375EAEC7" w14:textId="77777777" w:rsidR="00906898" w:rsidRPr="00263DB9" w:rsidRDefault="00906898" w:rsidP="00E51817">
      <w:pPr>
        <w:keepNext/>
        <w:widowControl w:val="0"/>
        <w:suppressAutoHyphens/>
        <w:rPr>
          <w:color w:val="000000"/>
          <w:szCs w:val="22"/>
        </w:rPr>
      </w:pPr>
    </w:p>
    <w:p w14:paraId="375EAECC" w14:textId="77777777" w:rsidR="005D35DA" w:rsidRPr="00263DB9" w:rsidRDefault="005D35DA" w:rsidP="00E51817">
      <w:pPr>
        <w:widowControl w:val="0"/>
        <w:suppressAutoHyphens/>
        <w:rPr>
          <w:color w:val="000000"/>
          <w:szCs w:val="22"/>
        </w:rPr>
      </w:pPr>
      <w:r w:rsidRPr="00263DB9">
        <w:rPr>
          <w:color w:val="000000"/>
          <w:szCs w:val="22"/>
        </w:rPr>
        <w:t>Cada cápsula contém 100 mg de imatinib (sob a forma de mesilato).</w:t>
      </w:r>
    </w:p>
    <w:p w14:paraId="375EAECD" w14:textId="77777777" w:rsidR="005D35DA" w:rsidRPr="00263DB9" w:rsidRDefault="005D35DA" w:rsidP="00E51817">
      <w:pPr>
        <w:widowControl w:val="0"/>
        <w:suppressAutoHyphens/>
        <w:rPr>
          <w:color w:val="000000"/>
          <w:szCs w:val="22"/>
        </w:rPr>
      </w:pPr>
    </w:p>
    <w:p w14:paraId="375EAECE" w14:textId="77777777" w:rsidR="00906898" w:rsidRPr="00263DB9" w:rsidRDefault="00906898" w:rsidP="00E51817">
      <w:pPr>
        <w:widowControl w:val="0"/>
        <w:suppressAutoHyphens/>
        <w:rPr>
          <w:color w:val="000000"/>
          <w:szCs w:val="22"/>
        </w:rPr>
      </w:pPr>
      <w:r w:rsidRPr="00263DB9">
        <w:rPr>
          <w:color w:val="000000"/>
          <w:szCs w:val="22"/>
        </w:rPr>
        <w:t>Lista completa de excipientes, ver secção 6.1.</w:t>
      </w:r>
    </w:p>
    <w:p w14:paraId="375EAECF" w14:textId="77777777" w:rsidR="00906898" w:rsidRPr="00263DB9" w:rsidRDefault="00906898" w:rsidP="00E51817">
      <w:pPr>
        <w:widowControl w:val="0"/>
        <w:suppressAutoHyphens/>
        <w:rPr>
          <w:color w:val="000000"/>
          <w:szCs w:val="22"/>
        </w:rPr>
      </w:pPr>
    </w:p>
    <w:p w14:paraId="375EAED0" w14:textId="77777777" w:rsidR="00906898" w:rsidRPr="00263DB9" w:rsidRDefault="00906898" w:rsidP="00E51817">
      <w:pPr>
        <w:widowControl w:val="0"/>
        <w:suppressAutoHyphens/>
        <w:rPr>
          <w:color w:val="000000"/>
          <w:szCs w:val="22"/>
        </w:rPr>
      </w:pPr>
    </w:p>
    <w:p w14:paraId="375EAED1" w14:textId="77777777" w:rsidR="00906898" w:rsidRPr="00263DB9" w:rsidRDefault="00906898" w:rsidP="00E51817">
      <w:pPr>
        <w:keepNext/>
        <w:widowControl w:val="0"/>
        <w:suppressAutoHyphens/>
        <w:ind w:left="567" w:hanging="567"/>
        <w:rPr>
          <w:color w:val="000000"/>
          <w:szCs w:val="22"/>
        </w:rPr>
      </w:pPr>
      <w:r w:rsidRPr="00263DB9">
        <w:rPr>
          <w:b/>
          <w:color w:val="000000"/>
          <w:szCs w:val="22"/>
        </w:rPr>
        <w:t>3.</w:t>
      </w:r>
      <w:r w:rsidRPr="00263DB9">
        <w:rPr>
          <w:b/>
          <w:color w:val="000000"/>
          <w:szCs w:val="22"/>
        </w:rPr>
        <w:tab/>
        <w:t>FORMA FARMACÊUTICA</w:t>
      </w:r>
    </w:p>
    <w:p w14:paraId="375EAED2" w14:textId="77777777" w:rsidR="00906898" w:rsidRPr="00263DB9" w:rsidRDefault="00906898" w:rsidP="00E51817">
      <w:pPr>
        <w:keepNext/>
        <w:widowControl w:val="0"/>
        <w:suppressAutoHyphens/>
        <w:rPr>
          <w:color w:val="000000"/>
          <w:szCs w:val="22"/>
        </w:rPr>
      </w:pPr>
    </w:p>
    <w:p w14:paraId="375EAED3" w14:textId="77777777" w:rsidR="00906898" w:rsidRPr="00263DB9" w:rsidRDefault="00906898" w:rsidP="00E51817">
      <w:pPr>
        <w:widowControl w:val="0"/>
        <w:suppressAutoHyphens/>
        <w:rPr>
          <w:color w:val="000000"/>
          <w:szCs w:val="22"/>
        </w:rPr>
      </w:pPr>
      <w:r w:rsidRPr="00263DB9">
        <w:rPr>
          <w:color w:val="000000"/>
          <w:szCs w:val="22"/>
        </w:rPr>
        <w:t>Cápsula</w:t>
      </w:r>
    </w:p>
    <w:p w14:paraId="375EAED4" w14:textId="77777777" w:rsidR="00906898" w:rsidRPr="00263DB9" w:rsidRDefault="00906898" w:rsidP="00E51817">
      <w:pPr>
        <w:widowControl w:val="0"/>
        <w:suppressAutoHyphens/>
        <w:rPr>
          <w:color w:val="000000"/>
          <w:szCs w:val="22"/>
        </w:rPr>
      </w:pPr>
    </w:p>
    <w:p w14:paraId="375EAED9" w14:textId="77777777" w:rsidR="005D35DA" w:rsidRPr="00263DB9" w:rsidRDefault="005D35DA" w:rsidP="00E51817">
      <w:pPr>
        <w:widowControl w:val="0"/>
        <w:suppressAutoHyphens/>
        <w:rPr>
          <w:color w:val="000000"/>
          <w:szCs w:val="22"/>
        </w:rPr>
      </w:pPr>
      <w:r w:rsidRPr="00263DB9">
        <w:rPr>
          <w:color w:val="000000"/>
          <w:szCs w:val="22"/>
        </w:rPr>
        <w:t>Pó branco a amarelo numa cápsula opaca laranja a laranja-acinzentada, com a marca “NVR SI”.</w:t>
      </w:r>
    </w:p>
    <w:p w14:paraId="375EAEDA" w14:textId="77777777" w:rsidR="005D35DA" w:rsidRPr="00263DB9" w:rsidRDefault="005D35DA" w:rsidP="00E51817">
      <w:pPr>
        <w:widowControl w:val="0"/>
        <w:suppressAutoHyphens/>
        <w:rPr>
          <w:color w:val="000000"/>
          <w:szCs w:val="22"/>
        </w:rPr>
      </w:pPr>
    </w:p>
    <w:p w14:paraId="375EAEDB" w14:textId="77777777" w:rsidR="00906898" w:rsidRPr="00263DB9" w:rsidRDefault="00906898" w:rsidP="00E51817">
      <w:pPr>
        <w:widowControl w:val="0"/>
        <w:suppressAutoHyphens/>
        <w:rPr>
          <w:color w:val="000000"/>
          <w:szCs w:val="22"/>
        </w:rPr>
      </w:pPr>
    </w:p>
    <w:p w14:paraId="375EAEDC" w14:textId="77777777" w:rsidR="00906898" w:rsidRPr="00263DB9" w:rsidRDefault="00906898" w:rsidP="00E51817">
      <w:pPr>
        <w:keepNext/>
        <w:widowControl w:val="0"/>
        <w:suppressAutoHyphens/>
        <w:ind w:left="567" w:hanging="567"/>
        <w:rPr>
          <w:color w:val="000000"/>
          <w:szCs w:val="22"/>
        </w:rPr>
      </w:pPr>
      <w:r w:rsidRPr="00263DB9">
        <w:rPr>
          <w:b/>
          <w:color w:val="000000"/>
          <w:szCs w:val="22"/>
        </w:rPr>
        <w:t>4.</w:t>
      </w:r>
      <w:r w:rsidRPr="00263DB9">
        <w:rPr>
          <w:b/>
          <w:color w:val="000000"/>
          <w:szCs w:val="22"/>
        </w:rPr>
        <w:tab/>
        <w:t>INFORMAÇÕES CLÍNICAS</w:t>
      </w:r>
    </w:p>
    <w:p w14:paraId="375EAEDD" w14:textId="77777777" w:rsidR="00906898" w:rsidRPr="00263DB9" w:rsidRDefault="00906898" w:rsidP="00E51817">
      <w:pPr>
        <w:keepNext/>
        <w:widowControl w:val="0"/>
        <w:suppressAutoHyphens/>
        <w:rPr>
          <w:color w:val="000000"/>
          <w:szCs w:val="22"/>
        </w:rPr>
      </w:pPr>
    </w:p>
    <w:p w14:paraId="375EAEDE" w14:textId="77777777" w:rsidR="00906898" w:rsidRPr="00263DB9" w:rsidRDefault="00906898" w:rsidP="00E51817">
      <w:pPr>
        <w:keepNext/>
        <w:widowControl w:val="0"/>
        <w:suppressAutoHyphens/>
        <w:ind w:left="567" w:hanging="567"/>
        <w:rPr>
          <w:color w:val="000000"/>
          <w:szCs w:val="22"/>
        </w:rPr>
      </w:pPr>
      <w:r w:rsidRPr="00263DB9">
        <w:rPr>
          <w:b/>
          <w:color w:val="000000"/>
          <w:szCs w:val="22"/>
        </w:rPr>
        <w:t>4.1</w:t>
      </w:r>
      <w:r w:rsidRPr="00263DB9">
        <w:rPr>
          <w:b/>
          <w:color w:val="000000"/>
          <w:szCs w:val="22"/>
        </w:rPr>
        <w:tab/>
        <w:t>Indicações terapêuticas</w:t>
      </w:r>
    </w:p>
    <w:p w14:paraId="375EAEDF" w14:textId="77777777" w:rsidR="00906898" w:rsidRPr="00263DB9" w:rsidRDefault="00906898" w:rsidP="00E51817">
      <w:pPr>
        <w:keepNext/>
        <w:widowControl w:val="0"/>
        <w:suppressAutoHyphens/>
        <w:rPr>
          <w:color w:val="000000"/>
          <w:szCs w:val="22"/>
        </w:rPr>
      </w:pPr>
    </w:p>
    <w:p w14:paraId="375EAEE0" w14:textId="77777777" w:rsidR="00906898" w:rsidRPr="00263DB9" w:rsidRDefault="00906898" w:rsidP="00E51817">
      <w:pPr>
        <w:keepNext/>
        <w:widowControl w:val="0"/>
        <w:suppressAutoHyphens/>
        <w:rPr>
          <w:color w:val="000000"/>
          <w:szCs w:val="22"/>
        </w:rPr>
      </w:pPr>
      <w:r w:rsidRPr="00263DB9">
        <w:rPr>
          <w:color w:val="000000"/>
          <w:szCs w:val="22"/>
        </w:rPr>
        <w:t>Glivec está indicado para o tratamento de:</w:t>
      </w:r>
    </w:p>
    <w:p w14:paraId="375EAEE1" w14:textId="77777777" w:rsidR="00906898" w:rsidRPr="00263DB9" w:rsidRDefault="00906898" w:rsidP="00E51817">
      <w:pPr>
        <w:widowControl w:val="0"/>
        <w:numPr>
          <w:ilvl w:val="0"/>
          <w:numId w:val="10"/>
        </w:numPr>
        <w:tabs>
          <w:tab w:val="clear" w:pos="780"/>
        </w:tabs>
        <w:suppressAutoHyphens/>
        <w:ind w:left="567" w:hanging="567"/>
        <w:rPr>
          <w:color w:val="000000"/>
          <w:szCs w:val="22"/>
        </w:rPr>
      </w:pPr>
      <w:r w:rsidRPr="00263DB9">
        <w:rPr>
          <w:color w:val="000000"/>
          <w:szCs w:val="22"/>
        </w:rPr>
        <w:t>doentes adultos e pediátricos diagnosticados de novo com leucemia mieloide crónica (LMC) positiva para o cromossoma Filadélfia (bcr-abl) (Ph+), para os quais o transplante de medula óssea não é tratamento de primeira linha.</w:t>
      </w:r>
    </w:p>
    <w:p w14:paraId="375EAEE2" w14:textId="77777777" w:rsidR="00906898" w:rsidRPr="00263DB9" w:rsidRDefault="00906898" w:rsidP="00E51817">
      <w:pPr>
        <w:widowControl w:val="0"/>
        <w:numPr>
          <w:ilvl w:val="0"/>
          <w:numId w:val="10"/>
        </w:numPr>
        <w:tabs>
          <w:tab w:val="clear" w:pos="780"/>
        </w:tabs>
        <w:suppressAutoHyphens/>
        <w:ind w:left="567" w:hanging="567"/>
        <w:rPr>
          <w:color w:val="000000"/>
          <w:szCs w:val="22"/>
        </w:rPr>
      </w:pPr>
      <w:r w:rsidRPr="00263DB9">
        <w:rPr>
          <w:color w:val="000000"/>
          <w:szCs w:val="22"/>
        </w:rPr>
        <w:t>doentes adultos e pediátricos com LMC Ph+ em fase crónica após insucesso da terapêutica com alfa-interferão, ou em fase acelerada ou crise blástica.</w:t>
      </w:r>
    </w:p>
    <w:p w14:paraId="375EAEE3" w14:textId="77777777" w:rsidR="00906898" w:rsidRPr="00263DB9" w:rsidRDefault="00906898" w:rsidP="00E51817">
      <w:pPr>
        <w:widowControl w:val="0"/>
        <w:numPr>
          <w:ilvl w:val="0"/>
          <w:numId w:val="10"/>
        </w:numPr>
        <w:tabs>
          <w:tab w:val="clear" w:pos="780"/>
        </w:tabs>
        <w:suppressAutoHyphens/>
        <w:ind w:left="567" w:hanging="567"/>
        <w:rPr>
          <w:color w:val="000000"/>
          <w:szCs w:val="22"/>
        </w:rPr>
      </w:pPr>
      <w:r w:rsidRPr="00263DB9">
        <w:rPr>
          <w:color w:val="000000"/>
          <w:szCs w:val="22"/>
        </w:rPr>
        <w:t xml:space="preserve">doentes adultos </w:t>
      </w:r>
      <w:r w:rsidR="00624381" w:rsidRPr="00263DB9">
        <w:rPr>
          <w:color w:val="000000"/>
          <w:szCs w:val="22"/>
        </w:rPr>
        <w:t xml:space="preserve">e pediátricos </w:t>
      </w:r>
      <w:r w:rsidRPr="00263DB9">
        <w:rPr>
          <w:color w:val="000000"/>
          <w:szCs w:val="22"/>
        </w:rPr>
        <w:t>diagnosticados de novo com leucemia linfoblástica aguda positiva para o cromossoma Filadélfia (LLA Ph+) integrado com quimioterapia.</w:t>
      </w:r>
    </w:p>
    <w:p w14:paraId="375EAEE4" w14:textId="77777777" w:rsidR="00906898" w:rsidRPr="00263DB9" w:rsidRDefault="00906898" w:rsidP="00E51817">
      <w:pPr>
        <w:widowControl w:val="0"/>
        <w:numPr>
          <w:ilvl w:val="0"/>
          <w:numId w:val="10"/>
        </w:numPr>
        <w:tabs>
          <w:tab w:val="clear" w:pos="780"/>
        </w:tabs>
        <w:suppressAutoHyphens/>
        <w:ind w:left="567" w:hanging="567"/>
        <w:rPr>
          <w:color w:val="000000"/>
          <w:szCs w:val="22"/>
        </w:rPr>
      </w:pPr>
      <w:r w:rsidRPr="00263DB9">
        <w:rPr>
          <w:color w:val="000000"/>
          <w:szCs w:val="22"/>
        </w:rPr>
        <w:t>doentes adultos com LLA Ph+ recorrente ou refratária em monoterapia.</w:t>
      </w:r>
    </w:p>
    <w:p w14:paraId="375EAEE5" w14:textId="77777777" w:rsidR="00906898" w:rsidRPr="00263DB9" w:rsidRDefault="00906898" w:rsidP="00E51817">
      <w:pPr>
        <w:widowControl w:val="0"/>
        <w:numPr>
          <w:ilvl w:val="0"/>
          <w:numId w:val="10"/>
        </w:numPr>
        <w:tabs>
          <w:tab w:val="clear" w:pos="780"/>
        </w:tabs>
        <w:suppressAutoHyphens/>
        <w:ind w:left="567" w:hanging="567"/>
        <w:rPr>
          <w:color w:val="000000"/>
          <w:szCs w:val="22"/>
        </w:rPr>
      </w:pPr>
      <w:r w:rsidRPr="00263DB9">
        <w:rPr>
          <w:color w:val="000000"/>
          <w:szCs w:val="22"/>
        </w:rPr>
        <w:t>doentes adultos com síndrome mielodisplásica/doenças mieloproliferativas (MDS/MPD) associadas com re-arranjos do gene do recetor do fator de crescimento derivado das plaquetas (PDGFR).</w:t>
      </w:r>
    </w:p>
    <w:p w14:paraId="375EAEE6" w14:textId="77777777" w:rsidR="00906898" w:rsidRPr="00263DB9" w:rsidRDefault="00906898" w:rsidP="00E51817">
      <w:pPr>
        <w:widowControl w:val="0"/>
        <w:numPr>
          <w:ilvl w:val="0"/>
          <w:numId w:val="10"/>
        </w:numPr>
        <w:tabs>
          <w:tab w:val="clear" w:pos="780"/>
        </w:tabs>
        <w:suppressAutoHyphens/>
        <w:ind w:left="567" w:hanging="567"/>
        <w:rPr>
          <w:color w:val="000000"/>
          <w:szCs w:val="22"/>
        </w:rPr>
      </w:pPr>
      <w:r w:rsidRPr="00263DB9">
        <w:rPr>
          <w:color w:val="000000"/>
          <w:szCs w:val="22"/>
        </w:rPr>
        <w:t>doentes adultos com síndrome hipereosinofílica avançada e/ou leucemia eosinofílica crónica com rearranjo FIP1L1-PDGFR</w:t>
      </w:r>
      <w:r w:rsidRPr="00263DB9">
        <w:rPr>
          <w:color w:val="000000"/>
        </w:rPr>
        <w:sym w:font="Symbol" w:char="F061"/>
      </w:r>
      <w:r w:rsidRPr="00263DB9">
        <w:rPr>
          <w:color w:val="000000"/>
        </w:rPr>
        <w:t>.</w:t>
      </w:r>
    </w:p>
    <w:p w14:paraId="375EAEE7" w14:textId="77777777" w:rsidR="00906898" w:rsidRPr="00263DB9" w:rsidRDefault="00906898" w:rsidP="00E51817">
      <w:pPr>
        <w:widowControl w:val="0"/>
        <w:suppressAutoHyphens/>
        <w:rPr>
          <w:color w:val="000000"/>
          <w:szCs w:val="22"/>
        </w:rPr>
      </w:pPr>
    </w:p>
    <w:p w14:paraId="375EAEE8" w14:textId="77777777" w:rsidR="00906898" w:rsidRPr="00263DB9" w:rsidRDefault="00906898" w:rsidP="00E51817">
      <w:pPr>
        <w:widowControl w:val="0"/>
        <w:suppressAutoHyphens/>
        <w:rPr>
          <w:color w:val="000000"/>
          <w:szCs w:val="22"/>
        </w:rPr>
      </w:pPr>
      <w:r w:rsidRPr="00263DB9">
        <w:rPr>
          <w:color w:val="000000"/>
          <w:szCs w:val="22"/>
        </w:rPr>
        <w:t>Não foi determinado o efeito do tratamento com Glivec sobre os resultados do transplante de medula óssea.</w:t>
      </w:r>
    </w:p>
    <w:p w14:paraId="375EAEE9" w14:textId="77777777" w:rsidR="00906898" w:rsidRPr="00263DB9" w:rsidRDefault="00906898" w:rsidP="00E51817">
      <w:pPr>
        <w:widowControl w:val="0"/>
        <w:suppressAutoHyphens/>
        <w:rPr>
          <w:color w:val="000000"/>
          <w:szCs w:val="22"/>
        </w:rPr>
      </w:pPr>
    </w:p>
    <w:p w14:paraId="375EAEEA" w14:textId="77777777" w:rsidR="00906898" w:rsidRPr="00263DB9" w:rsidRDefault="00906898" w:rsidP="00E51817">
      <w:pPr>
        <w:keepNext/>
        <w:widowControl w:val="0"/>
        <w:suppressAutoHyphens/>
        <w:rPr>
          <w:color w:val="000000"/>
          <w:szCs w:val="22"/>
        </w:rPr>
      </w:pPr>
      <w:r w:rsidRPr="00263DB9">
        <w:rPr>
          <w:color w:val="000000"/>
          <w:szCs w:val="22"/>
        </w:rPr>
        <w:t>Glivec está também indicado para</w:t>
      </w:r>
    </w:p>
    <w:p w14:paraId="375EAEEB" w14:textId="77777777" w:rsidR="00906898" w:rsidRPr="00263DB9" w:rsidRDefault="00906898" w:rsidP="00E51817">
      <w:pPr>
        <w:widowControl w:val="0"/>
        <w:numPr>
          <w:ilvl w:val="0"/>
          <w:numId w:val="11"/>
        </w:numPr>
        <w:tabs>
          <w:tab w:val="clear" w:pos="720"/>
        </w:tabs>
        <w:suppressAutoHyphens/>
        <w:ind w:left="567" w:hanging="567"/>
        <w:rPr>
          <w:color w:val="000000"/>
          <w:szCs w:val="22"/>
        </w:rPr>
      </w:pPr>
      <w:r w:rsidRPr="00263DB9">
        <w:rPr>
          <w:color w:val="000000"/>
          <w:szCs w:val="22"/>
        </w:rPr>
        <w:t>o tratamento de doentes adultos com tumores malignos do estroma gastrintestinal (GIST) Kit (CD117) positivos metastáticos e/ou irressecáveis.</w:t>
      </w:r>
    </w:p>
    <w:p w14:paraId="375EAEEC" w14:textId="77777777" w:rsidR="00906898" w:rsidRPr="00263DB9" w:rsidRDefault="00906898" w:rsidP="00E51817">
      <w:pPr>
        <w:widowControl w:val="0"/>
        <w:numPr>
          <w:ilvl w:val="0"/>
          <w:numId w:val="11"/>
        </w:numPr>
        <w:tabs>
          <w:tab w:val="clear" w:pos="720"/>
        </w:tabs>
        <w:suppressAutoHyphens/>
        <w:ind w:left="567" w:hanging="567"/>
        <w:rPr>
          <w:color w:val="000000"/>
          <w:szCs w:val="22"/>
        </w:rPr>
      </w:pPr>
      <w:r w:rsidRPr="00263DB9">
        <w:rPr>
          <w:color w:val="000000"/>
          <w:szCs w:val="22"/>
        </w:rPr>
        <w:t>o tratamento adjuvante de doentes adultos que estejam em risco significativo de recorrência após ressecção de GIST Kit (CD117) positivos. Os doentes que tenham um risco baixo ou muito baixo de recorrência não deverão receber tratamento adjuvante.</w:t>
      </w:r>
    </w:p>
    <w:p w14:paraId="375EAEED" w14:textId="77777777" w:rsidR="00906898" w:rsidRPr="00263DB9" w:rsidRDefault="00906898" w:rsidP="00E51817">
      <w:pPr>
        <w:widowControl w:val="0"/>
        <w:numPr>
          <w:ilvl w:val="0"/>
          <w:numId w:val="11"/>
        </w:numPr>
        <w:tabs>
          <w:tab w:val="clear" w:pos="720"/>
        </w:tabs>
        <w:suppressAutoHyphens/>
        <w:ind w:left="567" w:hanging="567"/>
        <w:rPr>
          <w:color w:val="000000"/>
          <w:szCs w:val="22"/>
        </w:rPr>
      </w:pPr>
      <w:r w:rsidRPr="00263DB9">
        <w:rPr>
          <w:color w:val="000000"/>
          <w:szCs w:val="22"/>
        </w:rPr>
        <w:t>o tratamento de doentes adultos com dermatofibrossarcoma protuberans não resseccionáveis (DFSP) e doentes adultos com DFSP recorrente e/ou metastáticos que não são elegíveis para cirurgia.</w:t>
      </w:r>
    </w:p>
    <w:p w14:paraId="375EAEEE" w14:textId="77777777" w:rsidR="00906898" w:rsidRPr="00263DB9" w:rsidRDefault="00906898" w:rsidP="00E51817">
      <w:pPr>
        <w:widowControl w:val="0"/>
        <w:suppressAutoHyphens/>
        <w:rPr>
          <w:color w:val="000000"/>
          <w:szCs w:val="22"/>
        </w:rPr>
      </w:pPr>
    </w:p>
    <w:p w14:paraId="375EAEEF" w14:textId="77777777" w:rsidR="00906898" w:rsidRPr="00263DB9" w:rsidRDefault="00906898" w:rsidP="00E51817">
      <w:pPr>
        <w:widowControl w:val="0"/>
        <w:suppressAutoHyphens/>
        <w:rPr>
          <w:color w:val="000000"/>
          <w:szCs w:val="22"/>
        </w:rPr>
      </w:pPr>
      <w:r w:rsidRPr="00263DB9">
        <w:rPr>
          <w:color w:val="000000"/>
          <w:szCs w:val="22"/>
        </w:rPr>
        <w:lastRenderedPageBreak/>
        <w:t xml:space="preserve">Em doentes adultos e pediátricos, a eficácia de Glivec baseia-se em taxas de resposta hematológica e citogenética globais e na </w:t>
      </w:r>
      <w:r w:rsidR="00600EF5" w:rsidRPr="00263DB9">
        <w:rPr>
          <w:color w:val="000000"/>
          <w:szCs w:val="22"/>
        </w:rPr>
        <w:t xml:space="preserve">sobrevivência </w:t>
      </w:r>
      <w:r w:rsidRPr="00263DB9">
        <w:rPr>
          <w:color w:val="000000"/>
          <w:szCs w:val="22"/>
        </w:rPr>
        <w:t xml:space="preserve">sem progressão da doença na LMC, em taxas de resposta hematológica e citogenética na LLA Ph+, MDS/MPD, nas taxas de resposta hematológica na síndrome hipereosinofílica avançada/leucemia eosinofílica crónica e em taxas de resposta objetiva em doentes adultos com GIST metastáticos e/ou irressecáveis e DFSP e na </w:t>
      </w:r>
      <w:r w:rsidR="00600EF5" w:rsidRPr="00263DB9">
        <w:rPr>
          <w:color w:val="000000"/>
          <w:szCs w:val="22"/>
        </w:rPr>
        <w:t xml:space="preserve">sobrevivência </w:t>
      </w:r>
      <w:r w:rsidRPr="00263DB9">
        <w:rPr>
          <w:color w:val="000000"/>
          <w:szCs w:val="22"/>
        </w:rPr>
        <w:t xml:space="preserve">livre de recorrência no GIST adjuvante. A experiência com Glivec em doentes com MDS/MPD associadas com rearranjos do gene PDGFR é muito limitada (ver secção 5.1). Exceto nos casos de LMC em fase crónica diagnosticados de novo, não há ensaios clínicos controlados demonstrativos de benefício clínico ou aumento da </w:t>
      </w:r>
      <w:r w:rsidR="00600EF5" w:rsidRPr="00263DB9">
        <w:rPr>
          <w:color w:val="000000"/>
          <w:szCs w:val="22"/>
        </w:rPr>
        <w:t xml:space="preserve">sobrevivência </w:t>
      </w:r>
      <w:r w:rsidRPr="00263DB9">
        <w:rPr>
          <w:color w:val="000000"/>
          <w:szCs w:val="22"/>
        </w:rPr>
        <w:t>para estas doenças.</w:t>
      </w:r>
    </w:p>
    <w:p w14:paraId="375EAEF0" w14:textId="77777777" w:rsidR="00906898" w:rsidRPr="00263DB9" w:rsidRDefault="00906898" w:rsidP="00E51817">
      <w:pPr>
        <w:widowControl w:val="0"/>
        <w:suppressAutoHyphens/>
        <w:rPr>
          <w:color w:val="000000"/>
          <w:szCs w:val="22"/>
        </w:rPr>
      </w:pPr>
    </w:p>
    <w:p w14:paraId="375EAEF1" w14:textId="77777777" w:rsidR="00906898" w:rsidRPr="00263DB9" w:rsidRDefault="00906898" w:rsidP="00E51817">
      <w:pPr>
        <w:keepNext/>
        <w:widowControl w:val="0"/>
        <w:suppressAutoHyphens/>
        <w:ind w:left="567" w:hanging="567"/>
        <w:rPr>
          <w:color w:val="000000"/>
          <w:szCs w:val="22"/>
        </w:rPr>
      </w:pPr>
      <w:r w:rsidRPr="00263DB9">
        <w:rPr>
          <w:b/>
          <w:color w:val="000000"/>
          <w:szCs w:val="22"/>
        </w:rPr>
        <w:t>4.2</w:t>
      </w:r>
      <w:r w:rsidRPr="00263DB9">
        <w:rPr>
          <w:b/>
          <w:color w:val="000000"/>
          <w:szCs w:val="22"/>
        </w:rPr>
        <w:tab/>
        <w:t>Posologia e modo de administração</w:t>
      </w:r>
    </w:p>
    <w:p w14:paraId="375EAEF2" w14:textId="77777777" w:rsidR="00906898" w:rsidRPr="00263DB9" w:rsidRDefault="00906898" w:rsidP="00E51817">
      <w:pPr>
        <w:keepNext/>
        <w:widowControl w:val="0"/>
        <w:suppressAutoHyphens/>
        <w:rPr>
          <w:color w:val="000000"/>
          <w:szCs w:val="22"/>
        </w:rPr>
      </w:pPr>
    </w:p>
    <w:p w14:paraId="375EAEF3" w14:textId="77777777" w:rsidR="00906898" w:rsidRPr="00263DB9" w:rsidRDefault="00906898" w:rsidP="00E51817">
      <w:pPr>
        <w:widowControl w:val="0"/>
        <w:suppressAutoHyphens/>
        <w:rPr>
          <w:color w:val="000000"/>
          <w:szCs w:val="22"/>
        </w:rPr>
      </w:pPr>
      <w:r w:rsidRPr="00263DB9">
        <w:rPr>
          <w:color w:val="000000"/>
          <w:szCs w:val="22"/>
        </w:rPr>
        <w:t>A terapêutica deve ser iniciada por um médico com experiência no tratamento de doentes com neoplasias hematológicas e sarcomas malignos, conforme o adequado.</w:t>
      </w:r>
    </w:p>
    <w:p w14:paraId="375EAEF4" w14:textId="77777777" w:rsidR="00906898" w:rsidRPr="00263DB9" w:rsidRDefault="00906898" w:rsidP="00E51817">
      <w:pPr>
        <w:widowControl w:val="0"/>
        <w:suppressAutoHyphens/>
        <w:rPr>
          <w:color w:val="000000"/>
          <w:szCs w:val="22"/>
        </w:rPr>
      </w:pPr>
    </w:p>
    <w:p w14:paraId="375EAEF5" w14:textId="77777777" w:rsidR="00906898" w:rsidRPr="00263DB9" w:rsidRDefault="00906898" w:rsidP="00E51817">
      <w:pPr>
        <w:widowControl w:val="0"/>
        <w:suppressAutoHyphens/>
        <w:rPr>
          <w:color w:val="000000"/>
          <w:szCs w:val="22"/>
        </w:rPr>
      </w:pPr>
      <w:r w:rsidRPr="00263DB9">
        <w:rPr>
          <w:color w:val="000000"/>
          <w:szCs w:val="22"/>
        </w:rPr>
        <w:t>A dose prescrita deve ser administrada oralmente, com uma refeição e um grande copo de água para minimizar o risco de irritação gastrintestinal. As doses de 400 mg ou 600 mg devem ser administradas uma vez por dia, enquanto que a dose de 800 mg deve ser administrada como 400 mg duas vezes por dia, de manhã e à noite. Em doentes (crianças) com dificuldade em deglutir as cápsulas, o seu conteúdo poderá ser diluído num copo de água não gaseificada ou de sumo de maçã. Dado os estudos em animais terem demonstrado toxicidade reprodutiva, e visto desconhecer-se o potencial risco para o feto humano, as mulheres em risco de engravidar, que necessitem abrir as cápsulas, deverão manusear o seu conteúdo com precaução e evitar o contacto com a pele ou olhos ou a sua inalação (ver secção 4.6). As mãos deverão ser lavadas imediatamente após o manuseamento das cápsulas abertas.</w:t>
      </w:r>
    </w:p>
    <w:p w14:paraId="375EAEF6" w14:textId="77777777" w:rsidR="00906898" w:rsidRPr="00263DB9" w:rsidRDefault="00906898" w:rsidP="00E51817">
      <w:pPr>
        <w:widowControl w:val="0"/>
        <w:suppressAutoHyphens/>
        <w:rPr>
          <w:color w:val="000000"/>
          <w:szCs w:val="22"/>
        </w:rPr>
      </w:pPr>
    </w:p>
    <w:p w14:paraId="375EAEF7" w14:textId="77777777" w:rsidR="00906898" w:rsidRPr="00263DB9" w:rsidRDefault="00906898" w:rsidP="00E51817">
      <w:pPr>
        <w:keepNext/>
        <w:widowControl w:val="0"/>
        <w:suppressAutoHyphens/>
        <w:rPr>
          <w:color w:val="000000"/>
          <w:szCs w:val="22"/>
          <w:u w:val="single"/>
        </w:rPr>
      </w:pPr>
      <w:r w:rsidRPr="00263DB9">
        <w:rPr>
          <w:color w:val="000000"/>
          <w:szCs w:val="22"/>
          <w:u w:val="single"/>
        </w:rPr>
        <w:t>Posologia para LMC em doentes adultos</w:t>
      </w:r>
    </w:p>
    <w:p w14:paraId="375EAEF8" w14:textId="77777777" w:rsidR="00906898" w:rsidRPr="00263DB9" w:rsidRDefault="00906898" w:rsidP="00E51817">
      <w:pPr>
        <w:widowControl w:val="0"/>
        <w:suppressAutoHyphens/>
        <w:rPr>
          <w:color w:val="000000"/>
          <w:szCs w:val="22"/>
        </w:rPr>
      </w:pPr>
      <w:r w:rsidRPr="00263DB9">
        <w:rPr>
          <w:color w:val="000000"/>
          <w:szCs w:val="22"/>
        </w:rPr>
        <w:t>A dose recomendada de Glivec é 400 mg por dia em doentes adultos com LMC em fase crónica. Define-se fase crónica da LMC pela ocorrência de todos os seguintes critérios: blastos &lt; 15% no sangue e medula óssea, basófilos no sangue periférico &lt; 20%, plaquetas &gt; 100 x 10</w:t>
      </w:r>
      <w:r w:rsidRPr="00263DB9">
        <w:rPr>
          <w:color w:val="000000"/>
          <w:szCs w:val="22"/>
          <w:vertAlign w:val="superscript"/>
        </w:rPr>
        <w:t>9</w:t>
      </w:r>
      <w:r w:rsidRPr="00263DB9">
        <w:rPr>
          <w:color w:val="000000"/>
          <w:szCs w:val="22"/>
        </w:rPr>
        <w:t>/l.</w:t>
      </w:r>
    </w:p>
    <w:p w14:paraId="375EAEF9" w14:textId="77777777" w:rsidR="00906898" w:rsidRPr="00263DB9" w:rsidRDefault="00906898" w:rsidP="00E51817">
      <w:pPr>
        <w:widowControl w:val="0"/>
        <w:suppressAutoHyphens/>
        <w:rPr>
          <w:color w:val="000000"/>
          <w:szCs w:val="22"/>
        </w:rPr>
      </w:pPr>
    </w:p>
    <w:p w14:paraId="375EAEFA" w14:textId="77777777" w:rsidR="00906898" w:rsidRPr="00263DB9" w:rsidRDefault="00906898" w:rsidP="00E51817">
      <w:pPr>
        <w:widowControl w:val="0"/>
        <w:suppressAutoHyphens/>
        <w:rPr>
          <w:color w:val="000000"/>
          <w:szCs w:val="22"/>
        </w:rPr>
      </w:pPr>
      <w:r w:rsidRPr="00263DB9">
        <w:rPr>
          <w:color w:val="000000"/>
          <w:szCs w:val="22"/>
        </w:rPr>
        <w:t xml:space="preserve">A dose recomendada de Glivec é 600 mg por dia em doentes adultos em fase acelerada. Define-se fase acelerada pela ocorrência de qualquer dos seguintes critérios: blastos no sangue ou medula óssea </w:t>
      </w:r>
      <w:r w:rsidRPr="00263DB9">
        <w:rPr>
          <w:color w:val="000000"/>
          <w:szCs w:val="22"/>
        </w:rPr>
        <w:sym w:font="Symbol" w:char="F0B3"/>
      </w:r>
      <w:r w:rsidRPr="00263DB9">
        <w:rPr>
          <w:color w:val="000000"/>
          <w:szCs w:val="22"/>
        </w:rPr>
        <w:t xml:space="preserve"> 15% mas &lt; 30%, blastos + promielócitos </w:t>
      </w:r>
      <w:r w:rsidRPr="00263DB9">
        <w:rPr>
          <w:color w:val="000000"/>
          <w:szCs w:val="22"/>
        </w:rPr>
        <w:sym w:font="Symbol" w:char="F0B3"/>
      </w:r>
      <w:r w:rsidRPr="00263DB9">
        <w:rPr>
          <w:color w:val="000000"/>
          <w:szCs w:val="22"/>
        </w:rPr>
        <w:t xml:space="preserve"> 30% no sangue ou medula óssea (desde que blastos &lt; 30%), basófilos no sangue periférico </w:t>
      </w:r>
      <w:r w:rsidRPr="00263DB9">
        <w:rPr>
          <w:color w:val="000000"/>
          <w:szCs w:val="22"/>
        </w:rPr>
        <w:sym w:font="Symbol" w:char="F0B3"/>
      </w:r>
      <w:r w:rsidRPr="00263DB9">
        <w:rPr>
          <w:color w:val="000000"/>
          <w:szCs w:val="22"/>
        </w:rPr>
        <w:t> 20%, plaquetas &lt; 100 x 10</w:t>
      </w:r>
      <w:r w:rsidRPr="00263DB9">
        <w:rPr>
          <w:color w:val="000000"/>
          <w:szCs w:val="22"/>
          <w:vertAlign w:val="superscript"/>
        </w:rPr>
        <w:t>9</w:t>
      </w:r>
      <w:r w:rsidRPr="00263DB9">
        <w:rPr>
          <w:color w:val="000000"/>
          <w:szCs w:val="22"/>
        </w:rPr>
        <w:t>/l independentemente da terapêutica.</w:t>
      </w:r>
    </w:p>
    <w:p w14:paraId="375EAEFB" w14:textId="77777777" w:rsidR="00906898" w:rsidRPr="00263DB9" w:rsidRDefault="00906898" w:rsidP="00E51817">
      <w:pPr>
        <w:widowControl w:val="0"/>
        <w:suppressAutoHyphens/>
        <w:rPr>
          <w:color w:val="000000"/>
          <w:szCs w:val="22"/>
        </w:rPr>
      </w:pPr>
    </w:p>
    <w:p w14:paraId="375EAEFC" w14:textId="77777777" w:rsidR="00906898" w:rsidRPr="00263DB9" w:rsidRDefault="00906898" w:rsidP="00E51817">
      <w:pPr>
        <w:widowControl w:val="0"/>
        <w:suppressAutoHyphens/>
        <w:rPr>
          <w:color w:val="000000"/>
          <w:szCs w:val="22"/>
        </w:rPr>
      </w:pPr>
      <w:r w:rsidRPr="00263DB9">
        <w:rPr>
          <w:color w:val="000000"/>
          <w:szCs w:val="22"/>
        </w:rPr>
        <w:t xml:space="preserve">A dose recomendada de Glivec é 600 mg por dia em doentes adultos em crise blástica. Define-se crise blástica como blastos </w:t>
      </w:r>
      <w:r w:rsidRPr="00263DB9">
        <w:rPr>
          <w:color w:val="000000"/>
          <w:szCs w:val="22"/>
        </w:rPr>
        <w:sym w:font="Symbol" w:char="F0B3"/>
      </w:r>
      <w:r w:rsidRPr="00263DB9">
        <w:rPr>
          <w:color w:val="000000"/>
          <w:szCs w:val="22"/>
        </w:rPr>
        <w:t> 30% no sangue, medula óssea ou doença extramedular que não hepatosplenomegalia.</w:t>
      </w:r>
    </w:p>
    <w:p w14:paraId="375EAEFD" w14:textId="77777777" w:rsidR="00906898" w:rsidRPr="00263DB9" w:rsidRDefault="00906898" w:rsidP="00E51817">
      <w:pPr>
        <w:widowControl w:val="0"/>
        <w:suppressAutoHyphens/>
        <w:rPr>
          <w:color w:val="000000"/>
          <w:szCs w:val="22"/>
        </w:rPr>
      </w:pPr>
    </w:p>
    <w:p w14:paraId="375EAEFE" w14:textId="77777777" w:rsidR="00906898" w:rsidRPr="00263DB9" w:rsidRDefault="00906898" w:rsidP="00E51817">
      <w:pPr>
        <w:widowControl w:val="0"/>
        <w:suppressAutoHyphens/>
        <w:rPr>
          <w:color w:val="000000"/>
          <w:szCs w:val="22"/>
        </w:rPr>
      </w:pPr>
      <w:r w:rsidRPr="00263DB9">
        <w:rPr>
          <w:color w:val="000000"/>
          <w:szCs w:val="22"/>
        </w:rPr>
        <w:t>Duração do tratamento: nos ensaios clínicos, o tratamento com Glivec foi mantido até progressão da doença. não foi estudado o efeito de interromper o tratamento após obtenção de resposta citogenética completa.</w:t>
      </w:r>
    </w:p>
    <w:p w14:paraId="375EAEFF" w14:textId="77777777" w:rsidR="00906898" w:rsidRPr="00263DB9" w:rsidRDefault="00906898" w:rsidP="00E51817">
      <w:pPr>
        <w:pStyle w:val="EndnoteText"/>
        <w:tabs>
          <w:tab w:val="clear" w:pos="567"/>
        </w:tabs>
        <w:suppressAutoHyphens/>
        <w:rPr>
          <w:color w:val="000000"/>
          <w:szCs w:val="22"/>
        </w:rPr>
      </w:pPr>
    </w:p>
    <w:p w14:paraId="375EAF00" w14:textId="77777777" w:rsidR="00906898" w:rsidRPr="00263DB9" w:rsidRDefault="00906898" w:rsidP="00E51817">
      <w:pPr>
        <w:widowControl w:val="0"/>
        <w:suppressAutoHyphens/>
        <w:rPr>
          <w:color w:val="000000"/>
          <w:szCs w:val="22"/>
        </w:rPr>
      </w:pPr>
      <w:r w:rsidRPr="00263DB9">
        <w:rPr>
          <w:color w:val="000000"/>
          <w:szCs w:val="22"/>
        </w:rPr>
        <w:t>Pode ser considerado um aumento da dose de 400 mg para 600 mg ou 800 mg em doentes em fase crónica da doença, ou de 600 mg para 800 mg no máximo (administrados em 400 mg duas vezes por dia) em doentes em fase acelerada ou crise blástica, na ausência de reação adversa grave ao medicamento e neutropenia ou trombocitopenia graves não relacionadas com a leucemia, nas seguintes circunstâncias: progressão da doença (em qualquer altura); insucesso em atingir uma resposta hematológica satisfatória após, pelo menos, 3 meses de tratamento; insucesso na obtenção de resposta citogenética após 12 meses de tratamento; ou perda de uma resposta hematológica e/uo citogenética atingida anteriormente. Os doentes devem ser monitorizados rigorosamente após escalonamento da dose devido ao potencial para aumento da incidência de reações indesejáveis com doses superiores.</w:t>
      </w:r>
    </w:p>
    <w:p w14:paraId="375EAF01" w14:textId="77777777" w:rsidR="00906898" w:rsidRPr="00263DB9" w:rsidRDefault="00906898" w:rsidP="00E51817">
      <w:pPr>
        <w:widowControl w:val="0"/>
        <w:suppressAutoHyphens/>
        <w:rPr>
          <w:color w:val="000000"/>
          <w:szCs w:val="22"/>
        </w:rPr>
      </w:pPr>
    </w:p>
    <w:p w14:paraId="375EAF02" w14:textId="77777777" w:rsidR="00906898" w:rsidRPr="00263DB9" w:rsidRDefault="00906898" w:rsidP="00E51817">
      <w:pPr>
        <w:keepNext/>
        <w:widowControl w:val="0"/>
        <w:suppressAutoHyphens/>
        <w:rPr>
          <w:color w:val="000000"/>
          <w:szCs w:val="22"/>
          <w:u w:val="single"/>
        </w:rPr>
      </w:pPr>
      <w:r w:rsidRPr="00263DB9">
        <w:rPr>
          <w:color w:val="000000"/>
          <w:szCs w:val="22"/>
          <w:u w:val="single"/>
        </w:rPr>
        <w:t>Posologia para LMC em crianças</w:t>
      </w:r>
    </w:p>
    <w:p w14:paraId="375EAF03" w14:textId="77777777" w:rsidR="00906898" w:rsidRPr="00263DB9" w:rsidRDefault="00906898" w:rsidP="00E51817">
      <w:pPr>
        <w:widowControl w:val="0"/>
        <w:suppressAutoHyphens/>
        <w:rPr>
          <w:color w:val="000000"/>
          <w:szCs w:val="22"/>
        </w:rPr>
      </w:pPr>
      <w:r w:rsidRPr="00263DB9">
        <w:rPr>
          <w:color w:val="000000"/>
          <w:szCs w:val="22"/>
        </w:rPr>
        <w:t>A posologia em crianças deverá ser estabelecida com base na superfície corporal (mg/m</w:t>
      </w:r>
      <w:r w:rsidRPr="00263DB9">
        <w:rPr>
          <w:color w:val="000000"/>
          <w:szCs w:val="22"/>
          <w:vertAlign w:val="superscript"/>
        </w:rPr>
        <w:t>2</w:t>
      </w:r>
      <w:r w:rsidRPr="00263DB9">
        <w:rPr>
          <w:color w:val="000000"/>
          <w:szCs w:val="22"/>
        </w:rPr>
        <w:t xml:space="preserve">). Em </w:t>
      </w:r>
      <w:r w:rsidRPr="00263DB9">
        <w:rPr>
          <w:color w:val="000000"/>
          <w:szCs w:val="22"/>
        </w:rPr>
        <w:lastRenderedPageBreak/>
        <w:t>crianças com LMC em fase crónica ou em fase avançada, é recomendada a administração da dose de 340 mg/m</w:t>
      </w:r>
      <w:r w:rsidRPr="00263DB9">
        <w:rPr>
          <w:color w:val="000000"/>
          <w:szCs w:val="22"/>
          <w:vertAlign w:val="superscript"/>
        </w:rPr>
        <w:t>2</w:t>
      </w:r>
      <w:r w:rsidRPr="00263DB9">
        <w:rPr>
          <w:color w:val="000000"/>
          <w:szCs w:val="22"/>
        </w:rPr>
        <w:t xml:space="preserve"> por dia (não exceder a dose total de 800 mg). O tratamento pode ser administrado como uma dose diária única ou, em alternativa, a dose diária poderá ser dividida em duas administrações – uma de manhã e uma à noite. A posologia recomendada baseia-se, atualmente, num pequeno número de doentes pediátricos (ver secções 5.1 e 5.2). Não há experiência de tratamento de crianças de idade inferior a 2 anos.</w:t>
      </w:r>
    </w:p>
    <w:p w14:paraId="375EAF04" w14:textId="77777777" w:rsidR="00906898" w:rsidRPr="00263DB9" w:rsidRDefault="00906898" w:rsidP="00E51817">
      <w:pPr>
        <w:widowControl w:val="0"/>
        <w:suppressAutoHyphens/>
        <w:rPr>
          <w:color w:val="000000"/>
          <w:szCs w:val="22"/>
        </w:rPr>
      </w:pPr>
    </w:p>
    <w:p w14:paraId="375EAF05" w14:textId="77777777" w:rsidR="00906898" w:rsidRPr="00263DB9" w:rsidRDefault="00906898" w:rsidP="00E51817">
      <w:pPr>
        <w:widowControl w:val="0"/>
        <w:suppressAutoHyphens/>
        <w:rPr>
          <w:color w:val="000000"/>
          <w:szCs w:val="22"/>
        </w:rPr>
      </w:pPr>
      <w:r w:rsidRPr="00263DB9">
        <w:rPr>
          <w:color w:val="000000"/>
          <w:szCs w:val="22"/>
        </w:rPr>
        <w:t>O aumento da dose de 340 mg/m</w:t>
      </w:r>
      <w:r w:rsidRPr="00263DB9">
        <w:rPr>
          <w:color w:val="000000"/>
          <w:szCs w:val="22"/>
          <w:vertAlign w:val="superscript"/>
        </w:rPr>
        <w:t>2</w:t>
      </w:r>
      <w:r w:rsidRPr="00263DB9">
        <w:rPr>
          <w:color w:val="000000"/>
          <w:szCs w:val="22"/>
        </w:rPr>
        <w:t xml:space="preserve"> por dia para 570 mg/m</w:t>
      </w:r>
      <w:r w:rsidRPr="00263DB9">
        <w:rPr>
          <w:color w:val="000000"/>
          <w:szCs w:val="22"/>
          <w:vertAlign w:val="superscript"/>
        </w:rPr>
        <w:t>2</w:t>
      </w:r>
      <w:r w:rsidRPr="00263DB9">
        <w:rPr>
          <w:color w:val="000000"/>
          <w:szCs w:val="22"/>
        </w:rPr>
        <w:t xml:space="preserve"> por dia (não exceder uma dose total de 800 mg) pode ser considerado em crianças na ausência de reações adversas medicamentosas graves e neutropenia grave não relacionada com leucemia ou trombocitopenia nas seguintes circunstâncias: progressão da doença (em qualquer altura), falha em alcançar uma resposta hematológica satisfatória após pelo menos 3 meses de tratamento, falha em alcançar uma resposta citogenética após 12 meses de tratamento, ou perda de uma resposta hematológica e/ou citogenética previamente alcançada. Os doentes devem ser monitorizados de perto após o escalonamento da dose dado o potencial das doses elevadas para um aumento da incidência de ocorrência de reações adversas.</w:t>
      </w:r>
    </w:p>
    <w:p w14:paraId="375EAF06" w14:textId="77777777" w:rsidR="00906898" w:rsidRPr="00263DB9" w:rsidRDefault="00906898" w:rsidP="00E51817">
      <w:pPr>
        <w:widowControl w:val="0"/>
        <w:suppressAutoHyphens/>
        <w:rPr>
          <w:color w:val="000000"/>
          <w:szCs w:val="22"/>
          <w:u w:val="single"/>
        </w:rPr>
      </w:pPr>
    </w:p>
    <w:p w14:paraId="375EAF07" w14:textId="77777777" w:rsidR="00906898" w:rsidRPr="00263DB9" w:rsidRDefault="00906898" w:rsidP="00E51817">
      <w:pPr>
        <w:keepNext/>
        <w:widowControl w:val="0"/>
        <w:suppressAutoHyphens/>
        <w:rPr>
          <w:color w:val="000000"/>
          <w:szCs w:val="22"/>
          <w:u w:val="single"/>
        </w:rPr>
      </w:pPr>
      <w:r w:rsidRPr="00263DB9">
        <w:rPr>
          <w:color w:val="000000"/>
          <w:szCs w:val="22"/>
          <w:u w:val="single"/>
        </w:rPr>
        <w:t>Posologia para LLA Ph+</w:t>
      </w:r>
      <w:r w:rsidR="00624381" w:rsidRPr="00263DB9">
        <w:rPr>
          <w:color w:val="000000"/>
          <w:szCs w:val="22"/>
          <w:u w:val="single"/>
        </w:rPr>
        <w:t xml:space="preserve"> em doentes adultos</w:t>
      </w:r>
    </w:p>
    <w:p w14:paraId="375EAF08" w14:textId="77777777" w:rsidR="00906898" w:rsidRPr="00263DB9" w:rsidRDefault="00906898" w:rsidP="00E51817">
      <w:pPr>
        <w:widowControl w:val="0"/>
        <w:suppressAutoHyphens/>
        <w:rPr>
          <w:color w:val="000000"/>
          <w:szCs w:val="22"/>
        </w:rPr>
      </w:pPr>
      <w:r w:rsidRPr="00263DB9">
        <w:rPr>
          <w:color w:val="000000"/>
          <w:szCs w:val="22"/>
        </w:rPr>
        <w:t>A dose recomendada de Glivec é 600 mg por dia em doentes adultos com LLA Ph+. Os peritos hematológicos na gestão da doença devem monitorizar o tratamento ao longo de todas as fases do tratamento.</w:t>
      </w:r>
    </w:p>
    <w:p w14:paraId="375EAF09" w14:textId="77777777" w:rsidR="00906898" w:rsidRPr="00263DB9" w:rsidRDefault="00906898" w:rsidP="00E51817">
      <w:pPr>
        <w:widowControl w:val="0"/>
        <w:suppressAutoHyphens/>
        <w:rPr>
          <w:color w:val="000000"/>
          <w:szCs w:val="22"/>
        </w:rPr>
      </w:pPr>
    </w:p>
    <w:p w14:paraId="375EAF0A" w14:textId="77777777" w:rsidR="00906898" w:rsidRPr="00263DB9" w:rsidRDefault="00906898" w:rsidP="00E51817">
      <w:pPr>
        <w:widowControl w:val="0"/>
        <w:suppressAutoHyphens/>
        <w:rPr>
          <w:color w:val="000000"/>
          <w:szCs w:val="22"/>
        </w:rPr>
      </w:pPr>
      <w:r w:rsidRPr="00263DB9">
        <w:rPr>
          <w:color w:val="000000"/>
          <w:szCs w:val="22"/>
        </w:rPr>
        <w:t>Tratamento: Com base na informação existente, Glivec mostrou ser eficaz e seguro quando administrado em 600 mg por dia em associação com a quimioterapia na fase de indução, nas fases de consolidação e manutenção da quimioterapia (ver secção 5.1) para doentes adultos diagnosticados de novo com LLA Ph+. A duração do tratamento de Glivec pode variar com o programa do tratamento selecionado, mas em geral as exposições a longo termo com Glivec obtiveram melhores resultados.</w:t>
      </w:r>
    </w:p>
    <w:p w14:paraId="375EAF0B" w14:textId="77777777" w:rsidR="00906898" w:rsidRPr="00263DB9" w:rsidRDefault="00906898" w:rsidP="00E51817">
      <w:pPr>
        <w:widowControl w:val="0"/>
        <w:suppressAutoHyphens/>
        <w:rPr>
          <w:color w:val="000000"/>
          <w:szCs w:val="22"/>
        </w:rPr>
      </w:pPr>
    </w:p>
    <w:p w14:paraId="375EAF0C" w14:textId="77777777" w:rsidR="00906898" w:rsidRPr="00263DB9" w:rsidRDefault="00906898" w:rsidP="00E51817">
      <w:pPr>
        <w:widowControl w:val="0"/>
        <w:suppressAutoHyphens/>
        <w:rPr>
          <w:color w:val="000000"/>
          <w:szCs w:val="22"/>
        </w:rPr>
      </w:pPr>
      <w:r w:rsidRPr="00263DB9">
        <w:rPr>
          <w:color w:val="000000"/>
          <w:szCs w:val="22"/>
        </w:rPr>
        <w:t>Para os doentes adultos com LLA Ph+ recorrente ou refratária o Glivec em monoterapia a 600 mg/dia é seguro e efetivo e pode ser administrado até ocorrer a progressão da doença.</w:t>
      </w:r>
    </w:p>
    <w:p w14:paraId="375EAF0D" w14:textId="77777777" w:rsidR="00906898" w:rsidRPr="00263DB9" w:rsidRDefault="00906898" w:rsidP="00E51817">
      <w:pPr>
        <w:widowControl w:val="0"/>
        <w:suppressAutoHyphens/>
        <w:rPr>
          <w:color w:val="000000"/>
          <w:szCs w:val="22"/>
          <w:u w:val="single"/>
        </w:rPr>
      </w:pPr>
    </w:p>
    <w:p w14:paraId="375EAF0E" w14:textId="77777777" w:rsidR="00624381" w:rsidRPr="00263DB9" w:rsidRDefault="00624381" w:rsidP="00E51817">
      <w:pPr>
        <w:keepNext/>
        <w:widowControl w:val="0"/>
        <w:suppressAutoHyphens/>
        <w:rPr>
          <w:color w:val="000000"/>
          <w:szCs w:val="22"/>
          <w:u w:val="single"/>
        </w:rPr>
      </w:pPr>
      <w:r w:rsidRPr="00263DB9">
        <w:rPr>
          <w:color w:val="000000"/>
          <w:szCs w:val="22"/>
          <w:u w:val="single"/>
        </w:rPr>
        <w:t>Posologia para LLA Ph+ em crianças</w:t>
      </w:r>
    </w:p>
    <w:p w14:paraId="375EAF0F" w14:textId="77777777" w:rsidR="00624381" w:rsidRPr="00263DB9" w:rsidRDefault="00624381" w:rsidP="00E51817">
      <w:pPr>
        <w:widowControl w:val="0"/>
        <w:suppressAutoHyphens/>
        <w:rPr>
          <w:color w:val="000000"/>
          <w:szCs w:val="22"/>
        </w:rPr>
      </w:pPr>
      <w:r w:rsidRPr="00263DB9">
        <w:rPr>
          <w:color w:val="000000"/>
          <w:szCs w:val="22"/>
        </w:rPr>
        <w:t>A dose para crianças deve ser calculada com base na área de superfície corporal (mg/m</w:t>
      </w:r>
      <w:r w:rsidRPr="00263DB9">
        <w:rPr>
          <w:color w:val="000000"/>
          <w:szCs w:val="22"/>
          <w:vertAlign w:val="superscript"/>
        </w:rPr>
        <w:t>2</w:t>
      </w:r>
      <w:r w:rsidRPr="00263DB9">
        <w:rPr>
          <w:color w:val="000000"/>
          <w:szCs w:val="22"/>
        </w:rPr>
        <w:t>). A dose recomendada é de 340</w:t>
      </w:r>
      <w:r w:rsidR="00AF074F" w:rsidRPr="00263DB9">
        <w:rPr>
          <w:color w:val="000000"/>
          <w:szCs w:val="22"/>
        </w:rPr>
        <w:t> </w:t>
      </w:r>
      <w:r w:rsidRPr="00263DB9">
        <w:rPr>
          <w:color w:val="000000"/>
          <w:szCs w:val="22"/>
        </w:rPr>
        <w:t>mg/m</w:t>
      </w:r>
      <w:r w:rsidRPr="00263DB9">
        <w:rPr>
          <w:color w:val="000000"/>
          <w:szCs w:val="22"/>
          <w:vertAlign w:val="superscript"/>
        </w:rPr>
        <w:t>2</w:t>
      </w:r>
      <w:r w:rsidRPr="00263DB9">
        <w:rPr>
          <w:color w:val="000000"/>
          <w:szCs w:val="22"/>
        </w:rPr>
        <w:t xml:space="preserve"> por dia para crianças com LLA Ph+ (não excedendo a dose total de 600</w:t>
      </w:r>
      <w:r w:rsidR="00445D46" w:rsidRPr="00263DB9">
        <w:rPr>
          <w:color w:val="000000"/>
          <w:szCs w:val="22"/>
        </w:rPr>
        <w:t> </w:t>
      </w:r>
      <w:r w:rsidRPr="00263DB9">
        <w:rPr>
          <w:color w:val="000000"/>
          <w:szCs w:val="22"/>
        </w:rPr>
        <w:t>mg).</w:t>
      </w:r>
    </w:p>
    <w:p w14:paraId="375EAF10" w14:textId="77777777" w:rsidR="00624381" w:rsidRPr="00263DB9" w:rsidRDefault="00624381" w:rsidP="00E51817">
      <w:pPr>
        <w:widowControl w:val="0"/>
        <w:suppressAutoHyphens/>
        <w:rPr>
          <w:color w:val="000000"/>
          <w:szCs w:val="22"/>
          <w:u w:val="single"/>
        </w:rPr>
      </w:pPr>
    </w:p>
    <w:p w14:paraId="375EAF11" w14:textId="77777777" w:rsidR="00906898" w:rsidRPr="00263DB9" w:rsidRDefault="00906898" w:rsidP="00E51817">
      <w:pPr>
        <w:keepNext/>
        <w:widowControl w:val="0"/>
        <w:suppressAutoHyphens/>
        <w:rPr>
          <w:color w:val="000000"/>
          <w:szCs w:val="22"/>
          <w:u w:val="single"/>
        </w:rPr>
      </w:pPr>
      <w:r w:rsidRPr="00263DB9">
        <w:rPr>
          <w:color w:val="000000"/>
          <w:szCs w:val="22"/>
          <w:u w:val="single"/>
        </w:rPr>
        <w:t>Posologia para MDS/MPD</w:t>
      </w:r>
    </w:p>
    <w:p w14:paraId="375EAF12" w14:textId="77777777" w:rsidR="00906898" w:rsidRPr="00263DB9" w:rsidRDefault="00906898" w:rsidP="00E51817">
      <w:pPr>
        <w:widowControl w:val="0"/>
        <w:suppressAutoHyphens/>
        <w:rPr>
          <w:color w:val="000000"/>
          <w:szCs w:val="22"/>
        </w:rPr>
      </w:pPr>
      <w:r w:rsidRPr="00263DB9">
        <w:rPr>
          <w:color w:val="000000"/>
          <w:szCs w:val="22"/>
        </w:rPr>
        <w:t>A dose recomendada de Glivec é 400 mg por dia em doentes adultos com MDS/MPD.</w:t>
      </w:r>
    </w:p>
    <w:p w14:paraId="375EAF13" w14:textId="77777777" w:rsidR="00906898" w:rsidRPr="00263DB9" w:rsidRDefault="00906898" w:rsidP="00E51817">
      <w:pPr>
        <w:widowControl w:val="0"/>
        <w:suppressAutoHyphens/>
        <w:rPr>
          <w:color w:val="000000"/>
          <w:szCs w:val="22"/>
        </w:rPr>
      </w:pPr>
    </w:p>
    <w:p w14:paraId="375EAF14" w14:textId="77777777" w:rsidR="00906898" w:rsidRPr="00263DB9" w:rsidRDefault="00906898" w:rsidP="00E51817">
      <w:pPr>
        <w:widowControl w:val="0"/>
        <w:suppressAutoHyphens/>
        <w:rPr>
          <w:color w:val="000000"/>
          <w:szCs w:val="22"/>
        </w:rPr>
      </w:pPr>
      <w:r w:rsidRPr="00263DB9">
        <w:rPr>
          <w:color w:val="000000"/>
          <w:szCs w:val="22"/>
        </w:rPr>
        <w:t>Duração do tratamento: No único ensaio clínico efetuado até à data, o tratamento com Glivec continuou até à progressão da doença (ver secção 5.1). Na altura da análise, a mediana da duração do tratamento foi de 47 meses (24 dias – 60 meses).</w:t>
      </w:r>
    </w:p>
    <w:p w14:paraId="375EAF15" w14:textId="77777777" w:rsidR="00906898" w:rsidRPr="00263DB9" w:rsidRDefault="00906898" w:rsidP="00E51817">
      <w:pPr>
        <w:pStyle w:val="EndnoteText"/>
        <w:tabs>
          <w:tab w:val="clear" w:pos="567"/>
        </w:tabs>
        <w:rPr>
          <w:color w:val="000000"/>
          <w:szCs w:val="22"/>
        </w:rPr>
      </w:pPr>
    </w:p>
    <w:p w14:paraId="375EAF16" w14:textId="77777777" w:rsidR="00906898" w:rsidRPr="00263DB9" w:rsidRDefault="00906898" w:rsidP="00E51817">
      <w:pPr>
        <w:pStyle w:val="EndnoteText"/>
        <w:tabs>
          <w:tab w:val="clear" w:pos="567"/>
        </w:tabs>
        <w:rPr>
          <w:color w:val="000000"/>
          <w:szCs w:val="22"/>
          <w:u w:val="single"/>
        </w:rPr>
      </w:pPr>
      <w:r w:rsidRPr="00263DB9">
        <w:rPr>
          <w:color w:val="000000"/>
          <w:szCs w:val="22"/>
          <w:u w:val="single"/>
        </w:rPr>
        <w:t>Posologia para síndrome hipereosinofílica avançada/leucemia eosinofílica crónica</w:t>
      </w:r>
    </w:p>
    <w:p w14:paraId="375EAF17" w14:textId="77777777" w:rsidR="00906898" w:rsidRPr="00263DB9" w:rsidRDefault="00906898" w:rsidP="00E51817">
      <w:pPr>
        <w:pStyle w:val="Text"/>
        <w:widowControl w:val="0"/>
        <w:spacing w:before="0"/>
        <w:jc w:val="left"/>
        <w:rPr>
          <w:color w:val="000000"/>
          <w:sz w:val="22"/>
          <w:szCs w:val="22"/>
          <w:lang w:val="pt-PT"/>
        </w:rPr>
      </w:pPr>
      <w:r w:rsidRPr="00263DB9">
        <w:rPr>
          <w:color w:val="000000"/>
          <w:sz w:val="22"/>
          <w:szCs w:val="22"/>
          <w:lang w:val="pt-PT"/>
        </w:rPr>
        <w:t>A dose recomendada de Glivec é 100 mg/dia em doentes adultos com síndrome hipereosinofílica avançada/leucemia eosinofílica crónica.</w:t>
      </w:r>
    </w:p>
    <w:p w14:paraId="375EAF18" w14:textId="77777777" w:rsidR="00906898" w:rsidRPr="00263DB9" w:rsidRDefault="00906898" w:rsidP="00E51817">
      <w:pPr>
        <w:pStyle w:val="Text"/>
        <w:widowControl w:val="0"/>
        <w:spacing w:before="0"/>
        <w:jc w:val="left"/>
        <w:rPr>
          <w:rFonts w:eastAsia="MS Mincho"/>
          <w:color w:val="000000"/>
          <w:sz w:val="22"/>
          <w:szCs w:val="22"/>
          <w:lang w:val="pt-PT" w:eastAsia="ja-JP"/>
        </w:rPr>
      </w:pPr>
    </w:p>
    <w:p w14:paraId="375EAF19" w14:textId="77777777" w:rsidR="00906898" w:rsidRPr="00263DB9" w:rsidRDefault="00906898" w:rsidP="00E51817">
      <w:pPr>
        <w:pStyle w:val="Text"/>
        <w:widowControl w:val="0"/>
        <w:spacing w:before="0"/>
        <w:jc w:val="left"/>
        <w:rPr>
          <w:color w:val="000000"/>
          <w:sz w:val="22"/>
          <w:szCs w:val="22"/>
          <w:lang w:val="pt-PT"/>
        </w:rPr>
      </w:pPr>
      <w:r w:rsidRPr="00263DB9">
        <w:rPr>
          <w:rFonts w:eastAsia="MS Mincho"/>
          <w:color w:val="000000"/>
          <w:sz w:val="22"/>
          <w:szCs w:val="22"/>
          <w:lang w:val="pt-PT" w:eastAsia="ja-JP"/>
        </w:rPr>
        <w:t>Pode ser considerado o aumento da dose</w:t>
      </w:r>
      <w:r w:rsidRPr="00263DB9">
        <w:rPr>
          <w:color w:val="000000"/>
          <w:sz w:val="22"/>
          <w:szCs w:val="22"/>
          <w:lang w:val="pt-PT"/>
        </w:rPr>
        <w:t xml:space="preserve"> de 100 mg para 400 mg</w:t>
      </w:r>
      <w:r w:rsidRPr="00263DB9">
        <w:rPr>
          <w:rFonts w:eastAsia="MS Mincho"/>
          <w:color w:val="000000"/>
          <w:sz w:val="22"/>
          <w:szCs w:val="22"/>
          <w:lang w:val="pt-PT" w:eastAsia="ja-JP"/>
        </w:rPr>
        <w:t xml:space="preserve"> na ausência de reações adversas medicamentosas, se as avaliações demonstrarem uma resposta insuficiente à terapêutica</w:t>
      </w:r>
      <w:r w:rsidRPr="00263DB9">
        <w:rPr>
          <w:color w:val="000000"/>
          <w:sz w:val="22"/>
          <w:szCs w:val="22"/>
          <w:lang w:val="pt-PT"/>
        </w:rPr>
        <w:t>.</w:t>
      </w:r>
    </w:p>
    <w:p w14:paraId="375EAF1A" w14:textId="77777777" w:rsidR="00906898" w:rsidRPr="00263DB9" w:rsidRDefault="00906898" w:rsidP="00E51817">
      <w:pPr>
        <w:widowControl w:val="0"/>
        <w:suppressAutoHyphens/>
        <w:rPr>
          <w:color w:val="000000"/>
          <w:szCs w:val="22"/>
        </w:rPr>
      </w:pPr>
    </w:p>
    <w:p w14:paraId="375EAF1B" w14:textId="77777777" w:rsidR="00906898" w:rsidRPr="00263DB9" w:rsidRDefault="00906898" w:rsidP="00E51817">
      <w:pPr>
        <w:widowControl w:val="0"/>
        <w:suppressAutoHyphens/>
        <w:rPr>
          <w:color w:val="000000"/>
          <w:szCs w:val="22"/>
        </w:rPr>
      </w:pPr>
      <w:r w:rsidRPr="00263DB9">
        <w:rPr>
          <w:color w:val="000000"/>
          <w:szCs w:val="22"/>
        </w:rPr>
        <w:t>O tratamento deve continuar enquanto o doente beneficiar.</w:t>
      </w:r>
    </w:p>
    <w:p w14:paraId="375EAF1C" w14:textId="77777777" w:rsidR="00906898" w:rsidRPr="00263DB9" w:rsidRDefault="00906898" w:rsidP="00E51817">
      <w:pPr>
        <w:widowControl w:val="0"/>
        <w:suppressAutoHyphens/>
        <w:rPr>
          <w:color w:val="000000"/>
          <w:szCs w:val="22"/>
        </w:rPr>
      </w:pPr>
    </w:p>
    <w:p w14:paraId="375EAF1D" w14:textId="77777777" w:rsidR="00906898" w:rsidRPr="00263DB9" w:rsidRDefault="00906898" w:rsidP="00E51817">
      <w:pPr>
        <w:keepNext/>
        <w:widowControl w:val="0"/>
        <w:suppressAutoHyphens/>
        <w:rPr>
          <w:color w:val="000000"/>
          <w:szCs w:val="22"/>
          <w:u w:val="single"/>
        </w:rPr>
      </w:pPr>
      <w:r w:rsidRPr="00263DB9">
        <w:rPr>
          <w:color w:val="000000"/>
          <w:szCs w:val="22"/>
          <w:u w:val="single"/>
        </w:rPr>
        <w:t>Posologia para GIST</w:t>
      </w:r>
    </w:p>
    <w:p w14:paraId="375EAF1E" w14:textId="77777777" w:rsidR="00906898" w:rsidRPr="00263DB9" w:rsidRDefault="00906898" w:rsidP="00E51817">
      <w:pPr>
        <w:widowControl w:val="0"/>
        <w:suppressAutoHyphens/>
        <w:rPr>
          <w:color w:val="000000"/>
          <w:szCs w:val="22"/>
        </w:rPr>
      </w:pPr>
      <w:bookmarkStart w:id="1" w:name="OLE_LINK1"/>
      <w:r w:rsidRPr="00263DB9">
        <w:rPr>
          <w:color w:val="000000"/>
          <w:szCs w:val="22"/>
        </w:rPr>
        <w:t>A dose recomendada de Glivec é 400 mg por dia em doentes adultos com GIST malignos metastáticos e/ou irressecáveis</w:t>
      </w:r>
      <w:bookmarkEnd w:id="1"/>
      <w:r w:rsidRPr="00263DB9">
        <w:rPr>
          <w:color w:val="000000"/>
          <w:szCs w:val="22"/>
        </w:rPr>
        <w:t>.</w:t>
      </w:r>
    </w:p>
    <w:p w14:paraId="375EAF1F" w14:textId="77777777" w:rsidR="00906898" w:rsidRPr="00263DB9" w:rsidRDefault="00906898" w:rsidP="00E51817">
      <w:pPr>
        <w:widowControl w:val="0"/>
        <w:suppressAutoHyphens/>
        <w:rPr>
          <w:color w:val="000000"/>
          <w:szCs w:val="22"/>
        </w:rPr>
      </w:pPr>
    </w:p>
    <w:p w14:paraId="375EAF20" w14:textId="77777777" w:rsidR="00906898" w:rsidRPr="00263DB9" w:rsidRDefault="00906898" w:rsidP="00E51817">
      <w:pPr>
        <w:widowControl w:val="0"/>
        <w:suppressAutoHyphens/>
        <w:rPr>
          <w:color w:val="000000"/>
          <w:szCs w:val="22"/>
        </w:rPr>
      </w:pPr>
      <w:r w:rsidRPr="00263DB9">
        <w:rPr>
          <w:color w:val="000000"/>
          <w:szCs w:val="22"/>
        </w:rPr>
        <w:t>A informação sobre o efeito do aumento da dose de 400 mg para 600 mg ou 800 mg em doentes com progressão da doença após tratamento com a dose inferior é limitada (ver secção 5.1).</w:t>
      </w:r>
    </w:p>
    <w:p w14:paraId="375EAF21" w14:textId="77777777" w:rsidR="00906898" w:rsidRPr="00263DB9" w:rsidRDefault="00906898" w:rsidP="00E51817">
      <w:pPr>
        <w:widowControl w:val="0"/>
        <w:suppressAutoHyphens/>
        <w:rPr>
          <w:color w:val="000000"/>
          <w:szCs w:val="22"/>
        </w:rPr>
      </w:pPr>
    </w:p>
    <w:p w14:paraId="375EAF22" w14:textId="77777777" w:rsidR="00906898" w:rsidRPr="00263DB9" w:rsidRDefault="00906898" w:rsidP="00E51817">
      <w:pPr>
        <w:widowControl w:val="0"/>
        <w:suppressAutoHyphens/>
        <w:rPr>
          <w:color w:val="000000"/>
          <w:szCs w:val="22"/>
        </w:rPr>
      </w:pPr>
      <w:r w:rsidRPr="00263DB9">
        <w:rPr>
          <w:color w:val="000000"/>
          <w:szCs w:val="22"/>
        </w:rPr>
        <w:t>Duração do tratamento: nos ensaios clínicos em doentes com GIST, o tratamento com Glivec foi mantido até progressão da doença. Na altura da análise dos resultados, o tratamento tinha uma duração mediana de 7 meses (7 dias a 13 meses). Não foi estudado o efeito da interrupção do tratamento após obtenção de resposta terapêutica.</w:t>
      </w:r>
    </w:p>
    <w:p w14:paraId="375EAF23" w14:textId="77777777" w:rsidR="00906898" w:rsidRPr="00263DB9" w:rsidRDefault="00906898" w:rsidP="00E51817">
      <w:pPr>
        <w:widowControl w:val="0"/>
        <w:suppressAutoHyphens/>
        <w:rPr>
          <w:color w:val="000000"/>
          <w:szCs w:val="22"/>
        </w:rPr>
      </w:pPr>
    </w:p>
    <w:p w14:paraId="375EAF24" w14:textId="77777777" w:rsidR="00906898" w:rsidRPr="00263DB9" w:rsidRDefault="00906898" w:rsidP="00E51817">
      <w:pPr>
        <w:widowControl w:val="0"/>
        <w:suppressAutoHyphens/>
        <w:rPr>
          <w:color w:val="000000"/>
          <w:szCs w:val="22"/>
        </w:rPr>
      </w:pPr>
      <w:r w:rsidRPr="00263DB9">
        <w:rPr>
          <w:color w:val="000000"/>
          <w:szCs w:val="22"/>
        </w:rPr>
        <w:t>A dose recomendada de Glivec é 400 mg/dia para o tratamento adjuvante em doentes adultos após ressecção de GIST. A duração óptima do tratamento ainda não foi estabelecida. A duração do tratamento no ensaio clínico que suporta esta indicação terapêutica foi de 36 meses (ver secção 5.1).</w:t>
      </w:r>
    </w:p>
    <w:p w14:paraId="375EAF25" w14:textId="77777777" w:rsidR="00906898" w:rsidRPr="00263DB9" w:rsidRDefault="00906898" w:rsidP="00E51817">
      <w:pPr>
        <w:widowControl w:val="0"/>
        <w:suppressAutoHyphens/>
        <w:rPr>
          <w:color w:val="000000"/>
          <w:szCs w:val="22"/>
        </w:rPr>
      </w:pPr>
    </w:p>
    <w:p w14:paraId="375EAF26" w14:textId="77777777" w:rsidR="00906898" w:rsidRPr="00263DB9" w:rsidRDefault="00906898" w:rsidP="00E51817">
      <w:pPr>
        <w:widowControl w:val="0"/>
        <w:suppressAutoHyphens/>
        <w:rPr>
          <w:color w:val="000000"/>
          <w:szCs w:val="22"/>
          <w:u w:val="single"/>
        </w:rPr>
      </w:pPr>
      <w:r w:rsidRPr="00263DB9">
        <w:rPr>
          <w:color w:val="000000"/>
          <w:szCs w:val="22"/>
          <w:u w:val="single"/>
        </w:rPr>
        <w:t>Posologia para DFPS</w:t>
      </w:r>
    </w:p>
    <w:p w14:paraId="375EAF27" w14:textId="77777777" w:rsidR="00906898" w:rsidRPr="00263DB9" w:rsidRDefault="00906898" w:rsidP="00E51817">
      <w:pPr>
        <w:widowControl w:val="0"/>
        <w:suppressAutoHyphens/>
        <w:rPr>
          <w:color w:val="000000"/>
          <w:szCs w:val="22"/>
        </w:rPr>
      </w:pPr>
      <w:r w:rsidRPr="00263DB9">
        <w:rPr>
          <w:color w:val="000000"/>
          <w:szCs w:val="22"/>
        </w:rPr>
        <w:t>A dose recomendada de Glivec é 800 mg por dia em doentes adultos com DFSP.</w:t>
      </w:r>
    </w:p>
    <w:p w14:paraId="375EAF28" w14:textId="77777777" w:rsidR="00906898" w:rsidRPr="00263DB9" w:rsidRDefault="00906898" w:rsidP="00E51817">
      <w:pPr>
        <w:widowControl w:val="0"/>
        <w:suppressAutoHyphens/>
        <w:rPr>
          <w:color w:val="000000"/>
          <w:szCs w:val="22"/>
        </w:rPr>
      </w:pPr>
    </w:p>
    <w:p w14:paraId="375EAF29" w14:textId="77777777" w:rsidR="00906898" w:rsidRPr="00263DB9" w:rsidRDefault="00906898" w:rsidP="00E51817">
      <w:pPr>
        <w:widowControl w:val="0"/>
        <w:suppressAutoHyphens/>
        <w:rPr>
          <w:color w:val="000000"/>
          <w:szCs w:val="22"/>
          <w:u w:val="single"/>
        </w:rPr>
      </w:pPr>
      <w:r w:rsidRPr="00263DB9">
        <w:rPr>
          <w:color w:val="000000"/>
          <w:szCs w:val="22"/>
          <w:u w:val="single"/>
        </w:rPr>
        <w:t>Ajuste de dose em caso de reações adversas</w:t>
      </w:r>
    </w:p>
    <w:p w14:paraId="375EAF2A" w14:textId="77777777" w:rsidR="00906898" w:rsidRPr="00263DB9" w:rsidRDefault="00906898" w:rsidP="00E51817">
      <w:pPr>
        <w:pStyle w:val="Heading6"/>
        <w:keepNext w:val="0"/>
        <w:widowControl w:val="0"/>
        <w:tabs>
          <w:tab w:val="clear" w:pos="-720"/>
          <w:tab w:val="clear" w:pos="567"/>
          <w:tab w:val="clear" w:pos="4536"/>
        </w:tabs>
        <w:spacing w:line="240" w:lineRule="auto"/>
        <w:rPr>
          <w:color w:val="000000"/>
          <w:szCs w:val="22"/>
          <w:lang w:val="pt-PT"/>
        </w:rPr>
      </w:pPr>
      <w:r w:rsidRPr="00263DB9">
        <w:rPr>
          <w:color w:val="000000"/>
          <w:szCs w:val="22"/>
          <w:lang w:val="pt-PT"/>
        </w:rPr>
        <w:t>Reações adversas não-hematológicas</w:t>
      </w:r>
    </w:p>
    <w:p w14:paraId="375EAF2B" w14:textId="77777777" w:rsidR="00906898" w:rsidRPr="00263DB9" w:rsidRDefault="00906898" w:rsidP="00E51817">
      <w:pPr>
        <w:widowControl w:val="0"/>
        <w:suppressAutoHyphens/>
        <w:rPr>
          <w:color w:val="000000"/>
          <w:szCs w:val="22"/>
        </w:rPr>
      </w:pPr>
      <w:r w:rsidRPr="00263DB9">
        <w:rPr>
          <w:color w:val="000000"/>
          <w:szCs w:val="22"/>
        </w:rPr>
        <w:t>Se se desenvolver uma reação adversa não-hematológica grave com a utilização de Glivec, o tratamento deve ser interrompido até esta ter desaparecido. Depois disso, o tratamento pode ser reiniciado conforme apropriado, dependendo da gravidade inicial da reação.</w:t>
      </w:r>
    </w:p>
    <w:p w14:paraId="375EAF2C" w14:textId="77777777" w:rsidR="00906898" w:rsidRPr="00263DB9" w:rsidRDefault="00906898" w:rsidP="00E51817">
      <w:pPr>
        <w:widowControl w:val="0"/>
        <w:suppressAutoHyphens/>
        <w:rPr>
          <w:color w:val="000000"/>
          <w:szCs w:val="22"/>
        </w:rPr>
      </w:pPr>
    </w:p>
    <w:p w14:paraId="375EAF2D" w14:textId="77777777" w:rsidR="00906898" w:rsidRPr="00263DB9" w:rsidRDefault="00906898" w:rsidP="00E51817">
      <w:pPr>
        <w:widowControl w:val="0"/>
        <w:suppressAutoHyphens/>
        <w:rPr>
          <w:color w:val="000000"/>
          <w:szCs w:val="22"/>
        </w:rPr>
      </w:pPr>
      <w:r w:rsidRPr="00263DB9">
        <w:rPr>
          <w:color w:val="000000"/>
          <w:szCs w:val="22"/>
        </w:rPr>
        <w:t>Caso ocorra aumento dos níveis de bilirrubina &gt; 3 x limite superior padrão (IULN) ou das transaminases hepáticas &gt; 5 x IULN, o tratamento com Glivec deve ser interrompido até que os níveis de bilirrubina regressem a valores &lt; 1,5 x IULN e os das transaminases a valores &lt; 2,5 x IULN. O tratamento com Glivec pode depois ser mantido duma dose diária reduzida. Em adultos, a dose deverá ser reduzida de 400 para 300 mg ou de 600 para 400 mg, ou de 800 mg para 600 mg e, em crianças, de 340 para 260 mg/m</w:t>
      </w:r>
      <w:r w:rsidRPr="00263DB9">
        <w:rPr>
          <w:color w:val="000000"/>
          <w:szCs w:val="22"/>
          <w:vertAlign w:val="superscript"/>
        </w:rPr>
        <w:t>2</w:t>
      </w:r>
      <w:r w:rsidRPr="00263DB9">
        <w:rPr>
          <w:color w:val="000000"/>
          <w:szCs w:val="22"/>
        </w:rPr>
        <w:t>/dia.</w:t>
      </w:r>
    </w:p>
    <w:p w14:paraId="375EAF2E" w14:textId="77777777" w:rsidR="00906898" w:rsidRPr="00263DB9" w:rsidRDefault="00906898" w:rsidP="00E51817">
      <w:pPr>
        <w:widowControl w:val="0"/>
        <w:suppressAutoHyphens/>
        <w:rPr>
          <w:color w:val="000000"/>
          <w:szCs w:val="22"/>
        </w:rPr>
      </w:pPr>
    </w:p>
    <w:p w14:paraId="375EAF2F" w14:textId="77777777" w:rsidR="00906898" w:rsidRPr="00263DB9" w:rsidRDefault="00906898" w:rsidP="00E51817">
      <w:pPr>
        <w:pStyle w:val="Heading6"/>
        <w:keepNext w:val="0"/>
        <w:widowControl w:val="0"/>
        <w:tabs>
          <w:tab w:val="clear" w:pos="-720"/>
          <w:tab w:val="clear" w:pos="567"/>
          <w:tab w:val="clear" w:pos="4536"/>
        </w:tabs>
        <w:spacing w:line="240" w:lineRule="auto"/>
        <w:rPr>
          <w:color w:val="000000"/>
          <w:szCs w:val="22"/>
          <w:lang w:val="pt-PT"/>
        </w:rPr>
      </w:pPr>
      <w:r w:rsidRPr="00263DB9">
        <w:rPr>
          <w:color w:val="000000"/>
          <w:szCs w:val="22"/>
          <w:lang w:val="pt-PT"/>
        </w:rPr>
        <w:t>Reações adversas hematológicas</w:t>
      </w:r>
    </w:p>
    <w:p w14:paraId="375EAF30" w14:textId="77777777" w:rsidR="00906898" w:rsidRPr="00263DB9" w:rsidRDefault="00906898" w:rsidP="00E51817">
      <w:pPr>
        <w:widowControl w:val="0"/>
        <w:suppressAutoHyphens/>
        <w:rPr>
          <w:color w:val="000000"/>
          <w:szCs w:val="22"/>
        </w:rPr>
      </w:pPr>
      <w:r w:rsidRPr="00263DB9">
        <w:rPr>
          <w:color w:val="000000"/>
          <w:szCs w:val="22"/>
        </w:rPr>
        <w:t>Para a neutropenia e trombocitopenia graves, são recomendadas a redução da dose ou a interrupção do tratamento, tal como indicado na tabela seguinte.</w:t>
      </w:r>
    </w:p>
    <w:p w14:paraId="375EAF31" w14:textId="77777777" w:rsidR="00906898" w:rsidRPr="00263DB9" w:rsidRDefault="00906898" w:rsidP="00E51817">
      <w:pPr>
        <w:widowControl w:val="0"/>
        <w:suppressAutoHyphens/>
        <w:rPr>
          <w:color w:val="000000"/>
          <w:szCs w:val="22"/>
        </w:rPr>
      </w:pPr>
    </w:p>
    <w:p w14:paraId="375EAF32" w14:textId="77777777" w:rsidR="00906898" w:rsidRPr="00263DB9" w:rsidRDefault="00906898" w:rsidP="00E51817">
      <w:pPr>
        <w:keepNext/>
        <w:widowControl w:val="0"/>
        <w:suppressAutoHyphens/>
        <w:jc w:val="both"/>
        <w:rPr>
          <w:color w:val="000000"/>
          <w:szCs w:val="22"/>
        </w:rPr>
      </w:pPr>
      <w:r w:rsidRPr="00263DB9">
        <w:rPr>
          <w:color w:val="000000"/>
          <w:szCs w:val="22"/>
        </w:rPr>
        <w:t>Ajustes da dose para a neutropenia e trombocitopenia:</w:t>
      </w:r>
    </w:p>
    <w:p w14:paraId="375EAF33" w14:textId="77777777" w:rsidR="00906898" w:rsidRPr="00263DB9" w:rsidRDefault="00906898" w:rsidP="00E51817">
      <w:pPr>
        <w:keepNext/>
        <w:widowControl w:val="0"/>
        <w:suppressAutoHyphens/>
        <w:jc w:val="both"/>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268"/>
        <w:gridCol w:w="4490"/>
      </w:tblGrid>
      <w:tr w:rsidR="00906898" w:rsidRPr="00263DB9" w14:paraId="375EAF3A" w14:textId="77777777" w:rsidTr="00E51817">
        <w:trPr>
          <w:cantSplit/>
        </w:trPr>
        <w:tc>
          <w:tcPr>
            <w:tcW w:w="2518" w:type="dxa"/>
          </w:tcPr>
          <w:p w14:paraId="375EAF34" w14:textId="77777777" w:rsidR="00906898" w:rsidRPr="00263DB9" w:rsidRDefault="00906898" w:rsidP="00E51817">
            <w:pPr>
              <w:keepNext/>
              <w:widowControl w:val="0"/>
              <w:suppressAutoHyphens/>
              <w:rPr>
                <w:color w:val="000000"/>
                <w:szCs w:val="22"/>
              </w:rPr>
            </w:pPr>
            <w:r w:rsidRPr="00263DB9">
              <w:rPr>
                <w:color w:val="000000"/>
                <w:szCs w:val="22"/>
              </w:rPr>
              <w:t>Síndrome hipereosinofílica avançada/leucemia eosinofílica crónica (dose inicial 100 mg)</w:t>
            </w:r>
          </w:p>
        </w:tc>
        <w:tc>
          <w:tcPr>
            <w:tcW w:w="2268" w:type="dxa"/>
          </w:tcPr>
          <w:p w14:paraId="375EAF35" w14:textId="77777777" w:rsidR="00906898" w:rsidRPr="00263DB9" w:rsidRDefault="00906898" w:rsidP="00E51817">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ANC &lt; 1,0 x 10</w:t>
            </w:r>
            <w:r w:rsidRPr="00263DB9">
              <w:rPr>
                <w:rFonts w:ascii="Times New Roman" w:hAnsi="Times New Roman"/>
                <w:color w:val="000000"/>
                <w:szCs w:val="22"/>
                <w:vertAlign w:val="superscript"/>
                <w:lang w:val="pt-PT"/>
              </w:rPr>
              <w:t>9</w:t>
            </w:r>
            <w:r w:rsidRPr="00263DB9">
              <w:rPr>
                <w:rFonts w:ascii="Times New Roman" w:hAnsi="Times New Roman"/>
                <w:color w:val="000000"/>
                <w:szCs w:val="22"/>
                <w:lang w:val="pt-PT"/>
              </w:rPr>
              <w:t>/l</w:t>
            </w:r>
          </w:p>
          <w:p w14:paraId="375EAF36" w14:textId="77777777" w:rsidR="00906898" w:rsidRPr="00263DB9" w:rsidRDefault="00906898" w:rsidP="00E51817">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e/ou</w:t>
            </w:r>
          </w:p>
          <w:p w14:paraId="375EAF37" w14:textId="77777777" w:rsidR="00906898" w:rsidRPr="00263DB9" w:rsidRDefault="00906898" w:rsidP="00E51817">
            <w:pPr>
              <w:keepNext/>
              <w:widowControl w:val="0"/>
              <w:suppressAutoHyphens/>
              <w:jc w:val="both"/>
              <w:rPr>
                <w:color w:val="000000"/>
                <w:szCs w:val="22"/>
              </w:rPr>
            </w:pPr>
            <w:r w:rsidRPr="00263DB9">
              <w:rPr>
                <w:color w:val="000000"/>
                <w:szCs w:val="22"/>
              </w:rPr>
              <w:t>plaquetas &lt; 50 x 10</w:t>
            </w:r>
            <w:r w:rsidRPr="00263DB9">
              <w:rPr>
                <w:color w:val="000000"/>
                <w:szCs w:val="22"/>
                <w:vertAlign w:val="superscript"/>
              </w:rPr>
              <w:t>9</w:t>
            </w:r>
            <w:r w:rsidRPr="00263DB9">
              <w:rPr>
                <w:color w:val="000000"/>
                <w:szCs w:val="22"/>
              </w:rPr>
              <w:t>/l</w:t>
            </w:r>
          </w:p>
        </w:tc>
        <w:tc>
          <w:tcPr>
            <w:tcW w:w="4490" w:type="dxa"/>
          </w:tcPr>
          <w:p w14:paraId="375EAF38" w14:textId="77777777" w:rsidR="00906898" w:rsidRPr="00263DB9" w:rsidRDefault="00906898" w:rsidP="00E51817">
            <w:pPr>
              <w:keepNext/>
              <w:widowControl w:val="0"/>
              <w:suppressAutoHyphens/>
              <w:ind w:left="394" w:hanging="437"/>
              <w:rPr>
                <w:color w:val="000000"/>
                <w:szCs w:val="22"/>
              </w:rPr>
            </w:pPr>
            <w:r w:rsidRPr="00263DB9">
              <w:rPr>
                <w:color w:val="000000"/>
                <w:szCs w:val="22"/>
              </w:rPr>
              <w:t>1.</w:t>
            </w:r>
            <w:r w:rsidRPr="00263DB9">
              <w:rPr>
                <w:color w:val="000000"/>
                <w:szCs w:val="22"/>
              </w:rPr>
              <w:tab/>
              <w:t xml:space="preserve">Interromper Glivec até ANC </w:t>
            </w:r>
            <w:r w:rsidRPr="00263DB9">
              <w:rPr>
                <w:color w:val="000000"/>
                <w:szCs w:val="22"/>
              </w:rPr>
              <w:sym w:font="Symbol" w:char="F0B3"/>
            </w:r>
            <w:r w:rsidRPr="00263DB9">
              <w:rPr>
                <w:color w:val="000000"/>
                <w:szCs w:val="22"/>
              </w:rPr>
              <w:t> 1,5 x 10</w:t>
            </w:r>
            <w:r w:rsidRPr="00263DB9">
              <w:rPr>
                <w:color w:val="000000"/>
                <w:szCs w:val="22"/>
                <w:vertAlign w:val="superscript"/>
              </w:rPr>
              <w:t>9</w:t>
            </w:r>
            <w:r w:rsidRPr="00263DB9">
              <w:rPr>
                <w:color w:val="000000"/>
                <w:szCs w:val="22"/>
              </w:rPr>
              <w:t xml:space="preserve">/l e plaquetas </w:t>
            </w:r>
            <w:r w:rsidRPr="00263DB9">
              <w:rPr>
                <w:color w:val="000000"/>
                <w:szCs w:val="22"/>
              </w:rPr>
              <w:sym w:font="Symbol" w:char="F0B3"/>
            </w:r>
            <w:r w:rsidRPr="00263DB9">
              <w:rPr>
                <w:color w:val="000000"/>
                <w:szCs w:val="22"/>
              </w:rPr>
              <w:t> 75 x 10</w:t>
            </w:r>
            <w:r w:rsidRPr="00263DB9">
              <w:rPr>
                <w:color w:val="000000"/>
                <w:szCs w:val="22"/>
                <w:vertAlign w:val="superscript"/>
              </w:rPr>
              <w:t>9</w:t>
            </w:r>
            <w:r w:rsidRPr="00263DB9">
              <w:rPr>
                <w:color w:val="000000"/>
                <w:szCs w:val="22"/>
              </w:rPr>
              <w:t>/l.</w:t>
            </w:r>
          </w:p>
          <w:p w14:paraId="375EAF39" w14:textId="77777777" w:rsidR="00906898" w:rsidRPr="00263DB9" w:rsidRDefault="00906898" w:rsidP="00E51817">
            <w:pPr>
              <w:keepNext/>
              <w:widowControl w:val="0"/>
              <w:suppressAutoHyphens/>
              <w:ind w:left="394" w:hanging="437"/>
              <w:rPr>
                <w:color w:val="000000"/>
                <w:szCs w:val="22"/>
              </w:rPr>
            </w:pPr>
            <w:r w:rsidRPr="00263DB9">
              <w:rPr>
                <w:color w:val="000000"/>
                <w:szCs w:val="22"/>
              </w:rPr>
              <w:t>2.</w:t>
            </w:r>
            <w:r w:rsidRPr="00263DB9">
              <w:rPr>
                <w:color w:val="000000"/>
                <w:szCs w:val="22"/>
              </w:rPr>
              <w:tab/>
              <w:t>Reiniciar o tratamento com Glivec na dose anterior (i.e. antes da reação adversa grave).</w:t>
            </w:r>
          </w:p>
        </w:tc>
      </w:tr>
      <w:tr w:rsidR="00906898" w:rsidRPr="00263DB9" w14:paraId="375EAF43" w14:textId="77777777" w:rsidTr="00E51817">
        <w:trPr>
          <w:cantSplit/>
        </w:trPr>
        <w:tc>
          <w:tcPr>
            <w:tcW w:w="2518" w:type="dxa"/>
          </w:tcPr>
          <w:p w14:paraId="375EAF3B" w14:textId="77777777" w:rsidR="00906898" w:rsidRPr="00263DB9" w:rsidRDefault="00906898" w:rsidP="00E51817">
            <w:pPr>
              <w:widowControl w:val="0"/>
              <w:suppressAutoHyphens/>
              <w:rPr>
                <w:color w:val="000000"/>
                <w:szCs w:val="22"/>
              </w:rPr>
            </w:pPr>
            <w:r w:rsidRPr="00263DB9">
              <w:rPr>
                <w:color w:val="000000"/>
                <w:szCs w:val="22"/>
              </w:rPr>
              <w:t>LMC em fase crónica, MDS/MPD e GIST (dose inicial 400 mg)</w:t>
            </w:r>
          </w:p>
          <w:p w14:paraId="375EAF3C" w14:textId="77777777" w:rsidR="00906898" w:rsidRPr="00263DB9" w:rsidRDefault="00906898" w:rsidP="00E51817">
            <w:pPr>
              <w:widowControl w:val="0"/>
              <w:suppressAutoHyphens/>
              <w:rPr>
                <w:color w:val="000000"/>
                <w:szCs w:val="22"/>
              </w:rPr>
            </w:pPr>
            <w:r w:rsidRPr="00263DB9">
              <w:rPr>
                <w:color w:val="000000"/>
                <w:szCs w:val="22"/>
              </w:rPr>
              <w:t>Síndrome hipereosinofílica avançada/leucemia eosinofílica crónica (na dose de 400 mg)</w:t>
            </w:r>
          </w:p>
        </w:tc>
        <w:tc>
          <w:tcPr>
            <w:tcW w:w="2268" w:type="dxa"/>
          </w:tcPr>
          <w:p w14:paraId="375EAF3D" w14:textId="77777777" w:rsidR="00906898" w:rsidRPr="00263DB9" w:rsidRDefault="00906898" w:rsidP="00E51817">
            <w:pPr>
              <w:widowControl w:val="0"/>
              <w:suppressAutoHyphens/>
              <w:jc w:val="both"/>
              <w:rPr>
                <w:color w:val="000000"/>
                <w:szCs w:val="22"/>
              </w:rPr>
            </w:pPr>
            <w:r w:rsidRPr="00263DB9">
              <w:rPr>
                <w:color w:val="000000"/>
                <w:szCs w:val="22"/>
              </w:rPr>
              <w:t>ANC &lt; 1,0 x 10</w:t>
            </w:r>
            <w:r w:rsidRPr="00263DB9">
              <w:rPr>
                <w:color w:val="000000"/>
                <w:szCs w:val="22"/>
                <w:vertAlign w:val="superscript"/>
              </w:rPr>
              <w:t>9</w:t>
            </w:r>
            <w:r w:rsidRPr="00263DB9">
              <w:rPr>
                <w:color w:val="000000"/>
                <w:szCs w:val="22"/>
              </w:rPr>
              <w:t>/l</w:t>
            </w:r>
          </w:p>
          <w:p w14:paraId="375EAF3E" w14:textId="77777777" w:rsidR="00906898" w:rsidRPr="00263DB9" w:rsidRDefault="00906898" w:rsidP="00E51817">
            <w:pPr>
              <w:widowControl w:val="0"/>
              <w:suppressAutoHyphens/>
              <w:jc w:val="both"/>
              <w:rPr>
                <w:color w:val="000000"/>
                <w:szCs w:val="22"/>
              </w:rPr>
            </w:pPr>
            <w:r w:rsidRPr="00263DB9">
              <w:rPr>
                <w:color w:val="000000"/>
                <w:szCs w:val="22"/>
              </w:rPr>
              <w:t>e/ou</w:t>
            </w:r>
          </w:p>
          <w:p w14:paraId="375EAF3F" w14:textId="77777777" w:rsidR="00906898" w:rsidRPr="00263DB9" w:rsidRDefault="00906898" w:rsidP="00E51817">
            <w:pPr>
              <w:widowControl w:val="0"/>
              <w:suppressAutoHyphens/>
              <w:jc w:val="both"/>
              <w:rPr>
                <w:color w:val="000000"/>
                <w:szCs w:val="22"/>
              </w:rPr>
            </w:pPr>
            <w:r w:rsidRPr="00263DB9">
              <w:rPr>
                <w:color w:val="000000"/>
                <w:szCs w:val="22"/>
              </w:rPr>
              <w:t>plaquetas &lt; 50 x 10</w:t>
            </w:r>
            <w:r w:rsidRPr="00263DB9">
              <w:rPr>
                <w:color w:val="000000"/>
                <w:szCs w:val="22"/>
                <w:vertAlign w:val="superscript"/>
              </w:rPr>
              <w:t>9</w:t>
            </w:r>
            <w:r w:rsidRPr="00263DB9">
              <w:rPr>
                <w:color w:val="000000"/>
                <w:szCs w:val="22"/>
              </w:rPr>
              <w:t>/l</w:t>
            </w:r>
          </w:p>
        </w:tc>
        <w:tc>
          <w:tcPr>
            <w:tcW w:w="4490" w:type="dxa"/>
          </w:tcPr>
          <w:p w14:paraId="375EAF40" w14:textId="77777777" w:rsidR="00906898" w:rsidRPr="00263DB9" w:rsidRDefault="00906898" w:rsidP="00E51817">
            <w:pPr>
              <w:widowControl w:val="0"/>
              <w:suppressAutoHyphens/>
              <w:ind w:left="408" w:hanging="408"/>
              <w:rPr>
                <w:color w:val="000000"/>
                <w:szCs w:val="22"/>
              </w:rPr>
            </w:pPr>
            <w:r w:rsidRPr="00263DB9">
              <w:rPr>
                <w:color w:val="000000"/>
                <w:szCs w:val="22"/>
              </w:rPr>
              <w:t>1.</w:t>
            </w:r>
            <w:r w:rsidRPr="00263DB9">
              <w:rPr>
                <w:color w:val="000000"/>
                <w:szCs w:val="22"/>
              </w:rPr>
              <w:tab/>
              <w:t xml:space="preserve">Interromper Glivec até ANC </w:t>
            </w:r>
            <w:r w:rsidRPr="00263DB9">
              <w:rPr>
                <w:color w:val="000000"/>
                <w:szCs w:val="22"/>
              </w:rPr>
              <w:sym w:font="Symbol" w:char="F0B3"/>
            </w:r>
            <w:r w:rsidRPr="00263DB9">
              <w:rPr>
                <w:color w:val="000000"/>
                <w:szCs w:val="22"/>
              </w:rPr>
              <w:t> 1,5 x 10</w:t>
            </w:r>
            <w:r w:rsidRPr="00263DB9">
              <w:rPr>
                <w:color w:val="000000"/>
                <w:szCs w:val="22"/>
                <w:vertAlign w:val="superscript"/>
              </w:rPr>
              <w:t>9</w:t>
            </w:r>
            <w:r w:rsidRPr="00263DB9">
              <w:rPr>
                <w:color w:val="000000"/>
                <w:szCs w:val="22"/>
              </w:rPr>
              <w:t xml:space="preserve">/l e plaquetas </w:t>
            </w:r>
            <w:r w:rsidRPr="00263DB9">
              <w:rPr>
                <w:color w:val="000000"/>
                <w:szCs w:val="22"/>
              </w:rPr>
              <w:sym w:font="Symbol" w:char="F0B3"/>
            </w:r>
            <w:r w:rsidRPr="00263DB9">
              <w:rPr>
                <w:color w:val="000000"/>
                <w:szCs w:val="22"/>
              </w:rPr>
              <w:t> 75 x 10</w:t>
            </w:r>
            <w:r w:rsidRPr="00263DB9">
              <w:rPr>
                <w:color w:val="000000"/>
                <w:szCs w:val="22"/>
                <w:vertAlign w:val="superscript"/>
              </w:rPr>
              <w:t>9</w:t>
            </w:r>
            <w:r w:rsidRPr="00263DB9">
              <w:rPr>
                <w:color w:val="000000"/>
                <w:szCs w:val="22"/>
              </w:rPr>
              <w:t>/l.</w:t>
            </w:r>
          </w:p>
          <w:p w14:paraId="375EAF41" w14:textId="77777777" w:rsidR="00906898" w:rsidRPr="00263DB9" w:rsidRDefault="00906898" w:rsidP="00E51817">
            <w:pPr>
              <w:widowControl w:val="0"/>
              <w:suppressAutoHyphens/>
              <w:ind w:left="408" w:hanging="408"/>
              <w:rPr>
                <w:color w:val="000000"/>
                <w:szCs w:val="22"/>
              </w:rPr>
            </w:pPr>
            <w:r w:rsidRPr="00263DB9">
              <w:rPr>
                <w:color w:val="000000"/>
                <w:szCs w:val="22"/>
              </w:rPr>
              <w:t>2.</w:t>
            </w:r>
            <w:r w:rsidRPr="00263DB9">
              <w:rPr>
                <w:color w:val="000000"/>
                <w:szCs w:val="22"/>
              </w:rPr>
              <w:tab/>
              <w:t>Reiniciar o tratamento com Glivec na dose anterior (i.e. antes da reação adversa grave).</w:t>
            </w:r>
          </w:p>
          <w:p w14:paraId="375EAF42" w14:textId="77777777" w:rsidR="00906898" w:rsidRPr="00263DB9" w:rsidRDefault="00906898" w:rsidP="00E51817">
            <w:pPr>
              <w:widowControl w:val="0"/>
              <w:suppressAutoHyphens/>
              <w:ind w:left="408" w:hanging="408"/>
              <w:rPr>
                <w:color w:val="000000"/>
                <w:szCs w:val="22"/>
              </w:rPr>
            </w:pPr>
            <w:r w:rsidRPr="00263DB9">
              <w:rPr>
                <w:color w:val="000000"/>
                <w:szCs w:val="22"/>
              </w:rPr>
              <w:t>3.</w:t>
            </w:r>
            <w:r w:rsidRPr="00263DB9">
              <w:rPr>
                <w:color w:val="000000"/>
                <w:szCs w:val="22"/>
              </w:rPr>
              <w:tab/>
              <w:t>No caso de recorrência de ANC &lt; 1,0 x 10</w:t>
            </w:r>
            <w:r w:rsidRPr="00263DB9">
              <w:rPr>
                <w:color w:val="000000"/>
                <w:szCs w:val="22"/>
                <w:vertAlign w:val="superscript"/>
              </w:rPr>
              <w:t>9</w:t>
            </w:r>
            <w:r w:rsidRPr="00263DB9">
              <w:rPr>
                <w:color w:val="000000"/>
                <w:szCs w:val="22"/>
              </w:rPr>
              <w:t>/l e/ou plaquetas &lt; 50 x 10</w:t>
            </w:r>
            <w:r w:rsidRPr="00263DB9">
              <w:rPr>
                <w:color w:val="000000"/>
                <w:szCs w:val="22"/>
                <w:vertAlign w:val="superscript"/>
              </w:rPr>
              <w:t>9</w:t>
            </w:r>
            <w:r w:rsidRPr="00263DB9">
              <w:rPr>
                <w:color w:val="000000"/>
                <w:szCs w:val="22"/>
              </w:rPr>
              <w:t>/l, repetir o passo 1 e reiniciar Glivec numa dose reduzida de 300 mg.</w:t>
            </w:r>
          </w:p>
        </w:tc>
      </w:tr>
      <w:tr w:rsidR="00906898" w:rsidRPr="00263DB9" w14:paraId="375EAF4C" w14:textId="77777777" w:rsidTr="00E51817">
        <w:trPr>
          <w:cantSplit/>
        </w:trPr>
        <w:tc>
          <w:tcPr>
            <w:tcW w:w="2518" w:type="dxa"/>
          </w:tcPr>
          <w:p w14:paraId="375EAF44" w14:textId="77777777" w:rsidR="00906898" w:rsidRPr="00263DB9" w:rsidRDefault="00906898" w:rsidP="00E51817">
            <w:pPr>
              <w:widowControl w:val="0"/>
              <w:suppressAutoHyphens/>
              <w:rPr>
                <w:color w:val="000000"/>
                <w:szCs w:val="22"/>
              </w:rPr>
            </w:pPr>
            <w:r w:rsidRPr="00263DB9">
              <w:rPr>
                <w:color w:val="000000"/>
                <w:szCs w:val="22"/>
              </w:rPr>
              <w:t>Crianças com LMC em fase crónica</w:t>
            </w:r>
          </w:p>
          <w:p w14:paraId="375EAF45" w14:textId="77777777" w:rsidR="00906898" w:rsidRPr="00263DB9" w:rsidRDefault="00906898" w:rsidP="00E51817">
            <w:pPr>
              <w:widowControl w:val="0"/>
              <w:suppressAutoHyphens/>
              <w:rPr>
                <w:color w:val="000000"/>
                <w:szCs w:val="22"/>
              </w:rPr>
            </w:pPr>
            <w:r w:rsidRPr="00263DB9">
              <w:rPr>
                <w:color w:val="000000"/>
                <w:szCs w:val="22"/>
              </w:rPr>
              <w:t>(na dose de 340 mg/m</w:t>
            </w:r>
            <w:r w:rsidRPr="00263DB9">
              <w:rPr>
                <w:color w:val="000000"/>
                <w:szCs w:val="22"/>
                <w:vertAlign w:val="superscript"/>
              </w:rPr>
              <w:t>2</w:t>
            </w:r>
            <w:r w:rsidRPr="00263DB9">
              <w:rPr>
                <w:color w:val="000000"/>
                <w:szCs w:val="22"/>
              </w:rPr>
              <w:t>)</w:t>
            </w:r>
          </w:p>
        </w:tc>
        <w:tc>
          <w:tcPr>
            <w:tcW w:w="2268" w:type="dxa"/>
          </w:tcPr>
          <w:p w14:paraId="375EAF46" w14:textId="77777777" w:rsidR="00906898" w:rsidRPr="00263DB9" w:rsidRDefault="00906898" w:rsidP="00E51817">
            <w:pPr>
              <w:widowControl w:val="0"/>
              <w:suppressAutoHyphens/>
              <w:jc w:val="both"/>
              <w:rPr>
                <w:color w:val="000000"/>
                <w:szCs w:val="22"/>
              </w:rPr>
            </w:pPr>
            <w:r w:rsidRPr="00263DB9">
              <w:rPr>
                <w:color w:val="000000"/>
                <w:szCs w:val="22"/>
              </w:rPr>
              <w:t>ANC &lt; 1,0 x 10</w:t>
            </w:r>
            <w:r w:rsidRPr="00263DB9">
              <w:rPr>
                <w:color w:val="000000"/>
                <w:szCs w:val="22"/>
                <w:vertAlign w:val="superscript"/>
              </w:rPr>
              <w:t>9</w:t>
            </w:r>
            <w:r w:rsidRPr="00263DB9">
              <w:rPr>
                <w:color w:val="000000"/>
                <w:szCs w:val="22"/>
              </w:rPr>
              <w:t>/l</w:t>
            </w:r>
          </w:p>
          <w:p w14:paraId="375EAF47" w14:textId="77777777" w:rsidR="00906898" w:rsidRPr="00263DB9" w:rsidRDefault="00906898" w:rsidP="00E51817">
            <w:pPr>
              <w:widowControl w:val="0"/>
              <w:suppressAutoHyphens/>
              <w:jc w:val="both"/>
              <w:rPr>
                <w:color w:val="000000"/>
                <w:szCs w:val="22"/>
              </w:rPr>
            </w:pPr>
            <w:r w:rsidRPr="00263DB9">
              <w:rPr>
                <w:color w:val="000000"/>
                <w:szCs w:val="22"/>
              </w:rPr>
              <w:t>e/ou</w:t>
            </w:r>
          </w:p>
          <w:p w14:paraId="375EAF48" w14:textId="77777777" w:rsidR="00906898" w:rsidRPr="00263DB9" w:rsidRDefault="00906898" w:rsidP="00E51817">
            <w:pPr>
              <w:widowControl w:val="0"/>
              <w:suppressAutoHyphens/>
              <w:jc w:val="both"/>
              <w:rPr>
                <w:color w:val="000000"/>
                <w:szCs w:val="22"/>
              </w:rPr>
            </w:pPr>
            <w:r w:rsidRPr="00263DB9">
              <w:rPr>
                <w:color w:val="000000"/>
                <w:szCs w:val="22"/>
              </w:rPr>
              <w:t>plaquetas &lt; 50 x 10</w:t>
            </w:r>
            <w:r w:rsidRPr="00263DB9">
              <w:rPr>
                <w:color w:val="000000"/>
                <w:szCs w:val="22"/>
                <w:vertAlign w:val="superscript"/>
              </w:rPr>
              <w:t>9</w:t>
            </w:r>
            <w:r w:rsidRPr="00263DB9">
              <w:rPr>
                <w:color w:val="000000"/>
                <w:szCs w:val="22"/>
              </w:rPr>
              <w:t>/l</w:t>
            </w:r>
          </w:p>
        </w:tc>
        <w:tc>
          <w:tcPr>
            <w:tcW w:w="4490" w:type="dxa"/>
          </w:tcPr>
          <w:p w14:paraId="375EAF49" w14:textId="77777777" w:rsidR="00906898" w:rsidRPr="00263DB9" w:rsidRDefault="00906898" w:rsidP="00E51817">
            <w:pPr>
              <w:widowControl w:val="0"/>
              <w:suppressAutoHyphens/>
              <w:ind w:left="408" w:hanging="408"/>
              <w:rPr>
                <w:color w:val="000000"/>
                <w:szCs w:val="22"/>
              </w:rPr>
            </w:pPr>
            <w:r w:rsidRPr="00263DB9">
              <w:rPr>
                <w:color w:val="000000"/>
                <w:szCs w:val="22"/>
              </w:rPr>
              <w:t>1.</w:t>
            </w:r>
            <w:r w:rsidRPr="00263DB9">
              <w:rPr>
                <w:color w:val="000000"/>
                <w:szCs w:val="22"/>
              </w:rPr>
              <w:tab/>
              <w:t xml:space="preserve">Interromper Glivec até ANC </w:t>
            </w:r>
            <w:r w:rsidRPr="00263DB9">
              <w:rPr>
                <w:color w:val="000000"/>
                <w:szCs w:val="22"/>
              </w:rPr>
              <w:sym w:font="Symbol" w:char="F0B3"/>
            </w:r>
            <w:r w:rsidRPr="00263DB9">
              <w:rPr>
                <w:color w:val="000000"/>
                <w:szCs w:val="22"/>
              </w:rPr>
              <w:t> 1,5 x 10</w:t>
            </w:r>
            <w:r w:rsidRPr="00263DB9">
              <w:rPr>
                <w:color w:val="000000"/>
                <w:szCs w:val="22"/>
                <w:vertAlign w:val="superscript"/>
              </w:rPr>
              <w:t>9</w:t>
            </w:r>
            <w:r w:rsidRPr="00263DB9">
              <w:rPr>
                <w:color w:val="000000"/>
                <w:szCs w:val="22"/>
              </w:rPr>
              <w:t xml:space="preserve">/l e plaquetas </w:t>
            </w:r>
            <w:r w:rsidRPr="00263DB9">
              <w:rPr>
                <w:color w:val="000000"/>
                <w:szCs w:val="22"/>
              </w:rPr>
              <w:sym w:font="Symbol" w:char="F0B3"/>
            </w:r>
            <w:r w:rsidRPr="00263DB9">
              <w:rPr>
                <w:color w:val="000000"/>
                <w:szCs w:val="22"/>
              </w:rPr>
              <w:t> 75 x 10</w:t>
            </w:r>
            <w:r w:rsidRPr="00263DB9">
              <w:rPr>
                <w:color w:val="000000"/>
                <w:szCs w:val="22"/>
                <w:vertAlign w:val="superscript"/>
              </w:rPr>
              <w:t>9</w:t>
            </w:r>
            <w:r w:rsidRPr="00263DB9">
              <w:rPr>
                <w:color w:val="000000"/>
                <w:szCs w:val="22"/>
              </w:rPr>
              <w:t>/l.</w:t>
            </w:r>
          </w:p>
          <w:p w14:paraId="375EAF4A" w14:textId="77777777" w:rsidR="00906898" w:rsidRPr="00263DB9" w:rsidRDefault="00906898" w:rsidP="00E51817">
            <w:pPr>
              <w:widowControl w:val="0"/>
              <w:suppressAutoHyphens/>
              <w:ind w:left="408" w:hanging="408"/>
              <w:rPr>
                <w:color w:val="000000"/>
                <w:szCs w:val="22"/>
              </w:rPr>
            </w:pPr>
            <w:r w:rsidRPr="00263DB9">
              <w:rPr>
                <w:color w:val="000000"/>
                <w:szCs w:val="22"/>
              </w:rPr>
              <w:t>2.</w:t>
            </w:r>
            <w:r w:rsidRPr="00263DB9">
              <w:rPr>
                <w:color w:val="000000"/>
                <w:szCs w:val="22"/>
              </w:rPr>
              <w:tab/>
              <w:t>Reiniciar o tratamento com Glivec na dose anterior (i.e. antes da reação adversa grave).</w:t>
            </w:r>
          </w:p>
          <w:p w14:paraId="375EAF4B" w14:textId="77777777" w:rsidR="00906898" w:rsidRPr="00263DB9" w:rsidRDefault="00906898" w:rsidP="00E51817">
            <w:pPr>
              <w:widowControl w:val="0"/>
              <w:suppressAutoHyphens/>
              <w:ind w:left="408" w:hanging="408"/>
              <w:rPr>
                <w:color w:val="000000"/>
                <w:szCs w:val="22"/>
              </w:rPr>
            </w:pPr>
            <w:r w:rsidRPr="00263DB9">
              <w:rPr>
                <w:color w:val="000000"/>
                <w:szCs w:val="22"/>
              </w:rPr>
              <w:t>3.</w:t>
            </w:r>
            <w:r w:rsidRPr="00263DB9">
              <w:rPr>
                <w:color w:val="000000"/>
                <w:szCs w:val="22"/>
              </w:rPr>
              <w:tab/>
              <w:t>No caso de recorrência de ANC &lt; 1,0 x 10</w:t>
            </w:r>
            <w:r w:rsidRPr="00263DB9">
              <w:rPr>
                <w:color w:val="000000"/>
                <w:szCs w:val="22"/>
                <w:vertAlign w:val="superscript"/>
              </w:rPr>
              <w:t>9</w:t>
            </w:r>
            <w:r w:rsidRPr="00263DB9">
              <w:rPr>
                <w:color w:val="000000"/>
                <w:szCs w:val="22"/>
              </w:rPr>
              <w:t>/l e/ou plaquetas &lt; 50 x 10</w:t>
            </w:r>
            <w:r w:rsidRPr="00263DB9">
              <w:rPr>
                <w:color w:val="000000"/>
                <w:szCs w:val="22"/>
                <w:vertAlign w:val="superscript"/>
              </w:rPr>
              <w:t>9</w:t>
            </w:r>
            <w:r w:rsidRPr="00263DB9">
              <w:rPr>
                <w:color w:val="000000"/>
                <w:szCs w:val="22"/>
              </w:rPr>
              <w:t>/l, repetir o passo 1 e reiniciar Glivec numa dose reduzida de 260 mg/m</w:t>
            </w:r>
            <w:r w:rsidRPr="00263DB9">
              <w:rPr>
                <w:color w:val="000000"/>
                <w:szCs w:val="22"/>
                <w:vertAlign w:val="superscript"/>
              </w:rPr>
              <w:t>2</w:t>
            </w:r>
            <w:r w:rsidRPr="00263DB9">
              <w:rPr>
                <w:color w:val="000000"/>
                <w:szCs w:val="22"/>
              </w:rPr>
              <w:t>.</w:t>
            </w:r>
          </w:p>
        </w:tc>
      </w:tr>
      <w:tr w:rsidR="00906898" w:rsidRPr="00263DB9" w14:paraId="375EAF56" w14:textId="77777777" w:rsidTr="00E51817">
        <w:trPr>
          <w:cantSplit/>
        </w:trPr>
        <w:tc>
          <w:tcPr>
            <w:tcW w:w="2518" w:type="dxa"/>
          </w:tcPr>
          <w:p w14:paraId="375EAF4D" w14:textId="77777777" w:rsidR="00906898" w:rsidRPr="00263DB9" w:rsidRDefault="00906898" w:rsidP="00E51817">
            <w:pPr>
              <w:widowControl w:val="0"/>
              <w:suppressAutoHyphens/>
              <w:jc w:val="both"/>
              <w:rPr>
                <w:color w:val="000000"/>
                <w:szCs w:val="22"/>
              </w:rPr>
            </w:pPr>
            <w:r w:rsidRPr="00263DB9">
              <w:rPr>
                <w:color w:val="000000"/>
                <w:szCs w:val="22"/>
              </w:rPr>
              <w:lastRenderedPageBreak/>
              <w:t>LMC em fase acelerada e crise blástica e LLA Ph+</w:t>
            </w:r>
          </w:p>
          <w:p w14:paraId="375EAF4E" w14:textId="77777777" w:rsidR="00906898" w:rsidRPr="00263DB9" w:rsidRDefault="00906898" w:rsidP="00E51817">
            <w:pPr>
              <w:widowControl w:val="0"/>
              <w:suppressAutoHyphens/>
              <w:jc w:val="both"/>
              <w:rPr>
                <w:color w:val="000000"/>
                <w:szCs w:val="22"/>
              </w:rPr>
            </w:pPr>
            <w:r w:rsidRPr="00263DB9">
              <w:rPr>
                <w:color w:val="000000"/>
                <w:szCs w:val="22"/>
              </w:rPr>
              <w:t>(dose inicial 600 mg)</w:t>
            </w:r>
          </w:p>
        </w:tc>
        <w:tc>
          <w:tcPr>
            <w:tcW w:w="2268" w:type="dxa"/>
          </w:tcPr>
          <w:p w14:paraId="375EAF4F" w14:textId="77777777" w:rsidR="00906898" w:rsidRPr="00263DB9" w:rsidRDefault="00906898" w:rsidP="00E51817">
            <w:pPr>
              <w:widowControl w:val="0"/>
              <w:suppressAutoHyphens/>
              <w:jc w:val="both"/>
              <w:rPr>
                <w:color w:val="000000"/>
                <w:szCs w:val="22"/>
              </w:rPr>
            </w:pPr>
            <w:r w:rsidRPr="00263DB9">
              <w:rPr>
                <w:color w:val="000000"/>
                <w:szCs w:val="22"/>
                <w:vertAlign w:val="superscript"/>
              </w:rPr>
              <w:t>a</w:t>
            </w:r>
            <w:r w:rsidRPr="00263DB9">
              <w:rPr>
                <w:color w:val="000000"/>
                <w:szCs w:val="22"/>
              </w:rPr>
              <w:t>ANC &lt; 0,5 x 10</w:t>
            </w:r>
            <w:r w:rsidRPr="00263DB9">
              <w:rPr>
                <w:color w:val="000000"/>
                <w:szCs w:val="22"/>
                <w:vertAlign w:val="superscript"/>
              </w:rPr>
              <w:t>9</w:t>
            </w:r>
            <w:r w:rsidRPr="00263DB9">
              <w:rPr>
                <w:color w:val="000000"/>
                <w:szCs w:val="22"/>
              </w:rPr>
              <w:t>/l</w:t>
            </w:r>
          </w:p>
          <w:p w14:paraId="375EAF50" w14:textId="77777777" w:rsidR="00906898" w:rsidRPr="00263DB9" w:rsidRDefault="00906898" w:rsidP="00E51817">
            <w:pPr>
              <w:widowControl w:val="0"/>
              <w:suppressAutoHyphens/>
              <w:jc w:val="both"/>
              <w:rPr>
                <w:color w:val="000000"/>
                <w:szCs w:val="22"/>
              </w:rPr>
            </w:pPr>
            <w:r w:rsidRPr="00263DB9">
              <w:rPr>
                <w:color w:val="000000"/>
                <w:szCs w:val="22"/>
              </w:rPr>
              <w:t>e/ou</w:t>
            </w:r>
          </w:p>
          <w:p w14:paraId="375EAF51" w14:textId="77777777" w:rsidR="00906898" w:rsidRPr="00263DB9" w:rsidRDefault="00906898" w:rsidP="00E51817">
            <w:pPr>
              <w:widowControl w:val="0"/>
              <w:suppressAutoHyphens/>
              <w:jc w:val="both"/>
              <w:rPr>
                <w:color w:val="000000"/>
                <w:szCs w:val="22"/>
              </w:rPr>
            </w:pPr>
            <w:r w:rsidRPr="00263DB9">
              <w:rPr>
                <w:color w:val="000000"/>
                <w:szCs w:val="22"/>
              </w:rPr>
              <w:t>plaquetas &lt; 10 x 10</w:t>
            </w:r>
            <w:r w:rsidRPr="00263DB9">
              <w:rPr>
                <w:color w:val="000000"/>
                <w:szCs w:val="22"/>
                <w:vertAlign w:val="superscript"/>
              </w:rPr>
              <w:t>9</w:t>
            </w:r>
            <w:r w:rsidRPr="00263DB9">
              <w:rPr>
                <w:color w:val="000000"/>
                <w:szCs w:val="22"/>
              </w:rPr>
              <w:t>/l</w:t>
            </w:r>
          </w:p>
        </w:tc>
        <w:tc>
          <w:tcPr>
            <w:tcW w:w="4490" w:type="dxa"/>
          </w:tcPr>
          <w:p w14:paraId="375EAF52" w14:textId="77777777" w:rsidR="00906898" w:rsidRPr="00263DB9" w:rsidRDefault="00906898" w:rsidP="00E51817">
            <w:pPr>
              <w:widowControl w:val="0"/>
              <w:suppressAutoHyphens/>
              <w:ind w:left="408" w:hanging="408"/>
              <w:rPr>
                <w:color w:val="000000"/>
                <w:szCs w:val="22"/>
              </w:rPr>
            </w:pPr>
            <w:r w:rsidRPr="00263DB9">
              <w:rPr>
                <w:color w:val="000000"/>
                <w:szCs w:val="22"/>
              </w:rPr>
              <w:t>1.</w:t>
            </w:r>
            <w:r w:rsidRPr="00263DB9">
              <w:rPr>
                <w:color w:val="000000"/>
                <w:szCs w:val="22"/>
              </w:rPr>
              <w:tab/>
              <w:t>Verificar se a citopenia está relacionada com a leucemia (aspiração ou biópsia da medula).</w:t>
            </w:r>
          </w:p>
          <w:p w14:paraId="375EAF53" w14:textId="77777777" w:rsidR="00906898" w:rsidRPr="00263DB9" w:rsidRDefault="00906898" w:rsidP="00E51817">
            <w:pPr>
              <w:widowControl w:val="0"/>
              <w:suppressAutoHyphens/>
              <w:ind w:left="408" w:hanging="408"/>
              <w:rPr>
                <w:color w:val="000000"/>
                <w:szCs w:val="22"/>
              </w:rPr>
            </w:pPr>
            <w:r w:rsidRPr="00263DB9">
              <w:rPr>
                <w:color w:val="000000"/>
                <w:szCs w:val="22"/>
              </w:rPr>
              <w:t>2.</w:t>
            </w:r>
            <w:r w:rsidRPr="00263DB9">
              <w:rPr>
                <w:color w:val="000000"/>
                <w:szCs w:val="22"/>
              </w:rPr>
              <w:tab/>
              <w:t>Se a citopenia não estiver relacionada com a leucemia, reduzir a dose de Glivec para 400 mg.</w:t>
            </w:r>
          </w:p>
          <w:p w14:paraId="375EAF54" w14:textId="77777777" w:rsidR="00906898" w:rsidRPr="00263DB9" w:rsidRDefault="00906898" w:rsidP="00E51817">
            <w:pPr>
              <w:widowControl w:val="0"/>
              <w:suppressAutoHyphens/>
              <w:ind w:left="408" w:hanging="408"/>
              <w:rPr>
                <w:color w:val="000000"/>
                <w:szCs w:val="22"/>
              </w:rPr>
            </w:pPr>
            <w:r w:rsidRPr="00263DB9">
              <w:rPr>
                <w:color w:val="000000"/>
                <w:szCs w:val="22"/>
              </w:rPr>
              <w:t>3.</w:t>
            </w:r>
            <w:r w:rsidRPr="00263DB9">
              <w:rPr>
                <w:color w:val="000000"/>
                <w:szCs w:val="22"/>
              </w:rPr>
              <w:tab/>
              <w:t>Se a citopenia persistir durante 2 semanas, reduzir ainda mais para 300 mg.</w:t>
            </w:r>
          </w:p>
          <w:p w14:paraId="375EAF55" w14:textId="77777777" w:rsidR="00906898" w:rsidRPr="00263DB9" w:rsidRDefault="00906898" w:rsidP="00E51817">
            <w:pPr>
              <w:widowControl w:val="0"/>
              <w:suppressAutoHyphens/>
              <w:ind w:left="408" w:hanging="408"/>
              <w:rPr>
                <w:color w:val="000000"/>
                <w:szCs w:val="22"/>
              </w:rPr>
            </w:pPr>
            <w:r w:rsidRPr="00263DB9">
              <w:rPr>
                <w:color w:val="000000"/>
                <w:szCs w:val="22"/>
              </w:rPr>
              <w:t>4.</w:t>
            </w:r>
            <w:r w:rsidRPr="00263DB9">
              <w:rPr>
                <w:color w:val="000000"/>
                <w:szCs w:val="22"/>
              </w:rPr>
              <w:tab/>
              <w:t xml:space="preserve">Se a citopenia persistir durante 4 semanas e ainda não estiver relacionada com a leucemia, interromper Glivec até ANC </w:t>
            </w:r>
            <w:r w:rsidRPr="00263DB9">
              <w:rPr>
                <w:color w:val="000000"/>
                <w:szCs w:val="22"/>
              </w:rPr>
              <w:sym w:font="Symbol" w:char="F0B3"/>
            </w:r>
            <w:r w:rsidRPr="00263DB9">
              <w:rPr>
                <w:color w:val="000000"/>
                <w:szCs w:val="22"/>
              </w:rPr>
              <w:t> 1 x 10</w:t>
            </w:r>
            <w:r w:rsidRPr="00263DB9">
              <w:rPr>
                <w:color w:val="000000"/>
                <w:szCs w:val="22"/>
                <w:vertAlign w:val="superscript"/>
              </w:rPr>
              <w:t>9</w:t>
            </w:r>
            <w:r w:rsidRPr="00263DB9">
              <w:rPr>
                <w:color w:val="000000"/>
                <w:szCs w:val="22"/>
              </w:rPr>
              <w:t xml:space="preserve">/l e as plaquetas </w:t>
            </w:r>
            <w:r w:rsidRPr="00263DB9">
              <w:rPr>
                <w:color w:val="000000"/>
                <w:szCs w:val="22"/>
              </w:rPr>
              <w:sym w:font="Symbol" w:char="F0B3"/>
            </w:r>
            <w:r w:rsidRPr="00263DB9">
              <w:rPr>
                <w:color w:val="000000"/>
                <w:szCs w:val="22"/>
              </w:rPr>
              <w:t> 20 x 10</w:t>
            </w:r>
            <w:r w:rsidRPr="00263DB9">
              <w:rPr>
                <w:color w:val="000000"/>
                <w:szCs w:val="22"/>
                <w:vertAlign w:val="superscript"/>
              </w:rPr>
              <w:t>9</w:t>
            </w:r>
            <w:r w:rsidRPr="00263DB9">
              <w:rPr>
                <w:color w:val="000000"/>
                <w:szCs w:val="22"/>
              </w:rPr>
              <w:t>/l e, depois, reiniciar o tratamento com 300 mg.</w:t>
            </w:r>
          </w:p>
        </w:tc>
      </w:tr>
      <w:tr w:rsidR="00906898" w:rsidRPr="00263DB9" w14:paraId="375EAF5F" w14:textId="77777777" w:rsidTr="00E51817">
        <w:trPr>
          <w:cantSplit/>
        </w:trPr>
        <w:tc>
          <w:tcPr>
            <w:tcW w:w="2518" w:type="dxa"/>
          </w:tcPr>
          <w:p w14:paraId="375EAF57" w14:textId="77777777" w:rsidR="00906898" w:rsidRPr="00263DB9" w:rsidRDefault="00906898" w:rsidP="00E51817">
            <w:pPr>
              <w:widowControl w:val="0"/>
              <w:suppressAutoHyphens/>
              <w:rPr>
                <w:color w:val="000000"/>
                <w:szCs w:val="22"/>
              </w:rPr>
            </w:pPr>
            <w:r w:rsidRPr="00263DB9">
              <w:rPr>
                <w:color w:val="000000"/>
                <w:szCs w:val="22"/>
              </w:rPr>
              <w:t>Crianças com LMC em fase acelerada e crise blástica (dose inicial 340 mg/m</w:t>
            </w:r>
            <w:r w:rsidRPr="00263DB9">
              <w:rPr>
                <w:color w:val="000000"/>
                <w:szCs w:val="22"/>
                <w:vertAlign w:val="superscript"/>
              </w:rPr>
              <w:t>2</w:t>
            </w:r>
            <w:r w:rsidRPr="00263DB9">
              <w:rPr>
                <w:color w:val="000000"/>
                <w:szCs w:val="22"/>
              </w:rPr>
              <w:t>)</w:t>
            </w:r>
          </w:p>
        </w:tc>
        <w:tc>
          <w:tcPr>
            <w:tcW w:w="2268" w:type="dxa"/>
          </w:tcPr>
          <w:p w14:paraId="375EAF58" w14:textId="77777777" w:rsidR="00906898" w:rsidRPr="00263DB9" w:rsidRDefault="00906898" w:rsidP="00E51817">
            <w:pPr>
              <w:widowControl w:val="0"/>
              <w:suppressAutoHyphens/>
              <w:jc w:val="both"/>
              <w:rPr>
                <w:color w:val="000000"/>
                <w:szCs w:val="22"/>
              </w:rPr>
            </w:pPr>
            <w:r w:rsidRPr="00263DB9">
              <w:rPr>
                <w:color w:val="000000"/>
                <w:szCs w:val="22"/>
                <w:vertAlign w:val="superscript"/>
              </w:rPr>
              <w:t>a</w:t>
            </w:r>
            <w:r w:rsidRPr="00263DB9">
              <w:rPr>
                <w:color w:val="000000"/>
                <w:szCs w:val="22"/>
              </w:rPr>
              <w:t>ANC &lt; 1,0 x 10</w:t>
            </w:r>
            <w:r w:rsidRPr="00263DB9">
              <w:rPr>
                <w:color w:val="000000"/>
                <w:szCs w:val="22"/>
                <w:vertAlign w:val="superscript"/>
              </w:rPr>
              <w:t>9</w:t>
            </w:r>
            <w:r w:rsidRPr="00263DB9">
              <w:rPr>
                <w:color w:val="000000"/>
                <w:szCs w:val="22"/>
              </w:rPr>
              <w:t>/l</w:t>
            </w:r>
          </w:p>
          <w:p w14:paraId="375EAF59" w14:textId="77777777" w:rsidR="00906898" w:rsidRPr="00263DB9" w:rsidRDefault="00906898" w:rsidP="00E51817">
            <w:pPr>
              <w:widowControl w:val="0"/>
              <w:suppressAutoHyphens/>
              <w:jc w:val="both"/>
              <w:rPr>
                <w:color w:val="000000"/>
                <w:szCs w:val="22"/>
              </w:rPr>
            </w:pPr>
            <w:r w:rsidRPr="00263DB9">
              <w:rPr>
                <w:color w:val="000000"/>
                <w:szCs w:val="22"/>
              </w:rPr>
              <w:t>e/ou</w:t>
            </w:r>
          </w:p>
          <w:p w14:paraId="375EAF5A" w14:textId="77777777" w:rsidR="00906898" w:rsidRPr="00263DB9" w:rsidRDefault="00906898" w:rsidP="00E51817">
            <w:pPr>
              <w:widowControl w:val="0"/>
              <w:suppressAutoHyphens/>
              <w:jc w:val="both"/>
              <w:rPr>
                <w:color w:val="000000"/>
                <w:szCs w:val="22"/>
              </w:rPr>
            </w:pPr>
            <w:r w:rsidRPr="00263DB9">
              <w:rPr>
                <w:color w:val="000000"/>
                <w:szCs w:val="22"/>
              </w:rPr>
              <w:t>plaquetas &lt; 50 x 10</w:t>
            </w:r>
            <w:r w:rsidRPr="00263DB9">
              <w:rPr>
                <w:color w:val="000000"/>
                <w:szCs w:val="22"/>
                <w:vertAlign w:val="superscript"/>
              </w:rPr>
              <w:t>9</w:t>
            </w:r>
            <w:r w:rsidRPr="00263DB9">
              <w:rPr>
                <w:color w:val="000000"/>
                <w:szCs w:val="22"/>
              </w:rPr>
              <w:t>/l</w:t>
            </w:r>
          </w:p>
        </w:tc>
        <w:tc>
          <w:tcPr>
            <w:tcW w:w="4490" w:type="dxa"/>
          </w:tcPr>
          <w:p w14:paraId="375EAF5B" w14:textId="77777777" w:rsidR="00906898" w:rsidRPr="00263DB9" w:rsidRDefault="00906898" w:rsidP="00E51817">
            <w:pPr>
              <w:widowControl w:val="0"/>
              <w:suppressAutoHyphens/>
              <w:ind w:left="408" w:hanging="408"/>
              <w:rPr>
                <w:color w:val="000000"/>
                <w:szCs w:val="22"/>
              </w:rPr>
            </w:pPr>
            <w:r w:rsidRPr="00263DB9">
              <w:rPr>
                <w:color w:val="000000"/>
                <w:szCs w:val="22"/>
              </w:rPr>
              <w:t>1.</w:t>
            </w:r>
            <w:r w:rsidRPr="00263DB9">
              <w:rPr>
                <w:color w:val="000000"/>
                <w:szCs w:val="22"/>
              </w:rPr>
              <w:tab/>
              <w:t>Verificar se a citopenia está relacionada com a leucemia (aspiração ou biópsia da medula).</w:t>
            </w:r>
          </w:p>
          <w:p w14:paraId="375EAF5C" w14:textId="77777777" w:rsidR="00906898" w:rsidRPr="00263DB9" w:rsidRDefault="00906898" w:rsidP="00E51817">
            <w:pPr>
              <w:widowControl w:val="0"/>
              <w:suppressAutoHyphens/>
              <w:ind w:left="408" w:hanging="408"/>
              <w:rPr>
                <w:color w:val="000000"/>
                <w:szCs w:val="22"/>
              </w:rPr>
            </w:pPr>
            <w:r w:rsidRPr="00263DB9">
              <w:rPr>
                <w:color w:val="000000"/>
                <w:szCs w:val="22"/>
              </w:rPr>
              <w:t>2.</w:t>
            </w:r>
            <w:r w:rsidRPr="00263DB9">
              <w:rPr>
                <w:color w:val="000000"/>
                <w:szCs w:val="22"/>
              </w:rPr>
              <w:tab/>
              <w:t>Se a citopenia não estiver relacionada com a leucemia, reduzir a dose de Glivec para 260 mg/m</w:t>
            </w:r>
            <w:r w:rsidRPr="00263DB9">
              <w:rPr>
                <w:color w:val="000000"/>
                <w:szCs w:val="22"/>
                <w:vertAlign w:val="superscript"/>
              </w:rPr>
              <w:t>2</w:t>
            </w:r>
            <w:r w:rsidRPr="00263DB9">
              <w:rPr>
                <w:color w:val="000000"/>
                <w:szCs w:val="22"/>
              </w:rPr>
              <w:t>.</w:t>
            </w:r>
          </w:p>
          <w:p w14:paraId="375EAF5D" w14:textId="77777777" w:rsidR="00906898" w:rsidRPr="00263DB9" w:rsidRDefault="00906898" w:rsidP="00E51817">
            <w:pPr>
              <w:widowControl w:val="0"/>
              <w:suppressAutoHyphens/>
              <w:ind w:left="408" w:hanging="408"/>
              <w:rPr>
                <w:color w:val="000000"/>
                <w:szCs w:val="22"/>
              </w:rPr>
            </w:pPr>
            <w:r w:rsidRPr="00263DB9">
              <w:rPr>
                <w:color w:val="000000"/>
                <w:szCs w:val="22"/>
              </w:rPr>
              <w:t>3.</w:t>
            </w:r>
            <w:r w:rsidRPr="00263DB9">
              <w:rPr>
                <w:color w:val="000000"/>
                <w:szCs w:val="22"/>
              </w:rPr>
              <w:tab/>
              <w:t>Se a citopenia persistir durante 2 semanas, reduzir ainda mais para 200 mg/m</w:t>
            </w:r>
            <w:r w:rsidRPr="00263DB9">
              <w:rPr>
                <w:color w:val="000000"/>
                <w:szCs w:val="22"/>
                <w:vertAlign w:val="superscript"/>
              </w:rPr>
              <w:t>2</w:t>
            </w:r>
            <w:r w:rsidRPr="00263DB9">
              <w:rPr>
                <w:color w:val="000000"/>
                <w:szCs w:val="22"/>
              </w:rPr>
              <w:t>.</w:t>
            </w:r>
          </w:p>
          <w:p w14:paraId="375EAF5E" w14:textId="77777777" w:rsidR="00906898" w:rsidRPr="00263DB9" w:rsidRDefault="00906898" w:rsidP="00E51817">
            <w:pPr>
              <w:widowControl w:val="0"/>
              <w:suppressAutoHyphens/>
              <w:ind w:left="408" w:hanging="408"/>
              <w:rPr>
                <w:color w:val="000000"/>
                <w:szCs w:val="22"/>
              </w:rPr>
            </w:pPr>
            <w:r w:rsidRPr="00263DB9">
              <w:rPr>
                <w:color w:val="000000"/>
                <w:szCs w:val="22"/>
              </w:rPr>
              <w:t>4.</w:t>
            </w:r>
            <w:r w:rsidRPr="00263DB9">
              <w:rPr>
                <w:color w:val="000000"/>
                <w:szCs w:val="22"/>
              </w:rPr>
              <w:tab/>
              <w:t xml:space="preserve">Se a citopenia persistir durante 4 semanas e ainda não estiver relacionada com a leucemia, interromper Glivec até ANC </w:t>
            </w:r>
            <w:r w:rsidRPr="00263DB9">
              <w:rPr>
                <w:color w:val="000000"/>
                <w:szCs w:val="22"/>
              </w:rPr>
              <w:sym w:font="Symbol" w:char="F0B3"/>
            </w:r>
            <w:r w:rsidRPr="00263DB9">
              <w:rPr>
                <w:color w:val="000000"/>
                <w:szCs w:val="22"/>
              </w:rPr>
              <w:t> 1 x 10</w:t>
            </w:r>
            <w:r w:rsidRPr="00263DB9">
              <w:rPr>
                <w:color w:val="000000"/>
                <w:szCs w:val="22"/>
                <w:vertAlign w:val="superscript"/>
              </w:rPr>
              <w:t>9</w:t>
            </w:r>
            <w:r w:rsidRPr="00263DB9">
              <w:rPr>
                <w:color w:val="000000"/>
                <w:szCs w:val="22"/>
              </w:rPr>
              <w:t xml:space="preserve">/l e as plaquetas </w:t>
            </w:r>
            <w:r w:rsidRPr="00263DB9">
              <w:rPr>
                <w:color w:val="000000"/>
                <w:szCs w:val="22"/>
              </w:rPr>
              <w:sym w:font="Symbol" w:char="F0B3"/>
            </w:r>
            <w:r w:rsidRPr="00263DB9">
              <w:rPr>
                <w:color w:val="000000"/>
                <w:szCs w:val="22"/>
              </w:rPr>
              <w:t> 20 x 10</w:t>
            </w:r>
            <w:r w:rsidRPr="00263DB9">
              <w:rPr>
                <w:color w:val="000000"/>
                <w:szCs w:val="22"/>
                <w:vertAlign w:val="superscript"/>
              </w:rPr>
              <w:t>9</w:t>
            </w:r>
            <w:r w:rsidRPr="00263DB9">
              <w:rPr>
                <w:color w:val="000000"/>
                <w:szCs w:val="22"/>
              </w:rPr>
              <w:t>/l e, depois, reiniciar o tratamento com 200 mg/m</w:t>
            </w:r>
            <w:r w:rsidRPr="00263DB9">
              <w:rPr>
                <w:color w:val="000000"/>
                <w:szCs w:val="22"/>
                <w:vertAlign w:val="superscript"/>
              </w:rPr>
              <w:t>2</w:t>
            </w:r>
            <w:r w:rsidRPr="00263DB9">
              <w:rPr>
                <w:color w:val="000000"/>
                <w:szCs w:val="22"/>
              </w:rPr>
              <w:t>.</w:t>
            </w:r>
          </w:p>
        </w:tc>
      </w:tr>
      <w:tr w:rsidR="00906898" w:rsidRPr="00263DB9" w14:paraId="375EAF68" w14:textId="77777777" w:rsidTr="00E51817">
        <w:trPr>
          <w:cantSplit/>
        </w:trPr>
        <w:tc>
          <w:tcPr>
            <w:tcW w:w="2518" w:type="dxa"/>
            <w:tcBorders>
              <w:top w:val="single" w:sz="4" w:space="0" w:color="auto"/>
              <w:left w:val="single" w:sz="4" w:space="0" w:color="auto"/>
              <w:bottom w:val="single" w:sz="4" w:space="0" w:color="auto"/>
              <w:right w:val="single" w:sz="4" w:space="0" w:color="auto"/>
            </w:tcBorders>
          </w:tcPr>
          <w:p w14:paraId="375EAF60" w14:textId="77777777" w:rsidR="00906898" w:rsidRPr="00263DB9" w:rsidRDefault="00906898" w:rsidP="00E51817">
            <w:pPr>
              <w:keepNext/>
              <w:keepLines/>
              <w:widowControl w:val="0"/>
              <w:suppressAutoHyphens/>
              <w:jc w:val="both"/>
              <w:rPr>
                <w:color w:val="000000"/>
                <w:szCs w:val="22"/>
              </w:rPr>
            </w:pPr>
            <w:r w:rsidRPr="00263DB9">
              <w:rPr>
                <w:color w:val="000000"/>
                <w:szCs w:val="22"/>
              </w:rPr>
              <w:t>DFSP</w:t>
            </w:r>
          </w:p>
          <w:p w14:paraId="375EAF61" w14:textId="77777777" w:rsidR="00906898" w:rsidRPr="00263DB9" w:rsidRDefault="00906898" w:rsidP="00E51817">
            <w:pPr>
              <w:keepNext/>
              <w:keepLines/>
              <w:widowControl w:val="0"/>
              <w:suppressAutoHyphens/>
              <w:jc w:val="both"/>
              <w:rPr>
                <w:color w:val="000000"/>
                <w:szCs w:val="22"/>
              </w:rPr>
            </w:pPr>
            <w:r w:rsidRPr="00263DB9">
              <w:rPr>
                <w:color w:val="000000"/>
                <w:szCs w:val="22"/>
              </w:rPr>
              <w:t>(numa dose 800 mg)</w:t>
            </w:r>
          </w:p>
        </w:tc>
        <w:tc>
          <w:tcPr>
            <w:tcW w:w="2268" w:type="dxa"/>
            <w:tcBorders>
              <w:top w:val="single" w:sz="4" w:space="0" w:color="auto"/>
              <w:left w:val="single" w:sz="4" w:space="0" w:color="auto"/>
              <w:bottom w:val="single" w:sz="4" w:space="0" w:color="auto"/>
              <w:right w:val="single" w:sz="4" w:space="0" w:color="auto"/>
            </w:tcBorders>
          </w:tcPr>
          <w:p w14:paraId="375EAF62" w14:textId="77777777" w:rsidR="00906898" w:rsidRPr="00263DB9" w:rsidRDefault="00906898" w:rsidP="00E51817">
            <w:pPr>
              <w:keepNext/>
              <w:keepLines/>
              <w:widowControl w:val="0"/>
              <w:suppressAutoHyphens/>
              <w:jc w:val="both"/>
              <w:rPr>
                <w:color w:val="000000"/>
                <w:szCs w:val="22"/>
              </w:rPr>
            </w:pPr>
            <w:r w:rsidRPr="00263DB9">
              <w:rPr>
                <w:color w:val="000000"/>
                <w:szCs w:val="22"/>
              </w:rPr>
              <w:t>ANC &lt; 1,0 x 10</w:t>
            </w:r>
            <w:r w:rsidRPr="00263DB9">
              <w:rPr>
                <w:color w:val="000000"/>
                <w:szCs w:val="22"/>
                <w:vertAlign w:val="superscript"/>
              </w:rPr>
              <w:t>9</w:t>
            </w:r>
            <w:r w:rsidRPr="00263DB9">
              <w:rPr>
                <w:color w:val="000000"/>
                <w:szCs w:val="22"/>
              </w:rPr>
              <w:t>/l</w:t>
            </w:r>
          </w:p>
          <w:p w14:paraId="375EAF63" w14:textId="77777777" w:rsidR="00906898" w:rsidRPr="00263DB9" w:rsidRDefault="00906898" w:rsidP="00E51817">
            <w:pPr>
              <w:keepNext/>
              <w:keepLines/>
              <w:widowControl w:val="0"/>
              <w:suppressAutoHyphens/>
              <w:jc w:val="both"/>
              <w:rPr>
                <w:color w:val="000000"/>
                <w:szCs w:val="22"/>
              </w:rPr>
            </w:pPr>
            <w:r w:rsidRPr="00263DB9">
              <w:rPr>
                <w:color w:val="000000"/>
                <w:szCs w:val="22"/>
              </w:rPr>
              <w:t>e/ou</w:t>
            </w:r>
          </w:p>
          <w:p w14:paraId="375EAF64" w14:textId="77777777" w:rsidR="00906898" w:rsidRPr="00263DB9" w:rsidRDefault="00906898" w:rsidP="00E51817">
            <w:pPr>
              <w:keepNext/>
              <w:keepLines/>
              <w:widowControl w:val="0"/>
              <w:suppressAutoHyphens/>
              <w:jc w:val="both"/>
              <w:rPr>
                <w:color w:val="000000"/>
                <w:szCs w:val="22"/>
                <w:vertAlign w:val="superscript"/>
              </w:rPr>
            </w:pPr>
            <w:r w:rsidRPr="00263DB9">
              <w:rPr>
                <w:color w:val="000000"/>
                <w:szCs w:val="22"/>
              </w:rPr>
              <w:t>plaquetas &lt; 50 x 10</w:t>
            </w:r>
            <w:r w:rsidRPr="00263DB9">
              <w:rPr>
                <w:color w:val="000000"/>
                <w:szCs w:val="22"/>
                <w:vertAlign w:val="superscript"/>
              </w:rPr>
              <w:t>9</w:t>
            </w:r>
            <w:r w:rsidRPr="00263DB9">
              <w:rPr>
                <w:color w:val="000000"/>
                <w:szCs w:val="22"/>
              </w:rPr>
              <w:t>/l</w:t>
            </w:r>
          </w:p>
        </w:tc>
        <w:tc>
          <w:tcPr>
            <w:tcW w:w="4490" w:type="dxa"/>
            <w:tcBorders>
              <w:top w:val="single" w:sz="4" w:space="0" w:color="auto"/>
              <w:left w:val="single" w:sz="4" w:space="0" w:color="auto"/>
              <w:bottom w:val="single" w:sz="4" w:space="0" w:color="auto"/>
              <w:right w:val="single" w:sz="4" w:space="0" w:color="auto"/>
            </w:tcBorders>
          </w:tcPr>
          <w:p w14:paraId="375EAF65" w14:textId="77777777" w:rsidR="00906898" w:rsidRPr="00263DB9" w:rsidRDefault="00906898" w:rsidP="00E51817">
            <w:pPr>
              <w:keepNext/>
              <w:keepLines/>
              <w:widowControl w:val="0"/>
              <w:suppressAutoHyphens/>
              <w:ind w:left="408" w:hanging="408"/>
              <w:rPr>
                <w:color w:val="000000"/>
                <w:szCs w:val="22"/>
              </w:rPr>
            </w:pPr>
            <w:r w:rsidRPr="00263DB9">
              <w:rPr>
                <w:color w:val="000000"/>
                <w:szCs w:val="22"/>
              </w:rPr>
              <w:t>1.</w:t>
            </w:r>
            <w:r w:rsidRPr="00263DB9">
              <w:rPr>
                <w:color w:val="000000"/>
                <w:szCs w:val="22"/>
              </w:rPr>
              <w:tab/>
              <w:t xml:space="preserve">Interromper Glivec até ANC </w:t>
            </w:r>
            <w:r w:rsidRPr="00263DB9">
              <w:rPr>
                <w:color w:val="000000"/>
                <w:szCs w:val="22"/>
              </w:rPr>
              <w:sym w:font="Symbol" w:char="F0B3"/>
            </w:r>
            <w:r w:rsidRPr="00263DB9">
              <w:rPr>
                <w:color w:val="000000"/>
                <w:szCs w:val="22"/>
              </w:rPr>
              <w:t xml:space="preserve"> 1,5 x 109/l e plaquetas </w:t>
            </w:r>
            <w:r w:rsidRPr="00263DB9">
              <w:rPr>
                <w:color w:val="000000"/>
                <w:szCs w:val="22"/>
              </w:rPr>
              <w:sym w:font="Symbol" w:char="F0B3"/>
            </w:r>
            <w:r w:rsidRPr="00263DB9">
              <w:rPr>
                <w:color w:val="000000"/>
                <w:szCs w:val="22"/>
              </w:rPr>
              <w:t> 75 x 10</w:t>
            </w:r>
            <w:r w:rsidRPr="00263DB9">
              <w:rPr>
                <w:color w:val="000000"/>
                <w:szCs w:val="22"/>
                <w:vertAlign w:val="superscript"/>
              </w:rPr>
              <w:t>9</w:t>
            </w:r>
            <w:r w:rsidRPr="00263DB9">
              <w:rPr>
                <w:color w:val="000000"/>
                <w:szCs w:val="22"/>
              </w:rPr>
              <w:t>/l.</w:t>
            </w:r>
          </w:p>
          <w:p w14:paraId="375EAF66" w14:textId="77777777" w:rsidR="00906898" w:rsidRPr="00263DB9" w:rsidRDefault="00906898" w:rsidP="00E51817">
            <w:pPr>
              <w:keepNext/>
              <w:keepLines/>
              <w:widowControl w:val="0"/>
              <w:suppressAutoHyphens/>
              <w:ind w:left="408" w:hanging="408"/>
              <w:rPr>
                <w:color w:val="000000"/>
                <w:szCs w:val="22"/>
              </w:rPr>
            </w:pPr>
            <w:r w:rsidRPr="00263DB9">
              <w:rPr>
                <w:color w:val="000000"/>
                <w:szCs w:val="22"/>
              </w:rPr>
              <w:t>2.</w:t>
            </w:r>
            <w:r w:rsidRPr="00263DB9">
              <w:rPr>
                <w:color w:val="000000"/>
                <w:szCs w:val="22"/>
              </w:rPr>
              <w:tab/>
              <w:t>Reiniciar o tratamento com Glivec com 600 mg.</w:t>
            </w:r>
          </w:p>
          <w:p w14:paraId="375EAF67" w14:textId="77777777" w:rsidR="00906898" w:rsidRPr="00263DB9" w:rsidRDefault="00906898" w:rsidP="00E51817">
            <w:pPr>
              <w:keepNext/>
              <w:keepLines/>
              <w:widowControl w:val="0"/>
              <w:suppressAutoHyphens/>
              <w:ind w:left="408" w:hanging="408"/>
              <w:rPr>
                <w:color w:val="000000"/>
                <w:szCs w:val="22"/>
              </w:rPr>
            </w:pPr>
            <w:r w:rsidRPr="00263DB9">
              <w:rPr>
                <w:color w:val="000000"/>
                <w:szCs w:val="22"/>
              </w:rPr>
              <w:t>3.</w:t>
            </w:r>
            <w:r w:rsidRPr="00263DB9">
              <w:rPr>
                <w:color w:val="000000"/>
                <w:szCs w:val="22"/>
              </w:rPr>
              <w:tab/>
              <w:t>No caso de recorrência de ANC &lt; 1,0 x 10</w:t>
            </w:r>
            <w:r w:rsidRPr="00263DB9">
              <w:rPr>
                <w:color w:val="000000"/>
                <w:szCs w:val="22"/>
                <w:vertAlign w:val="superscript"/>
              </w:rPr>
              <w:t>9</w:t>
            </w:r>
            <w:r w:rsidRPr="00263DB9">
              <w:rPr>
                <w:color w:val="000000"/>
                <w:szCs w:val="22"/>
              </w:rPr>
              <w:t>/l e/ou plaquetas &lt; 50 x 10</w:t>
            </w:r>
            <w:r w:rsidRPr="00263DB9">
              <w:rPr>
                <w:color w:val="000000"/>
                <w:szCs w:val="22"/>
                <w:vertAlign w:val="superscript"/>
              </w:rPr>
              <w:t>9</w:t>
            </w:r>
            <w:r w:rsidRPr="00263DB9">
              <w:rPr>
                <w:color w:val="000000"/>
                <w:szCs w:val="22"/>
              </w:rPr>
              <w:t>/l, repetir o passo 1 e reiniciar Glivec numa dose reduzida de 400 mg.</w:t>
            </w:r>
          </w:p>
        </w:tc>
      </w:tr>
      <w:tr w:rsidR="00906898" w:rsidRPr="00263DB9" w14:paraId="375EAF6B" w14:textId="77777777" w:rsidTr="00E51817">
        <w:trPr>
          <w:cantSplit/>
        </w:trPr>
        <w:tc>
          <w:tcPr>
            <w:tcW w:w="9276" w:type="dxa"/>
            <w:gridSpan w:val="3"/>
          </w:tcPr>
          <w:p w14:paraId="375EAF69" w14:textId="77777777" w:rsidR="00906898" w:rsidRPr="00263DB9" w:rsidRDefault="00906898" w:rsidP="00E51817">
            <w:pPr>
              <w:keepNext/>
              <w:keepLines/>
              <w:widowControl w:val="0"/>
              <w:suppressAutoHyphens/>
              <w:jc w:val="both"/>
              <w:rPr>
                <w:color w:val="000000"/>
                <w:szCs w:val="22"/>
              </w:rPr>
            </w:pPr>
            <w:r w:rsidRPr="00263DB9">
              <w:rPr>
                <w:color w:val="000000"/>
                <w:szCs w:val="22"/>
              </w:rPr>
              <w:t>ANC = Contagem absoluta de neutrófilos</w:t>
            </w:r>
          </w:p>
          <w:p w14:paraId="375EAF6A" w14:textId="77777777" w:rsidR="00906898" w:rsidRPr="00263DB9" w:rsidRDefault="00906898" w:rsidP="00E51817">
            <w:pPr>
              <w:keepNext/>
              <w:keepLines/>
              <w:widowControl w:val="0"/>
              <w:suppressAutoHyphens/>
              <w:jc w:val="both"/>
              <w:rPr>
                <w:color w:val="000000"/>
                <w:szCs w:val="22"/>
              </w:rPr>
            </w:pPr>
            <w:r w:rsidRPr="00263DB9">
              <w:rPr>
                <w:color w:val="000000"/>
                <w:szCs w:val="22"/>
                <w:vertAlign w:val="superscript"/>
              </w:rPr>
              <w:t>a</w:t>
            </w:r>
            <w:r w:rsidRPr="00263DB9">
              <w:rPr>
                <w:color w:val="000000"/>
                <w:szCs w:val="22"/>
              </w:rPr>
              <w:t xml:space="preserve"> ocorrendo após, pelo menos, 1 mês de tratamento</w:t>
            </w:r>
          </w:p>
        </w:tc>
      </w:tr>
    </w:tbl>
    <w:p w14:paraId="375EAF6C" w14:textId="77777777" w:rsidR="00906898" w:rsidRPr="00263DB9" w:rsidRDefault="00906898" w:rsidP="00E51817">
      <w:pPr>
        <w:widowControl w:val="0"/>
        <w:suppressAutoHyphens/>
        <w:rPr>
          <w:color w:val="000000"/>
          <w:szCs w:val="22"/>
        </w:rPr>
      </w:pPr>
    </w:p>
    <w:p w14:paraId="375EAF6D" w14:textId="77777777" w:rsidR="00906898" w:rsidRPr="00263DB9" w:rsidRDefault="00906898" w:rsidP="00E51817">
      <w:pPr>
        <w:keepNext/>
        <w:widowControl w:val="0"/>
        <w:suppressAutoHyphens/>
        <w:rPr>
          <w:color w:val="000000"/>
          <w:szCs w:val="22"/>
          <w:u w:val="single"/>
        </w:rPr>
      </w:pPr>
      <w:r w:rsidRPr="00263DB9">
        <w:rPr>
          <w:color w:val="000000"/>
          <w:szCs w:val="22"/>
          <w:u w:val="single"/>
        </w:rPr>
        <w:t>Populações especiais</w:t>
      </w:r>
    </w:p>
    <w:p w14:paraId="375EAF6E" w14:textId="77777777" w:rsidR="00906898" w:rsidRPr="00263DB9" w:rsidRDefault="00906898" w:rsidP="00E51817">
      <w:pPr>
        <w:widowControl w:val="0"/>
        <w:suppressAutoHyphens/>
        <w:rPr>
          <w:color w:val="000000"/>
          <w:szCs w:val="22"/>
        </w:rPr>
      </w:pPr>
      <w:r w:rsidRPr="00263DB9">
        <w:rPr>
          <w:i/>
          <w:color w:val="000000"/>
          <w:szCs w:val="22"/>
        </w:rPr>
        <w:t>Uso pediátrico:</w:t>
      </w:r>
      <w:r w:rsidRPr="00263DB9">
        <w:rPr>
          <w:color w:val="000000"/>
          <w:szCs w:val="22"/>
        </w:rPr>
        <w:t xml:space="preserve"> Não existe experiência em crianças com menos de 2 anos de idade com LMC </w:t>
      </w:r>
      <w:r w:rsidR="00624381" w:rsidRPr="00263DB9">
        <w:rPr>
          <w:color w:val="000000"/>
          <w:szCs w:val="22"/>
        </w:rPr>
        <w:t>e com LLA Ph+ com menos de 1</w:t>
      </w:r>
      <w:r w:rsidR="00AF074F" w:rsidRPr="00263DB9">
        <w:rPr>
          <w:color w:val="000000"/>
          <w:szCs w:val="22"/>
        </w:rPr>
        <w:t> </w:t>
      </w:r>
      <w:r w:rsidR="00624381" w:rsidRPr="00263DB9">
        <w:rPr>
          <w:color w:val="000000"/>
          <w:szCs w:val="22"/>
        </w:rPr>
        <w:t xml:space="preserve">ano de idade </w:t>
      </w:r>
      <w:r w:rsidRPr="00263DB9">
        <w:rPr>
          <w:color w:val="000000"/>
          <w:szCs w:val="22"/>
        </w:rPr>
        <w:t>(ver secção 5.1). A experiência é muito limitada em crianças com MDS/MPD</w:t>
      </w:r>
      <w:r w:rsidR="000E6735" w:rsidRPr="00263DB9">
        <w:rPr>
          <w:color w:val="000000"/>
          <w:szCs w:val="22"/>
        </w:rPr>
        <w:t>,</w:t>
      </w:r>
      <w:r w:rsidRPr="00263DB9">
        <w:rPr>
          <w:color w:val="000000"/>
          <w:szCs w:val="22"/>
        </w:rPr>
        <w:t xml:space="preserve"> DFSP</w:t>
      </w:r>
      <w:r w:rsidR="000E6735" w:rsidRPr="00263DB9">
        <w:rPr>
          <w:color w:val="000000"/>
          <w:szCs w:val="22"/>
        </w:rPr>
        <w:t>,</w:t>
      </w:r>
      <w:r w:rsidR="00A42B1F" w:rsidRPr="00263DB9">
        <w:rPr>
          <w:color w:val="000000"/>
          <w:szCs w:val="22"/>
        </w:rPr>
        <w:t xml:space="preserve"> </w:t>
      </w:r>
      <w:r w:rsidRPr="00263DB9">
        <w:rPr>
          <w:color w:val="000000"/>
          <w:szCs w:val="22"/>
        </w:rPr>
        <w:t>GIST e síndrome hipereosinofílica avançada/leucemia eosinofílica crónica.</w:t>
      </w:r>
    </w:p>
    <w:p w14:paraId="375EAF6F" w14:textId="77777777" w:rsidR="00906898" w:rsidRPr="00263DB9" w:rsidRDefault="00906898" w:rsidP="00E51817">
      <w:pPr>
        <w:widowControl w:val="0"/>
        <w:suppressAutoHyphens/>
        <w:rPr>
          <w:color w:val="000000"/>
          <w:szCs w:val="22"/>
        </w:rPr>
      </w:pPr>
    </w:p>
    <w:p w14:paraId="375EAF70" w14:textId="77777777" w:rsidR="000E6735" w:rsidRPr="00263DB9" w:rsidRDefault="000E6735" w:rsidP="00E51817">
      <w:pPr>
        <w:widowControl w:val="0"/>
        <w:suppressAutoHyphens/>
        <w:rPr>
          <w:color w:val="000000"/>
          <w:szCs w:val="22"/>
        </w:rPr>
      </w:pPr>
      <w:r w:rsidRPr="00263DB9">
        <w:rPr>
          <w:color w:val="000000"/>
          <w:szCs w:val="22"/>
        </w:rPr>
        <w:t xml:space="preserve">A segurança e eficácia de imatinib em crianças </w:t>
      </w:r>
      <w:r w:rsidR="00436BCB" w:rsidRPr="00263DB9">
        <w:rPr>
          <w:color w:val="000000"/>
          <w:szCs w:val="22"/>
        </w:rPr>
        <w:t xml:space="preserve">com menos de 18 anos de idade, </w:t>
      </w:r>
      <w:r w:rsidRPr="00263DB9">
        <w:rPr>
          <w:color w:val="000000"/>
          <w:szCs w:val="22"/>
        </w:rPr>
        <w:t xml:space="preserve">com MDS/MPD, DFSP,GIST e síndrome hipereosinofílica avançada/leucemia eosinofílica crónica não foi estabelecida em ensaios clínicos. </w:t>
      </w:r>
      <w:r w:rsidR="008B7FE6" w:rsidRPr="00263DB9">
        <w:rPr>
          <w:szCs w:val="24"/>
        </w:rPr>
        <w:t xml:space="preserve">Os dados publicados atualmente disponíveis encontram-se </w:t>
      </w:r>
      <w:r w:rsidRPr="00263DB9">
        <w:rPr>
          <w:color w:val="000000"/>
          <w:szCs w:val="22"/>
        </w:rPr>
        <w:t>resumid</w:t>
      </w:r>
      <w:r w:rsidR="008B7FE6" w:rsidRPr="00263DB9">
        <w:rPr>
          <w:color w:val="000000"/>
          <w:szCs w:val="22"/>
        </w:rPr>
        <w:t>os</w:t>
      </w:r>
      <w:r w:rsidRPr="00263DB9">
        <w:rPr>
          <w:color w:val="000000"/>
          <w:szCs w:val="22"/>
        </w:rPr>
        <w:t xml:space="preserve"> </w:t>
      </w:r>
      <w:r w:rsidR="00287B98" w:rsidRPr="00263DB9">
        <w:rPr>
          <w:color w:val="000000"/>
          <w:szCs w:val="22"/>
        </w:rPr>
        <w:t xml:space="preserve">na secção 5.1 </w:t>
      </w:r>
      <w:r w:rsidRPr="00263DB9">
        <w:rPr>
          <w:color w:val="000000"/>
          <w:szCs w:val="22"/>
        </w:rPr>
        <w:t xml:space="preserve">mas não pode ser feita qualquer recomendação </w:t>
      </w:r>
      <w:r w:rsidR="006F3422" w:rsidRPr="00263DB9">
        <w:rPr>
          <w:color w:val="000000"/>
          <w:szCs w:val="22"/>
        </w:rPr>
        <w:t>posológica</w:t>
      </w:r>
      <w:r w:rsidRPr="00263DB9">
        <w:rPr>
          <w:color w:val="000000"/>
          <w:szCs w:val="22"/>
        </w:rPr>
        <w:t>.</w:t>
      </w:r>
    </w:p>
    <w:p w14:paraId="375EAF71" w14:textId="77777777" w:rsidR="000E6735" w:rsidRPr="00263DB9" w:rsidRDefault="000E6735" w:rsidP="00E51817">
      <w:pPr>
        <w:widowControl w:val="0"/>
        <w:suppressAutoHyphens/>
        <w:rPr>
          <w:color w:val="000000"/>
          <w:szCs w:val="22"/>
        </w:rPr>
      </w:pPr>
    </w:p>
    <w:p w14:paraId="375EAF72" w14:textId="77777777" w:rsidR="00906898" w:rsidRPr="00263DB9" w:rsidRDefault="00906898" w:rsidP="00E51817">
      <w:pPr>
        <w:widowControl w:val="0"/>
        <w:suppressAutoHyphens/>
        <w:rPr>
          <w:color w:val="000000"/>
          <w:szCs w:val="22"/>
        </w:rPr>
      </w:pPr>
      <w:r w:rsidRPr="00263DB9">
        <w:rPr>
          <w:i/>
          <w:color w:val="000000"/>
          <w:szCs w:val="22"/>
        </w:rPr>
        <w:t>Insuficiência hepática:</w:t>
      </w:r>
      <w:r w:rsidRPr="00263DB9">
        <w:rPr>
          <w:color w:val="000000"/>
          <w:szCs w:val="22"/>
        </w:rPr>
        <w:t xml:space="preserve"> o imatinib é principalmente metabolizado por via hepática. Os doentes com disfunção hepática ligeira, moderada ou grave deverão ser tratados com a dose mínima recomendada de 400 mg por dia. A dose pode ser reduzida se não for tolerada (ver secções 4.4, 4.8 e 5.2).</w:t>
      </w:r>
    </w:p>
    <w:p w14:paraId="375EAF73" w14:textId="77777777" w:rsidR="00906898" w:rsidRPr="00263DB9" w:rsidRDefault="00906898" w:rsidP="00E51817">
      <w:pPr>
        <w:widowControl w:val="0"/>
        <w:suppressAutoHyphens/>
        <w:rPr>
          <w:color w:val="000000"/>
          <w:szCs w:val="22"/>
        </w:rPr>
      </w:pPr>
    </w:p>
    <w:p w14:paraId="375EAF74" w14:textId="77777777" w:rsidR="00906898" w:rsidRPr="00263DB9" w:rsidRDefault="00906898" w:rsidP="00E51817">
      <w:pPr>
        <w:keepNext/>
        <w:keepLines/>
        <w:widowControl w:val="0"/>
        <w:suppressAutoHyphens/>
        <w:rPr>
          <w:color w:val="000000"/>
          <w:szCs w:val="22"/>
        </w:rPr>
      </w:pPr>
      <w:r w:rsidRPr="00263DB9">
        <w:rPr>
          <w:color w:val="000000"/>
          <w:szCs w:val="22"/>
        </w:rPr>
        <w:lastRenderedPageBreak/>
        <w:t>Classificação da disfunção hepática:</w:t>
      </w:r>
    </w:p>
    <w:p w14:paraId="375EAF75" w14:textId="77777777" w:rsidR="00906898" w:rsidRPr="00263DB9" w:rsidRDefault="00906898" w:rsidP="00E51817">
      <w:pPr>
        <w:keepNext/>
        <w:keepLines/>
        <w:widowControl w:val="0"/>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440"/>
      </w:tblGrid>
      <w:tr w:rsidR="00906898" w:rsidRPr="00263DB9" w14:paraId="375EAF78" w14:textId="77777777" w:rsidTr="00E51817">
        <w:trPr>
          <w:cantSplit/>
        </w:trPr>
        <w:tc>
          <w:tcPr>
            <w:tcW w:w="2660" w:type="dxa"/>
          </w:tcPr>
          <w:p w14:paraId="375EAF76" w14:textId="77777777" w:rsidR="00906898" w:rsidRPr="00263DB9" w:rsidRDefault="00906898" w:rsidP="00E51817">
            <w:pPr>
              <w:keepNext/>
              <w:keepLines/>
              <w:widowControl w:val="0"/>
              <w:suppressAutoHyphens/>
              <w:rPr>
                <w:color w:val="000000"/>
                <w:szCs w:val="22"/>
              </w:rPr>
            </w:pPr>
            <w:r w:rsidRPr="00263DB9">
              <w:rPr>
                <w:color w:val="000000"/>
                <w:szCs w:val="22"/>
              </w:rPr>
              <w:t>Disfunção hepática</w:t>
            </w:r>
          </w:p>
        </w:tc>
        <w:tc>
          <w:tcPr>
            <w:tcW w:w="6616" w:type="dxa"/>
          </w:tcPr>
          <w:p w14:paraId="375EAF77" w14:textId="77777777" w:rsidR="00906898" w:rsidRPr="00263DB9" w:rsidRDefault="00906898" w:rsidP="00E51817">
            <w:pPr>
              <w:keepNext/>
              <w:keepLines/>
              <w:widowControl w:val="0"/>
              <w:suppressAutoHyphens/>
              <w:rPr>
                <w:color w:val="000000"/>
                <w:szCs w:val="22"/>
              </w:rPr>
            </w:pPr>
            <w:r w:rsidRPr="00263DB9">
              <w:rPr>
                <w:color w:val="000000"/>
                <w:szCs w:val="22"/>
              </w:rPr>
              <w:t>Testes da função hepática</w:t>
            </w:r>
          </w:p>
        </w:tc>
      </w:tr>
      <w:tr w:rsidR="00906898" w:rsidRPr="00263DB9" w14:paraId="375EAF7C" w14:textId="77777777" w:rsidTr="00E51817">
        <w:trPr>
          <w:cantSplit/>
        </w:trPr>
        <w:tc>
          <w:tcPr>
            <w:tcW w:w="2660" w:type="dxa"/>
          </w:tcPr>
          <w:p w14:paraId="375EAF79" w14:textId="77777777" w:rsidR="00906898" w:rsidRPr="00263DB9" w:rsidRDefault="00906898" w:rsidP="00E51817">
            <w:pPr>
              <w:keepNext/>
              <w:keepLines/>
              <w:widowControl w:val="0"/>
              <w:suppressAutoHyphens/>
              <w:rPr>
                <w:color w:val="000000"/>
                <w:szCs w:val="22"/>
              </w:rPr>
            </w:pPr>
            <w:r w:rsidRPr="00263DB9">
              <w:rPr>
                <w:color w:val="000000"/>
                <w:szCs w:val="22"/>
              </w:rPr>
              <w:t>Ligeira</w:t>
            </w:r>
          </w:p>
        </w:tc>
        <w:tc>
          <w:tcPr>
            <w:tcW w:w="6616" w:type="dxa"/>
          </w:tcPr>
          <w:p w14:paraId="375EAF7A" w14:textId="77777777" w:rsidR="00906898" w:rsidRPr="00263DB9" w:rsidRDefault="00906898" w:rsidP="00E51817">
            <w:pPr>
              <w:keepNext/>
              <w:keepLines/>
              <w:widowControl w:val="0"/>
              <w:suppressAutoHyphens/>
              <w:rPr>
                <w:color w:val="000000"/>
                <w:szCs w:val="22"/>
              </w:rPr>
            </w:pPr>
            <w:r w:rsidRPr="00263DB9">
              <w:rPr>
                <w:color w:val="000000"/>
                <w:szCs w:val="22"/>
              </w:rPr>
              <w:t>Bilirrubina total = 1,5 ULN</w:t>
            </w:r>
          </w:p>
          <w:p w14:paraId="375EAF7B" w14:textId="77777777" w:rsidR="00906898" w:rsidRPr="00263DB9" w:rsidRDefault="00906898" w:rsidP="00E51817">
            <w:pPr>
              <w:keepNext/>
              <w:keepLines/>
              <w:widowControl w:val="0"/>
              <w:suppressAutoHyphens/>
              <w:rPr>
                <w:color w:val="000000"/>
                <w:szCs w:val="22"/>
              </w:rPr>
            </w:pPr>
            <w:r w:rsidRPr="00263DB9">
              <w:rPr>
                <w:color w:val="000000"/>
                <w:szCs w:val="22"/>
              </w:rPr>
              <w:t>AST: &gt; ULN (pode ser normal ou &lt; ULN se a bilirrubina total for &gt; ULN)</w:t>
            </w:r>
          </w:p>
        </w:tc>
      </w:tr>
      <w:tr w:rsidR="00906898" w:rsidRPr="00263DB9" w14:paraId="375EAF80" w14:textId="77777777" w:rsidTr="00E51817">
        <w:trPr>
          <w:cantSplit/>
        </w:trPr>
        <w:tc>
          <w:tcPr>
            <w:tcW w:w="2660" w:type="dxa"/>
          </w:tcPr>
          <w:p w14:paraId="375EAF7D" w14:textId="77777777" w:rsidR="00906898" w:rsidRPr="00263DB9" w:rsidRDefault="00906898" w:rsidP="00E51817">
            <w:pPr>
              <w:keepNext/>
              <w:keepLines/>
              <w:widowControl w:val="0"/>
              <w:suppressAutoHyphens/>
              <w:rPr>
                <w:color w:val="000000"/>
                <w:szCs w:val="22"/>
              </w:rPr>
            </w:pPr>
            <w:r w:rsidRPr="00263DB9">
              <w:rPr>
                <w:color w:val="000000"/>
                <w:szCs w:val="22"/>
              </w:rPr>
              <w:t>Moderada</w:t>
            </w:r>
          </w:p>
        </w:tc>
        <w:tc>
          <w:tcPr>
            <w:tcW w:w="6616" w:type="dxa"/>
          </w:tcPr>
          <w:p w14:paraId="375EAF7E" w14:textId="77777777" w:rsidR="00906898" w:rsidRPr="00263DB9" w:rsidRDefault="00906898" w:rsidP="00E51817">
            <w:pPr>
              <w:keepNext/>
              <w:keepLines/>
              <w:widowControl w:val="0"/>
              <w:suppressAutoHyphens/>
              <w:rPr>
                <w:color w:val="000000"/>
                <w:szCs w:val="22"/>
              </w:rPr>
            </w:pPr>
            <w:r w:rsidRPr="00263DB9">
              <w:rPr>
                <w:color w:val="000000"/>
                <w:szCs w:val="22"/>
              </w:rPr>
              <w:t>Bilirrubina total: &gt; 1,5–3,0 ULN</w:t>
            </w:r>
          </w:p>
          <w:p w14:paraId="375EAF7F" w14:textId="77777777" w:rsidR="00906898" w:rsidRPr="00263DB9" w:rsidRDefault="00906898" w:rsidP="00E51817">
            <w:pPr>
              <w:keepNext/>
              <w:keepLines/>
              <w:widowControl w:val="0"/>
              <w:suppressAutoHyphens/>
              <w:rPr>
                <w:color w:val="000000"/>
                <w:szCs w:val="22"/>
              </w:rPr>
            </w:pPr>
            <w:r w:rsidRPr="00263DB9">
              <w:rPr>
                <w:color w:val="000000"/>
                <w:szCs w:val="22"/>
              </w:rPr>
              <w:t>AST: qualquer valor</w:t>
            </w:r>
          </w:p>
        </w:tc>
      </w:tr>
      <w:tr w:rsidR="00906898" w:rsidRPr="00263DB9" w14:paraId="375EAF84" w14:textId="77777777" w:rsidTr="00E51817">
        <w:trPr>
          <w:cantSplit/>
        </w:trPr>
        <w:tc>
          <w:tcPr>
            <w:tcW w:w="2660" w:type="dxa"/>
          </w:tcPr>
          <w:p w14:paraId="375EAF81" w14:textId="77777777" w:rsidR="00906898" w:rsidRPr="00263DB9" w:rsidRDefault="00906898" w:rsidP="00E51817">
            <w:pPr>
              <w:keepNext/>
              <w:keepLines/>
              <w:widowControl w:val="0"/>
              <w:suppressAutoHyphens/>
              <w:rPr>
                <w:color w:val="000000"/>
                <w:szCs w:val="22"/>
              </w:rPr>
            </w:pPr>
            <w:r w:rsidRPr="00263DB9">
              <w:rPr>
                <w:color w:val="000000"/>
                <w:szCs w:val="22"/>
              </w:rPr>
              <w:t>Grave</w:t>
            </w:r>
          </w:p>
        </w:tc>
        <w:tc>
          <w:tcPr>
            <w:tcW w:w="6616" w:type="dxa"/>
          </w:tcPr>
          <w:p w14:paraId="375EAF82" w14:textId="77777777" w:rsidR="00906898" w:rsidRPr="00263DB9" w:rsidRDefault="00906898" w:rsidP="00E51817">
            <w:pPr>
              <w:keepNext/>
              <w:keepLines/>
              <w:widowControl w:val="0"/>
              <w:suppressAutoHyphens/>
              <w:rPr>
                <w:color w:val="000000"/>
                <w:szCs w:val="22"/>
              </w:rPr>
            </w:pPr>
            <w:r w:rsidRPr="00263DB9">
              <w:rPr>
                <w:color w:val="000000"/>
                <w:szCs w:val="22"/>
              </w:rPr>
              <w:t>Bilirrubina total: &gt; 3–10 ULN</w:t>
            </w:r>
          </w:p>
          <w:p w14:paraId="375EAF83" w14:textId="77777777" w:rsidR="00906898" w:rsidRPr="00263DB9" w:rsidRDefault="00906898" w:rsidP="00E51817">
            <w:pPr>
              <w:keepNext/>
              <w:keepLines/>
              <w:widowControl w:val="0"/>
              <w:suppressAutoHyphens/>
              <w:rPr>
                <w:color w:val="000000"/>
                <w:szCs w:val="22"/>
              </w:rPr>
            </w:pPr>
            <w:r w:rsidRPr="00263DB9">
              <w:rPr>
                <w:color w:val="000000"/>
                <w:szCs w:val="22"/>
              </w:rPr>
              <w:t>AST: qualquer valor</w:t>
            </w:r>
          </w:p>
        </w:tc>
      </w:tr>
    </w:tbl>
    <w:p w14:paraId="375EAF85" w14:textId="77777777" w:rsidR="00906898" w:rsidRPr="00263DB9" w:rsidRDefault="00906898" w:rsidP="00E51817">
      <w:pPr>
        <w:keepNext/>
        <w:keepLines/>
        <w:widowControl w:val="0"/>
        <w:suppressAutoHyphens/>
        <w:rPr>
          <w:color w:val="000000"/>
          <w:szCs w:val="22"/>
        </w:rPr>
      </w:pPr>
      <w:r w:rsidRPr="00263DB9">
        <w:rPr>
          <w:color w:val="000000"/>
          <w:szCs w:val="22"/>
        </w:rPr>
        <w:t>ULN = limite superior do intervalo padrão</w:t>
      </w:r>
    </w:p>
    <w:p w14:paraId="375EAF86" w14:textId="77777777" w:rsidR="00906898" w:rsidRPr="00263DB9" w:rsidRDefault="00906898" w:rsidP="00E51817">
      <w:pPr>
        <w:keepNext/>
        <w:keepLines/>
        <w:widowControl w:val="0"/>
        <w:suppressAutoHyphens/>
        <w:rPr>
          <w:color w:val="000000"/>
          <w:szCs w:val="22"/>
        </w:rPr>
      </w:pPr>
      <w:r w:rsidRPr="00263DB9">
        <w:rPr>
          <w:color w:val="000000"/>
          <w:szCs w:val="22"/>
        </w:rPr>
        <w:t>AST = aspartato aminotransferase</w:t>
      </w:r>
    </w:p>
    <w:p w14:paraId="375EAF87" w14:textId="77777777" w:rsidR="00906898" w:rsidRPr="00263DB9" w:rsidRDefault="00906898" w:rsidP="00E51817">
      <w:pPr>
        <w:widowControl w:val="0"/>
        <w:suppressAutoHyphens/>
        <w:rPr>
          <w:color w:val="000000"/>
          <w:szCs w:val="22"/>
        </w:rPr>
      </w:pPr>
    </w:p>
    <w:p w14:paraId="375EAF88" w14:textId="77777777" w:rsidR="00906898" w:rsidRPr="00263DB9" w:rsidRDefault="00906898" w:rsidP="00E51817">
      <w:pPr>
        <w:widowControl w:val="0"/>
        <w:suppressAutoHyphens/>
        <w:rPr>
          <w:color w:val="000000"/>
          <w:szCs w:val="22"/>
        </w:rPr>
      </w:pPr>
      <w:r w:rsidRPr="00263DB9">
        <w:rPr>
          <w:i/>
          <w:color w:val="000000"/>
          <w:szCs w:val="22"/>
        </w:rPr>
        <w:t>Insuficiência renal:</w:t>
      </w:r>
      <w:r w:rsidRPr="00263DB9">
        <w:rPr>
          <w:color w:val="000000"/>
          <w:szCs w:val="22"/>
        </w:rPr>
        <w:t xml:space="preserve"> Recomenda-se a administração da dose mínima de 400</w:t>
      </w:r>
      <w:r w:rsidRPr="00263DB9">
        <w:rPr>
          <w:rFonts w:eastAsia="SimSun"/>
          <w:color w:val="000000"/>
          <w:szCs w:val="22"/>
          <w:lang w:eastAsia="zh-CN"/>
        </w:rPr>
        <w:t> </w:t>
      </w:r>
      <w:r w:rsidRPr="00263DB9">
        <w:rPr>
          <w:color w:val="000000"/>
          <w:szCs w:val="22"/>
        </w:rPr>
        <w:t>mg por dia como dose inicial em doentes com disfunção renal ou em diálise. No entanto, recomenda-se precaução nestes doentes. A dose pode ser reduzida se não for tolerada. Se for tolerada, a dose pode ser aumentada em caso de falta de eficácia (ver secções 4.4 e 5.2).</w:t>
      </w:r>
    </w:p>
    <w:p w14:paraId="375EAF89" w14:textId="77777777" w:rsidR="00906898" w:rsidRPr="00263DB9" w:rsidRDefault="00906898" w:rsidP="00E51817">
      <w:pPr>
        <w:widowControl w:val="0"/>
        <w:suppressAutoHyphens/>
        <w:rPr>
          <w:color w:val="000000"/>
          <w:szCs w:val="22"/>
        </w:rPr>
      </w:pPr>
    </w:p>
    <w:p w14:paraId="375EAF8A" w14:textId="77777777" w:rsidR="00906898" w:rsidRPr="00263DB9" w:rsidRDefault="00832DBD" w:rsidP="00E51817">
      <w:pPr>
        <w:widowControl w:val="0"/>
        <w:suppressAutoHyphens/>
        <w:rPr>
          <w:color w:val="000000"/>
          <w:szCs w:val="22"/>
        </w:rPr>
      </w:pPr>
      <w:r w:rsidRPr="00263DB9">
        <w:rPr>
          <w:i/>
          <w:color w:val="000000"/>
          <w:szCs w:val="22"/>
        </w:rPr>
        <w:t>Pessoas</w:t>
      </w:r>
      <w:r w:rsidR="00906898" w:rsidRPr="00263DB9">
        <w:rPr>
          <w:i/>
          <w:color w:val="000000"/>
          <w:szCs w:val="22"/>
        </w:rPr>
        <w:t xml:space="preserve"> idos</w:t>
      </w:r>
      <w:r w:rsidRPr="00263DB9">
        <w:rPr>
          <w:i/>
          <w:color w:val="000000"/>
          <w:szCs w:val="22"/>
        </w:rPr>
        <w:t>a</w:t>
      </w:r>
      <w:r w:rsidR="00906898" w:rsidRPr="00263DB9">
        <w:rPr>
          <w:i/>
          <w:color w:val="000000"/>
          <w:szCs w:val="22"/>
        </w:rPr>
        <w:t>s:</w:t>
      </w:r>
      <w:r w:rsidR="00906898" w:rsidRPr="00263DB9">
        <w:rPr>
          <w:color w:val="000000"/>
          <w:szCs w:val="22"/>
        </w:rPr>
        <w:t xml:space="preserve"> a farmacocinética do imatinib não foi especificamente estudada em </w:t>
      </w:r>
      <w:r w:rsidRPr="00263DB9">
        <w:rPr>
          <w:color w:val="000000"/>
          <w:szCs w:val="22"/>
        </w:rPr>
        <w:t xml:space="preserve">pessoas </w:t>
      </w:r>
      <w:r w:rsidR="00906898" w:rsidRPr="00263DB9">
        <w:rPr>
          <w:color w:val="000000"/>
          <w:szCs w:val="22"/>
        </w:rPr>
        <w:t>idos</w:t>
      </w:r>
      <w:r w:rsidRPr="00263DB9">
        <w:rPr>
          <w:color w:val="000000"/>
          <w:szCs w:val="22"/>
        </w:rPr>
        <w:t>a</w:t>
      </w:r>
      <w:r w:rsidR="00906898" w:rsidRPr="00263DB9">
        <w:rPr>
          <w:color w:val="000000"/>
          <w:szCs w:val="22"/>
        </w:rPr>
        <w:t xml:space="preserve">s. Nos ensaios clínicos em doentes adultos, nos quais mais de 20% dos doentes incluídos tinham idade igual ou superior a 65 anos, não foram observadas diferenças farmacocinéticas relevantes relacionadas com a idade. Não são necessárias recomendações posológicas específicas em </w:t>
      </w:r>
      <w:r w:rsidRPr="00263DB9">
        <w:rPr>
          <w:color w:val="000000"/>
          <w:szCs w:val="22"/>
        </w:rPr>
        <w:t xml:space="preserve">pessoas </w:t>
      </w:r>
      <w:r w:rsidR="00906898" w:rsidRPr="00263DB9">
        <w:rPr>
          <w:color w:val="000000"/>
          <w:szCs w:val="22"/>
        </w:rPr>
        <w:t>idos</w:t>
      </w:r>
      <w:r w:rsidRPr="00263DB9">
        <w:rPr>
          <w:color w:val="000000"/>
          <w:szCs w:val="22"/>
        </w:rPr>
        <w:t>a</w:t>
      </w:r>
      <w:r w:rsidR="00906898" w:rsidRPr="00263DB9">
        <w:rPr>
          <w:color w:val="000000"/>
          <w:szCs w:val="22"/>
        </w:rPr>
        <w:t>s.</w:t>
      </w:r>
    </w:p>
    <w:p w14:paraId="375EAF8B" w14:textId="77777777" w:rsidR="00906898" w:rsidRPr="00263DB9" w:rsidRDefault="00906898" w:rsidP="00E51817">
      <w:pPr>
        <w:widowControl w:val="0"/>
        <w:suppressAutoHyphens/>
        <w:rPr>
          <w:color w:val="000000"/>
          <w:szCs w:val="22"/>
        </w:rPr>
      </w:pPr>
    </w:p>
    <w:p w14:paraId="375EAF8C" w14:textId="77777777" w:rsidR="00906898" w:rsidRPr="00263DB9" w:rsidRDefault="00906898" w:rsidP="00E51817">
      <w:pPr>
        <w:keepNext/>
        <w:widowControl w:val="0"/>
        <w:suppressAutoHyphens/>
        <w:ind w:left="567" w:hanging="567"/>
        <w:rPr>
          <w:color w:val="000000"/>
          <w:szCs w:val="22"/>
        </w:rPr>
      </w:pPr>
      <w:r w:rsidRPr="00263DB9">
        <w:rPr>
          <w:b/>
          <w:color w:val="000000"/>
          <w:szCs w:val="22"/>
        </w:rPr>
        <w:t>4.3</w:t>
      </w:r>
      <w:r w:rsidRPr="00263DB9">
        <w:rPr>
          <w:b/>
          <w:color w:val="000000"/>
          <w:szCs w:val="22"/>
        </w:rPr>
        <w:tab/>
        <w:t>Contraindicações</w:t>
      </w:r>
    </w:p>
    <w:p w14:paraId="375EAF8D" w14:textId="77777777" w:rsidR="00906898" w:rsidRPr="00263DB9" w:rsidRDefault="00906898" w:rsidP="00E51817">
      <w:pPr>
        <w:pStyle w:val="EndnoteText"/>
        <w:keepNext/>
        <w:tabs>
          <w:tab w:val="clear" w:pos="567"/>
        </w:tabs>
        <w:suppressAutoHyphens/>
        <w:rPr>
          <w:color w:val="000000"/>
          <w:szCs w:val="22"/>
        </w:rPr>
      </w:pPr>
    </w:p>
    <w:p w14:paraId="375EAF8E" w14:textId="77777777" w:rsidR="00906898" w:rsidRPr="00263DB9" w:rsidRDefault="00906898" w:rsidP="00E51817">
      <w:pPr>
        <w:widowControl w:val="0"/>
        <w:suppressAutoHyphens/>
        <w:rPr>
          <w:color w:val="000000"/>
          <w:szCs w:val="22"/>
        </w:rPr>
      </w:pPr>
      <w:r w:rsidRPr="00263DB9">
        <w:rPr>
          <w:color w:val="000000"/>
          <w:szCs w:val="22"/>
        </w:rPr>
        <w:t xml:space="preserve">Hipersensibilidade à substância ativa ou a qualquer um dos excipientes </w:t>
      </w:r>
      <w:r w:rsidRPr="00263DB9">
        <w:rPr>
          <w:szCs w:val="24"/>
        </w:rPr>
        <w:t>mencionados na secção 6.1</w:t>
      </w:r>
      <w:r w:rsidRPr="00263DB9">
        <w:rPr>
          <w:color w:val="000000"/>
          <w:szCs w:val="22"/>
        </w:rPr>
        <w:t>.</w:t>
      </w:r>
    </w:p>
    <w:p w14:paraId="375EAF8F" w14:textId="77777777" w:rsidR="00906898" w:rsidRPr="00263DB9" w:rsidRDefault="00906898" w:rsidP="00E51817">
      <w:pPr>
        <w:widowControl w:val="0"/>
        <w:suppressAutoHyphens/>
        <w:rPr>
          <w:color w:val="000000"/>
          <w:szCs w:val="22"/>
        </w:rPr>
      </w:pPr>
    </w:p>
    <w:p w14:paraId="375EAF90" w14:textId="77777777" w:rsidR="00906898" w:rsidRPr="00263DB9" w:rsidRDefault="00906898" w:rsidP="00E51817">
      <w:pPr>
        <w:keepNext/>
        <w:widowControl w:val="0"/>
        <w:suppressAutoHyphens/>
        <w:ind w:left="567" w:hanging="567"/>
        <w:rPr>
          <w:color w:val="000000"/>
          <w:szCs w:val="22"/>
        </w:rPr>
      </w:pPr>
      <w:r w:rsidRPr="00263DB9">
        <w:rPr>
          <w:b/>
          <w:color w:val="000000"/>
          <w:szCs w:val="22"/>
        </w:rPr>
        <w:t>4.4</w:t>
      </w:r>
      <w:r w:rsidRPr="00263DB9">
        <w:rPr>
          <w:b/>
          <w:color w:val="000000"/>
          <w:szCs w:val="22"/>
        </w:rPr>
        <w:tab/>
        <w:t>Advertências e precauções especiais de utilização</w:t>
      </w:r>
    </w:p>
    <w:p w14:paraId="375EAF91" w14:textId="77777777" w:rsidR="00906898" w:rsidRPr="00263DB9" w:rsidRDefault="00906898" w:rsidP="00E51817">
      <w:pPr>
        <w:keepNext/>
        <w:widowControl w:val="0"/>
        <w:suppressAutoHyphens/>
        <w:rPr>
          <w:color w:val="000000"/>
          <w:szCs w:val="22"/>
        </w:rPr>
      </w:pPr>
    </w:p>
    <w:p w14:paraId="375EAF92" w14:textId="77777777" w:rsidR="00906898" w:rsidRPr="00263DB9" w:rsidRDefault="00906898" w:rsidP="00E51817">
      <w:pPr>
        <w:widowControl w:val="0"/>
        <w:suppressAutoHyphens/>
        <w:rPr>
          <w:color w:val="000000"/>
          <w:szCs w:val="22"/>
        </w:rPr>
      </w:pPr>
      <w:r w:rsidRPr="00263DB9">
        <w:rPr>
          <w:color w:val="000000"/>
          <w:szCs w:val="22"/>
        </w:rPr>
        <w:t xml:space="preserve">Quando Glivec for administrado concomitantemente com outros medicamentos, há potencial para interações medicamentosas. Recomenda-se precaução quando se toma Glivec com </w:t>
      </w:r>
      <w:r w:rsidR="00817EAD" w:rsidRPr="00263DB9">
        <w:rPr>
          <w:color w:val="000000"/>
          <w:szCs w:val="22"/>
        </w:rPr>
        <w:t>inibidores da protease, antifúngicos azois, alguns macrólidos (ver secção 4.5)</w:t>
      </w:r>
      <w:r w:rsidRPr="00263DB9">
        <w:rPr>
          <w:color w:val="000000"/>
          <w:szCs w:val="22"/>
        </w:rPr>
        <w:t>, substratos da CYP3A4 com uma janela terapêutica estreita (por exemplo, ciclosporina</w:t>
      </w:r>
      <w:r w:rsidR="00817EAD" w:rsidRPr="00263DB9">
        <w:rPr>
          <w:color w:val="000000"/>
          <w:szCs w:val="22"/>
        </w:rPr>
        <w:t>,</w:t>
      </w:r>
      <w:r w:rsidRPr="00263DB9">
        <w:rPr>
          <w:color w:val="000000"/>
          <w:szCs w:val="22"/>
        </w:rPr>
        <w:t xml:space="preserve"> pimozida</w:t>
      </w:r>
      <w:r w:rsidR="00817EAD" w:rsidRPr="00263DB9">
        <w:rPr>
          <w:color w:val="000000"/>
          <w:szCs w:val="22"/>
        </w:rPr>
        <w:t>, tacr</w:t>
      </w:r>
      <w:r w:rsidR="006F1974" w:rsidRPr="00263DB9">
        <w:rPr>
          <w:color w:val="000000"/>
          <w:szCs w:val="22"/>
        </w:rPr>
        <w:t>olí</w:t>
      </w:r>
      <w:r w:rsidR="00817EAD" w:rsidRPr="00263DB9">
        <w:rPr>
          <w:color w:val="000000"/>
          <w:szCs w:val="22"/>
        </w:rPr>
        <w:t>mus, sir</w:t>
      </w:r>
      <w:r w:rsidR="006F1974" w:rsidRPr="00263DB9">
        <w:rPr>
          <w:color w:val="000000"/>
          <w:szCs w:val="22"/>
        </w:rPr>
        <w:t>olí</w:t>
      </w:r>
      <w:r w:rsidR="00817EAD" w:rsidRPr="00263DB9">
        <w:rPr>
          <w:color w:val="000000"/>
          <w:szCs w:val="22"/>
        </w:rPr>
        <w:t>mus, diergotamina, fentanil, alfenta</w:t>
      </w:r>
      <w:r w:rsidR="00077F90" w:rsidRPr="00263DB9">
        <w:rPr>
          <w:color w:val="000000"/>
          <w:szCs w:val="22"/>
        </w:rPr>
        <w:t>nil, terfenadina, bortezomib, do</w:t>
      </w:r>
      <w:r w:rsidR="00817EAD" w:rsidRPr="00263DB9">
        <w:rPr>
          <w:color w:val="000000"/>
          <w:szCs w:val="22"/>
        </w:rPr>
        <w:t>cetaxel, quinidina</w:t>
      </w:r>
      <w:r w:rsidRPr="00263DB9">
        <w:rPr>
          <w:color w:val="000000"/>
          <w:szCs w:val="22"/>
        </w:rPr>
        <w:t>) ou varfarina e outros derivados cumarínicos (ver secção 4.5).</w:t>
      </w:r>
    </w:p>
    <w:p w14:paraId="375EAF93" w14:textId="77777777" w:rsidR="00906898" w:rsidRPr="00263DB9" w:rsidRDefault="00906898" w:rsidP="00E51817">
      <w:pPr>
        <w:widowControl w:val="0"/>
        <w:suppressAutoHyphens/>
        <w:rPr>
          <w:color w:val="000000"/>
          <w:szCs w:val="22"/>
        </w:rPr>
      </w:pPr>
    </w:p>
    <w:p w14:paraId="375EAF94" w14:textId="77777777" w:rsidR="00906898" w:rsidRPr="00263DB9" w:rsidRDefault="00906898" w:rsidP="00E51817">
      <w:pPr>
        <w:widowControl w:val="0"/>
        <w:suppressAutoHyphens/>
        <w:rPr>
          <w:color w:val="000000"/>
          <w:szCs w:val="22"/>
        </w:rPr>
      </w:pPr>
      <w:r w:rsidRPr="00263DB9">
        <w:rPr>
          <w:color w:val="000000"/>
          <w:szCs w:val="22"/>
        </w:rPr>
        <w:t xml:space="preserve">A utilização concomitante de imatinib e produtos medicamentosos indutores da CYP3A4 (por ex. dexametasona, fenitoína, carbamazepina, rifampicina, fenobarbital ou </w:t>
      </w:r>
      <w:r w:rsidRPr="00263DB9">
        <w:rPr>
          <w:i/>
          <w:color w:val="000000"/>
          <w:szCs w:val="22"/>
        </w:rPr>
        <w:t>Hypericum perforatum</w:t>
      </w:r>
      <w:r w:rsidRPr="00263DB9">
        <w:rPr>
          <w:color w:val="000000"/>
          <w:szCs w:val="22"/>
        </w:rPr>
        <w:t>, também conhecido por hipericão) poderá reduzir significativamente a exposição a Glivec, aumentando potencialmente o risco de falência terapêutica. Portanto, deverá evitar-se a utilização concomitante de fortes indutores da CYP3A4 e imatinib (ver secção 4.5).</w:t>
      </w:r>
    </w:p>
    <w:p w14:paraId="375EAF95" w14:textId="77777777" w:rsidR="00906898" w:rsidRPr="00263DB9" w:rsidRDefault="00906898" w:rsidP="00E51817">
      <w:pPr>
        <w:widowControl w:val="0"/>
        <w:suppressAutoHyphens/>
        <w:rPr>
          <w:color w:val="000000"/>
          <w:szCs w:val="22"/>
        </w:rPr>
      </w:pPr>
    </w:p>
    <w:p w14:paraId="375EAF96" w14:textId="77777777" w:rsidR="00906898" w:rsidRPr="00263DB9" w:rsidRDefault="00906898" w:rsidP="00E51817">
      <w:pPr>
        <w:keepNext/>
        <w:widowControl w:val="0"/>
        <w:suppressAutoHyphens/>
        <w:rPr>
          <w:color w:val="000000"/>
          <w:szCs w:val="22"/>
          <w:u w:val="single"/>
        </w:rPr>
      </w:pPr>
      <w:r w:rsidRPr="00263DB9">
        <w:rPr>
          <w:color w:val="000000"/>
          <w:szCs w:val="22"/>
          <w:u w:val="single"/>
        </w:rPr>
        <w:t>Hipotiroidismo</w:t>
      </w:r>
    </w:p>
    <w:p w14:paraId="375EAF97" w14:textId="77777777" w:rsidR="00906898" w:rsidRPr="00263DB9" w:rsidRDefault="00906898" w:rsidP="00E51817">
      <w:pPr>
        <w:widowControl w:val="0"/>
        <w:suppressAutoHyphens/>
        <w:rPr>
          <w:color w:val="000000"/>
          <w:szCs w:val="22"/>
        </w:rPr>
      </w:pPr>
      <w:r w:rsidRPr="00263DB9">
        <w:rPr>
          <w:color w:val="000000"/>
          <w:szCs w:val="22"/>
        </w:rPr>
        <w:t xml:space="preserve">Durante o tratamento com Glivec, foram notificados casos de hipotiroidismo em doentes que sofreram tiroidectomia a fazer substituição com levotiroxina (ver secção 4.5). Os níveis da </w:t>
      </w:r>
      <w:r w:rsidRPr="00263DB9">
        <w:rPr>
          <w:szCs w:val="22"/>
        </w:rPr>
        <w:t>hormona estimulante da tiroide</w:t>
      </w:r>
      <w:r w:rsidRPr="00263DB9">
        <w:rPr>
          <w:color w:val="000000"/>
          <w:szCs w:val="22"/>
        </w:rPr>
        <w:t xml:space="preserve"> (TSH) devem ser cuidadosamente monitorizados nestes doentes.</w:t>
      </w:r>
    </w:p>
    <w:p w14:paraId="375EAF98" w14:textId="77777777" w:rsidR="00906898" w:rsidRPr="00263DB9" w:rsidRDefault="00906898" w:rsidP="00E51817">
      <w:pPr>
        <w:widowControl w:val="0"/>
        <w:suppressAutoHyphens/>
        <w:rPr>
          <w:color w:val="000000"/>
          <w:szCs w:val="22"/>
        </w:rPr>
      </w:pPr>
    </w:p>
    <w:p w14:paraId="375EAF99" w14:textId="77777777" w:rsidR="00906898" w:rsidRPr="00263DB9" w:rsidRDefault="00906898" w:rsidP="00E51817">
      <w:pPr>
        <w:keepNext/>
        <w:widowControl w:val="0"/>
        <w:suppressAutoHyphens/>
        <w:rPr>
          <w:color w:val="000000"/>
          <w:szCs w:val="22"/>
          <w:u w:val="single"/>
        </w:rPr>
      </w:pPr>
      <w:r w:rsidRPr="00263DB9">
        <w:rPr>
          <w:color w:val="000000"/>
          <w:szCs w:val="22"/>
          <w:u w:val="single"/>
        </w:rPr>
        <w:t>Hepatoxicidade</w:t>
      </w:r>
    </w:p>
    <w:p w14:paraId="375EAF9A" w14:textId="77777777" w:rsidR="00906898" w:rsidRPr="00263DB9" w:rsidRDefault="00906898" w:rsidP="00E51817">
      <w:pPr>
        <w:widowControl w:val="0"/>
        <w:suppressAutoHyphens/>
        <w:rPr>
          <w:color w:val="000000"/>
          <w:szCs w:val="22"/>
        </w:rPr>
      </w:pPr>
      <w:r w:rsidRPr="00263DB9">
        <w:rPr>
          <w:color w:val="000000"/>
          <w:szCs w:val="22"/>
        </w:rPr>
        <w:t>Glivec é metabolizado principalmente por via hepática, sendo apenas 13% excretados pelo rim. Em doentes com disfunção hepática (ligeira, moderada ou grave), recomenda-se monitorização cuidadosa da contagem sanguínea e das enzimas hepáticas (ver secções 4.2, 4.8 e 5.2). De salientar que os doentes com GIST podem ter metástases hepáticas que poderão conduzir a compromisso hepático.</w:t>
      </w:r>
    </w:p>
    <w:p w14:paraId="375EAF9B" w14:textId="77777777" w:rsidR="00906898" w:rsidRPr="00263DB9" w:rsidRDefault="00906898" w:rsidP="00E51817">
      <w:pPr>
        <w:widowControl w:val="0"/>
        <w:suppressAutoHyphens/>
        <w:rPr>
          <w:color w:val="000000"/>
          <w:szCs w:val="22"/>
        </w:rPr>
      </w:pPr>
    </w:p>
    <w:p w14:paraId="375EAF9C" w14:textId="77777777" w:rsidR="00906898" w:rsidRPr="00263DB9" w:rsidRDefault="00906898" w:rsidP="00E51817">
      <w:pPr>
        <w:widowControl w:val="0"/>
        <w:suppressAutoHyphens/>
        <w:rPr>
          <w:color w:val="000000"/>
          <w:szCs w:val="22"/>
        </w:rPr>
      </w:pPr>
      <w:r w:rsidRPr="00263DB9">
        <w:rPr>
          <w:color w:val="000000"/>
          <w:szCs w:val="22"/>
        </w:rPr>
        <w:t xml:space="preserve">Foram observados casos de lesão hepática, incluindo insuficiência hepática e necrose hepática, com imatinib. Quando o imatinib é associado a tratamentos de quimioterapia em regimes de doses altas, foi detetado um aumento de reações hepáticas graves. A função hepática deve ser cuidadosamente monitorizada quando o imatinib é associado a tratamentos de quimioterapia que se sabe que estão </w:t>
      </w:r>
      <w:r w:rsidRPr="00263DB9">
        <w:rPr>
          <w:color w:val="000000"/>
          <w:szCs w:val="22"/>
        </w:rPr>
        <w:lastRenderedPageBreak/>
        <w:t>associados a disfunção hepática (ver secção 4.5 e 4.8).</w:t>
      </w:r>
    </w:p>
    <w:p w14:paraId="375EAF9D" w14:textId="77777777" w:rsidR="00906898" w:rsidRPr="00263DB9" w:rsidRDefault="00906898" w:rsidP="00E51817">
      <w:pPr>
        <w:widowControl w:val="0"/>
        <w:suppressAutoHyphens/>
        <w:rPr>
          <w:color w:val="000000"/>
          <w:szCs w:val="22"/>
        </w:rPr>
      </w:pPr>
    </w:p>
    <w:p w14:paraId="375EAF9E" w14:textId="77777777" w:rsidR="00906898" w:rsidRPr="00263DB9" w:rsidRDefault="00906898" w:rsidP="00E51817">
      <w:pPr>
        <w:keepNext/>
        <w:widowControl w:val="0"/>
        <w:suppressAutoHyphens/>
        <w:rPr>
          <w:color w:val="000000"/>
          <w:szCs w:val="22"/>
          <w:u w:val="single"/>
        </w:rPr>
      </w:pPr>
      <w:r w:rsidRPr="00263DB9">
        <w:rPr>
          <w:color w:val="000000"/>
          <w:szCs w:val="22"/>
          <w:u w:val="single"/>
        </w:rPr>
        <w:t>Retenção de fluidos</w:t>
      </w:r>
    </w:p>
    <w:p w14:paraId="375EAF9F" w14:textId="77777777" w:rsidR="00906898" w:rsidRPr="00263DB9" w:rsidRDefault="00906898" w:rsidP="00E51817">
      <w:pPr>
        <w:widowControl w:val="0"/>
        <w:suppressAutoHyphens/>
        <w:rPr>
          <w:color w:val="000000"/>
          <w:szCs w:val="22"/>
        </w:rPr>
      </w:pPr>
      <w:r w:rsidRPr="00263DB9">
        <w:rPr>
          <w:color w:val="000000"/>
          <w:szCs w:val="22"/>
        </w:rPr>
        <w:t xml:space="preserve">Foram notificadas ocorrências de retenção grave de líquidos (derrame pleural, edema, edema pulmonar, ascite, edema superficial) em, aproximadamente, 2,5% dos doentes com LMC diagnosticados de novo tratados com Glivec. Como tal, é fortemente recomendado que os doentes sejam pesados regularmente. Um aumento rápido inesperado do peso deve ser cuidadosamente investigado e, se necessário, devem ser tomados os cuidados de suporte e medidas terapêuticas apropriados. Nos ensaios clínicos ocorreu aumento da incidência destes efeitos em </w:t>
      </w:r>
      <w:r w:rsidR="00327B39" w:rsidRPr="00263DB9">
        <w:rPr>
          <w:color w:val="000000"/>
          <w:szCs w:val="22"/>
        </w:rPr>
        <w:t xml:space="preserve">pessoas </w:t>
      </w:r>
      <w:r w:rsidRPr="00263DB9">
        <w:rPr>
          <w:color w:val="000000"/>
          <w:szCs w:val="22"/>
        </w:rPr>
        <w:t>idos</w:t>
      </w:r>
      <w:r w:rsidR="00327B39" w:rsidRPr="00263DB9">
        <w:rPr>
          <w:color w:val="000000"/>
          <w:szCs w:val="22"/>
        </w:rPr>
        <w:t>a</w:t>
      </w:r>
      <w:r w:rsidRPr="00263DB9">
        <w:rPr>
          <w:color w:val="000000"/>
          <w:szCs w:val="22"/>
        </w:rPr>
        <w:t>s e em doentes com história prévia de doença cardíaca. Recomenda-se, portanto, precaução em doentes com insuficiência cardíaca.</w:t>
      </w:r>
    </w:p>
    <w:p w14:paraId="375EAFA0" w14:textId="77777777" w:rsidR="00906898" w:rsidRPr="00263DB9" w:rsidRDefault="00906898" w:rsidP="00E51817">
      <w:pPr>
        <w:widowControl w:val="0"/>
        <w:suppressAutoHyphens/>
        <w:rPr>
          <w:color w:val="000000"/>
          <w:szCs w:val="22"/>
        </w:rPr>
      </w:pPr>
    </w:p>
    <w:p w14:paraId="375EAFA1" w14:textId="77777777" w:rsidR="00906898" w:rsidRPr="00263DB9" w:rsidRDefault="00906898" w:rsidP="00E51817">
      <w:pPr>
        <w:keepNext/>
        <w:widowControl w:val="0"/>
        <w:suppressAutoHyphens/>
        <w:rPr>
          <w:color w:val="000000"/>
          <w:szCs w:val="22"/>
          <w:u w:val="single"/>
        </w:rPr>
      </w:pPr>
      <w:r w:rsidRPr="00263DB9">
        <w:rPr>
          <w:color w:val="000000"/>
          <w:szCs w:val="22"/>
          <w:u w:val="single"/>
        </w:rPr>
        <w:t>Doentes com doença cardíaca</w:t>
      </w:r>
    </w:p>
    <w:p w14:paraId="375EAFA2" w14:textId="77777777" w:rsidR="00906898" w:rsidRPr="00263DB9" w:rsidRDefault="00906898" w:rsidP="00E51817">
      <w:pPr>
        <w:widowControl w:val="0"/>
        <w:suppressAutoHyphens/>
        <w:rPr>
          <w:color w:val="000000"/>
          <w:szCs w:val="22"/>
        </w:rPr>
      </w:pPr>
      <w:r w:rsidRPr="00263DB9">
        <w:rPr>
          <w:color w:val="000000"/>
          <w:szCs w:val="22"/>
        </w:rPr>
        <w:t>Doentes com doença cardíaca, fatores de risco para insuficiência cardíaca ou história de insuficiência renal devem ser monitorizados cuidadosamente e qualquer doente com sinais ou sintomas consistentes com insuficiência cardíaca ou renal deve ser avaliado e tratado.</w:t>
      </w:r>
    </w:p>
    <w:p w14:paraId="375EAFA3" w14:textId="77777777" w:rsidR="00906898" w:rsidRPr="00263DB9" w:rsidRDefault="00906898" w:rsidP="00E51817">
      <w:pPr>
        <w:widowControl w:val="0"/>
        <w:suppressAutoHyphens/>
        <w:rPr>
          <w:color w:val="000000"/>
          <w:szCs w:val="22"/>
        </w:rPr>
      </w:pPr>
    </w:p>
    <w:p w14:paraId="375EAFA4" w14:textId="77777777" w:rsidR="00817EAD" w:rsidRPr="00263DB9" w:rsidRDefault="00906898" w:rsidP="00E51817">
      <w:pPr>
        <w:widowControl w:val="0"/>
        <w:suppressAutoHyphens/>
        <w:rPr>
          <w:color w:val="000000"/>
          <w:szCs w:val="22"/>
        </w:rPr>
      </w:pPr>
      <w:r w:rsidRPr="00263DB9">
        <w:rPr>
          <w:color w:val="000000"/>
          <w:szCs w:val="22"/>
        </w:rPr>
        <w:t xml:space="preserve">Em doentes com a síndrome hipereosinofílica </w:t>
      </w:r>
      <w:r w:rsidR="006F1974" w:rsidRPr="00263DB9">
        <w:rPr>
          <w:color w:val="000000"/>
          <w:szCs w:val="22"/>
        </w:rPr>
        <w:t>(SHE) c</w:t>
      </w:r>
      <w:r w:rsidR="00817EAD" w:rsidRPr="00263DB9">
        <w:rPr>
          <w:color w:val="000000"/>
          <w:szCs w:val="22"/>
        </w:rPr>
        <w:t xml:space="preserve">om infiltração oculta de </w:t>
      </w:r>
      <w:r w:rsidR="006F1974" w:rsidRPr="00263DB9">
        <w:rPr>
          <w:color w:val="000000"/>
          <w:szCs w:val="22"/>
        </w:rPr>
        <w:t>células SHE</w:t>
      </w:r>
      <w:r w:rsidR="00817EAD" w:rsidRPr="00263DB9">
        <w:rPr>
          <w:color w:val="000000"/>
          <w:szCs w:val="22"/>
        </w:rPr>
        <w:t xml:space="preserve"> no miocárdio</w:t>
      </w:r>
      <w:r w:rsidRPr="00263DB9">
        <w:rPr>
          <w:color w:val="000000"/>
          <w:szCs w:val="22"/>
        </w:rPr>
        <w:t xml:space="preserve">, </w:t>
      </w:r>
      <w:r w:rsidR="006F1974" w:rsidRPr="00263DB9">
        <w:rPr>
          <w:color w:val="000000"/>
          <w:szCs w:val="22"/>
        </w:rPr>
        <w:t>verificaram-se</w:t>
      </w:r>
      <w:r w:rsidRPr="00263DB9">
        <w:rPr>
          <w:color w:val="000000"/>
          <w:szCs w:val="22"/>
        </w:rPr>
        <w:t xml:space="preserve"> casos isolados de choque cardiogénico/disfunção </w:t>
      </w:r>
      <w:r w:rsidR="006F1974" w:rsidRPr="00263DB9">
        <w:rPr>
          <w:color w:val="000000"/>
          <w:szCs w:val="22"/>
        </w:rPr>
        <w:t>ventricular esquerda em associação</w:t>
      </w:r>
      <w:r w:rsidRPr="00263DB9">
        <w:rPr>
          <w:color w:val="000000"/>
          <w:szCs w:val="22"/>
        </w:rPr>
        <w:t xml:space="preserve"> com </w:t>
      </w:r>
      <w:r w:rsidR="006F1974" w:rsidRPr="00263DB9">
        <w:rPr>
          <w:color w:val="000000"/>
          <w:szCs w:val="22"/>
        </w:rPr>
        <w:t xml:space="preserve">a </w:t>
      </w:r>
      <w:r w:rsidR="00817EAD" w:rsidRPr="00263DB9">
        <w:rPr>
          <w:color w:val="000000"/>
          <w:szCs w:val="22"/>
        </w:rPr>
        <w:t xml:space="preserve">desgranulação </w:t>
      </w:r>
      <w:r w:rsidR="006F1974" w:rsidRPr="00263DB9">
        <w:rPr>
          <w:color w:val="000000"/>
          <w:szCs w:val="22"/>
        </w:rPr>
        <w:t>de células SHE</w:t>
      </w:r>
      <w:r w:rsidR="00817EAD" w:rsidRPr="00263DB9">
        <w:rPr>
          <w:color w:val="000000"/>
          <w:szCs w:val="22"/>
        </w:rPr>
        <w:t xml:space="preserve"> a</w:t>
      </w:r>
      <w:r w:rsidRPr="00263DB9">
        <w:rPr>
          <w:color w:val="000000"/>
          <w:szCs w:val="22"/>
        </w:rPr>
        <w:t>o início do tratamento com imatinib. Esta situação foi notificada como sendo reversível com a administração de esteroides sistémicos, com medidas de suporte à circulação e suspensão temporária de imatinib. Como foram notificados acontecimentos adversos cardíacos pouco frequentes com imatinib, deve ser considerada uma avaliação cuidadosa do risco/benefício da terapêutica com imatinib na população com síndrome hipereosinofílica avançada/leucemia eosinofílica crónica antes do início do tratamento.</w:t>
      </w:r>
    </w:p>
    <w:p w14:paraId="375EAFA5" w14:textId="77777777" w:rsidR="00817EAD" w:rsidRPr="00263DB9" w:rsidRDefault="00817EAD" w:rsidP="00E51817">
      <w:pPr>
        <w:widowControl w:val="0"/>
        <w:suppressAutoHyphens/>
        <w:rPr>
          <w:color w:val="000000"/>
          <w:szCs w:val="22"/>
        </w:rPr>
      </w:pPr>
    </w:p>
    <w:p w14:paraId="375EAFA6" w14:textId="77777777" w:rsidR="00906898" w:rsidRPr="00263DB9" w:rsidRDefault="00906898" w:rsidP="00E51817">
      <w:pPr>
        <w:widowControl w:val="0"/>
        <w:suppressAutoHyphens/>
        <w:rPr>
          <w:color w:val="000000"/>
          <w:szCs w:val="22"/>
        </w:rPr>
      </w:pPr>
      <w:r w:rsidRPr="00263DB9">
        <w:rPr>
          <w:color w:val="000000"/>
          <w:szCs w:val="22"/>
        </w:rPr>
        <w:t>A síndrome mielodisplásica/doenças mieloproliferativas com re-arranjos do gene PDGFR associadas podem estar associadas com níveis elevados de eosinófilos. A avaliação por um cardiologista, a realização de um ecocardiograma e a determinação da troponina sérica devem ser consideradas em doentes com síndrome hipereosinofílica avançada/leucemia eosinofílica crónica e em doentes com MDS/MPD associadas a elevados níveis de eosinófilos antes da administração do imatinib. Se algum destes exames tiver anomalias, deve-se considerar o acompanhamento por um cardiologista e o uso profilático de esteroides sistémicos (1</w:t>
      </w:r>
      <w:r w:rsidRPr="00263DB9">
        <w:rPr>
          <w:color w:val="000000"/>
          <w:szCs w:val="22"/>
        </w:rPr>
        <w:noBreakHyphen/>
        <w:t>2 mg/kg) durante uma ou duas semanas concomitantemente com o imatinib no início do tratamento.</w:t>
      </w:r>
    </w:p>
    <w:p w14:paraId="375EAFA7" w14:textId="77777777" w:rsidR="00906898" w:rsidRPr="00263DB9" w:rsidRDefault="00906898" w:rsidP="00E51817">
      <w:pPr>
        <w:widowControl w:val="0"/>
        <w:suppressAutoHyphens/>
        <w:rPr>
          <w:color w:val="000000"/>
          <w:szCs w:val="22"/>
        </w:rPr>
      </w:pPr>
    </w:p>
    <w:p w14:paraId="375EAFA8" w14:textId="77777777" w:rsidR="00906898" w:rsidRPr="00263DB9" w:rsidRDefault="00906898" w:rsidP="00E51817">
      <w:pPr>
        <w:keepNext/>
        <w:widowControl w:val="0"/>
        <w:suppressAutoHyphens/>
        <w:rPr>
          <w:color w:val="000000"/>
          <w:szCs w:val="22"/>
          <w:u w:val="single"/>
        </w:rPr>
      </w:pPr>
      <w:r w:rsidRPr="00263DB9">
        <w:rPr>
          <w:color w:val="000000"/>
          <w:szCs w:val="22"/>
          <w:u w:val="single"/>
        </w:rPr>
        <w:t>Hemorragia gastrintestinal</w:t>
      </w:r>
    </w:p>
    <w:p w14:paraId="375EAFA9" w14:textId="77777777" w:rsidR="00906898" w:rsidRPr="00263DB9" w:rsidRDefault="00906898" w:rsidP="00E51817">
      <w:pPr>
        <w:widowControl w:val="0"/>
        <w:suppressAutoHyphens/>
        <w:rPr>
          <w:color w:val="000000"/>
          <w:szCs w:val="22"/>
        </w:rPr>
      </w:pPr>
      <w:r w:rsidRPr="00263DB9">
        <w:rPr>
          <w:color w:val="000000"/>
          <w:szCs w:val="22"/>
        </w:rPr>
        <w:t>No estudo em doentes com GIST metastáticos e/ou irressecáveis, foram notificadas hemorragias gastrintestinais e intratumorais (ver secção 4.8). Com base nos dados disponíveis, não foram identificados fatores predisponentes (por ex. tamanho do tumor, localização do tumor, alterações da coagulação) que aumentem o risco de ocorrência de qualquer das hemorragias em doentes com GIST. Visto o aumento da vascularização e a propensão para hemorragias ser parte da natureza e curso clínico dos GIST, recomendam-se os procedimentos e práticas padrão para monitorização e controlo da hemorragia em todos os doentes.</w:t>
      </w:r>
    </w:p>
    <w:p w14:paraId="375EAFAA" w14:textId="77777777" w:rsidR="008914E6" w:rsidRPr="00263DB9" w:rsidRDefault="008914E6" w:rsidP="00E51817">
      <w:pPr>
        <w:widowControl w:val="0"/>
        <w:suppressAutoHyphens/>
        <w:rPr>
          <w:color w:val="000000"/>
          <w:szCs w:val="22"/>
        </w:rPr>
      </w:pPr>
    </w:p>
    <w:p w14:paraId="375EAFAB" w14:textId="77777777" w:rsidR="008914E6" w:rsidRPr="00263DB9" w:rsidRDefault="008914E6" w:rsidP="00E51817">
      <w:pPr>
        <w:widowControl w:val="0"/>
        <w:suppressAutoHyphens/>
        <w:rPr>
          <w:color w:val="000000"/>
          <w:szCs w:val="22"/>
        </w:rPr>
      </w:pPr>
      <w:r w:rsidRPr="00263DB9">
        <w:rPr>
          <w:color w:val="000000"/>
          <w:szCs w:val="22"/>
        </w:rPr>
        <w:t>Além disso, tem sido notificada, ectasia vascular do antro gástrico (GAVE), uma causa rara de hemorragia gastrointestinal, na experiência pós-comer</w:t>
      </w:r>
      <w:r w:rsidR="000F4C1B" w:rsidRPr="00263DB9">
        <w:rPr>
          <w:color w:val="000000"/>
          <w:szCs w:val="22"/>
        </w:rPr>
        <w:t xml:space="preserve">cialização em doentes com LMC, </w:t>
      </w:r>
      <w:r w:rsidRPr="00263DB9">
        <w:rPr>
          <w:color w:val="000000"/>
          <w:szCs w:val="22"/>
        </w:rPr>
        <w:t>LL</w:t>
      </w:r>
      <w:r w:rsidR="000F4C1B" w:rsidRPr="00263DB9">
        <w:rPr>
          <w:color w:val="000000"/>
          <w:szCs w:val="22"/>
        </w:rPr>
        <w:t>A</w:t>
      </w:r>
      <w:r w:rsidRPr="00263DB9">
        <w:rPr>
          <w:color w:val="000000"/>
          <w:szCs w:val="22"/>
        </w:rPr>
        <w:t xml:space="preserve"> e outras doenças (ver secção</w:t>
      </w:r>
      <w:r w:rsidR="00F54D3B" w:rsidRPr="00263DB9">
        <w:rPr>
          <w:color w:val="000000"/>
          <w:szCs w:val="22"/>
        </w:rPr>
        <w:t> </w:t>
      </w:r>
      <w:r w:rsidRPr="00263DB9">
        <w:rPr>
          <w:color w:val="000000"/>
          <w:szCs w:val="22"/>
        </w:rPr>
        <w:t xml:space="preserve">4.8). Quando necessário, </w:t>
      </w:r>
      <w:r w:rsidR="00F54D3B" w:rsidRPr="00263DB9">
        <w:rPr>
          <w:color w:val="000000"/>
          <w:szCs w:val="22"/>
        </w:rPr>
        <w:t xml:space="preserve">pode ser considerada </w:t>
      </w:r>
      <w:r w:rsidRPr="00263DB9">
        <w:rPr>
          <w:color w:val="000000"/>
          <w:szCs w:val="22"/>
        </w:rPr>
        <w:t>a interrupção do tratamento com Glivec</w:t>
      </w:r>
      <w:r w:rsidR="00F54D3B" w:rsidRPr="00263DB9">
        <w:rPr>
          <w:color w:val="000000"/>
          <w:szCs w:val="22"/>
        </w:rPr>
        <w:t>.</w:t>
      </w:r>
    </w:p>
    <w:p w14:paraId="375EAFAC" w14:textId="77777777" w:rsidR="00906898" w:rsidRPr="00263DB9" w:rsidRDefault="00906898" w:rsidP="00E51817">
      <w:pPr>
        <w:widowControl w:val="0"/>
        <w:textAlignment w:val="top"/>
        <w:rPr>
          <w:color w:val="000000"/>
          <w:szCs w:val="22"/>
        </w:rPr>
      </w:pPr>
    </w:p>
    <w:p w14:paraId="375EAFAD" w14:textId="77777777" w:rsidR="00906898" w:rsidRPr="00263DB9" w:rsidRDefault="00906898" w:rsidP="00E51817">
      <w:pPr>
        <w:keepNext/>
        <w:widowControl w:val="0"/>
        <w:textAlignment w:val="top"/>
        <w:rPr>
          <w:color w:val="000000"/>
          <w:szCs w:val="22"/>
          <w:u w:val="single"/>
        </w:rPr>
      </w:pPr>
      <w:r w:rsidRPr="00263DB9">
        <w:rPr>
          <w:color w:val="000000"/>
          <w:szCs w:val="22"/>
          <w:u w:val="single"/>
        </w:rPr>
        <w:t>Síndrome de lise tumoral</w:t>
      </w:r>
    </w:p>
    <w:p w14:paraId="375EAFAE" w14:textId="77777777" w:rsidR="00906898" w:rsidRPr="00263DB9" w:rsidRDefault="00906898" w:rsidP="00E51817">
      <w:pPr>
        <w:widowControl w:val="0"/>
        <w:textAlignment w:val="top"/>
        <w:rPr>
          <w:color w:val="000000"/>
          <w:szCs w:val="22"/>
        </w:rPr>
      </w:pPr>
      <w:r w:rsidRPr="00263DB9">
        <w:rPr>
          <w:color w:val="000000"/>
          <w:szCs w:val="22"/>
        </w:rPr>
        <w:t>Devido à possível ocorrência da síndrome de lise tumoral (SLT), a correção da desidratação clinicamente significativa e o tratamento de níveis elevados de ácido úrico são recomendados antes do início da terapêutica com Glivec (ver secção 4.8).</w:t>
      </w:r>
    </w:p>
    <w:p w14:paraId="375EAFAF" w14:textId="77777777" w:rsidR="00906898" w:rsidRPr="00263DB9" w:rsidRDefault="00906898" w:rsidP="00E51817">
      <w:pPr>
        <w:widowControl w:val="0"/>
        <w:suppressAutoHyphens/>
        <w:rPr>
          <w:color w:val="000000"/>
          <w:szCs w:val="22"/>
        </w:rPr>
      </w:pPr>
    </w:p>
    <w:p w14:paraId="375EAFB0" w14:textId="77777777" w:rsidR="00B0782B" w:rsidRPr="00263DB9" w:rsidRDefault="00B0782B" w:rsidP="00E51817">
      <w:pPr>
        <w:keepNext/>
        <w:widowControl w:val="0"/>
        <w:rPr>
          <w:color w:val="000000"/>
          <w:szCs w:val="22"/>
          <w:u w:val="single"/>
        </w:rPr>
      </w:pPr>
      <w:r w:rsidRPr="00263DB9">
        <w:rPr>
          <w:color w:val="000000"/>
          <w:szCs w:val="22"/>
          <w:u w:val="single"/>
        </w:rPr>
        <w:t>Reativação da Hepatite B</w:t>
      </w:r>
    </w:p>
    <w:p w14:paraId="375EAFB1" w14:textId="77777777" w:rsidR="00B0782B" w:rsidRPr="00263DB9" w:rsidRDefault="00B0782B" w:rsidP="00E51817">
      <w:pPr>
        <w:widowControl w:val="0"/>
        <w:suppressAutoHyphens/>
        <w:rPr>
          <w:color w:val="000000"/>
          <w:szCs w:val="22"/>
        </w:rPr>
      </w:pPr>
      <w:r w:rsidRPr="00263DB9">
        <w:rPr>
          <w:color w:val="000000"/>
          <w:szCs w:val="22"/>
        </w:rPr>
        <w:t xml:space="preserve">A reativação da Hepatite B ocorreu em doentes portadores crónicos do vírus depois de estes terem recebido tratamento com inibidores das tirosinacinases BCR-ABL. Alguns destes casos resultaram em </w:t>
      </w:r>
      <w:r w:rsidRPr="00263DB9">
        <w:rPr>
          <w:color w:val="000000"/>
          <w:szCs w:val="22"/>
        </w:rPr>
        <w:lastRenderedPageBreak/>
        <w:t>insuficiência hepática aguda ou hepatite fulminante levando ao tr</w:t>
      </w:r>
      <w:r w:rsidR="002B5489" w:rsidRPr="00263DB9">
        <w:rPr>
          <w:color w:val="000000"/>
          <w:szCs w:val="22"/>
        </w:rPr>
        <w:t>ansplante do fígado ou à morte.</w:t>
      </w:r>
    </w:p>
    <w:p w14:paraId="375EAFB2" w14:textId="77777777" w:rsidR="00B0782B" w:rsidRPr="00263DB9" w:rsidRDefault="00B0782B" w:rsidP="00E51817">
      <w:pPr>
        <w:widowControl w:val="0"/>
        <w:suppressAutoHyphens/>
        <w:rPr>
          <w:color w:val="000000"/>
          <w:szCs w:val="22"/>
        </w:rPr>
      </w:pPr>
    </w:p>
    <w:p w14:paraId="375EAFB3" w14:textId="77777777" w:rsidR="00B0782B" w:rsidRPr="00263DB9" w:rsidRDefault="00B0782B" w:rsidP="00E51817">
      <w:pPr>
        <w:widowControl w:val="0"/>
        <w:suppressAutoHyphens/>
        <w:rPr>
          <w:color w:val="000000"/>
          <w:szCs w:val="22"/>
        </w:rPr>
      </w:pPr>
      <w:r w:rsidRPr="00263DB9">
        <w:rPr>
          <w:color w:val="000000"/>
          <w:szCs w:val="22"/>
        </w:rPr>
        <w:t xml:space="preserve">Antes de iniciarem o tratamento com Glivec os doentes devem realizar testes para a presença de infeção por VHB. Devem ser consultados especialistas em doenças hepáticas e no tratamento da Hepatite B antes de se iniciar o tratamento em doentes com serologia positiva para Hepatite B (incluindo os doentes com a doença ativa) e em doentes que obtenham um teste positivo de infeção por VHB durante o tratamento. Os portadores de VHB que necessitem de tratamento com Glivec devem ser cuidadosamente monitorizados para deteção de sinais e sintomas de infeção ativa por VHB ao longo de toda a terapêutica e durante vários meses </w:t>
      </w:r>
      <w:r w:rsidR="00EF698C" w:rsidRPr="00263DB9">
        <w:rPr>
          <w:color w:val="000000"/>
          <w:szCs w:val="22"/>
        </w:rPr>
        <w:t>após o fim da mesma (ver secção </w:t>
      </w:r>
      <w:r w:rsidRPr="00263DB9">
        <w:rPr>
          <w:color w:val="000000"/>
          <w:szCs w:val="22"/>
        </w:rPr>
        <w:t>4.8).</w:t>
      </w:r>
    </w:p>
    <w:p w14:paraId="375EAFB4" w14:textId="77777777" w:rsidR="00B0782B" w:rsidRPr="00263DB9" w:rsidRDefault="00B0782B" w:rsidP="00E51817">
      <w:pPr>
        <w:widowControl w:val="0"/>
        <w:suppressAutoHyphens/>
        <w:rPr>
          <w:color w:val="000000"/>
          <w:szCs w:val="22"/>
          <w:u w:val="single"/>
        </w:rPr>
      </w:pPr>
    </w:p>
    <w:p w14:paraId="375EAFB5" w14:textId="77777777" w:rsidR="004D3AFA" w:rsidRPr="00263DB9" w:rsidRDefault="004D3AFA" w:rsidP="00E51817">
      <w:pPr>
        <w:keepNext/>
        <w:widowControl w:val="0"/>
        <w:suppressAutoHyphens/>
        <w:rPr>
          <w:color w:val="000000"/>
          <w:szCs w:val="22"/>
          <w:u w:val="single"/>
        </w:rPr>
      </w:pPr>
      <w:r w:rsidRPr="00263DB9">
        <w:rPr>
          <w:color w:val="000000"/>
          <w:szCs w:val="22"/>
          <w:u w:val="single"/>
        </w:rPr>
        <w:t>Fototoxicidade</w:t>
      </w:r>
    </w:p>
    <w:p w14:paraId="375EAFB6" w14:textId="77777777" w:rsidR="004D3AFA" w:rsidRPr="00263DB9" w:rsidRDefault="004D3AFA" w:rsidP="00E51817">
      <w:pPr>
        <w:widowControl w:val="0"/>
        <w:suppressAutoHyphens/>
        <w:rPr>
          <w:color w:val="000000"/>
          <w:szCs w:val="22"/>
        </w:rPr>
      </w:pPr>
      <w:r w:rsidRPr="00263DB9">
        <w:rPr>
          <w:color w:val="000000"/>
          <w:szCs w:val="22"/>
        </w:rPr>
        <w:t>A exposição à luz solar direta deve ser evitada ou minimizada devido ao risco de fototoxicidade associado</w:t>
      </w:r>
      <w:r w:rsidR="00BB3028" w:rsidRPr="00263DB9">
        <w:rPr>
          <w:color w:val="000000"/>
          <w:szCs w:val="22"/>
        </w:rPr>
        <w:t xml:space="preserve"> ao tratamento com imatinib. Os doentes </w:t>
      </w:r>
      <w:r w:rsidRPr="00263DB9">
        <w:rPr>
          <w:color w:val="000000"/>
          <w:szCs w:val="22"/>
        </w:rPr>
        <w:t xml:space="preserve">devem ser </w:t>
      </w:r>
      <w:r w:rsidR="00BB3028" w:rsidRPr="00263DB9">
        <w:rPr>
          <w:color w:val="000000"/>
          <w:szCs w:val="22"/>
        </w:rPr>
        <w:t>aconselhados</w:t>
      </w:r>
      <w:r w:rsidRPr="00263DB9">
        <w:rPr>
          <w:color w:val="000000"/>
          <w:szCs w:val="22"/>
        </w:rPr>
        <w:t xml:space="preserve"> a </w:t>
      </w:r>
      <w:r w:rsidR="00BB3028" w:rsidRPr="00263DB9">
        <w:rPr>
          <w:color w:val="000000"/>
          <w:szCs w:val="22"/>
        </w:rPr>
        <w:t>adotar</w:t>
      </w:r>
      <w:r w:rsidRPr="00263DB9">
        <w:rPr>
          <w:color w:val="000000"/>
          <w:szCs w:val="22"/>
        </w:rPr>
        <w:t xml:space="preserve"> medidas como roupas prot</w:t>
      </w:r>
      <w:r w:rsidR="00BB3028" w:rsidRPr="00263DB9">
        <w:rPr>
          <w:color w:val="000000"/>
          <w:szCs w:val="22"/>
        </w:rPr>
        <w:t xml:space="preserve">etoras e protetor solar com </w:t>
      </w:r>
      <w:r w:rsidRPr="00263DB9">
        <w:rPr>
          <w:color w:val="000000"/>
          <w:szCs w:val="22"/>
        </w:rPr>
        <w:t>fator de proteção solar</w:t>
      </w:r>
      <w:r w:rsidR="00BB3028" w:rsidRPr="00263DB9">
        <w:rPr>
          <w:color w:val="000000"/>
          <w:szCs w:val="22"/>
        </w:rPr>
        <w:t xml:space="preserve"> </w:t>
      </w:r>
      <w:r w:rsidR="008942BE" w:rsidRPr="00263DB9">
        <w:rPr>
          <w:color w:val="000000"/>
          <w:szCs w:val="22"/>
        </w:rPr>
        <w:t xml:space="preserve">(FPS) </w:t>
      </w:r>
      <w:r w:rsidR="00BB3028" w:rsidRPr="00263DB9">
        <w:rPr>
          <w:color w:val="000000"/>
          <w:szCs w:val="22"/>
        </w:rPr>
        <w:t>elevado.</w:t>
      </w:r>
    </w:p>
    <w:p w14:paraId="375EAFB7" w14:textId="77777777" w:rsidR="004D3AFA" w:rsidRPr="00263DB9" w:rsidRDefault="004D3AFA" w:rsidP="00E51817">
      <w:pPr>
        <w:widowControl w:val="0"/>
        <w:suppressAutoHyphens/>
        <w:rPr>
          <w:color w:val="000000"/>
          <w:szCs w:val="22"/>
          <w:u w:val="single"/>
        </w:rPr>
      </w:pPr>
    </w:p>
    <w:p w14:paraId="375EAFB8" w14:textId="77777777" w:rsidR="00E34958" w:rsidRPr="00263DB9" w:rsidRDefault="00E34958" w:rsidP="00E51817">
      <w:pPr>
        <w:pStyle w:val="EndnoteText"/>
        <w:keepNext/>
        <w:tabs>
          <w:tab w:val="clear" w:pos="567"/>
        </w:tabs>
        <w:rPr>
          <w:snapToGrid w:val="0"/>
          <w:color w:val="000000"/>
          <w:szCs w:val="22"/>
          <w:u w:val="single"/>
        </w:rPr>
      </w:pPr>
      <w:r w:rsidRPr="00263DB9">
        <w:rPr>
          <w:snapToGrid w:val="0"/>
          <w:color w:val="000000"/>
          <w:szCs w:val="22"/>
          <w:u w:val="single"/>
        </w:rPr>
        <w:t>Microangiopatia trombótica</w:t>
      </w:r>
    </w:p>
    <w:p w14:paraId="375EAFB9" w14:textId="77777777" w:rsidR="00E34958" w:rsidRPr="00263DB9" w:rsidRDefault="00E34958" w:rsidP="00E51817">
      <w:pPr>
        <w:pStyle w:val="EndnoteText"/>
        <w:tabs>
          <w:tab w:val="clear" w:pos="567"/>
        </w:tabs>
        <w:rPr>
          <w:color w:val="000000"/>
          <w:szCs w:val="22"/>
        </w:rPr>
      </w:pPr>
      <w:r w:rsidRPr="00263DB9">
        <w:rPr>
          <w:color w:val="000000"/>
          <w:szCs w:val="22"/>
        </w:rPr>
        <w:t xml:space="preserve">Os inibidores das tirosinacinases (TCI) BCR-ABL </w:t>
      </w:r>
      <w:r w:rsidR="00B27C57" w:rsidRPr="00263DB9">
        <w:rPr>
          <w:color w:val="000000"/>
          <w:szCs w:val="22"/>
        </w:rPr>
        <w:t>têm sido a</w:t>
      </w:r>
      <w:r w:rsidRPr="00263DB9">
        <w:rPr>
          <w:color w:val="000000"/>
          <w:szCs w:val="22"/>
        </w:rPr>
        <w:t xml:space="preserve">ssociados com microangiopatia trombótica (MAT), incluindo relatos de casos individuais para Glivec (ver secção 4.8). Se os achados laboratoriais ou clínicos </w:t>
      </w:r>
      <w:r w:rsidR="00AE74D9" w:rsidRPr="00263DB9">
        <w:rPr>
          <w:color w:val="000000"/>
          <w:szCs w:val="22"/>
        </w:rPr>
        <w:t>a</w:t>
      </w:r>
      <w:r w:rsidRPr="00263DB9">
        <w:rPr>
          <w:color w:val="000000"/>
          <w:szCs w:val="22"/>
        </w:rPr>
        <w:t xml:space="preserve">ssociados com TMA ocorrerem num doente a tomar Glivec, o tratamento deve ser descontinuado e deve ser completada uma avaliação detalhada para TMA, incluindo atividade ADAMTS13 e determinação de anticorpo anti-ADAMTS13. Se o anticorpo </w:t>
      </w:r>
      <w:r w:rsidR="00AE74D9" w:rsidRPr="00263DB9">
        <w:rPr>
          <w:color w:val="000000"/>
          <w:szCs w:val="22"/>
        </w:rPr>
        <w:t>anti-</w:t>
      </w:r>
      <w:r w:rsidRPr="00263DB9">
        <w:rPr>
          <w:color w:val="000000"/>
          <w:szCs w:val="22"/>
        </w:rPr>
        <w:t>ADAMTS13 estiver elevado, conjuntamente com baixa atividade ADAMTS13, o tratamento com Glivec não deve ser retomado.</w:t>
      </w:r>
    </w:p>
    <w:p w14:paraId="375EAFBA" w14:textId="77777777" w:rsidR="00E34958" w:rsidRPr="00263DB9" w:rsidRDefault="00E34958" w:rsidP="00E51817">
      <w:pPr>
        <w:widowControl w:val="0"/>
        <w:suppressAutoHyphens/>
        <w:rPr>
          <w:color w:val="000000"/>
          <w:szCs w:val="22"/>
          <w:u w:val="single"/>
        </w:rPr>
      </w:pPr>
    </w:p>
    <w:p w14:paraId="375EAFBB" w14:textId="77777777" w:rsidR="00906898" w:rsidRPr="00263DB9" w:rsidRDefault="00906898" w:rsidP="00E51817">
      <w:pPr>
        <w:keepNext/>
        <w:widowControl w:val="0"/>
        <w:suppressAutoHyphens/>
        <w:rPr>
          <w:color w:val="000000"/>
          <w:szCs w:val="22"/>
        </w:rPr>
      </w:pPr>
      <w:r w:rsidRPr="00263DB9">
        <w:rPr>
          <w:color w:val="000000"/>
          <w:szCs w:val="22"/>
          <w:u w:val="single"/>
        </w:rPr>
        <w:t>Exames laboratoriais</w:t>
      </w:r>
    </w:p>
    <w:p w14:paraId="375EAFBC" w14:textId="77777777" w:rsidR="00906898" w:rsidRPr="00263DB9" w:rsidRDefault="00906898" w:rsidP="00E51817">
      <w:pPr>
        <w:widowControl w:val="0"/>
        <w:suppressAutoHyphens/>
        <w:rPr>
          <w:color w:val="000000"/>
          <w:szCs w:val="22"/>
        </w:rPr>
      </w:pPr>
      <w:r w:rsidRPr="00263DB9">
        <w:rPr>
          <w:color w:val="000000"/>
          <w:szCs w:val="22"/>
        </w:rPr>
        <w:t xml:space="preserve">Durante a terapêutica com Glivec, devem ser realizadas regularmente contagens sanguíneas completas. O tratamento de doentes com LMC com Glivec foi associado a neutropenia ou trombocitopenia. Contudo, é provável que a ocorrência destas citopenias esteja relacionada com a fase da doença que está a ser tratada, sendo mais frequentes em doentes com LMC em fase acelerada ou crise blástica quando comparados com doentes com LMC em fase crónica. </w:t>
      </w:r>
      <w:r w:rsidRPr="00263DB9">
        <w:rPr>
          <w:snapToGrid w:val="0"/>
          <w:color w:val="000000"/>
          <w:szCs w:val="22"/>
        </w:rPr>
        <w:t>O tratamento com Glivec poderá ser interrompido ou a dose reduzida, conforme recomendado na secção 4.2.</w:t>
      </w:r>
    </w:p>
    <w:p w14:paraId="375EAFBD" w14:textId="77777777" w:rsidR="00906898" w:rsidRPr="00263DB9" w:rsidRDefault="00906898" w:rsidP="00E51817">
      <w:pPr>
        <w:widowControl w:val="0"/>
        <w:suppressAutoHyphens/>
        <w:rPr>
          <w:color w:val="000000"/>
          <w:szCs w:val="22"/>
        </w:rPr>
      </w:pPr>
    </w:p>
    <w:p w14:paraId="375EAFBE" w14:textId="77777777" w:rsidR="00906898" w:rsidRPr="00263DB9" w:rsidRDefault="00906898" w:rsidP="00E51817">
      <w:pPr>
        <w:widowControl w:val="0"/>
        <w:suppressAutoHyphens/>
        <w:rPr>
          <w:color w:val="000000"/>
          <w:szCs w:val="22"/>
        </w:rPr>
      </w:pPr>
      <w:r w:rsidRPr="00263DB9">
        <w:rPr>
          <w:color w:val="000000"/>
          <w:szCs w:val="22"/>
        </w:rPr>
        <w:t>A função hepática (transaminases, bilirrubina, fosfatase alcalina) deve ser monitorizada regularmente nos doentes a fazer Glivec.</w:t>
      </w:r>
    </w:p>
    <w:p w14:paraId="375EAFBF" w14:textId="77777777" w:rsidR="00906898" w:rsidRPr="00263DB9" w:rsidRDefault="00906898" w:rsidP="00E51817">
      <w:pPr>
        <w:widowControl w:val="0"/>
        <w:suppressAutoHyphens/>
        <w:rPr>
          <w:color w:val="000000"/>
          <w:szCs w:val="22"/>
        </w:rPr>
      </w:pPr>
    </w:p>
    <w:p w14:paraId="375EAFC0" w14:textId="77777777" w:rsidR="00906898" w:rsidRPr="00263DB9" w:rsidRDefault="00906898" w:rsidP="00E51817">
      <w:pPr>
        <w:widowControl w:val="0"/>
        <w:suppressAutoHyphens/>
        <w:rPr>
          <w:color w:val="000000"/>
          <w:szCs w:val="22"/>
        </w:rPr>
      </w:pPr>
      <w:r w:rsidRPr="00263DB9">
        <w:rPr>
          <w:color w:val="000000"/>
          <w:szCs w:val="22"/>
        </w:rPr>
        <w:t xml:space="preserve">Em doentes com compromisso da função renal, a exposição plasmática ao imatinib parece ser superior do que em doentes com função renal normal, provavelmente devido a um nível plasmático elevado de </w:t>
      </w:r>
      <w:r w:rsidRPr="00263DB9">
        <w:rPr>
          <w:snapToGrid w:val="0"/>
          <w:color w:val="000000"/>
          <w:szCs w:val="22"/>
        </w:rPr>
        <w:t>alfa glicoproteína ácida</w:t>
      </w:r>
      <w:r w:rsidRPr="00263DB9">
        <w:rPr>
          <w:color w:val="000000"/>
          <w:szCs w:val="22"/>
        </w:rPr>
        <w:t xml:space="preserve"> (AGP), uma proteína ligante do imatinib, nestes doentes. Deve ser administrada a dose mínima inicial a doentes com compromisso renal. Os doentes com compromisso renal grave devem ser tratados com precaução. A dose pode ser reduzida se não for tolerada (ver secção 4.2 e 5.2).</w:t>
      </w:r>
    </w:p>
    <w:p w14:paraId="375EAFC1" w14:textId="77777777" w:rsidR="00CF2A63" w:rsidRPr="00263DB9" w:rsidRDefault="00CF2A63" w:rsidP="00E51817">
      <w:pPr>
        <w:widowControl w:val="0"/>
        <w:suppressAutoHyphens/>
        <w:rPr>
          <w:color w:val="000000"/>
          <w:szCs w:val="22"/>
        </w:rPr>
      </w:pPr>
    </w:p>
    <w:p w14:paraId="375EAFC2" w14:textId="77777777" w:rsidR="00CF2A63" w:rsidRPr="00263DB9" w:rsidRDefault="00CF2A63" w:rsidP="00E51817">
      <w:pPr>
        <w:widowControl w:val="0"/>
        <w:suppressAutoHyphens/>
        <w:rPr>
          <w:color w:val="000000"/>
          <w:szCs w:val="22"/>
        </w:rPr>
      </w:pPr>
      <w:r w:rsidRPr="00263DB9">
        <w:rPr>
          <w:color w:val="000000"/>
          <w:szCs w:val="22"/>
        </w:rPr>
        <w:t xml:space="preserve">O tratamento a longo prazo com o imatinib pode estar associado a uma diminuição clinicamente significativa da função renal. A função renal deve, portanto, ser avaliada antes do início do tratamento com imatinib e monitorizada cuidadosamente durante o tratamento, com especial atenção nos doentes que apresentem fatores de risco para disfunção renal. Se se observar disfunção renal, </w:t>
      </w:r>
      <w:r w:rsidR="00901683" w:rsidRPr="00263DB9">
        <w:rPr>
          <w:color w:val="000000"/>
          <w:szCs w:val="22"/>
        </w:rPr>
        <w:t xml:space="preserve">deve ser implementada </w:t>
      </w:r>
      <w:r w:rsidRPr="00263DB9">
        <w:rPr>
          <w:color w:val="000000"/>
          <w:szCs w:val="22"/>
        </w:rPr>
        <w:t xml:space="preserve">gestão </w:t>
      </w:r>
      <w:r w:rsidR="00901683" w:rsidRPr="00263DB9">
        <w:rPr>
          <w:color w:val="000000"/>
          <w:szCs w:val="22"/>
        </w:rPr>
        <w:t>adequada e</w:t>
      </w:r>
      <w:r w:rsidRPr="00263DB9">
        <w:rPr>
          <w:color w:val="000000"/>
          <w:szCs w:val="22"/>
        </w:rPr>
        <w:t xml:space="preserve"> prescrição de tratamento de acordo com as diretrizes de terapêutica padrão.</w:t>
      </w:r>
    </w:p>
    <w:p w14:paraId="375EAFC3" w14:textId="77777777" w:rsidR="00CF2A63" w:rsidRPr="00263DB9" w:rsidRDefault="00CF2A63" w:rsidP="00E51817">
      <w:pPr>
        <w:widowControl w:val="0"/>
        <w:suppressAutoHyphens/>
        <w:rPr>
          <w:color w:val="000000"/>
          <w:szCs w:val="22"/>
        </w:rPr>
      </w:pPr>
    </w:p>
    <w:p w14:paraId="375EAFC4" w14:textId="77777777" w:rsidR="00906898" w:rsidRPr="00263DB9" w:rsidRDefault="00906898" w:rsidP="00E51817">
      <w:pPr>
        <w:keepNext/>
        <w:widowControl w:val="0"/>
        <w:suppressAutoHyphens/>
        <w:rPr>
          <w:color w:val="000000"/>
          <w:szCs w:val="22"/>
          <w:u w:val="single"/>
        </w:rPr>
      </w:pPr>
      <w:r w:rsidRPr="00263DB9">
        <w:rPr>
          <w:color w:val="000000"/>
          <w:szCs w:val="22"/>
          <w:u w:val="single"/>
        </w:rPr>
        <w:t>População pediátrica</w:t>
      </w:r>
    </w:p>
    <w:p w14:paraId="375EAFC5" w14:textId="77777777" w:rsidR="00906898" w:rsidRPr="00263DB9" w:rsidRDefault="00906898" w:rsidP="00E51817">
      <w:pPr>
        <w:widowControl w:val="0"/>
        <w:suppressAutoHyphens/>
        <w:rPr>
          <w:color w:val="000000"/>
          <w:szCs w:val="22"/>
        </w:rPr>
      </w:pPr>
      <w:r w:rsidRPr="00263DB9">
        <w:rPr>
          <w:color w:val="000000"/>
          <w:szCs w:val="22"/>
        </w:rPr>
        <w:t xml:space="preserve">Foram notificados casos de crescimento retardado em crianças e pré-adolescentes a receberem imatinib. </w:t>
      </w:r>
      <w:r w:rsidR="001818D0" w:rsidRPr="00263DB9">
        <w:rPr>
          <w:color w:val="000000"/>
          <w:szCs w:val="22"/>
        </w:rPr>
        <w:t xml:space="preserve">Num estudo observacional na população pediátrica com LMC, foi </w:t>
      </w:r>
      <w:r w:rsidR="00120A0C" w:rsidRPr="00263DB9">
        <w:rPr>
          <w:color w:val="000000"/>
          <w:szCs w:val="22"/>
        </w:rPr>
        <w:t>notificada</w:t>
      </w:r>
      <w:r w:rsidR="00DB49CD" w:rsidRPr="00263DB9">
        <w:rPr>
          <w:color w:val="000000"/>
          <w:szCs w:val="22"/>
        </w:rPr>
        <w:t xml:space="preserve"> uma redução estatisticamente significativa (mas com relevância clínica incerta)</w:t>
      </w:r>
      <w:r w:rsidR="001818D0" w:rsidRPr="00263DB9">
        <w:rPr>
          <w:color w:val="000000"/>
          <w:szCs w:val="22"/>
        </w:rPr>
        <w:t xml:space="preserve"> nos </w:t>
      </w:r>
      <w:r w:rsidR="00120A0C" w:rsidRPr="00263DB9">
        <w:rPr>
          <w:color w:val="000000"/>
          <w:szCs w:val="22"/>
        </w:rPr>
        <w:t>valores</w:t>
      </w:r>
      <w:r w:rsidR="00F84B25" w:rsidRPr="00263DB9">
        <w:rPr>
          <w:color w:val="000000"/>
          <w:szCs w:val="22"/>
        </w:rPr>
        <w:t xml:space="preserve"> </w:t>
      </w:r>
      <w:r w:rsidR="00120A0C" w:rsidRPr="00263DB9">
        <w:rPr>
          <w:color w:val="000000"/>
          <w:szCs w:val="22"/>
        </w:rPr>
        <w:t>do</w:t>
      </w:r>
      <w:r w:rsidR="001818D0" w:rsidRPr="00263DB9">
        <w:rPr>
          <w:color w:val="000000"/>
          <w:szCs w:val="22"/>
        </w:rPr>
        <w:t xml:space="preserve"> desvio padrão da </w:t>
      </w:r>
      <w:r w:rsidR="00120A0C" w:rsidRPr="00263DB9">
        <w:rPr>
          <w:color w:val="000000"/>
          <w:szCs w:val="22"/>
        </w:rPr>
        <w:t>estatura mediana</w:t>
      </w:r>
      <w:r w:rsidR="001818D0" w:rsidRPr="00263DB9">
        <w:rPr>
          <w:color w:val="000000"/>
          <w:szCs w:val="22"/>
        </w:rPr>
        <w:t xml:space="preserve"> após 12 e 24</w:t>
      </w:r>
      <w:r w:rsidR="007C6B26" w:rsidRPr="00263DB9">
        <w:rPr>
          <w:color w:val="000000"/>
          <w:szCs w:val="22"/>
        </w:rPr>
        <w:t> </w:t>
      </w:r>
      <w:r w:rsidR="001818D0" w:rsidRPr="00263DB9">
        <w:rPr>
          <w:color w:val="000000"/>
          <w:szCs w:val="22"/>
        </w:rPr>
        <w:t>meses de tratamento em dois pequenos sub</w:t>
      </w:r>
      <w:r w:rsidR="00F84B25" w:rsidRPr="00263DB9">
        <w:rPr>
          <w:color w:val="000000"/>
          <w:szCs w:val="22"/>
        </w:rPr>
        <w:t>-</w:t>
      </w:r>
      <w:r w:rsidR="001818D0" w:rsidRPr="00263DB9">
        <w:rPr>
          <w:color w:val="000000"/>
          <w:szCs w:val="22"/>
        </w:rPr>
        <w:t>grupos independentemente do estado puber</w:t>
      </w:r>
      <w:r w:rsidR="00120A0C" w:rsidRPr="00263DB9">
        <w:rPr>
          <w:color w:val="000000"/>
          <w:szCs w:val="22"/>
        </w:rPr>
        <w:t>t</w:t>
      </w:r>
      <w:r w:rsidR="001818D0" w:rsidRPr="00263DB9">
        <w:rPr>
          <w:color w:val="000000"/>
          <w:szCs w:val="22"/>
        </w:rPr>
        <w:t xml:space="preserve">al ou do </w:t>
      </w:r>
      <w:r w:rsidR="00120A0C" w:rsidRPr="00263DB9">
        <w:rPr>
          <w:color w:val="000000"/>
          <w:szCs w:val="22"/>
        </w:rPr>
        <w:t>género</w:t>
      </w:r>
      <w:r w:rsidR="001818D0" w:rsidRPr="00263DB9">
        <w:rPr>
          <w:color w:val="000000"/>
          <w:szCs w:val="22"/>
        </w:rPr>
        <w:t xml:space="preserve">. </w:t>
      </w:r>
      <w:r w:rsidRPr="00263DB9">
        <w:rPr>
          <w:color w:val="000000"/>
          <w:szCs w:val="22"/>
        </w:rPr>
        <w:t>Recomenda-se monitorização apertada do crescimento de crianças sob o tratamento de imatinib (ver secção</w:t>
      </w:r>
      <w:r w:rsidR="00791E60" w:rsidRPr="00263DB9">
        <w:rPr>
          <w:color w:val="000000"/>
          <w:szCs w:val="22"/>
        </w:rPr>
        <w:t> </w:t>
      </w:r>
      <w:r w:rsidRPr="00263DB9">
        <w:rPr>
          <w:color w:val="000000"/>
          <w:szCs w:val="22"/>
        </w:rPr>
        <w:t>4.8).</w:t>
      </w:r>
    </w:p>
    <w:p w14:paraId="375EAFC6" w14:textId="77777777" w:rsidR="00906898" w:rsidRPr="00263DB9" w:rsidRDefault="00906898" w:rsidP="00E51817">
      <w:pPr>
        <w:widowControl w:val="0"/>
        <w:suppressAutoHyphens/>
        <w:rPr>
          <w:color w:val="000000"/>
          <w:szCs w:val="22"/>
        </w:rPr>
      </w:pPr>
    </w:p>
    <w:p w14:paraId="375EAFC7" w14:textId="77777777" w:rsidR="00906898" w:rsidRPr="00263DB9" w:rsidRDefault="00906898" w:rsidP="00E51817">
      <w:pPr>
        <w:keepNext/>
        <w:widowControl w:val="0"/>
        <w:suppressAutoHyphens/>
        <w:ind w:left="567" w:hanging="567"/>
        <w:rPr>
          <w:b/>
          <w:color w:val="000000"/>
          <w:szCs w:val="22"/>
        </w:rPr>
      </w:pPr>
      <w:r w:rsidRPr="00263DB9">
        <w:rPr>
          <w:b/>
          <w:color w:val="000000"/>
          <w:szCs w:val="22"/>
        </w:rPr>
        <w:lastRenderedPageBreak/>
        <w:t>4.5</w:t>
      </w:r>
      <w:r w:rsidRPr="00263DB9">
        <w:rPr>
          <w:b/>
          <w:color w:val="000000"/>
          <w:szCs w:val="22"/>
        </w:rPr>
        <w:tab/>
        <w:t>Interações medicamentosas e outras formas de interação</w:t>
      </w:r>
    </w:p>
    <w:p w14:paraId="375EAFC8" w14:textId="77777777" w:rsidR="00906898" w:rsidRPr="00263DB9" w:rsidRDefault="00906898" w:rsidP="00E51817">
      <w:pPr>
        <w:keepNext/>
        <w:widowControl w:val="0"/>
        <w:suppressAutoHyphens/>
        <w:rPr>
          <w:color w:val="000000"/>
          <w:szCs w:val="22"/>
        </w:rPr>
      </w:pPr>
    </w:p>
    <w:p w14:paraId="375EAFC9" w14:textId="77777777" w:rsidR="00906898" w:rsidRPr="00263DB9" w:rsidRDefault="00906898" w:rsidP="00E51817">
      <w:pPr>
        <w:keepNext/>
        <w:widowControl w:val="0"/>
        <w:suppressAutoHyphens/>
        <w:rPr>
          <w:color w:val="000000"/>
          <w:szCs w:val="22"/>
          <w:u w:val="single"/>
        </w:rPr>
      </w:pPr>
      <w:r w:rsidRPr="00263DB9">
        <w:rPr>
          <w:color w:val="000000"/>
          <w:szCs w:val="22"/>
          <w:u w:val="single"/>
        </w:rPr>
        <w:t xml:space="preserve">Substâncias ativas que podem </w:t>
      </w:r>
      <w:r w:rsidRPr="00263DB9">
        <w:rPr>
          <w:b/>
          <w:color w:val="000000"/>
          <w:szCs w:val="22"/>
          <w:u w:val="single"/>
        </w:rPr>
        <w:t>aumentar</w:t>
      </w:r>
      <w:r w:rsidRPr="00263DB9">
        <w:rPr>
          <w:color w:val="000000"/>
          <w:szCs w:val="22"/>
          <w:u w:val="single"/>
        </w:rPr>
        <w:t xml:space="preserve"> as concentrações plasmáticas de imatinib:</w:t>
      </w:r>
    </w:p>
    <w:p w14:paraId="375EAFCA" w14:textId="77777777" w:rsidR="00906898" w:rsidRPr="00263DB9" w:rsidRDefault="00906898" w:rsidP="00E51817">
      <w:pPr>
        <w:widowControl w:val="0"/>
        <w:suppressAutoHyphens/>
        <w:rPr>
          <w:color w:val="000000"/>
          <w:szCs w:val="22"/>
        </w:rPr>
      </w:pPr>
      <w:r w:rsidRPr="00263DB9">
        <w:rPr>
          <w:color w:val="000000"/>
          <w:szCs w:val="22"/>
        </w:rPr>
        <w:t xml:space="preserve">As substâncias que inibem a atividade da isoenzima CYP3A4 do citocromo P450 (por ex. </w:t>
      </w:r>
      <w:r w:rsidR="00817EAD" w:rsidRPr="00263DB9">
        <w:rPr>
          <w:color w:val="000000"/>
          <w:szCs w:val="22"/>
        </w:rPr>
        <w:t>inibidores da protease tais como indinavir, lopinavir/ritonavir, ritonavir, saquinavir, telaprevir, nelfinavir, b</w:t>
      </w:r>
      <w:r w:rsidR="00077F90" w:rsidRPr="00263DB9">
        <w:rPr>
          <w:color w:val="000000"/>
          <w:szCs w:val="22"/>
        </w:rPr>
        <w:t>o</w:t>
      </w:r>
      <w:r w:rsidR="00817EAD" w:rsidRPr="00263DB9">
        <w:rPr>
          <w:color w:val="000000"/>
          <w:szCs w:val="22"/>
        </w:rPr>
        <w:t>ceprevir</w:t>
      </w:r>
      <w:r w:rsidR="00A627D2" w:rsidRPr="00263DB9">
        <w:rPr>
          <w:color w:val="000000"/>
          <w:szCs w:val="22"/>
        </w:rPr>
        <w:t>;</w:t>
      </w:r>
      <w:r w:rsidR="00817EAD" w:rsidRPr="00263DB9">
        <w:rPr>
          <w:color w:val="000000"/>
          <w:szCs w:val="22"/>
        </w:rPr>
        <w:t xml:space="preserve"> antifúngicos azois incluindo </w:t>
      </w:r>
      <w:r w:rsidRPr="00263DB9">
        <w:rPr>
          <w:color w:val="000000"/>
          <w:szCs w:val="22"/>
        </w:rPr>
        <w:t xml:space="preserve">cetoconazol, itraconazol, </w:t>
      </w:r>
      <w:r w:rsidR="006F1974" w:rsidRPr="00263DB9">
        <w:rPr>
          <w:color w:val="000000"/>
          <w:szCs w:val="22"/>
        </w:rPr>
        <w:t xml:space="preserve">posaconazol, voriconazol; </w:t>
      </w:r>
      <w:r w:rsidR="00817EAD" w:rsidRPr="00263DB9">
        <w:rPr>
          <w:color w:val="000000"/>
          <w:szCs w:val="22"/>
        </w:rPr>
        <w:t xml:space="preserve">alguns macrólidos tais como </w:t>
      </w:r>
      <w:r w:rsidRPr="00263DB9">
        <w:rPr>
          <w:color w:val="000000"/>
          <w:szCs w:val="22"/>
        </w:rPr>
        <w:t>eritromicina, claritromicina</w:t>
      </w:r>
      <w:r w:rsidR="00817EAD" w:rsidRPr="00263DB9">
        <w:rPr>
          <w:color w:val="000000"/>
          <w:szCs w:val="22"/>
        </w:rPr>
        <w:t xml:space="preserve"> e telitromicina</w:t>
      </w:r>
      <w:r w:rsidRPr="00263DB9">
        <w:rPr>
          <w:color w:val="000000"/>
          <w:szCs w:val="22"/>
        </w:rPr>
        <w:t>) podem diminuir o metabolismo e aumentar as concentrações de imatinib. Houve um aumento significativo na exposição ao imatinib (a C</w:t>
      </w:r>
      <w:r w:rsidRPr="00263DB9">
        <w:rPr>
          <w:color w:val="000000"/>
          <w:szCs w:val="22"/>
          <w:vertAlign w:val="subscript"/>
        </w:rPr>
        <w:t>max</w:t>
      </w:r>
      <w:r w:rsidRPr="00263DB9">
        <w:rPr>
          <w:color w:val="000000"/>
          <w:szCs w:val="22"/>
        </w:rPr>
        <w:t xml:space="preserve"> e a AUC médias do imatinib aumentaram em 26% e 40%, respetivamente) em indivíduos saudáveis quando ele foi coadministrado com uma dose única de cetoconazole (um inibidor da CYP3A4). Devem ser tomadas precauções quando se administra Glivec com inibidores da família da CYP3A4.</w:t>
      </w:r>
    </w:p>
    <w:p w14:paraId="375EAFCB" w14:textId="77777777" w:rsidR="00906898" w:rsidRPr="00263DB9" w:rsidRDefault="00906898" w:rsidP="00E51817">
      <w:pPr>
        <w:widowControl w:val="0"/>
        <w:suppressAutoHyphens/>
        <w:rPr>
          <w:color w:val="000000"/>
          <w:szCs w:val="22"/>
        </w:rPr>
      </w:pPr>
    </w:p>
    <w:p w14:paraId="375EAFCC" w14:textId="77777777" w:rsidR="00906898" w:rsidRPr="00263DB9" w:rsidRDefault="00906898" w:rsidP="00E51817">
      <w:pPr>
        <w:keepNext/>
        <w:widowControl w:val="0"/>
        <w:suppressAutoHyphens/>
        <w:rPr>
          <w:color w:val="000000"/>
          <w:szCs w:val="22"/>
          <w:u w:val="single"/>
        </w:rPr>
      </w:pPr>
      <w:r w:rsidRPr="00263DB9">
        <w:rPr>
          <w:color w:val="000000"/>
          <w:szCs w:val="22"/>
          <w:u w:val="single"/>
        </w:rPr>
        <w:t xml:space="preserve">Substâncias ativas que podem </w:t>
      </w:r>
      <w:r w:rsidRPr="00263DB9">
        <w:rPr>
          <w:b/>
          <w:color w:val="000000"/>
          <w:szCs w:val="22"/>
          <w:u w:val="single"/>
        </w:rPr>
        <w:t>diminuir</w:t>
      </w:r>
      <w:r w:rsidRPr="00263DB9">
        <w:rPr>
          <w:color w:val="000000"/>
          <w:szCs w:val="22"/>
          <w:u w:val="single"/>
        </w:rPr>
        <w:t xml:space="preserve"> as concentrações plasmáticas de imatinib:</w:t>
      </w:r>
    </w:p>
    <w:p w14:paraId="375EAFCD" w14:textId="77777777" w:rsidR="00906898" w:rsidRPr="00263DB9" w:rsidRDefault="00906898" w:rsidP="00E51817">
      <w:pPr>
        <w:widowControl w:val="0"/>
        <w:suppressAutoHyphens/>
        <w:rPr>
          <w:color w:val="000000"/>
          <w:szCs w:val="22"/>
        </w:rPr>
      </w:pPr>
      <w:r w:rsidRPr="00263DB9">
        <w:rPr>
          <w:color w:val="000000"/>
          <w:szCs w:val="22"/>
        </w:rPr>
        <w:t xml:space="preserve">As substâncias que são indutoras da atividade da CYP3A4 (por ex. dexametasona, fenitoína, carbamazepina, rifampicina, fenobarbital, fosfenitoína, primidona ou </w:t>
      </w:r>
      <w:r w:rsidRPr="00263DB9">
        <w:rPr>
          <w:i/>
          <w:color w:val="000000"/>
          <w:szCs w:val="22"/>
        </w:rPr>
        <w:t>Hypericum perfuratum</w:t>
      </w:r>
      <w:r w:rsidRPr="00263DB9">
        <w:rPr>
          <w:color w:val="000000"/>
          <w:szCs w:val="22"/>
        </w:rPr>
        <w:t>, também conhecido como hipericão) podem reduzir significativamente a exposição a Glivec, aumentando potencialmente o risco de falência terapêutica. O tratamento prévio com doses múltiplas de 600 mg de rifampicina, seguido da administração de uma dose única de 400 mg de Glivec, resultou numa diminuição na C</w:t>
      </w:r>
      <w:r w:rsidRPr="00263DB9">
        <w:rPr>
          <w:color w:val="000000"/>
          <w:szCs w:val="22"/>
          <w:vertAlign w:val="subscript"/>
        </w:rPr>
        <w:t>max</w:t>
      </w:r>
      <w:r w:rsidRPr="00263DB9">
        <w:rPr>
          <w:color w:val="000000"/>
          <w:szCs w:val="22"/>
        </w:rPr>
        <w:t xml:space="preserve"> e na AUC</w:t>
      </w:r>
      <w:r w:rsidRPr="00263DB9">
        <w:rPr>
          <w:color w:val="000000"/>
          <w:szCs w:val="22"/>
          <w:vertAlign w:val="subscript"/>
        </w:rPr>
        <w:t>(0-</w:t>
      </w:r>
      <w:r w:rsidRPr="00263DB9">
        <w:rPr>
          <w:color w:val="000000"/>
          <w:szCs w:val="22"/>
          <w:vertAlign w:val="subscript"/>
        </w:rPr>
        <w:sym w:font="Symbol" w:char="F0A5"/>
      </w:r>
      <w:r w:rsidRPr="00263DB9">
        <w:rPr>
          <w:color w:val="000000"/>
          <w:szCs w:val="22"/>
          <w:vertAlign w:val="subscript"/>
        </w:rPr>
        <w:t>)</w:t>
      </w:r>
      <w:r w:rsidRPr="00263DB9">
        <w:rPr>
          <w:color w:val="000000"/>
          <w:szCs w:val="22"/>
        </w:rPr>
        <w:t xml:space="preserve"> de, pelo menos, 54% e 74% dos valores correspondentes obtidos na ausência de tratamento com rifampicina. Foram observados resultados semelhantes em doentes com gliomas malignos tratados com Glivec simultaneamente com fármacos anti-epilépticos indutores enzimáticos (EIAED), tais como carbamazepina, oxcarbazepina e fenitoína. A AUC plasmática do imatinib diminuiu em 73% comparativamente com doentes não tratados com EIAED. Deverá evitar-se a utilização concomitante de rifampicina, ou outros fortes indutores da CYP3A4, e imatinib.</w:t>
      </w:r>
    </w:p>
    <w:p w14:paraId="375EAFCE" w14:textId="77777777" w:rsidR="00906898" w:rsidRPr="00263DB9" w:rsidRDefault="00906898" w:rsidP="00E51817">
      <w:pPr>
        <w:widowControl w:val="0"/>
        <w:suppressAutoHyphens/>
        <w:rPr>
          <w:color w:val="000000"/>
          <w:szCs w:val="22"/>
        </w:rPr>
      </w:pPr>
    </w:p>
    <w:p w14:paraId="375EAFCF" w14:textId="77777777" w:rsidR="00906898" w:rsidRPr="00263DB9" w:rsidRDefault="00906898" w:rsidP="00E51817">
      <w:pPr>
        <w:pStyle w:val="Heading5"/>
        <w:widowControl w:val="0"/>
        <w:rPr>
          <w:color w:val="000000"/>
          <w:szCs w:val="22"/>
        </w:rPr>
      </w:pPr>
      <w:r w:rsidRPr="00263DB9">
        <w:rPr>
          <w:color w:val="000000"/>
          <w:szCs w:val="22"/>
        </w:rPr>
        <w:t>Substâncias ativas cuja concentração plasmática pode ser alterada pelo Glivec</w:t>
      </w:r>
    </w:p>
    <w:p w14:paraId="375EAFD0" w14:textId="77777777" w:rsidR="00906898" w:rsidRPr="00263DB9" w:rsidRDefault="00906898" w:rsidP="00E51817">
      <w:pPr>
        <w:widowControl w:val="0"/>
        <w:suppressAutoHyphens/>
        <w:rPr>
          <w:color w:val="000000"/>
          <w:szCs w:val="22"/>
        </w:rPr>
      </w:pPr>
      <w:r w:rsidRPr="00263DB9">
        <w:rPr>
          <w:color w:val="000000"/>
          <w:szCs w:val="22"/>
        </w:rPr>
        <w:t>O imatinib aumenta a C</w:t>
      </w:r>
      <w:r w:rsidRPr="00263DB9">
        <w:rPr>
          <w:color w:val="000000"/>
          <w:szCs w:val="22"/>
          <w:vertAlign w:val="subscript"/>
        </w:rPr>
        <w:t>max</w:t>
      </w:r>
      <w:r w:rsidRPr="00263DB9">
        <w:rPr>
          <w:color w:val="000000"/>
          <w:szCs w:val="22"/>
        </w:rPr>
        <w:t xml:space="preserve"> e a AUC da simvastatina (substrato da CYP3A4) em 2 e 3,5 vezes, respetivamente, indicando uma inibição da CYP3A4 pelo imatinib. Como tal, é recomendada precaução quando se administra Glivec com substratos da CYP3A4 com uma janela terapêutica estreita (por ex. ciclosporina</w:t>
      </w:r>
      <w:r w:rsidR="00817EAD" w:rsidRPr="00263DB9">
        <w:rPr>
          <w:color w:val="000000"/>
          <w:szCs w:val="22"/>
        </w:rPr>
        <w:t>,</w:t>
      </w:r>
      <w:r w:rsidRPr="00263DB9">
        <w:rPr>
          <w:color w:val="000000"/>
          <w:szCs w:val="22"/>
        </w:rPr>
        <w:t xml:space="preserve"> pimozida</w:t>
      </w:r>
      <w:r w:rsidR="00817EAD" w:rsidRPr="00263DB9">
        <w:rPr>
          <w:color w:val="000000"/>
          <w:szCs w:val="22"/>
        </w:rPr>
        <w:t>, tacr</w:t>
      </w:r>
      <w:r w:rsidR="006F1974" w:rsidRPr="00263DB9">
        <w:rPr>
          <w:color w:val="000000"/>
          <w:szCs w:val="22"/>
        </w:rPr>
        <w:t>o</w:t>
      </w:r>
      <w:r w:rsidR="00817EAD" w:rsidRPr="00263DB9">
        <w:rPr>
          <w:color w:val="000000"/>
          <w:szCs w:val="22"/>
        </w:rPr>
        <w:t>l</w:t>
      </w:r>
      <w:r w:rsidR="006F1974" w:rsidRPr="00263DB9">
        <w:rPr>
          <w:color w:val="000000"/>
          <w:szCs w:val="22"/>
        </w:rPr>
        <w:t>í</w:t>
      </w:r>
      <w:r w:rsidR="00817EAD" w:rsidRPr="00263DB9">
        <w:rPr>
          <w:color w:val="000000"/>
          <w:szCs w:val="22"/>
        </w:rPr>
        <w:t>mus, sir</w:t>
      </w:r>
      <w:r w:rsidR="006F1974" w:rsidRPr="00263DB9">
        <w:rPr>
          <w:color w:val="000000"/>
          <w:szCs w:val="22"/>
        </w:rPr>
        <w:t>o</w:t>
      </w:r>
      <w:r w:rsidR="00817EAD" w:rsidRPr="00263DB9">
        <w:rPr>
          <w:color w:val="000000"/>
          <w:szCs w:val="22"/>
        </w:rPr>
        <w:t>l</w:t>
      </w:r>
      <w:r w:rsidR="006F1974" w:rsidRPr="00263DB9">
        <w:rPr>
          <w:color w:val="000000"/>
          <w:szCs w:val="22"/>
        </w:rPr>
        <w:t>í</w:t>
      </w:r>
      <w:r w:rsidR="00817EAD" w:rsidRPr="00263DB9">
        <w:rPr>
          <w:color w:val="000000"/>
          <w:szCs w:val="22"/>
        </w:rPr>
        <w:t>mus, ergotamina, diergotamina, fentanil, alfentanil, terfenadina, bortezomib, docetaxel e quinidina</w:t>
      </w:r>
      <w:r w:rsidRPr="00263DB9">
        <w:rPr>
          <w:color w:val="000000"/>
          <w:szCs w:val="22"/>
        </w:rPr>
        <w:t>). Glivec pode aumentar as concentrações plasmáticas de outros fármacos metabolizados pela CYP3A4 (por ex. triazolo-benzodiazepinas, bloqueadores dos canais de cálcio dihidropiridinicos, determinados inibidores da redutase da HMG-CoA, i.e. estatinas, etc.).</w:t>
      </w:r>
    </w:p>
    <w:p w14:paraId="375EAFD1" w14:textId="77777777" w:rsidR="00906898" w:rsidRPr="00263DB9" w:rsidRDefault="00906898" w:rsidP="00E51817">
      <w:pPr>
        <w:widowControl w:val="0"/>
        <w:suppressAutoHyphens/>
        <w:rPr>
          <w:color w:val="000000"/>
          <w:szCs w:val="22"/>
        </w:rPr>
      </w:pPr>
    </w:p>
    <w:p w14:paraId="375EAFD2" w14:textId="77777777" w:rsidR="00906898" w:rsidRPr="00263DB9" w:rsidRDefault="00325FD6" w:rsidP="00E51817">
      <w:pPr>
        <w:widowControl w:val="0"/>
        <w:suppressAutoHyphens/>
        <w:rPr>
          <w:color w:val="000000"/>
          <w:szCs w:val="22"/>
        </w:rPr>
      </w:pPr>
      <w:r w:rsidRPr="00263DB9">
        <w:rPr>
          <w:color w:val="000000"/>
          <w:szCs w:val="22"/>
        </w:rPr>
        <w:t>Devido ao risco aumentado de sangramento associado com a utilização de imatinib (por ex</w:t>
      </w:r>
      <w:r w:rsidR="00610D32" w:rsidRPr="00263DB9">
        <w:rPr>
          <w:color w:val="000000"/>
          <w:szCs w:val="22"/>
        </w:rPr>
        <w:t>.</w:t>
      </w:r>
      <w:r w:rsidRPr="00263DB9">
        <w:rPr>
          <w:color w:val="000000"/>
          <w:szCs w:val="22"/>
        </w:rPr>
        <w:t xml:space="preserve"> hemorragia),</w:t>
      </w:r>
      <w:r w:rsidR="00906898" w:rsidRPr="00263DB9">
        <w:rPr>
          <w:color w:val="000000"/>
          <w:szCs w:val="22"/>
        </w:rPr>
        <w:t xml:space="preserve"> doentes que necessitem </w:t>
      </w:r>
      <w:r w:rsidRPr="00263DB9">
        <w:rPr>
          <w:color w:val="000000"/>
          <w:szCs w:val="22"/>
        </w:rPr>
        <w:t xml:space="preserve">de </w:t>
      </w:r>
      <w:r w:rsidR="00906898" w:rsidRPr="00263DB9">
        <w:rPr>
          <w:color w:val="000000"/>
          <w:szCs w:val="22"/>
        </w:rPr>
        <w:t>terapêutica anticoagulante deverão ser tratados com heparinas de baixo peso molecular ou heparinas padrão</w:t>
      </w:r>
      <w:r w:rsidR="006F1974" w:rsidRPr="00263DB9">
        <w:rPr>
          <w:color w:val="000000"/>
          <w:szCs w:val="22"/>
        </w:rPr>
        <w:t>,</w:t>
      </w:r>
      <w:r w:rsidR="00817EAD" w:rsidRPr="00263DB9">
        <w:rPr>
          <w:color w:val="000000"/>
          <w:szCs w:val="22"/>
        </w:rPr>
        <w:t xml:space="preserve"> em vez de derivados cumarínicos </w:t>
      </w:r>
      <w:r w:rsidRPr="00263DB9">
        <w:rPr>
          <w:color w:val="000000"/>
          <w:szCs w:val="22"/>
        </w:rPr>
        <w:t>tais como a varfarina</w:t>
      </w:r>
      <w:r w:rsidR="00906898" w:rsidRPr="00263DB9">
        <w:rPr>
          <w:color w:val="000000"/>
          <w:szCs w:val="22"/>
        </w:rPr>
        <w:t>.</w:t>
      </w:r>
    </w:p>
    <w:p w14:paraId="375EAFD3" w14:textId="77777777" w:rsidR="00906898" w:rsidRPr="00263DB9" w:rsidRDefault="00906898" w:rsidP="00E51817">
      <w:pPr>
        <w:widowControl w:val="0"/>
        <w:suppressAutoHyphens/>
        <w:rPr>
          <w:i/>
          <w:color w:val="000000"/>
          <w:szCs w:val="22"/>
        </w:rPr>
      </w:pPr>
    </w:p>
    <w:p w14:paraId="375EAFD4" w14:textId="77777777" w:rsidR="00906898" w:rsidRPr="00263DB9" w:rsidRDefault="00906898" w:rsidP="00E51817">
      <w:pPr>
        <w:widowControl w:val="0"/>
        <w:suppressAutoHyphens/>
        <w:rPr>
          <w:color w:val="000000"/>
          <w:szCs w:val="22"/>
        </w:rPr>
      </w:pPr>
      <w:r w:rsidRPr="00263DB9">
        <w:rPr>
          <w:i/>
          <w:color w:val="000000"/>
          <w:szCs w:val="22"/>
        </w:rPr>
        <w:t>In vitro</w:t>
      </w:r>
      <w:r w:rsidRPr="00263DB9">
        <w:rPr>
          <w:color w:val="000000"/>
          <w:szCs w:val="22"/>
        </w:rPr>
        <w:t>, o Glivec inibe a atividade da isoenzima CYP2D6 do citocromo P450 em concentrações semelhantes às que afetam a atividade da CYP3A4. O imatinib, em doses de 400</w:t>
      </w:r>
      <w:r w:rsidRPr="00263DB9">
        <w:rPr>
          <w:color w:val="000000"/>
        </w:rPr>
        <w:t> mg duas vezes por dia, teve um efeito inibitório sobre o metabolismo do metoprolol mediado pela CYP2D6, com as C</w:t>
      </w:r>
      <w:r w:rsidRPr="00263DB9">
        <w:rPr>
          <w:color w:val="000000"/>
          <w:vertAlign w:val="subscript"/>
        </w:rPr>
        <w:t>max</w:t>
      </w:r>
      <w:r w:rsidRPr="00263DB9">
        <w:rPr>
          <w:color w:val="000000"/>
        </w:rPr>
        <w:t xml:space="preserve"> e AUC do metoprolol a aumentarem aproximadamente 23% (90% IC [1,16</w:t>
      </w:r>
      <w:r w:rsidRPr="00263DB9">
        <w:rPr>
          <w:color w:val="000000"/>
        </w:rPr>
        <w:noBreakHyphen/>
        <w:t>1,30]). Não parecem ser necessários ajustes de dose quando o imatinib é coadministrado com substratos da CYP2D6; no entanto, recomenda-se precaução em caso de substratos da CYP2D6 com uma janela terapêutica estreita como o metoprolol. Deve ser considerada monitorização clínica em doentes tratados com metoprolol.</w:t>
      </w:r>
    </w:p>
    <w:p w14:paraId="375EAFD5" w14:textId="77777777" w:rsidR="00906898" w:rsidRPr="00263DB9" w:rsidRDefault="00906898" w:rsidP="00E51817">
      <w:pPr>
        <w:widowControl w:val="0"/>
        <w:suppressAutoHyphens/>
        <w:rPr>
          <w:color w:val="000000"/>
          <w:szCs w:val="22"/>
        </w:rPr>
      </w:pPr>
    </w:p>
    <w:p w14:paraId="375EAFD6" w14:textId="77777777" w:rsidR="00906898" w:rsidRPr="00263DB9" w:rsidRDefault="00906898" w:rsidP="00E51817">
      <w:pPr>
        <w:widowControl w:val="0"/>
        <w:suppressAutoHyphens/>
        <w:rPr>
          <w:color w:val="000000"/>
          <w:szCs w:val="22"/>
        </w:rPr>
      </w:pPr>
      <w:r w:rsidRPr="00263DB9">
        <w:rPr>
          <w:color w:val="000000"/>
          <w:szCs w:val="22"/>
        </w:rPr>
        <w:t xml:space="preserve">Glivec inibe a o-glucoronidação do paracetamol </w:t>
      </w:r>
      <w:r w:rsidRPr="00263DB9">
        <w:rPr>
          <w:i/>
          <w:color w:val="000000"/>
          <w:szCs w:val="22"/>
        </w:rPr>
        <w:t>in vitro</w:t>
      </w:r>
      <w:r w:rsidRPr="00263DB9">
        <w:rPr>
          <w:color w:val="000000"/>
          <w:szCs w:val="22"/>
        </w:rPr>
        <w:t xml:space="preserve"> com Ki de 58,5 micromol/l. </w:t>
      </w:r>
      <w:r w:rsidRPr="00263DB9">
        <w:rPr>
          <w:color w:val="000000"/>
        </w:rPr>
        <w:t xml:space="preserve">Esta inibição não foi observada </w:t>
      </w:r>
      <w:r w:rsidRPr="00263DB9">
        <w:rPr>
          <w:i/>
          <w:color w:val="000000"/>
        </w:rPr>
        <w:t>in vivo</w:t>
      </w:r>
      <w:r w:rsidRPr="00263DB9">
        <w:rPr>
          <w:color w:val="000000"/>
        </w:rPr>
        <w:t xml:space="preserve"> após a administração de Glivec 400 mg e de paracetamol </w:t>
      </w:r>
      <w:r w:rsidRPr="00263DB9">
        <w:rPr>
          <w:iCs/>
          <w:color w:val="000000"/>
          <w:szCs w:val="22"/>
        </w:rPr>
        <w:t>1000 mg</w:t>
      </w:r>
      <w:r w:rsidRPr="00263DB9">
        <w:rPr>
          <w:color w:val="000000"/>
        </w:rPr>
        <w:t>. Não foram estudadas doses mais elevadas de Glivec e paracetamol.</w:t>
      </w:r>
    </w:p>
    <w:p w14:paraId="375EAFD7" w14:textId="77777777" w:rsidR="00906898" w:rsidRPr="00263DB9" w:rsidRDefault="00906898" w:rsidP="00E51817">
      <w:pPr>
        <w:widowControl w:val="0"/>
        <w:suppressAutoHyphens/>
        <w:rPr>
          <w:color w:val="000000"/>
          <w:szCs w:val="22"/>
        </w:rPr>
      </w:pPr>
    </w:p>
    <w:p w14:paraId="375EAFD8" w14:textId="77777777" w:rsidR="00906898" w:rsidRPr="00263DB9" w:rsidRDefault="00906898" w:rsidP="00E51817">
      <w:pPr>
        <w:widowControl w:val="0"/>
        <w:suppressAutoHyphens/>
        <w:rPr>
          <w:color w:val="000000"/>
          <w:szCs w:val="22"/>
        </w:rPr>
      </w:pPr>
      <w:r w:rsidRPr="00263DB9">
        <w:rPr>
          <w:color w:val="000000"/>
          <w:szCs w:val="22"/>
        </w:rPr>
        <w:t>Recomenda-se, portanto, precaução na utilização concomitante de doses elevadas de Glivec e paracetamol.</w:t>
      </w:r>
    </w:p>
    <w:p w14:paraId="375EAFD9" w14:textId="77777777" w:rsidR="00906898" w:rsidRPr="00263DB9" w:rsidRDefault="00906898" w:rsidP="00E51817">
      <w:pPr>
        <w:widowControl w:val="0"/>
        <w:suppressAutoHyphens/>
        <w:rPr>
          <w:color w:val="000000"/>
          <w:szCs w:val="22"/>
        </w:rPr>
      </w:pPr>
    </w:p>
    <w:p w14:paraId="375EAFDA" w14:textId="77777777" w:rsidR="00906898" w:rsidRPr="00263DB9" w:rsidRDefault="00906898" w:rsidP="00E51817">
      <w:pPr>
        <w:widowControl w:val="0"/>
        <w:suppressAutoHyphens/>
        <w:rPr>
          <w:color w:val="000000"/>
          <w:szCs w:val="22"/>
        </w:rPr>
      </w:pPr>
      <w:r w:rsidRPr="00263DB9">
        <w:rPr>
          <w:color w:val="000000"/>
          <w:szCs w:val="22"/>
        </w:rPr>
        <w:t xml:space="preserve">Em doentes que sofreram tiroidectomia a receber levotiroxina, a exposição plasmática à levotiroxina </w:t>
      </w:r>
      <w:r w:rsidRPr="00263DB9">
        <w:rPr>
          <w:color w:val="000000"/>
          <w:szCs w:val="22"/>
        </w:rPr>
        <w:lastRenderedPageBreak/>
        <w:t>pode ser diminuída quando se coadministra Glivec (ver secção 4.4). Recomenda-se, portanto, precaução. No entanto, o mecanismo da interação observada é atualmente desconhecido.</w:t>
      </w:r>
    </w:p>
    <w:p w14:paraId="375EAFDB" w14:textId="77777777" w:rsidR="00906898" w:rsidRPr="00263DB9" w:rsidRDefault="00906898" w:rsidP="00E51817">
      <w:pPr>
        <w:widowControl w:val="0"/>
        <w:suppressAutoHyphens/>
        <w:rPr>
          <w:color w:val="000000"/>
          <w:szCs w:val="22"/>
        </w:rPr>
      </w:pPr>
    </w:p>
    <w:p w14:paraId="375EAFDC" w14:textId="77777777" w:rsidR="00906898" w:rsidRPr="00263DB9" w:rsidRDefault="00906898" w:rsidP="00E51817">
      <w:pPr>
        <w:widowControl w:val="0"/>
        <w:suppressAutoHyphens/>
        <w:rPr>
          <w:color w:val="000000"/>
          <w:szCs w:val="22"/>
        </w:rPr>
      </w:pPr>
      <w:r w:rsidRPr="00263DB9">
        <w:rPr>
          <w:color w:val="000000"/>
          <w:szCs w:val="22"/>
        </w:rPr>
        <w:t>Em doentes LLA Ph+, existe experiência clínica na coadministração de Glivec com quimioterapia (ver secção 5.1), mas as interações fármaco-fármaco entre imatinib e os regimes de quimioterapia não estão bem caracterizadas. As reações adversas de imatinib, i.e. hepatotoxicidade, mielosupressão ou outras, podem aumentar e foi notificado que o uso concomitante de L-asparaginase pode estar associado com o aumento de hepatotoxicidade (ver secção 4.8). Como tal, a utilização concomitante com Glivec requer uma precaução especial.</w:t>
      </w:r>
    </w:p>
    <w:p w14:paraId="375EAFDD" w14:textId="77777777" w:rsidR="00906898" w:rsidRPr="00263DB9" w:rsidRDefault="00906898" w:rsidP="00E51817">
      <w:pPr>
        <w:widowControl w:val="0"/>
        <w:suppressAutoHyphens/>
        <w:rPr>
          <w:color w:val="000000"/>
          <w:szCs w:val="22"/>
        </w:rPr>
      </w:pPr>
    </w:p>
    <w:p w14:paraId="375EAFDE" w14:textId="77777777" w:rsidR="00906898" w:rsidRPr="00263DB9" w:rsidRDefault="00906898" w:rsidP="00E51817">
      <w:pPr>
        <w:keepNext/>
        <w:widowControl w:val="0"/>
        <w:suppressAutoHyphens/>
        <w:rPr>
          <w:b/>
          <w:color w:val="000000"/>
          <w:szCs w:val="22"/>
        </w:rPr>
      </w:pPr>
      <w:r w:rsidRPr="00263DB9">
        <w:rPr>
          <w:b/>
          <w:color w:val="000000"/>
          <w:szCs w:val="22"/>
        </w:rPr>
        <w:t>4.6</w:t>
      </w:r>
      <w:r w:rsidRPr="00263DB9">
        <w:rPr>
          <w:b/>
          <w:color w:val="000000"/>
          <w:szCs w:val="22"/>
        </w:rPr>
        <w:tab/>
        <w:t>Fertilidade, gravidez e aleitamento</w:t>
      </w:r>
    </w:p>
    <w:p w14:paraId="375EAFDF" w14:textId="77777777" w:rsidR="00906898" w:rsidRPr="00263DB9" w:rsidRDefault="00906898" w:rsidP="00E51817">
      <w:pPr>
        <w:pStyle w:val="EndnoteText"/>
        <w:keepNext/>
        <w:tabs>
          <w:tab w:val="clear" w:pos="567"/>
        </w:tabs>
        <w:suppressAutoHyphens/>
        <w:rPr>
          <w:color w:val="000000"/>
          <w:szCs w:val="22"/>
        </w:rPr>
      </w:pPr>
    </w:p>
    <w:p w14:paraId="375EAFE0" w14:textId="77777777" w:rsidR="00327B39" w:rsidRPr="00263DB9" w:rsidRDefault="00327B39" w:rsidP="00E51817">
      <w:pPr>
        <w:keepNext/>
        <w:widowControl w:val="0"/>
        <w:suppressAutoHyphens/>
        <w:rPr>
          <w:color w:val="000000"/>
          <w:szCs w:val="22"/>
          <w:u w:val="single"/>
        </w:rPr>
      </w:pPr>
      <w:r w:rsidRPr="00263DB9">
        <w:rPr>
          <w:color w:val="000000"/>
          <w:szCs w:val="22"/>
          <w:u w:val="single"/>
        </w:rPr>
        <w:t>Mulheres com potencial para engravidar</w:t>
      </w:r>
    </w:p>
    <w:p w14:paraId="375EAFE1" w14:textId="77777777" w:rsidR="00327B39" w:rsidRPr="00263DB9" w:rsidRDefault="00327B39" w:rsidP="00E51817">
      <w:pPr>
        <w:widowControl w:val="0"/>
        <w:suppressAutoHyphens/>
        <w:rPr>
          <w:color w:val="000000"/>
          <w:szCs w:val="22"/>
        </w:rPr>
      </w:pPr>
      <w:r w:rsidRPr="00263DB9">
        <w:rPr>
          <w:color w:val="000000"/>
          <w:szCs w:val="22"/>
        </w:rPr>
        <w:t xml:space="preserve">As mulheres </w:t>
      </w:r>
      <w:r w:rsidRPr="00263DB9">
        <w:t>com potencial para</w:t>
      </w:r>
      <w:r w:rsidRPr="00263DB9">
        <w:rPr>
          <w:color w:val="000000"/>
          <w:szCs w:val="22"/>
        </w:rPr>
        <w:t xml:space="preserve"> engravidar deverão ser aconselhadas a utilizar métodos contracetivos eficazes durante o tratamento</w:t>
      </w:r>
      <w:r w:rsidR="00E02149" w:rsidRPr="00263DB9">
        <w:rPr>
          <w:color w:val="000000"/>
          <w:szCs w:val="22"/>
        </w:rPr>
        <w:t xml:space="preserve"> e durante pelo menos 15 dias após parar o tratamento com Glivec</w:t>
      </w:r>
      <w:r w:rsidRPr="00263DB9">
        <w:rPr>
          <w:color w:val="000000"/>
          <w:szCs w:val="22"/>
        </w:rPr>
        <w:t>.</w:t>
      </w:r>
    </w:p>
    <w:p w14:paraId="375EAFE2" w14:textId="77777777" w:rsidR="00327B39" w:rsidRPr="00263DB9" w:rsidRDefault="00327B39" w:rsidP="00E51817">
      <w:pPr>
        <w:pStyle w:val="EndnoteText"/>
        <w:tabs>
          <w:tab w:val="clear" w:pos="567"/>
        </w:tabs>
        <w:suppressAutoHyphens/>
        <w:rPr>
          <w:color w:val="000000"/>
          <w:szCs w:val="22"/>
        </w:rPr>
      </w:pPr>
    </w:p>
    <w:p w14:paraId="375EAFE3" w14:textId="77777777" w:rsidR="00906898" w:rsidRPr="00263DB9" w:rsidRDefault="00906898" w:rsidP="00E51817">
      <w:pPr>
        <w:keepNext/>
        <w:widowControl w:val="0"/>
        <w:suppressAutoHyphens/>
        <w:rPr>
          <w:color w:val="000000"/>
          <w:szCs w:val="22"/>
        </w:rPr>
      </w:pPr>
      <w:r w:rsidRPr="00263DB9">
        <w:rPr>
          <w:color w:val="000000"/>
          <w:szCs w:val="22"/>
          <w:u w:val="single"/>
        </w:rPr>
        <w:t>Gravidez</w:t>
      </w:r>
    </w:p>
    <w:p w14:paraId="375EAFE4" w14:textId="77777777" w:rsidR="00906898" w:rsidRPr="00263DB9" w:rsidRDefault="00906898" w:rsidP="00E51817">
      <w:pPr>
        <w:widowControl w:val="0"/>
        <w:suppressAutoHyphens/>
        <w:rPr>
          <w:color w:val="000000"/>
          <w:szCs w:val="22"/>
        </w:rPr>
      </w:pPr>
      <w:r w:rsidRPr="00263DB9">
        <w:rPr>
          <w:color w:val="000000"/>
          <w:szCs w:val="22"/>
        </w:rPr>
        <w:t xml:space="preserve">Existem dados limitados sobre a utilização de imatinib em mulheres grávidas. </w:t>
      </w:r>
      <w:r w:rsidR="00CF7AF5" w:rsidRPr="00263DB9">
        <w:rPr>
          <w:color w:val="000000"/>
          <w:szCs w:val="22"/>
        </w:rPr>
        <w:t xml:space="preserve">Tem havido notificações pós-comercialização de abortos espontâneos e anomalias congénitas em recém-nascidos em mulheres que tonaram Glivec. </w:t>
      </w:r>
      <w:r w:rsidRPr="00263DB9">
        <w:rPr>
          <w:color w:val="000000"/>
          <w:szCs w:val="22"/>
        </w:rPr>
        <w:t>Contudo, estudos em animais revelaram toxicidade reprodutiva (ver secção 5.3) desconhecendo-se o risco potencial para o feto. Glivec não deve ser utilizado durante a gravidez a menos que tal seja claramente necessário. Se for utilizado durante a gravidez, a doente deve ser informada do risco potencial para o feto.</w:t>
      </w:r>
    </w:p>
    <w:p w14:paraId="375EAFE5" w14:textId="77777777" w:rsidR="00906898" w:rsidRPr="00263DB9" w:rsidRDefault="00906898" w:rsidP="00E51817">
      <w:pPr>
        <w:widowControl w:val="0"/>
        <w:suppressAutoHyphens/>
        <w:rPr>
          <w:color w:val="000000"/>
          <w:szCs w:val="22"/>
        </w:rPr>
      </w:pPr>
    </w:p>
    <w:p w14:paraId="375EAFE6" w14:textId="77777777" w:rsidR="00906898" w:rsidRPr="00263DB9" w:rsidRDefault="00906898" w:rsidP="00E51817">
      <w:pPr>
        <w:keepNext/>
        <w:widowControl w:val="0"/>
        <w:suppressAutoHyphens/>
        <w:rPr>
          <w:color w:val="000000"/>
          <w:szCs w:val="22"/>
        </w:rPr>
      </w:pPr>
      <w:r w:rsidRPr="00263DB9">
        <w:rPr>
          <w:color w:val="000000"/>
          <w:szCs w:val="22"/>
          <w:u w:val="single"/>
        </w:rPr>
        <w:t>Amamentação</w:t>
      </w:r>
    </w:p>
    <w:p w14:paraId="375EAFE7" w14:textId="184E13B8" w:rsidR="00906898" w:rsidRPr="00263DB9" w:rsidRDefault="00906898" w:rsidP="00E51817">
      <w:pPr>
        <w:widowControl w:val="0"/>
        <w:suppressAutoHyphens/>
        <w:rPr>
          <w:color w:val="000000"/>
          <w:szCs w:val="22"/>
        </w:rPr>
      </w:pPr>
      <w:r w:rsidRPr="00263DB9">
        <w:rPr>
          <w:color w:val="000000"/>
          <w:szCs w:val="22"/>
        </w:rPr>
        <w:t>A informação sobre a distribuição de imatinib no leite humano é limitada. Estudos realizados em duas mulheres a amamentar revelaram que tanto o imatinib como o seu metabolito ativo podem ser distribuídos no leite humano. A razão leite plasma, estudada num único doente, determinou-se ser 0,5 para o imatinib e 0,9 para o metabolito, sugerindo maior distribuição do metabolito no leite. Considerando a concentração combinada de imatinib e do metabolito e a ingestão máxima diária de leite por crianças, a exposição total seria, expectavelmente, baixa (~10% de uma dose terapêutica). No entanto, uma vez que os efeitos da exposição de lactentes a baixas doses de imatinib são desconhecidos, as mulheres não devem amamentar</w:t>
      </w:r>
      <w:r w:rsidR="00E02149" w:rsidRPr="00263DB9">
        <w:rPr>
          <w:color w:val="000000"/>
          <w:szCs w:val="22"/>
        </w:rPr>
        <w:t xml:space="preserve"> durante o tratamento e durante </w:t>
      </w:r>
      <w:r w:rsidR="002405D7" w:rsidRPr="00263DB9">
        <w:rPr>
          <w:color w:val="000000"/>
          <w:szCs w:val="22"/>
        </w:rPr>
        <w:t xml:space="preserve">pelo menos </w:t>
      </w:r>
      <w:r w:rsidR="00E02149" w:rsidRPr="00263DB9">
        <w:rPr>
          <w:color w:val="000000"/>
          <w:szCs w:val="22"/>
        </w:rPr>
        <w:t>15 dias após parar o tratamento com Glivec</w:t>
      </w:r>
      <w:r w:rsidRPr="00263DB9">
        <w:rPr>
          <w:color w:val="000000"/>
          <w:szCs w:val="22"/>
        </w:rPr>
        <w:t>.</w:t>
      </w:r>
    </w:p>
    <w:p w14:paraId="375EAFE8" w14:textId="77777777" w:rsidR="00906898" w:rsidRPr="00263DB9" w:rsidRDefault="00906898" w:rsidP="00E51817">
      <w:pPr>
        <w:widowControl w:val="0"/>
        <w:suppressAutoHyphens/>
        <w:rPr>
          <w:color w:val="000000"/>
          <w:szCs w:val="22"/>
        </w:rPr>
      </w:pPr>
    </w:p>
    <w:p w14:paraId="375EAFE9" w14:textId="77777777" w:rsidR="00906898" w:rsidRPr="00263DB9" w:rsidRDefault="00906898" w:rsidP="00E51817">
      <w:pPr>
        <w:keepNext/>
        <w:widowControl w:val="0"/>
        <w:suppressAutoHyphens/>
        <w:rPr>
          <w:u w:val="single"/>
        </w:rPr>
      </w:pPr>
      <w:r w:rsidRPr="00263DB9">
        <w:rPr>
          <w:u w:val="single"/>
        </w:rPr>
        <w:t>Fertilidade</w:t>
      </w:r>
    </w:p>
    <w:p w14:paraId="375EAFEA" w14:textId="77777777" w:rsidR="00906898" w:rsidRPr="00263DB9" w:rsidRDefault="00906898" w:rsidP="00E51817">
      <w:pPr>
        <w:widowControl w:val="0"/>
        <w:suppressAutoHyphens/>
        <w:rPr>
          <w:color w:val="000000"/>
          <w:szCs w:val="22"/>
        </w:rPr>
      </w:pPr>
      <w:r w:rsidRPr="00263DB9">
        <w:t>Em estudos não clínicos, a fertilidade de ratos machos e fêmeas não foi afetada</w:t>
      </w:r>
      <w:r w:rsidR="00691B37" w:rsidRPr="00263DB9">
        <w:t>, apesar de terem sido observados efeitos sobre os parâmetros reprodutivos</w:t>
      </w:r>
      <w:r w:rsidRPr="00263DB9">
        <w:t xml:space="preserve"> (ver secção 5.3). Não foram realizados estudos em doentes a receber Glivec e o seu efeito na fertilidade e gametogénese. Durante o tratamento com Glivec, os doentes preocupados com a sua fertilidade devem consultar o seu médico.</w:t>
      </w:r>
    </w:p>
    <w:p w14:paraId="375EAFEB" w14:textId="77777777" w:rsidR="00906898" w:rsidRPr="00263DB9" w:rsidRDefault="00906898" w:rsidP="00E51817">
      <w:pPr>
        <w:widowControl w:val="0"/>
        <w:suppressAutoHyphens/>
        <w:rPr>
          <w:color w:val="000000"/>
          <w:szCs w:val="22"/>
        </w:rPr>
      </w:pPr>
    </w:p>
    <w:p w14:paraId="375EAFEC" w14:textId="77777777" w:rsidR="00906898" w:rsidRPr="00263DB9" w:rsidRDefault="00906898" w:rsidP="00E51817">
      <w:pPr>
        <w:keepNext/>
        <w:widowControl w:val="0"/>
        <w:suppressAutoHyphens/>
        <w:rPr>
          <w:b/>
          <w:color w:val="000000"/>
          <w:szCs w:val="22"/>
        </w:rPr>
      </w:pPr>
      <w:r w:rsidRPr="00263DB9">
        <w:rPr>
          <w:b/>
          <w:color w:val="000000"/>
          <w:szCs w:val="22"/>
        </w:rPr>
        <w:t>4.7</w:t>
      </w:r>
      <w:r w:rsidRPr="00263DB9">
        <w:rPr>
          <w:b/>
          <w:color w:val="000000"/>
          <w:szCs w:val="22"/>
        </w:rPr>
        <w:tab/>
        <w:t>Efeitos sobre a capacidade de conduzir e utilizar máquinas</w:t>
      </w:r>
    </w:p>
    <w:p w14:paraId="375EAFED" w14:textId="77777777" w:rsidR="00906898" w:rsidRPr="00263DB9" w:rsidRDefault="00906898" w:rsidP="00E51817">
      <w:pPr>
        <w:keepNext/>
        <w:widowControl w:val="0"/>
        <w:suppressAutoHyphens/>
        <w:rPr>
          <w:color w:val="000000"/>
          <w:szCs w:val="22"/>
        </w:rPr>
      </w:pPr>
    </w:p>
    <w:p w14:paraId="375EAFEE" w14:textId="77777777" w:rsidR="00906898" w:rsidRPr="00263DB9" w:rsidRDefault="00906898" w:rsidP="00E51817">
      <w:pPr>
        <w:widowControl w:val="0"/>
        <w:suppressAutoHyphens/>
        <w:rPr>
          <w:snapToGrid w:val="0"/>
          <w:color w:val="000000"/>
          <w:szCs w:val="22"/>
        </w:rPr>
      </w:pPr>
      <w:r w:rsidRPr="00263DB9">
        <w:rPr>
          <w:snapToGrid w:val="0"/>
          <w:color w:val="000000"/>
          <w:szCs w:val="22"/>
        </w:rPr>
        <w:t>Os doentes deverão ser alertados para a possibilidade de ocorrerem efeitos indesejáveis tais como tonturas, perturbações da visão ou sonolência durante o tratamento com imatinib. Portanto, deverá recomendar-se precaução na condução de veículos ou utilização de máquinas.</w:t>
      </w:r>
    </w:p>
    <w:p w14:paraId="375EAFEF" w14:textId="77777777" w:rsidR="00906898" w:rsidRPr="00263DB9" w:rsidRDefault="00906898" w:rsidP="00E51817">
      <w:pPr>
        <w:widowControl w:val="0"/>
        <w:suppressAutoHyphens/>
        <w:rPr>
          <w:color w:val="000000"/>
          <w:szCs w:val="22"/>
        </w:rPr>
      </w:pPr>
    </w:p>
    <w:p w14:paraId="375EAFF0" w14:textId="77777777" w:rsidR="00906898" w:rsidRPr="00263DB9" w:rsidRDefault="00906898" w:rsidP="00E51817">
      <w:pPr>
        <w:pStyle w:val="Heading5"/>
        <w:widowControl w:val="0"/>
        <w:rPr>
          <w:color w:val="000000"/>
          <w:szCs w:val="22"/>
        </w:rPr>
      </w:pPr>
      <w:r w:rsidRPr="00263DB9">
        <w:rPr>
          <w:color w:val="000000"/>
          <w:szCs w:val="22"/>
        </w:rPr>
        <w:t>4.8</w:t>
      </w:r>
      <w:r w:rsidRPr="00263DB9">
        <w:rPr>
          <w:color w:val="000000"/>
          <w:szCs w:val="22"/>
        </w:rPr>
        <w:tab/>
        <w:t>Efeitos indesejáveis</w:t>
      </w:r>
    </w:p>
    <w:p w14:paraId="375EAFF1" w14:textId="77777777" w:rsidR="00906898" w:rsidRPr="00263DB9" w:rsidRDefault="00906898" w:rsidP="00E51817">
      <w:pPr>
        <w:keepNext/>
        <w:widowControl w:val="0"/>
        <w:suppressAutoHyphens/>
        <w:rPr>
          <w:color w:val="000000"/>
          <w:szCs w:val="22"/>
        </w:rPr>
      </w:pPr>
    </w:p>
    <w:p w14:paraId="375EAFF2" w14:textId="77777777" w:rsidR="00906898" w:rsidRPr="00263DB9" w:rsidRDefault="00906898" w:rsidP="00E51817">
      <w:pPr>
        <w:widowControl w:val="0"/>
        <w:suppressAutoHyphens/>
        <w:rPr>
          <w:color w:val="000000"/>
          <w:szCs w:val="22"/>
        </w:rPr>
      </w:pPr>
      <w:r w:rsidRPr="00263DB9">
        <w:rPr>
          <w:color w:val="000000"/>
          <w:szCs w:val="22"/>
        </w:rPr>
        <w:t>Os doentes em fases avançadas de neoplasias podem ter numerosas condições médicas confusas que fazem com que a causalidade das reações adversas seja difícil de avaliar devido à variedade de sintomas relacionados com a doença subjacente, com a sua progressão e com a coadministração de numerosos medicamentos.</w:t>
      </w:r>
    </w:p>
    <w:p w14:paraId="375EAFF3" w14:textId="77777777" w:rsidR="00906898" w:rsidRPr="00263DB9" w:rsidRDefault="00906898" w:rsidP="00E51817">
      <w:pPr>
        <w:widowControl w:val="0"/>
        <w:suppressAutoHyphens/>
        <w:rPr>
          <w:color w:val="000000"/>
          <w:szCs w:val="22"/>
        </w:rPr>
      </w:pPr>
    </w:p>
    <w:p w14:paraId="375EAFF4" w14:textId="77777777" w:rsidR="00906898" w:rsidRPr="00263DB9" w:rsidRDefault="00906898" w:rsidP="00E51817">
      <w:pPr>
        <w:widowControl w:val="0"/>
        <w:rPr>
          <w:color w:val="000000"/>
          <w:szCs w:val="22"/>
        </w:rPr>
      </w:pPr>
      <w:r w:rsidRPr="00263DB9">
        <w:rPr>
          <w:color w:val="000000"/>
          <w:szCs w:val="22"/>
        </w:rPr>
        <w:t xml:space="preserve">Nos ensaios clínicos na LMC, a interrupção do tratamento devido a reações adversas relacionadas com o medicamento foi observada em 2,4% dos doentes diagnosticados de novo, em 4% dos doentes em fase crónica tardia após falência da terapêutica com interferão, em 4% dos doentes em fase acelerada </w:t>
      </w:r>
      <w:r w:rsidRPr="00263DB9">
        <w:rPr>
          <w:color w:val="000000"/>
          <w:szCs w:val="22"/>
        </w:rPr>
        <w:lastRenderedPageBreak/>
        <w:t>após falência da terapêutica com interferão e em 5% dos doentes com crise blástica após falência da terapêutica com interferão. No ensaio clínico em doentes com GIST, o tratamento foi interrompido devido a reações adversas relacionadas com o fármaco em 4% dos doentes.</w:t>
      </w:r>
    </w:p>
    <w:p w14:paraId="375EAFF5" w14:textId="77777777" w:rsidR="00906898" w:rsidRPr="00263DB9" w:rsidRDefault="00906898" w:rsidP="00E51817">
      <w:pPr>
        <w:widowControl w:val="0"/>
        <w:suppressAutoHyphens/>
        <w:rPr>
          <w:color w:val="000000"/>
          <w:szCs w:val="22"/>
        </w:rPr>
      </w:pPr>
    </w:p>
    <w:p w14:paraId="375EAFF6" w14:textId="77777777" w:rsidR="00906898" w:rsidRPr="00263DB9" w:rsidRDefault="00906898" w:rsidP="00E51817">
      <w:pPr>
        <w:widowControl w:val="0"/>
        <w:suppressAutoHyphens/>
        <w:rPr>
          <w:color w:val="000000"/>
          <w:szCs w:val="22"/>
        </w:rPr>
      </w:pPr>
      <w:r w:rsidRPr="00263DB9">
        <w:rPr>
          <w:color w:val="000000"/>
          <w:szCs w:val="22"/>
        </w:rPr>
        <w:t>As reações adversas foram semelhantes em todas as indicações, com duas exceções. A ocorrência de mielodepressão foi superior em doentes com LMC comparativamente a doentes com GIST, o que se deverá provavelmente à doença subjacente. No estudo em doentes com GIST metastáticos e/ou irressecáveis, 7 (5%) doentes apresentaram hemorragias de grau 3 / 4 de acordo com os critérios comuns de toxicidade, compreendendo hemorragias gastrintestinais (3 doentes), hemorragias intratumorais (3 doentes) ou ambas (1 doente). Os tumores gastrintestinais poderão ter sido a causa das hemorragias gastrintestinais (ver secção 4.4) As hemorragias gastrintestinais e tumorais poderão ser graves e, por vezes, fatais. As reações adversas relacionadas com o medicamento que foram relatadas mais frequentemente (</w:t>
      </w:r>
      <w:r w:rsidRPr="00263DB9">
        <w:rPr>
          <w:color w:val="000000"/>
          <w:szCs w:val="22"/>
        </w:rPr>
        <w:sym w:font="Symbol" w:char="F0B3"/>
      </w:r>
      <w:r w:rsidRPr="00263DB9">
        <w:rPr>
          <w:color w:val="000000"/>
          <w:szCs w:val="22"/>
        </w:rPr>
        <w:t> 10%) em ambas as situações foram náuseas ligeiras, vómitos, diarreia, dor abdominal, fadiga, mialgia, cãibras musculares e exantema eritematoso. Edemas superficiais foram um efeito comum em todos os estudos e foram descritos, primariamente, como edemas periorbitários ou dos membros inferiores. No entanto, estes edemas raramente foram graves e puderam ser tratados com diuréticos, outras medidas de suporte ou com a redução da dose de Glivec.</w:t>
      </w:r>
    </w:p>
    <w:p w14:paraId="375EAFF7" w14:textId="77777777" w:rsidR="00906898" w:rsidRPr="00263DB9" w:rsidRDefault="00906898" w:rsidP="00E51817">
      <w:pPr>
        <w:widowControl w:val="0"/>
        <w:suppressAutoHyphens/>
        <w:rPr>
          <w:color w:val="000000"/>
          <w:szCs w:val="22"/>
        </w:rPr>
      </w:pPr>
    </w:p>
    <w:p w14:paraId="375EAFF8" w14:textId="77777777" w:rsidR="00906898" w:rsidRPr="00263DB9" w:rsidRDefault="00906898" w:rsidP="00E51817">
      <w:pPr>
        <w:widowControl w:val="0"/>
        <w:suppressAutoHyphens/>
        <w:rPr>
          <w:color w:val="000000"/>
          <w:szCs w:val="22"/>
        </w:rPr>
      </w:pPr>
      <w:r w:rsidRPr="00263DB9">
        <w:rPr>
          <w:color w:val="000000"/>
          <w:szCs w:val="22"/>
        </w:rPr>
        <w:t>Quando o imatinib foi associado a doses elevadas de quimioterapia em doentes LLA Ph+, foi observada uma toxicidade hepática transitória na forma de elevação das transaminases e hiperbilirrubinemia.</w:t>
      </w:r>
      <w:r w:rsidR="00297105" w:rsidRPr="00263DB9">
        <w:rPr>
          <w:color w:val="000000"/>
          <w:szCs w:val="22"/>
        </w:rPr>
        <w:t>Considerando a base de</w:t>
      </w:r>
      <w:r w:rsidR="00445D46" w:rsidRPr="00263DB9">
        <w:rPr>
          <w:color w:val="000000"/>
          <w:szCs w:val="22"/>
        </w:rPr>
        <w:t xml:space="preserve"> </w:t>
      </w:r>
      <w:r w:rsidR="00297105" w:rsidRPr="00263DB9">
        <w:rPr>
          <w:color w:val="000000"/>
          <w:szCs w:val="22"/>
        </w:rPr>
        <w:t>dados de segurança</w:t>
      </w:r>
      <w:r w:rsidR="00AB3A2F" w:rsidRPr="00263DB9">
        <w:rPr>
          <w:color w:val="000000"/>
          <w:szCs w:val="22"/>
        </w:rPr>
        <w:t xml:space="preserve"> limitada</w:t>
      </w:r>
      <w:r w:rsidR="00297105" w:rsidRPr="00263DB9">
        <w:rPr>
          <w:color w:val="000000"/>
          <w:szCs w:val="22"/>
        </w:rPr>
        <w:t>, as rea</w:t>
      </w:r>
      <w:r w:rsidR="00445D46" w:rsidRPr="00263DB9">
        <w:rPr>
          <w:color w:val="000000"/>
          <w:szCs w:val="22"/>
        </w:rPr>
        <w:t>c</w:t>
      </w:r>
      <w:r w:rsidR="00297105" w:rsidRPr="00263DB9">
        <w:rPr>
          <w:color w:val="000000"/>
          <w:szCs w:val="22"/>
        </w:rPr>
        <w:t>ções adversas até agora notificadas</w:t>
      </w:r>
      <w:r w:rsidR="00AB3A2F" w:rsidRPr="00263DB9">
        <w:rPr>
          <w:color w:val="000000"/>
          <w:szCs w:val="22"/>
        </w:rPr>
        <w:t xml:space="preserve"> em crianças</w:t>
      </w:r>
      <w:r w:rsidR="00297105" w:rsidRPr="00263DB9">
        <w:rPr>
          <w:color w:val="000000"/>
          <w:szCs w:val="22"/>
        </w:rPr>
        <w:t xml:space="preserve"> são consistentes com o perfil de segurança conhecido em doentes adultos com LLA Ph+. </w:t>
      </w:r>
      <w:r w:rsidR="005A543B" w:rsidRPr="00263DB9">
        <w:rPr>
          <w:color w:val="000000"/>
          <w:szCs w:val="22"/>
        </w:rPr>
        <w:t>Os dados de segurança em crianças com LLA Ph+ são muito limitados apesar de não terem sido identificados novos problemas de segurança.</w:t>
      </w:r>
    </w:p>
    <w:p w14:paraId="375EAFF9" w14:textId="77777777" w:rsidR="00906898" w:rsidRPr="00263DB9" w:rsidRDefault="00906898" w:rsidP="00E51817">
      <w:pPr>
        <w:widowControl w:val="0"/>
        <w:suppressAutoHyphens/>
        <w:rPr>
          <w:color w:val="000000"/>
          <w:szCs w:val="22"/>
        </w:rPr>
      </w:pPr>
    </w:p>
    <w:p w14:paraId="375EAFFA" w14:textId="77777777" w:rsidR="00906898" w:rsidRPr="00263DB9" w:rsidRDefault="00906898" w:rsidP="00E51817">
      <w:pPr>
        <w:widowControl w:val="0"/>
        <w:suppressAutoHyphens/>
        <w:rPr>
          <w:color w:val="000000"/>
          <w:szCs w:val="22"/>
        </w:rPr>
      </w:pPr>
      <w:r w:rsidRPr="00263DB9">
        <w:rPr>
          <w:color w:val="000000"/>
          <w:szCs w:val="22"/>
        </w:rPr>
        <w:t>Reações adversas diversas tais como derrame pleural, ascite, edema pulmonar, e aumento rápido de peso com ou sem edema superficial podem ser descritas coletivamente como “retenção de líquidos”. Estas reações podem geralmente ser tratadas com a interrupção temporária do tratamento com Glivec e com diuréticos e outras medidas apropriadas de cuidados de suporte. No entanto, algumas destas reações podem ser graves ou colocar em risco a vida e vários doentes com crise blástica morreram apresentando história clínica complexa de efusão pleural, insuficiência cardíaca congestiva e insuficiência renal. Nos ensaios clínicos em doentes pediátricos não houve ocorrências particulares em termos de segurança.</w:t>
      </w:r>
    </w:p>
    <w:p w14:paraId="375EAFFB" w14:textId="77777777" w:rsidR="00906898" w:rsidRPr="00263DB9" w:rsidRDefault="00906898" w:rsidP="00E51817">
      <w:pPr>
        <w:widowControl w:val="0"/>
        <w:suppressAutoHyphens/>
        <w:rPr>
          <w:color w:val="000000"/>
          <w:szCs w:val="22"/>
        </w:rPr>
      </w:pPr>
    </w:p>
    <w:p w14:paraId="375EAFFC" w14:textId="77777777" w:rsidR="00906898" w:rsidRPr="00263DB9" w:rsidRDefault="00906898" w:rsidP="00E51817">
      <w:pPr>
        <w:keepNext/>
        <w:widowControl w:val="0"/>
        <w:suppressAutoHyphens/>
        <w:rPr>
          <w:b/>
          <w:color w:val="000000"/>
          <w:szCs w:val="22"/>
        </w:rPr>
      </w:pPr>
      <w:r w:rsidRPr="00263DB9">
        <w:rPr>
          <w:b/>
          <w:color w:val="000000"/>
          <w:szCs w:val="22"/>
        </w:rPr>
        <w:t>Reações adversas</w:t>
      </w:r>
    </w:p>
    <w:p w14:paraId="375EAFFD" w14:textId="77777777" w:rsidR="00906898" w:rsidRPr="00263DB9" w:rsidRDefault="00906898" w:rsidP="00E51817">
      <w:pPr>
        <w:widowControl w:val="0"/>
        <w:suppressAutoHyphens/>
        <w:rPr>
          <w:color w:val="000000"/>
          <w:szCs w:val="22"/>
        </w:rPr>
      </w:pPr>
      <w:r w:rsidRPr="00263DB9">
        <w:rPr>
          <w:color w:val="000000"/>
          <w:szCs w:val="22"/>
        </w:rPr>
        <w:t>As reações adversas notificadas como mais do que um caso isolado são listadas em seguida, por classe de sistemas de órgãos e por frequência. As categorias de frequências são definidas usando a seguinte convenção: muito frequentes (≥1/10), frequentes (≥1/100, &lt;1/10), pouco frequentes (≥1/1.000, &lt;1/100), raros (≥1/10.000, &lt;1/1.000)</w:t>
      </w:r>
      <w:r w:rsidRPr="00263DB9">
        <w:rPr>
          <w:noProof/>
          <w:color w:val="000000"/>
        </w:rPr>
        <w:t>, muito raros (&lt;1/10.000), desconhecido (não pode ser calculado a partir dos dados disponíveis)</w:t>
      </w:r>
      <w:r w:rsidRPr="00263DB9">
        <w:rPr>
          <w:color w:val="000000"/>
          <w:szCs w:val="22"/>
        </w:rPr>
        <w:t>.</w:t>
      </w:r>
    </w:p>
    <w:p w14:paraId="375EAFFE" w14:textId="77777777" w:rsidR="00906898" w:rsidRPr="00263DB9" w:rsidRDefault="00906898" w:rsidP="00E51817">
      <w:pPr>
        <w:widowControl w:val="0"/>
        <w:suppressAutoHyphens/>
        <w:rPr>
          <w:color w:val="000000"/>
          <w:szCs w:val="22"/>
        </w:rPr>
      </w:pPr>
    </w:p>
    <w:p w14:paraId="375EAFFF" w14:textId="77777777" w:rsidR="00906898" w:rsidRPr="00263DB9" w:rsidRDefault="00906898" w:rsidP="00E51817">
      <w:pPr>
        <w:widowControl w:val="0"/>
        <w:suppressAutoHyphens/>
        <w:rPr>
          <w:color w:val="000000"/>
          <w:szCs w:val="22"/>
        </w:rPr>
      </w:pPr>
      <w:r w:rsidRPr="00263DB9">
        <w:rPr>
          <w:color w:val="000000"/>
          <w:szCs w:val="22"/>
        </w:rPr>
        <w:t>Os efeitos indesejáveis são apresentados por ordem de frequência, os mais frequentes em primeiro lugar, dentro de cada classe de frequência.</w:t>
      </w:r>
    </w:p>
    <w:p w14:paraId="375EB000" w14:textId="77777777" w:rsidR="00906898" w:rsidRPr="00263DB9" w:rsidRDefault="00906898" w:rsidP="00E51817">
      <w:pPr>
        <w:widowControl w:val="0"/>
        <w:suppressAutoHyphens/>
        <w:rPr>
          <w:color w:val="000000"/>
          <w:szCs w:val="22"/>
        </w:rPr>
      </w:pPr>
    </w:p>
    <w:p w14:paraId="375EB001" w14:textId="77777777" w:rsidR="00906898" w:rsidRPr="00263DB9" w:rsidRDefault="00906898" w:rsidP="00E51817">
      <w:pPr>
        <w:widowControl w:val="0"/>
        <w:suppressAutoHyphens/>
        <w:rPr>
          <w:color w:val="000000"/>
          <w:szCs w:val="22"/>
        </w:rPr>
      </w:pPr>
      <w:r w:rsidRPr="00263DB9">
        <w:rPr>
          <w:color w:val="000000"/>
          <w:szCs w:val="22"/>
        </w:rPr>
        <w:t xml:space="preserve">As reações adversas e as suas frequências </w:t>
      </w:r>
      <w:r w:rsidR="00F54D3B" w:rsidRPr="00263DB9">
        <w:rPr>
          <w:color w:val="000000"/>
          <w:szCs w:val="22"/>
        </w:rPr>
        <w:t xml:space="preserve">são </w:t>
      </w:r>
      <w:r w:rsidRPr="00263DB9">
        <w:rPr>
          <w:color w:val="000000"/>
          <w:szCs w:val="22"/>
        </w:rPr>
        <w:t>apresentadas na Tabela 1</w:t>
      </w:r>
      <w:r w:rsidR="00F54D3B" w:rsidRPr="00263DB9">
        <w:rPr>
          <w:color w:val="000000"/>
          <w:szCs w:val="22"/>
        </w:rPr>
        <w:t>.</w:t>
      </w:r>
    </w:p>
    <w:p w14:paraId="375EB002" w14:textId="77777777" w:rsidR="00906898" w:rsidRPr="00263DB9" w:rsidRDefault="00906898" w:rsidP="00E51817">
      <w:pPr>
        <w:widowControl w:val="0"/>
        <w:suppressAutoHyphens/>
        <w:rPr>
          <w:color w:val="000000"/>
          <w:szCs w:val="22"/>
        </w:rPr>
      </w:pPr>
    </w:p>
    <w:p w14:paraId="375EB003" w14:textId="77777777" w:rsidR="00906898" w:rsidRPr="00263DB9" w:rsidRDefault="00906898" w:rsidP="00E51817">
      <w:pPr>
        <w:keepNext/>
        <w:widowControl w:val="0"/>
        <w:suppressAutoHyphens/>
        <w:rPr>
          <w:color w:val="000000"/>
          <w:szCs w:val="22"/>
        </w:rPr>
      </w:pPr>
      <w:r w:rsidRPr="00263DB9">
        <w:rPr>
          <w:b/>
          <w:color w:val="000000"/>
          <w:szCs w:val="22"/>
        </w:rPr>
        <w:lastRenderedPageBreak/>
        <w:t>Tabela 1</w:t>
      </w:r>
      <w:r w:rsidRPr="00263DB9">
        <w:rPr>
          <w:b/>
          <w:color w:val="000000"/>
          <w:szCs w:val="22"/>
        </w:rPr>
        <w:tab/>
      </w:r>
      <w:r w:rsidR="00F54D3B" w:rsidRPr="00263DB9">
        <w:rPr>
          <w:b/>
          <w:color w:val="000000"/>
          <w:szCs w:val="22"/>
        </w:rPr>
        <w:t>Tabela contendo resumo das r</w:t>
      </w:r>
      <w:r w:rsidRPr="00263DB9">
        <w:rPr>
          <w:b/>
          <w:color w:val="000000"/>
          <w:szCs w:val="22"/>
        </w:rPr>
        <w:t>eações adversas</w:t>
      </w:r>
    </w:p>
    <w:p w14:paraId="375EB004" w14:textId="77777777" w:rsidR="00906898" w:rsidRPr="00263DB9" w:rsidRDefault="00906898" w:rsidP="00E51817">
      <w:pPr>
        <w:keepNext/>
        <w:widowControl w:val="0"/>
        <w:rPr>
          <w:color w:val="000000"/>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906898" w:rsidRPr="00263DB9" w14:paraId="375EB006" w14:textId="77777777" w:rsidTr="00E51817">
        <w:trPr>
          <w:cantSplit/>
        </w:trPr>
        <w:tc>
          <w:tcPr>
            <w:tcW w:w="9322" w:type="dxa"/>
            <w:gridSpan w:val="2"/>
          </w:tcPr>
          <w:p w14:paraId="375EB005" w14:textId="77777777" w:rsidR="00906898" w:rsidRPr="00263DB9" w:rsidRDefault="00906898" w:rsidP="00E51817">
            <w:pPr>
              <w:keepNext/>
              <w:widowControl w:val="0"/>
              <w:tabs>
                <w:tab w:val="left" w:pos="567"/>
              </w:tabs>
              <w:spacing w:line="260" w:lineRule="exact"/>
              <w:rPr>
                <w:b/>
                <w:color w:val="000000"/>
                <w:szCs w:val="22"/>
              </w:rPr>
            </w:pPr>
            <w:r w:rsidRPr="00263DB9">
              <w:rPr>
                <w:b/>
                <w:color w:val="000000"/>
                <w:szCs w:val="22"/>
              </w:rPr>
              <w:t>Infeções e infestações</w:t>
            </w:r>
          </w:p>
        </w:tc>
      </w:tr>
      <w:tr w:rsidR="00906898" w:rsidRPr="00263DB9" w14:paraId="375EB009" w14:textId="77777777" w:rsidTr="00E51817">
        <w:trPr>
          <w:cantSplit/>
        </w:trPr>
        <w:tc>
          <w:tcPr>
            <w:tcW w:w="2235" w:type="dxa"/>
          </w:tcPr>
          <w:p w14:paraId="375EB007" w14:textId="77777777" w:rsidR="00906898" w:rsidRPr="00263DB9" w:rsidRDefault="00906898" w:rsidP="00E51817">
            <w:pPr>
              <w:keepNext/>
              <w:widowControl w:val="0"/>
              <w:tabs>
                <w:tab w:val="left" w:pos="567"/>
              </w:tabs>
              <w:spacing w:line="260" w:lineRule="exact"/>
              <w:rPr>
                <w:bCs/>
                <w:i/>
                <w:iCs/>
                <w:color w:val="000000"/>
                <w:szCs w:val="22"/>
              </w:rPr>
            </w:pPr>
            <w:r w:rsidRPr="00263DB9">
              <w:rPr>
                <w:bCs/>
                <w:i/>
                <w:iCs/>
                <w:color w:val="000000"/>
                <w:szCs w:val="22"/>
              </w:rPr>
              <w:t>Pouco frequentes:</w:t>
            </w:r>
          </w:p>
        </w:tc>
        <w:tc>
          <w:tcPr>
            <w:tcW w:w="7087" w:type="dxa"/>
          </w:tcPr>
          <w:p w14:paraId="375EB008" w14:textId="77777777" w:rsidR="00906898" w:rsidRPr="00263DB9" w:rsidRDefault="00906898" w:rsidP="00E51817">
            <w:pPr>
              <w:keepNext/>
              <w:widowControl w:val="0"/>
              <w:tabs>
                <w:tab w:val="left" w:pos="567"/>
              </w:tabs>
              <w:spacing w:line="260" w:lineRule="exact"/>
              <w:rPr>
                <w:bCs/>
                <w:color w:val="000000"/>
                <w:szCs w:val="22"/>
              </w:rPr>
            </w:pPr>
            <w:r w:rsidRPr="00263DB9">
              <w:rPr>
                <w:bCs/>
                <w:color w:val="000000"/>
                <w:szCs w:val="22"/>
              </w:rPr>
              <w:t>Herpes zoster, herpes simplex, nasofaringite, pneumonia</w:t>
            </w:r>
            <w:r w:rsidRPr="00263DB9">
              <w:rPr>
                <w:bCs/>
                <w:color w:val="000000"/>
                <w:szCs w:val="22"/>
                <w:vertAlign w:val="superscript"/>
              </w:rPr>
              <w:t>1</w:t>
            </w:r>
            <w:r w:rsidRPr="00263DB9">
              <w:rPr>
                <w:bCs/>
                <w:color w:val="000000"/>
                <w:szCs w:val="22"/>
              </w:rPr>
              <w:t>, sinusite, celulite, infeções do trato respiratório superior, gripe, infeções do trato urinário, gastroenterite, sepsis</w:t>
            </w:r>
          </w:p>
        </w:tc>
      </w:tr>
      <w:tr w:rsidR="00906898" w:rsidRPr="00263DB9" w14:paraId="375EB00C" w14:textId="77777777" w:rsidTr="00E51817">
        <w:trPr>
          <w:cantSplit/>
        </w:trPr>
        <w:tc>
          <w:tcPr>
            <w:tcW w:w="2235" w:type="dxa"/>
          </w:tcPr>
          <w:p w14:paraId="375EB00A" w14:textId="77777777" w:rsidR="00906898" w:rsidRPr="00263DB9" w:rsidRDefault="00906898" w:rsidP="00E51817">
            <w:pPr>
              <w:keepNext/>
              <w:widowControl w:val="0"/>
              <w:tabs>
                <w:tab w:val="left" w:pos="567"/>
              </w:tabs>
              <w:spacing w:line="260" w:lineRule="exact"/>
              <w:rPr>
                <w:bCs/>
                <w:i/>
                <w:iCs/>
                <w:color w:val="000000"/>
                <w:szCs w:val="22"/>
              </w:rPr>
            </w:pPr>
            <w:r w:rsidRPr="00263DB9">
              <w:rPr>
                <w:bCs/>
                <w:i/>
                <w:iCs/>
                <w:color w:val="000000"/>
                <w:szCs w:val="22"/>
              </w:rPr>
              <w:t>Raros:</w:t>
            </w:r>
          </w:p>
        </w:tc>
        <w:tc>
          <w:tcPr>
            <w:tcW w:w="7087" w:type="dxa"/>
          </w:tcPr>
          <w:p w14:paraId="375EB00B" w14:textId="77777777" w:rsidR="00906898" w:rsidRPr="00263DB9" w:rsidRDefault="00906898" w:rsidP="00E51817">
            <w:pPr>
              <w:keepNext/>
              <w:widowControl w:val="0"/>
              <w:tabs>
                <w:tab w:val="left" w:pos="567"/>
              </w:tabs>
              <w:spacing w:line="260" w:lineRule="exact"/>
              <w:rPr>
                <w:bCs/>
                <w:color w:val="000000"/>
                <w:szCs w:val="22"/>
              </w:rPr>
            </w:pPr>
            <w:r w:rsidRPr="00263DB9">
              <w:rPr>
                <w:bCs/>
                <w:color w:val="000000"/>
                <w:szCs w:val="22"/>
              </w:rPr>
              <w:t>Infeções fúngicas</w:t>
            </w:r>
          </w:p>
        </w:tc>
      </w:tr>
      <w:tr w:rsidR="000F2343" w:rsidRPr="00263DB9" w14:paraId="375EB00F" w14:textId="77777777" w:rsidTr="00E51817">
        <w:trPr>
          <w:cantSplit/>
        </w:trPr>
        <w:tc>
          <w:tcPr>
            <w:tcW w:w="2235" w:type="dxa"/>
          </w:tcPr>
          <w:p w14:paraId="375EB00D" w14:textId="77777777" w:rsidR="000F2343" w:rsidRPr="00263DB9" w:rsidRDefault="000F2343" w:rsidP="00E51817">
            <w:pPr>
              <w:keepNext/>
              <w:widowControl w:val="0"/>
              <w:tabs>
                <w:tab w:val="left" w:pos="567"/>
              </w:tabs>
              <w:spacing w:line="260" w:lineRule="exact"/>
              <w:rPr>
                <w:bCs/>
                <w:i/>
                <w:iCs/>
                <w:color w:val="000000"/>
                <w:szCs w:val="22"/>
              </w:rPr>
            </w:pPr>
            <w:r w:rsidRPr="00263DB9">
              <w:rPr>
                <w:bCs/>
                <w:i/>
                <w:iCs/>
                <w:color w:val="000000"/>
                <w:szCs w:val="22"/>
              </w:rPr>
              <w:t>Desconhecido:</w:t>
            </w:r>
          </w:p>
        </w:tc>
        <w:tc>
          <w:tcPr>
            <w:tcW w:w="7087" w:type="dxa"/>
          </w:tcPr>
          <w:p w14:paraId="375EB00E" w14:textId="77777777" w:rsidR="000F2343" w:rsidRPr="00263DB9" w:rsidRDefault="000F2343" w:rsidP="00E51817">
            <w:pPr>
              <w:keepNext/>
              <w:widowControl w:val="0"/>
              <w:tabs>
                <w:tab w:val="left" w:pos="567"/>
              </w:tabs>
              <w:spacing w:line="260" w:lineRule="exact"/>
              <w:rPr>
                <w:bCs/>
                <w:color w:val="000000"/>
                <w:szCs w:val="22"/>
              </w:rPr>
            </w:pPr>
            <w:r w:rsidRPr="00263DB9">
              <w:rPr>
                <w:bCs/>
                <w:color w:val="000000"/>
                <w:szCs w:val="22"/>
              </w:rPr>
              <w:t>Reativação da Hepatite B</w:t>
            </w:r>
            <w:r w:rsidR="00EA4848" w:rsidRPr="00263DB9">
              <w:rPr>
                <w:bCs/>
                <w:color w:val="000000"/>
                <w:szCs w:val="22"/>
              </w:rPr>
              <w:t>*</w:t>
            </w:r>
          </w:p>
        </w:tc>
      </w:tr>
      <w:tr w:rsidR="00906898" w:rsidRPr="00263DB9" w14:paraId="375EB011" w14:textId="77777777" w:rsidTr="00E51817">
        <w:trPr>
          <w:cantSplit/>
        </w:trPr>
        <w:tc>
          <w:tcPr>
            <w:tcW w:w="9322" w:type="dxa"/>
            <w:gridSpan w:val="2"/>
          </w:tcPr>
          <w:p w14:paraId="375EB010" w14:textId="77777777" w:rsidR="00906898" w:rsidRPr="00263DB9" w:rsidRDefault="00906898" w:rsidP="00E51817">
            <w:pPr>
              <w:keepNext/>
              <w:widowControl w:val="0"/>
              <w:tabs>
                <w:tab w:val="left" w:pos="567"/>
              </w:tabs>
              <w:spacing w:line="260" w:lineRule="exact"/>
              <w:rPr>
                <w:b/>
                <w:color w:val="000000"/>
                <w:szCs w:val="22"/>
              </w:rPr>
            </w:pPr>
            <w:r w:rsidRPr="00263DB9">
              <w:rPr>
                <w:b/>
                <w:color w:val="000000"/>
                <w:szCs w:val="22"/>
              </w:rPr>
              <w:t>Neoplasias benignas malignas e não especificadas (incluindo quistos e polipos)</w:t>
            </w:r>
          </w:p>
        </w:tc>
      </w:tr>
      <w:tr w:rsidR="00906898" w:rsidRPr="00263DB9" w14:paraId="375EB014" w14:textId="77777777" w:rsidTr="00E51817">
        <w:trPr>
          <w:cantSplit/>
        </w:trPr>
        <w:tc>
          <w:tcPr>
            <w:tcW w:w="2235" w:type="dxa"/>
          </w:tcPr>
          <w:p w14:paraId="375EB012" w14:textId="77777777" w:rsidR="00906898" w:rsidRPr="00263DB9" w:rsidRDefault="00906898" w:rsidP="00E51817">
            <w:pPr>
              <w:keepNext/>
              <w:widowControl w:val="0"/>
              <w:rPr>
                <w:i/>
                <w:color w:val="000000"/>
                <w:szCs w:val="22"/>
              </w:rPr>
            </w:pPr>
            <w:r w:rsidRPr="00263DB9">
              <w:rPr>
                <w:bCs/>
                <w:i/>
                <w:iCs/>
                <w:color w:val="000000"/>
                <w:szCs w:val="22"/>
              </w:rPr>
              <w:t>Raros:</w:t>
            </w:r>
          </w:p>
        </w:tc>
        <w:tc>
          <w:tcPr>
            <w:tcW w:w="7087" w:type="dxa"/>
          </w:tcPr>
          <w:p w14:paraId="375EB013" w14:textId="77777777" w:rsidR="00906898" w:rsidRPr="00263DB9" w:rsidRDefault="00906898" w:rsidP="00E51817">
            <w:pPr>
              <w:keepNext/>
              <w:widowControl w:val="0"/>
              <w:tabs>
                <w:tab w:val="left" w:pos="567"/>
              </w:tabs>
              <w:spacing w:line="260" w:lineRule="exact"/>
              <w:rPr>
                <w:color w:val="000000"/>
                <w:szCs w:val="22"/>
              </w:rPr>
            </w:pPr>
            <w:r w:rsidRPr="00263DB9">
              <w:rPr>
                <w:color w:val="000000"/>
                <w:szCs w:val="22"/>
              </w:rPr>
              <w:t>Síndrome de lise tumoral</w:t>
            </w:r>
          </w:p>
        </w:tc>
      </w:tr>
      <w:tr w:rsidR="00094C01" w:rsidRPr="00263DB9" w14:paraId="375EB017" w14:textId="77777777" w:rsidTr="00E51817">
        <w:trPr>
          <w:cantSplit/>
        </w:trPr>
        <w:tc>
          <w:tcPr>
            <w:tcW w:w="2235" w:type="dxa"/>
          </w:tcPr>
          <w:p w14:paraId="375EB015" w14:textId="77777777" w:rsidR="00094C01" w:rsidRPr="00263DB9" w:rsidRDefault="00094C01" w:rsidP="00E51817">
            <w:pPr>
              <w:widowControl w:val="0"/>
              <w:rPr>
                <w:bCs/>
                <w:i/>
                <w:iCs/>
                <w:color w:val="000000"/>
                <w:szCs w:val="22"/>
              </w:rPr>
            </w:pPr>
            <w:r w:rsidRPr="00263DB9">
              <w:rPr>
                <w:bCs/>
                <w:i/>
                <w:iCs/>
                <w:color w:val="000000"/>
                <w:szCs w:val="22"/>
              </w:rPr>
              <w:t>Desconhecido:</w:t>
            </w:r>
          </w:p>
        </w:tc>
        <w:tc>
          <w:tcPr>
            <w:tcW w:w="7087" w:type="dxa"/>
          </w:tcPr>
          <w:p w14:paraId="375EB016" w14:textId="77777777" w:rsidR="00094C01" w:rsidRPr="00263DB9" w:rsidRDefault="00094C01" w:rsidP="00E51817">
            <w:pPr>
              <w:widowControl w:val="0"/>
              <w:tabs>
                <w:tab w:val="left" w:pos="567"/>
              </w:tabs>
              <w:spacing w:line="260" w:lineRule="exact"/>
              <w:rPr>
                <w:color w:val="000000"/>
                <w:szCs w:val="22"/>
              </w:rPr>
            </w:pPr>
            <w:r w:rsidRPr="00263DB9">
              <w:rPr>
                <w:color w:val="000000"/>
                <w:szCs w:val="22"/>
              </w:rPr>
              <w:t>Hemorragia tumoral/necrose tumoral*</w:t>
            </w:r>
          </w:p>
        </w:tc>
      </w:tr>
      <w:tr w:rsidR="00F54D3B" w:rsidRPr="00263DB9" w14:paraId="375EB019" w14:textId="77777777" w:rsidTr="00E51817">
        <w:trPr>
          <w:cantSplit/>
        </w:trPr>
        <w:tc>
          <w:tcPr>
            <w:tcW w:w="9322" w:type="dxa"/>
            <w:gridSpan w:val="2"/>
          </w:tcPr>
          <w:p w14:paraId="375EB018" w14:textId="77777777" w:rsidR="00F54D3B" w:rsidRPr="00263DB9" w:rsidRDefault="00F54D3B" w:rsidP="00E51817">
            <w:pPr>
              <w:keepNext/>
              <w:widowControl w:val="0"/>
              <w:tabs>
                <w:tab w:val="left" w:pos="567"/>
              </w:tabs>
              <w:spacing w:line="260" w:lineRule="exact"/>
              <w:rPr>
                <w:b/>
                <w:color w:val="000000"/>
                <w:szCs w:val="22"/>
              </w:rPr>
            </w:pPr>
            <w:r w:rsidRPr="00263DB9">
              <w:rPr>
                <w:b/>
                <w:color w:val="000000"/>
                <w:szCs w:val="22"/>
                <w:lang w:val="en-US"/>
              </w:rPr>
              <w:t>Doenças do sistema imunitário</w:t>
            </w:r>
          </w:p>
        </w:tc>
      </w:tr>
      <w:tr w:rsidR="00F54D3B" w:rsidRPr="00263DB9" w14:paraId="375EB01C" w14:textId="77777777" w:rsidTr="00E51817">
        <w:trPr>
          <w:cantSplit/>
        </w:trPr>
        <w:tc>
          <w:tcPr>
            <w:tcW w:w="2235" w:type="dxa"/>
          </w:tcPr>
          <w:p w14:paraId="375EB01A" w14:textId="77777777" w:rsidR="00F54D3B" w:rsidRPr="00263DB9" w:rsidRDefault="00F54D3B" w:rsidP="00E51817">
            <w:pPr>
              <w:widowControl w:val="0"/>
              <w:rPr>
                <w:i/>
                <w:color w:val="000000"/>
                <w:szCs w:val="22"/>
              </w:rPr>
            </w:pPr>
            <w:r w:rsidRPr="00263DB9">
              <w:rPr>
                <w:bCs/>
                <w:i/>
                <w:iCs/>
                <w:color w:val="000000"/>
                <w:szCs w:val="22"/>
              </w:rPr>
              <w:t>Raros:</w:t>
            </w:r>
          </w:p>
        </w:tc>
        <w:tc>
          <w:tcPr>
            <w:tcW w:w="7087" w:type="dxa"/>
          </w:tcPr>
          <w:p w14:paraId="375EB01B" w14:textId="77777777" w:rsidR="00F54D3B" w:rsidRPr="00263DB9" w:rsidRDefault="00950732" w:rsidP="00E51817">
            <w:pPr>
              <w:widowControl w:val="0"/>
              <w:tabs>
                <w:tab w:val="left" w:pos="567"/>
              </w:tabs>
              <w:spacing w:line="260" w:lineRule="exact"/>
              <w:rPr>
                <w:color w:val="000000"/>
                <w:szCs w:val="22"/>
              </w:rPr>
            </w:pPr>
            <w:r w:rsidRPr="00263DB9">
              <w:rPr>
                <w:color w:val="000000"/>
                <w:szCs w:val="22"/>
              </w:rPr>
              <w:t>Choque anafilático*</w:t>
            </w:r>
          </w:p>
        </w:tc>
      </w:tr>
      <w:tr w:rsidR="00906898" w:rsidRPr="00263DB9" w14:paraId="375EB01E" w14:textId="77777777" w:rsidTr="00E51817">
        <w:trPr>
          <w:cantSplit/>
        </w:trPr>
        <w:tc>
          <w:tcPr>
            <w:tcW w:w="9322" w:type="dxa"/>
            <w:gridSpan w:val="2"/>
          </w:tcPr>
          <w:p w14:paraId="375EB01D" w14:textId="77777777" w:rsidR="00906898" w:rsidRPr="00263DB9" w:rsidRDefault="00906898" w:rsidP="00E51817">
            <w:pPr>
              <w:keepNext/>
              <w:widowControl w:val="0"/>
              <w:tabs>
                <w:tab w:val="left" w:pos="567"/>
              </w:tabs>
              <w:spacing w:line="260" w:lineRule="exact"/>
              <w:rPr>
                <w:color w:val="000000"/>
              </w:rPr>
            </w:pPr>
            <w:r w:rsidRPr="00263DB9">
              <w:rPr>
                <w:b/>
                <w:color w:val="000000"/>
                <w:szCs w:val="22"/>
              </w:rPr>
              <w:t>Doenças do sangue e do sistema linfático</w:t>
            </w:r>
          </w:p>
        </w:tc>
      </w:tr>
      <w:tr w:rsidR="00906898" w:rsidRPr="00263DB9" w14:paraId="375EB021" w14:textId="77777777" w:rsidTr="00E51817">
        <w:trPr>
          <w:cantSplit/>
        </w:trPr>
        <w:tc>
          <w:tcPr>
            <w:tcW w:w="2235" w:type="dxa"/>
          </w:tcPr>
          <w:p w14:paraId="375EB01F"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Muito frequentes:</w:t>
            </w:r>
          </w:p>
        </w:tc>
        <w:tc>
          <w:tcPr>
            <w:tcW w:w="7087" w:type="dxa"/>
          </w:tcPr>
          <w:p w14:paraId="375EB020"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Neutropenia, trombocitopenia, anemia</w:t>
            </w:r>
          </w:p>
        </w:tc>
      </w:tr>
      <w:tr w:rsidR="00906898" w:rsidRPr="00263DB9" w14:paraId="375EB024" w14:textId="77777777" w:rsidTr="00E51817">
        <w:trPr>
          <w:cantSplit/>
        </w:trPr>
        <w:tc>
          <w:tcPr>
            <w:tcW w:w="2235" w:type="dxa"/>
          </w:tcPr>
          <w:p w14:paraId="375EB022"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Frequentes:</w:t>
            </w:r>
          </w:p>
        </w:tc>
        <w:tc>
          <w:tcPr>
            <w:tcW w:w="7087" w:type="dxa"/>
          </w:tcPr>
          <w:p w14:paraId="375EB023"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Pancitopenia, neutropenia febril</w:t>
            </w:r>
          </w:p>
        </w:tc>
      </w:tr>
      <w:tr w:rsidR="00906898" w:rsidRPr="00263DB9" w14:paraId="375EB027" w14:textId="77777777" w:rsidTr="00E51817">
        <w:trPr>
          <w:cantSplit/>
        </w:trPr>
        <w:tc>
          <w:tcPr>
            <w:tcW w:w="2235" w:type="dxa"/>
          </w:tcPr>
          <w:p w14:paraId="375EB025"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Pouco frequentes:</w:t>
            </w:r>
          </w:p>
        </w:tc>
        <w:tc>
          <w:tcPr>
            <w:tcW w:w="7087" w:type="dxa"/>
          </w:tcPr>
          <w:p w14:paraId="375EB026"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Trombocitemia, linfopenia, depressão da medula óssea, eosinofilia, linfadenopatia</w:t>
            </w:r>
          </w:p>
        </w:tc>
      </w:tr>
      <w:tr w:rsidR="00906898" w:rsidRPr="00263DB9" w14:paraId="375EB02A" w14:textId="77777777" w:rsidTr="00E51817">
        <w:trPr>
          <w:cantSplit/>
        </w:trPr>
        <w:tc>
          <w:tcPr>
            <w:tcW w:w="2235" w:type="dxa"/>
          </w:tcPr>
          <w:p w14:paraId="375EB028" w14:textId="77777777" w:rsidR="00906898" w:rsidRPr="00263DB9" w:rsidRDefault="00906898" w:rsidP="00E51817">
            <w:pPr>
              <w:widowControl w:val="0"/>
              <w:tabs>
                <w:tab w:val="left" w:pos="567"/>
              </w:tabs>
              <w:spacing w:line="260" w:lineRule="exact"/>
              <w:rPr>
                <w:i/>
                <w:color w:val="000000"/>
              </w:rPr>
            </w:pPr>
            <w:r w:rsidRPr="00263DB9">
              <w:rPr>
                <w:i/>
                <w:color w:val="000000"/>
              </w:rPr>
              <w:t>Raros:</w:t>
            </w:r>
          </w:p>
        </w:tc>
        <w:tc>
          <w:tcPr>
            <w:tcW w:w="7087" w:type="dxa"/>
          </w:tcPr>
          <w:p w14:paraId="375EB029" w14:textId="77777777" w:rsidR="00906898" w:rsidRPr="00263DB9" w:rsidRDefault="00906898" w:rsidP="00E51817">
            <w:pPr>
              <w:widowControl w:val="0"/>
              <w:tabs>
                <w:tab w:val="left" w:pos="567"/>
              </w:tabs>
              <w:spacing w:line="260" w:lineRule="exact"/>
              <w:rPr>
                <w:color w:val="000000"/>
              </w:rPr>
            </w:pPr>
            <w:r w:rsidRPr="00263DB9">
              <w:rPr>
                <w:color w:val="000000"/>
              </w:rPr>
              <w:t>Anemia hemolítica</w:t>
            </w:r>
            <w:r w:rsidR="00653D53" w:rsidRPr="00263DB9">
              <w:rPr>
                <w:color w:val="000000"/>
              </w:rPr>
              <w:t>, microangiopatia trombótica</w:t>
            </w:r>
          </w:p>
        </w:tc>
      </w:tr>
      <w:tr w:rsidR="00906898" w:rsidRPr="00263DB9" w14:paraId="375EB02C" w14:textId="77777777" w:rsidTr="00E51817">
        <w:trPr>
          <w:cantSplit/>
        </w:trPr>
        <w:tc>
          <w:tcPr>
            <w:tcW w:w="9322" w:type="dxa"/>
            <w:gridSpan w:val="2"/>
          </w:tcPr>
          <w:p w14:paraId="375EB02B" w14:textId="77777777" w:rsidR="00906898" w:rsidRPr="00263DB9" w:rsidRDefault="00906898" w:rsidP="00E51817">
            <w:pPr>
              <w:keepNext/>
              <w:widowControl w:val="0"/>
              <w:tabs>
                <w:tab w:val="left" w:pos="567"/>
              </w:tabs>
              <w:spacing w:line="260" w:lineRule="exact"/>
              <w:rPr>
                <w:b/>
                <w:color w:val="000000"/>
                <w:szCs w:val="22"/>
              </w:rPr>
            </w:pPr>
            <w:r w:rsidRPr="00263DB9">
              <w:rPr>
                <w:b/>
                <w:color w:val="000000"/>
                <w:szCs w:val="22"/>
              </w:rPr>
              <w:t>Doenças do metabolismo e da nutrição</w:t>
            </w:r>
          </w:p>
        </w:tc>
      </w:tr>
      <w:tr w:rsidR="00906898" w:rsidRPr="00263DB9" w14:paraId="375EB02F" w14:textId="77777777" w:rsidTr="00E51817">
        <w:trPr>
          <w:cantSplit/>
          <w:trHeight w:val="260"/>
        </w:trPr>
        <w:tc>
          <w:tcPr>
            <w:tcW w:w="2235" w:type="dxa"/>
          </w:tcPr>
          <w:p w14:paraId="375EB02D" w14:textId="77777777" w:rsidR="00906898" w:rsidRPr="00263DB9" w:rsidRDefault="00906898" w:rsidP="00E51817">
            <w:pPr>
              <w:keepNext/>
              <w:widowControl w:val="0"/>
              <w:tabs>
                <w:tab w:val="left" w:pos="567"/>
              </w:tabs>
              <w:spacing w:line="260" w:lineRule="exact"/>
              <w:rPr>
                <w:bCs/>
                <w:i/>
                <w:iCs/>
                <w:color w:val="000000"/>
                <w:szCs w:val="22"/>
              </w:rPr>
            </w:pPr>
            <w:r w:rsidRPr="00263DB9">
              <w:rPr>
                <w:bCs/>
                <w:i/>
                <w:iCs/>
                <w:color w:val="000000"/>
                <w:szCs w:val="22"/>
              </w:rPr>
              <w:t>Frequentes:</w:t>
            </w:r>
          </w:p>
        </w:tc>
        <w:tc>
          <w:tcPr>
            <w:tcW w:w="7087" w:type="dxa"/>
          </w:tcPr>
          <w:p w14:paraId="375EB02E" w14:textId="77777777" w:rsidR="00906898" w:rsidRPr="00263DB9" w:rsidRDefault="00906898" w:rsidP="00E51817">
            <w:pPr>
              <w:keepNext/>
              <w:widowControl w:val="0"/>
              <w:tabs>
                <w:tab w:val="left" w:pos="567"/>
              </w:tabs>
              <w:spacing w:line="260" w:lineRule="exact"/>
              <w:rPr>
                <w:bCs/>
                <w:color w:val="000000"/>
                <w:szCs w:val="22"/>
              </w:rPr>
            </w:pPr>
            <w:r w:rsidRPr="00263DB9">
              <w:rPr>
                <w:bCs/>
                <w:color w:val="000000"/>
                <w:szCs w:val="22"/>
              </w:rPr>
              <w:t>Anorexia</w:t>
            </w:r>
          </w:p>
        </w:tc>
      </w:tr>
      <w:tr w:rsidR="00906898" w:rsidRPr="00263DB9" w14:paraId="375EB032" w14:textId="77777777" w:rsidTr="00E51817">
        <w:trPr>
          <w:cantSplit/>
          <w:trHeight w:val="260"/>
        </w:trPr>
        <w:tc>
          <w:tcPr>
            <w:tcW w:w="2235" w:type="dxa"/>
          </w:tcPr>
          <w:p w14:paraId="375EB030" w14:textId="77777777" w:rsidR="00906898" w:rsidRPr="00263DB9" w:rsidRDefault="00906898" w:rsidP="00E51817">
            <w:pPr>
              <w:keepNext/>
              <w:widowControl w:val="0"/>
              <w:tabs>
                <w:tab w:val="left" w:pos="567"/>
              </w:tabs>
              <w:spacing w:line="260" w:lineRule="exact"/>
              <w:rPr>
                <w:bCs/>
                <w:i/>
                <w:iCs/>
                <w:color w:val="000000"/>
                <w:szCs w:val="22"/>
              </w:rPr>
            </w:pPr>
            <w:r w:rsidRPr="00263DB9">
              <w:rPr>
                <w:bCs/>
                <w:i/>
                <w:iCs/>
                <w:color w:val="000000"/>
                <w:szCs w:val="22"/>
              </w:rPr>
              <w:t>Pouco frequentes:</w:t>
            </w:r>
          </w:p>
        </w:tc>
        <w:tc>
          <w:tcPr>
            <w:tcW w:w="7087" w:type="dxa"/>
          </w:tcPr>
          <w:p w14:paraId="375EB031" w14:textId="77777777" w:rsidR="00906898" w:rsidRPr="00263DB9" w:rsidRDefault="00906898" w:rsidP="00E51817">
            <w:pPr>
              <w:keepNext/>
              <w:widowControl w:val="0"/>
              <w:tabs>
                <w:tab w:val="left" w:pos="567"/>
              </w:tabs>
              <w:spacing w:line="260" w:lineRule="exact"/>
              <w:rPr>
                <w:bCs/>
                <w:color w:val="000000"/>
                <w:szCs w:val="22"/>
              </w:rPr>
            </w:pPr>
            <w:r w:rsidRPr="00263DB9">
              <w:rPr>
                <w:bCs/>
                <w:color w:val="000000"/>
                <w:szCs w:val="22"/>
              </w:rPr>
              <w:t>Hipocaliemia, aumento do apetite, hipofosfatemia, diminuição do apetite, desidratação, gota, hiperuricemia, hipercalcemia, hiperglicemia, hiponatriemia</w:t>
            </w:r>
          </w:p>
        </w:tc>
      </w:tr>
      <w:tr w:rsidR="00906898" w:rsidRPr="00263DB9" w14:paraId="375EB035" w14:textId="77777777" w:rsidTr="00E51817">
        <w:trPr>
          <w:cantSplit/>
          <w:trHeight w:val="260"/>
        </w:trPr>
        <w:tc>
          <w:tcPr>
            <w:tcW w:w="2235" w:type="dxa"/>
          </w:tcPr>
          <w:p w14:paraId="375EB033" w14:textId="77777777" w:rsidR="00906898" w:rsidRPr="00263DB9" w:rsidRDefault="00906898" w:rsidP="00E51817">
            <w:pPr>
              <w:widowControl w:val="0"/>
              <w:tabs>
                <w:tab w:val="left" w:pos="567"/>
              </w:tabs>
              <w:spacing w:line="260" w:lineRule="exact"/>
              <w:rPr>
                <w:bCs/>
                <w:i/>
                <w:iCs/>
                <w:color w:val="000000"/>
                <w:szCs w:val="22"/>
              </w:rPr>
            </w:pPr>
            <w:r w:rsidRPr="00263DB9">
              <w:rPr>
                <w:bCs/>
                <w:i/>
                <w:iCs/>
                <w:color w:val="000000"/>
                <w:szCs w:val="22"/>
              </w:rPr>
              <w:t>Raros:</w:t>
            </w:r>
          </w:p>
        </w:tc>
        <w:tc>
          <w:tcPr>
            <w:tcW w:w="7087" w:type="dxa"/>
          </w:tcPr>
          <w:p w14:paraId="375EB034" w14:textId="77777777" w:rsidR="00906898" w:rsidRPr="00263DB9" w:rsidRDefault="00906898" w:rsidP="00E51817">
            <w:pPr>
              <w:widowControl w:val="0"/>
              <w:tabs>
                <w:tab w:val="left" w:pos="567"/>
              </w:tabs>
              <w:spacing w:line="260" w:lineRule="exact"/>
              <w:rPr>
                <w:bCs/>
                <w:color w:val="000000"/>
                <w:szCs w:val="22"/>
              </w:rPr>
            </w:pPr>
            <w:r w:rsidRPr="00263DB9">
              <w:rPr>
                <w:bCs/>
                <w:color w:val="000000"/>
                <w:szCs w:val="22"/>
              </w:rPr>
              <w:t>Hipercaliemia, hipomagnesiemia</w:t>
            </w:r>
          </w:p>
        </w:tc>
      </w:tr>
      <w:tr w:rsidR="00906898" w:rsidRPr="00263DB9" w14:paraId="375EB037" w14:textId="77777777" w:rsidTr="00E51817">
        <w:trPr>
          <w:cantSplit/>
        </w:trPr>
        <w:tc>
          <w:tcPr>
            <w:tcW w:w="9322" w:type="dxa"/>
            <w:gridSpan w:val="2"/>
          </w:tcPr>
          <w:p w14:paraId="375EB036" w14:textId="77777777" w:rsidR="00906898" w:rsidRPr="00263DB9" w:rsidRDefault="00906898" w:rsidP="00E51817">
            <w:pPr>
              <w:keepNext/>
              <w:widowControl w:val="0"/>
              <w:tabs>
                <w:tab w:val="left" w:pos="567"/>
              </w:tabs>
              <w:spacing w:line="260" w:lineRule="exact"/>
              <w:rPr>
                <w:b/>
                <w:color w:val="000000"/>
                <w:szCs w:val="22"/>
              </w:rPr>
            </w:pPr>
            <w:r w:rsidRPr="00263DB9">
              <w:rPr>
                <w:b/>
                <w:color w:val="000000"/>
                <w:szCs w:val="22"/>
              </w:rPr>
              <w:t>Perturbações do foro psiquiátrico</w:t>
            </w:r>
          </w:p>
        </w:tc>
      </w:tr>
      <w:tr w:rsidR="00906898" w:rsidRPr="00263DB9" w14:paraId="375EB03A" w14:textId="77777777" w:rsidTr="00E51817">
        <w:trPr>
          <w:cantSplit/>
          <w:trHeight w:val="260"/>
        </w:trPr>
        <w:tc>
          <w:tcPr>
            <w:tcW w:w="2235" w:type="dxa"/>
          </w:tcPr>
          <w:p w14:paraId="375EB038" w14:textId="77777777" w:rsidR="00906898" w:rsidRPr="00263DB9" w:rsidRDefault="00906898" w:rsidP="00E51817">
            <w:pPr>
              <w:keepNext/>
              <w:widowControl w:val="0"/>
              <w:tabs>
                <w:tab w:val="left" w:pos="567"/>
              </w:tabs>
              <w:spacing w:line="260" w:lineRule="exact"/>
              <w:rPr>
                <w:b/>
                <w:color w:val="000000"/>
                <w:szCs w:val="22"/>
              </w:rPr>
            </w:pPr>
            <w:r w:rsidRPr="00263DB9">
              <w:rPr>
                <w:bCs/>
                <w:i/>
                <w:iCs/>
                <w:color w:val="000000"/>
                <w:szCs w:val="22"/>
              </w:rPr>
              <w:t>Frequentes:</w:t>
            </w:r>
          </w:p>
        </w:tc>
        <w:tc>
          <w:tcPr>
            <w:tcW w:w="7087" w:type="dxa"/>
          </w:tcPr>
          <w:p w14:paraId="375EB039" w14:textId="77777777" w:rsidR="00906898" w:rsidRPr="00263DB9" w:rsidRDefault="00906898" w:rsidP="00E51817">
            <w:pPr>
              <w:keepNext/>
              <w:widowControl w:val="0"/>
              <w:tabs>
                <w:tab w:val="left" w:pos="567"/>
              </w:tabs>
              <w:spacing w:line="260" w:lineRule="exact"/>
              <w:rPr>
                <w:bCs/>
                <w:color w:val="000000"/>
                <w:szCs w:val="22"/>
              </w:rPr>
            </w:pPr>
            <w:r w:rsidRPr="00263DB9">
              <w:rPr>
                <w:bCs/>
                <w:color w:val="000000"/>
                <w:szCs w:val="22"/>
              </w:rPr>
              <w:t>Insónia</w:t>
            </w:r>
          </w:p>
        </w:tc>
      </w:tr>
      <w:tr w:rsidR="00906898" w:rsidRPr="00263DB9" w14:paraId="375EB03D" w14:textId="77777777" w:rsidTr="00E51817">
        <w:trPr>
          <w:cantSplit/>
          <w:trHeight w:val="260"/>
        </w:trPr>
        <w:tc>
          <w:tcPr>
            <w:tcW w:w="2235" w:type="dxa"/>
          </w:tcPr>
          <w:p w14:paraId="375EB03B" w14:textId="77777777" w:rsidR="00906898" w:rsidRPr="00263DB9" w:rsidRDefault="00906898" w:rsidP="00E51817">
            <w:pPr>
              <w:keepNext/>
              <w:widowControl w:val="0"/>
              <w:tabs>
                <w:tab w:val="left" w:pos="567"/>
              </w:tabs>
              <w:spacing w:line="260" w:lineRule="exact"/>
              <w:rPr>
                <w:b/>
                <w:color w:val="000000"/>
                <w:szCs w:val="22"/>
              </w:rPr>
            </w:pPr>
            <w:r w:rsidRPr="00263DB9">
              <w:rPr>
                <w:bCs/>
                <w:i/>
                <w:iCs/>
                <w:color w:val="000000"/>
                <w:szCs w:val="22"/>
              </w:rPr>
              <w:t>Pouco frequentes:</w:t>
            </w:r>
          </w:p>
        </w:tc>
        <w:tc>
          <w:tcPr>
            <w:tcW w:w="7087" w:type="dxa"/>
          </w:tcPr>
          <w:p w14:paraId="375EB03C" w14:textId="77777777" w:rsidR="00906898" w:rsidRPr="00263DB9" w:rsidRDefault="00906898" w:rsidP="00E51817">
            <w:pPr>
              <w:keepNext/>
              <w:widowControl w:val="0"/>
              <w:tabs>
                <w:tab w:val="left" w:pos="567"/>
              </w:tabs>
              <w:spacing w:line="260" w:lineRule="exact"/>
              <w:rPr>
                <w:bCs/>
                <w:color w:val="000000"/>
                <w:szCs w:val="22"/>
              </w:rPr>
            </w:pPr>
            <w:r w:rsidRPr="00263DB9">
              <w:rPr>
                <w:bCs/>
                <w:color w:val="000000"/>
                <w:szCs w:val="22"/>
              </w:rPr>
              <w:t>Depressão, diminuição da líbido, ansiedade</w:t>
            </w:r>
          </w:p>
        </w:tc>
      </w:tr>
      <w:tr w:rsidR="00906898" w:rsidRPr="00263DB9" w14:paraId="375EB040" w14:textId="77777777" w:rsidTr="00E51817">
        <w:trPr>
          <w:cantSplit/>
          <w:trHeight w:val="260"/>
        </w:trPr>
        <w:tc>
          <w:tcPr>
            <w:tcW w:w="2235" w:type="dxa"/>
          </w:tcPr>
          <w:p w14:paraId="375EB03E" w14:textId="77777777" w:rsidR="00906898" w:rsidRPr="00263DB9" w:rsidRDefault="00906898" w:rsidP="00E51817">
            <w:pPr>
              <w:widowControl w:val="0"/>
              <w:tabs>
                <w:tab w:val="left" w:pos="567"/>
              </w:tabs>
              <w:spacing w:line="260" w:lineRule="exact"/>
              <w:rPr>
                <w:b/>
                <w:color w:val="000000"/>
                <w:szCs w:val="22"/>
              </w:rPr>
            </w:pPr>
            <w:r w:rsidRPr="00263DB9">
              <w:rPr>
                <w:bCs/>
                <w:i/>
                <w:iCs/>
                <w:color w:val="000000"/>
                <w:szCs w:val="22"/>
              </w:rPr>
              <w:t>Raros:</w:t>
            </w:r>
          </w:p>
        </w:tc>
        <w:tc>
          <w:tcPr>
            <w:tcW w:w="7087" w:type="dxa"/>
          </w:tcPr>
          <w:p w14:paraId="375EB03F" w14:textId="77777777" w:rsidR="00906898" w:rsidRPr="00263DB9" w:rsidRDefault="00906898" w:rsidP="00E51817">
            <w:pPr>
              <w:widowControl w:val="0"/>
              <w:tabs>
                <w:tab w:val="left" w:pos="567"/>
              </w:tabs>
              <w:spacing w:line="260" w:lineRule="exact"/>
              <w:rPr>
                <w:bCs/>
                <w:color w:val="000000"/>
                <w:szCs w:val="22"/>
              </w:rPr>
            </w:pPr>
            <w:r w:rsidRPr="00263DB9">
              <w:rPr>
                <w:bCs/>
                <w:color w:val="000000"/>
                <w:szCs w:val="22"/>
              </w:rPr>
              <w:t>Estado confusional</w:t>
            </w:r>
          </w:p>
        </w:tc>
      </w:tr>
      <w:tr w:rsidR="00906898" w:rsidRPr="00263DB9" w14:paraId="375EB042" w14:textId="77777777" w:rsidTr="00E51817">
        <w:trPr>
          <w:cantSplit/>
        </w:trPr>
        <w:tc>
          <w:tcPr>
            <w:tcW w:w="9322" w:type="dxa"/>
            <w:gridSpan w:val="2"/>
          </w:tcPr>
          <w:p w14:paraId="375EB041" w14:textId="77777777" w:rsidR="00906898" w:rsidRPr="00263DB9" w:rsidRDefault="00906898" w:rsidP="00E51817">
            <w:pPr>
              <w:keepNext/>
              <w:widowControl w:val="0"/>
              <w:tabs>
                <w:tab w:val="left" w:pos="567"/>
              </w:tabs>
              <w:spacing w:line="260" w:lineRule="exact"/>
              <w:rPr>
                <w:color w:val="000000"/>
              </w:rPr>
            </w:pPr>
            <w:r w:rsidRPr="00263DB9">
              <w:rPr>
                <w:b/>
                <w:color w:val="000000"/>
                <w:szCs w:val="22"/>
              </w:rPr>
              <w:t>Doenças do sistema nervoso</w:t>
            </w:r>
          </w:p>
        </w:tc>
      </w:tr>
      <w:tr w:rsidR="00906898" w:rsidRPr="00263DB9" w14:paraId="375EB045" w14:textId="77777777" w:rsidTr="00E51817">
        <w:trPr>
          <w:cantSplit/>
        </w:trPr>
        <w:tc>
          <w:tcPr>
            <w:tcW w:w="2235" w:type="dxa"/>
          </w:tcPr>
          <w:p w14:paraId="375EB043"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Muito frequentes:</w:t>
            </w:r>
          </w:p>
        </w:tc>
        <w:tc>
          <w:tcPr>
            <w:tcW w:w="7087" w:type="dxa"/>
          </w:tcPr>
          <w:p w14:paraId="375EB044"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Cefaleias</w:t>
            </w:r>
            <w:r w:rsidRPr="00263DB9">
              <w:rPr>
                <w:color w:val="000000"/>
                <w:szCs w:val="22"/>
                <w:vertAlign w:val="superscript"/>
              </w:rPr>
              <w:t>2</w:t>
            </w:r>
          </w:p>
        </w:tc>
      </w:tr>
      <w:tr w:rsidR="00906898" w:rsidRPr="00263DB9" w14:paraId="375EB048" w14:textId="77777777" w:rsidTr="00E51817">
        <w:trPr>
          <w:cantSplit/>
        </w:trPr>
        <w:tc>
          <w:tcPr>
            <w:tcW w:w="2235" w:type="dxa"/>
          </w:tcPr>
          <w:p w14:paraId="375EB046"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Frequentes:</w:t>
            </w:r>
          </w:p>
        </w:tc>
        <w:tc>
          <w:tcPr>
            <w:tcW w:w="7087" w:type="dxa"/>
          </w:tcPr>
          <w:p w14:paraId="375EB047" w14:textId="77777777" w:rsidR="00906898" w:rsidRPr="00263DB9" w:rsidRDefault="00906898" w:rsidP="00E51817">
            <w:pPr>
              <w:keepNext/>
              <w:widowControl w:val="0"/>
              <w:tabs>
                <w:tab w:val="left" w:pos="567"/>
              </w:tabs>
              <w:spacing w:line="260" w:lineRule="exact"/>
              <w:rPr>
                <w:color w:val="000000"/>
                <w:szCs w:val="22"/>
              </w:rPr>
            </w:pPr>
            <w:r w:rsidRPr="00263DB9">
              <w:rPr>
                <w:color w:val="000000"/>
                <w:szCs w:val="22"/>
              </w:rPr>
              <w:t>Tonturas, parestesias, perturbações do paladar, hipoestesia</w:t>
            </w:r>
          </w:p>
        </w:tc>
      </w:tr>
      <w:tr w:rsidR="00906898" w:rsidRPr="00263DB9" w14:paraId="375EB04B" w14:textId="77777777" w:rsidTr="00E51817">
        <w:trPr>
          <w:cantSplit/>
        </w:trPr>
        <w:tc>
          <w:tcPr>
            <w:tcW w:w="2235" w:type="dxa"/>
          </w:tcPr>
          <w:p w14:paraId="375EB049"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Pouco frequentes:</w:t>
            </w:r>
          </w:p>
        </w:tc>
        <w:tc>
          <w:tcPr>
            <w:tcW w:w="7087" w:type="dxa"/>
          </w:tcPr>
          <w:p w14:paraId="375EB04A"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Enxaqueca, sonolência, síncope, neuropatia periférica, diminuição da memória, ciática, síndrome de perna dormente, tremor, hemorragia cerebral</w:t>
            </w:r>
          </w:p>
        </w:tc>
      </w:tr>
      <w:tr w:rsidR="00906898" w:rsidRPr="00263DB9" w14:paraId="375EB04E" w14:textId="77777777" w:rsidTr="00E51817">
        <w:trPr>
          <w:cantSplit/>
        </w:trPr>
        <w:tc>
          <w:tcPr>
            <w:tcW w:w="2235" w:type="dxa"/>
          </w:tcPr>
          <w:p w14:paraId="375EB04C"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Raros:</w:t>
            </w:r>
          </w:p>
        </w:tc>
        <w:tc>
          <w:tcPr>
            <w:tcW w:w="7087" w:type="dxa"/>
          </w:tcPr>
          <w:p w14:paraId="375EB04D" w14:textId="77777777" w:rsidR="00906898" w:rsidRPr="00263DB9" w:rsidRDefault="00906898" w:rsidP="00E51817">
            <w:pPr>
              <w:keepNext/>
              <w:widowControl w:val="0"/>
              <w:tabs>
                <w:tab w:val="left" w:pos="567"/>
              </w:tabs>
              <w:spacing w:line="260" w:lineRule="exact"/>
              <w:rPr>
                <w:color w:val="000000"/>
                <w:szCs w:val="22"/>
              </w:rPr>
            </w:pPr>
            <w:r w:rsidRPr="00263DB9">
              <w:rPr>
                <w:color w:val="000000"/>
                <w:szCs w:val="22"/>
              </w:rPr>
              <w:t>Aumento da pressão intracraneana, convulsões, neurite ótica</w:t>
            </w:r>
          </w:p>
        </w:tc>
      </w:tr>
      <w:tr w:rsidR="00950732" w:rsidRPr="00263DB9" w14:paraId="375EB051" w14:textId="77777777" w:rsidTr="00E51817">
        <w:trPr>
          <w:cantSplit/>
        </w:trPr>
        <w:tc>
          <w:tcPr>
            <w:tcW w:w="2235" w:type="dxa"/>
          </w:tcPr>
          <w:p w14:paraId="375EB04F" w14:textId="77777777" w:rsidR="00950732" w:rsidRPr="00263DB9" w:rsidRDefault="00950732" w:rsidP="00E51817">
            <w:pPr>
              <w:widowControl w:val="0"/>
              <w:tabs>
                <w:tab w:val="left" w:pos="567"/>
              </w:tabs>
              <w:spacing w:line="260" w:lineRule="exact"/>
              <w:rPr>
                <w:i/>
                <w:color w:val="000000"/>
                <w:szCs w:val="22"/>
              </w:rPr>
            </w:pPr>
            <w:r w:rsidRPr="00263DB9">
              <w:rPr>
                <w:i/>
                <w:color w:val="000000"/>
                <w:szCs w:val="22"/>
              </w:rPr>
              <w:t>Desconhecido:</w:t>
            </w:r>
          </w:p>
        </w:tc>
        <w:tc>
          <w:tcPr>
            <w:tcW w:w="7087" w:type="dxa"/>
          </w:tcPr>
          <w:p w14:paraId="375EB050" w14:textId="77777777" w:rsidR="00950732" w:rsidRPr="00263DB9" w:rsidRDefault="00950732" w:rsidP="00E51817">
            <w:pPr>
              <w:widowControl w:val="0"/>
              <w:tabs>
                <w:tab w:val="left" w:pos="567"/>
              </w:tabs>
              <w:spacing w:line="260" w:lineRule="exact"/>
              <w:rPr>
                <w:color w:val="000000"/>
                <w:szCs w:val="22"/>
              </w:rPr>
            </w:pPr>
            <w:r w:rsidRPr="00263DB9">
              <w:rPr>
                <w:color w:val="000000"/>
                <w:szCs w:val="22"/>
              </w:rPr>
              <w:t>Edema cerebral*</w:t>
            </w:r>
          </w:p>
        </w:tc>
      </w:tr>
      <w:tr w:rsidR="00906898" w:rsidRPr="00263DB9" w14:paraId="375EB053" w14:textId="77777777" w:rsidTr="00E51817">
        <w:trPr>
          <w:cantSplit/>
        </w:trPr>
        <w:tc>
          <w:tcPr>
            <w:tcW w:w="9322" w:type="dxa"/>
            <w:gridSpan w:val="2"/>
          </w:tcPr>
          <w:p w14:paraId="375EB052" w14:textId="77777777" w:rsidR="00906898" w:rsidRPr="00263DB9" w:rsidRDefault="00906898" w:rsidP="00E51817">
            <w:pPr>
              <w:keepNext/>
              <w:widowControl w:val="0"/>
              <w:tabs>
                <w:tab w:val="left" w:pos="567"/>
              </w:tabs>
              <w:spacing w:line="260" w:lineRule="exact"/>
              <w:rPr>
                <w:color w:val="000000"/>
              </w:rPr>
            </w:pPr>
            <w:r w:rsidRPr="00263DB9">
              <w:rPr>
                <w:b/>
                <w:color w:val="000000"/>
                <w:szCs w:val="22"/>
              </w:rPr>
              <w:t>Afeções oculares</w:t>
            </w:r>
          </w:p>
        </w:tc>
      </w:tr>
      <w:tr w:rsidR="00906898" w:rsidRPr="00263DB9" w14:paraId="375EB056" w14:textId="77777777" w:rsidTr="00E51817">
        <w:trPr>
          <w:cantSplit/>
        </w:trPr>
        <w:tc>
          <w:tcPr>
            <w:tcW w:w="2235" w:type="dxa"/>
          </w:tcPr>
          <w:p w14:paraId="375EB054"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Frequentes:</w:t>
            </w:r>
          </w:p>
        </w:tc>
        <w:tc>
          <w:tcPr>
            <w:tcW w:w="7087" w:type="dxa"/>
          </w:tcPr>
          <w:p w14:paraId="375EB055"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Edema da pálpebra, aumento da secreção de lágrimas, hemorragia conjuntival, conjuntivite, secura ocular, visão turva</w:t>
            </w:r>
          </w:p>
        </w:tc>
      </w:tr>
      <w:tr w:rsidR="00906898" w:rsidRPr="00263DB9" w14:paraId="375EB059" w14:textId="77777777" w:rsidTr="00E51817">
        <w:trPr>
          <w:cantSplit/>
        </w:trPr>
        <w:tc>
          <w:tcPr>
            <w:tcW w:w="2235" w:type="dxa"/>
          </w:tcPr>
          <w:p w14:paraId="375EB057"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Pouco frequentes:</w:t>
            </w:r>
          </w:p>
        </w:tc>
        <w:tc>
          <w:tcPr>
            <w:tcW w:w="7087" w:type="dxa"/>
          </w:tcPr>
          <w:p w14:paraId="375EB058"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Irritação ocular, dor ocular, edema orbital, hemorragia esclerótica, hemorragia retinal, blefarite, edema macular</w:t>
            </w:r>
          </w:p>
        </w:tc>
      </w:tr>
      <w:tr w:rsidR="00906898" w:rsidRPr="00263DB9" w14:paraId="375EB05C" w14:textId="77777777" w:rsidTr="00E51817">
        <w:trPr>
          <w:cantSplit/>
        </w:trPr>
        <w:tc>
          <w:tcPr>
            <w:tcW w:w="2235" w:type="dxa"/>
          </w:tcPr>
          <w:p w14:paraId="375EB05A"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Raros:</w:t>
            </w:r>
          </w:p>
        </w:tc>
        <w:tc>
          <w:tcPr>
            <w:tcW w:w="7087" w:type="dxa"/>
          </w:tcPr>
          <w:p w14:paraId="375EB05B"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Cataratas, glaucoma, papiloedema</w:t>
            </w:r>
          </w:p>
        </w:tc>
      </w:tr>
      <w:tr w:rsidR="00950732" w:rsidRPr="00263DB9" w14:paraId="375EB05F" w14:textId="77777777" w:rsidTr="00E51817">
        <w:trPr>
          <w:cantSplit/>
        </w:trPr>
        <w:tc>
          <w:tcPr>
            <w:tcW w:w="2235" w:type="dxa"/>
          </w:tcPr>
          <w:p w14:paraId="375EB05D" w14:textId="77777777" w:rsidR="00950732" w:rsidRPr="00263DB9" w:rsidRDefault="00950732" w:rsidP="00E51817">
            <w:pPr>
              <w:widowControl w:val="0"/>
              <w:tabs>
                <w:tab w:val="left" w:pos="567"/>
              </w:tabs>
              <w:spacing w:line="260" w:lineRule="exact"/>
              <w:rPr>
                <w:i/>
                <w:color w:val="000000"/>
                <w:szCs w:val="22"/>
              </w:rPr>
            </w:pPr>
            <w:r w:rsidRPr="00263DB9">
              <w:rPr>
                <w:i/>
                <w:color w:val="000000"/>
                <w:szCs w:val="22"/>
              </w:rPr>
              <w:t>Desconhecido:</w:t>
            </w:r>
          </w:p>
        </w:tc>
        <w:tc>
          <w:tcPr>
            <w:tcW w:w="7087" w:type="dxa"/>
          </w:tcPr>
          <w:p w14:paraId="375EB05E" w14:textId="77777777" w:rsidR="00950732" w:rsidRPr="00263DB9" w:rsidRDefault="00950732" w:rsidP="00E51817">
            <w:pPr>
              <w:widowControl w:val="0"/>
              <w:tabs>
                <w:tab w:val="left" w:pos="567"/>
              </w:tabs>
              <w:spacing w:line="260" w:lineRule="exact"/>
              <w:rPr>
                <w:color w:val="000000"/>
                <w:szCs w:val="22"/>
              </w:rPr>
            </w:pPr>
            <w:r w:rsidRPr="00263DB9">
              <w:rPr>
                <w:color w:val="000000"/>
                <w:szCs w:val="22"/>
              </w:rPr>
              <w:t>Hemorragia vítrea*</w:t>
            </w:r>
          </w:p>
        </w:tc>
      </w:tr>
      <w:tr w:rsidR="00906898" w:rsidRPr="00263DB9" w14:paraId="375EB061" w14:textId="77777777" w:rsidTr="00E51817">
        <w:trPr>
          <w:cantSplit/>
        </w:trPr>
        <w:tc>
          <w:tcPr>
            <w:tcW w:w="9322" w:type="dxa"/>
            <w:gridSpan w:val="2"/>
          </w:tcPr>
          <w:p w14:paraId="375EB060" w14:textId="77777777" w:rsidR="00906898" w:rsidRPr="00263DB9" w:rsidRDefault="00906898" w:rsidP="00E51817">
            <w:pPr>
              <w:keepNext/>
              <w:widowControl w:val="0"/>
              <w:tabs>
                <w:tab w:val="left" w:pos="567"/>
              </w:tabs>
              <w:spacing w:line="260" w:lineRule="exact"/>
              <w:rPr>
                <w:color w:val="000000"/>
              </w:rPr>
            </w:pPr>
            <w:r w:rsidRPr="00263DB9">
              <w:rPr>
                <w:b/>
                <w:color w:val="000000"/>
                <w:szCs w:val="22"/>
              </w:rPr>
              <w:t>Afeções do ouvido e do labirinto</w:t>
            </w:r>
          </w:p>
        </w:tc>
      </w:tr>
      <w:tr w:rsidR="00906898" w:rsidRPr="00263DB9" w14:paraId="375EB064" w14:textId="77777777" w:rsidTr="00E51817">
        <w:trPr>
          <w:cantSplit/>
        </w:trPr>
        <w:tc>
          <w:tcPr>
            <w:tcW w:w="2235" w:type="dxa"/>
          </w:tcPr>
          <w:p w14:paraId="375EB062" w14:textId="77777777" w:rsidR="00906898" w:rsidRPr="00263DB9" w:rsidRDefault="00906898" w:rsidP="00E51817">
            <w:pPr>
              <w:widowControl w:val="0"/>
              <w:tabs>
                <w:tab w:val="left" w:pos="567"/>
              </w:tabs>
              <w:spacing w:line="260" w:lineRule="exact"/>
              <w:rPr>
                <w:color w:val="000000"/>
              </w:rPr>
            </w:pPr>
            <w:r w:rsidRPr="00263DB9">
              <w:rPr>
                <w:i/>
                <w:color w:val="000000"/>
                <w:szCs w:val="22"/>
              </w:rPr>
              <w:t>Pouco frequentes:</w:t>
            </w:r>
          </w:p>
        </w:tc>
        <w:tc>
          <w:tcPr>
            <w:tcW w:w="7087" w:type="dxa"/>
          </w:tcPr>
          <w:p w14:paraId="375EB063" w14:textId="77777777" w:rsidR="00906898" w:rsidRPr="00263DB9" w:rsidRDefault="00906898" w:rsidP="00E51817">
            <w:pPr>
              <w:widowControl w:val="0"/>
              <w:tabs>
                <w:tab w:val="left" w:pos="567"/>
              </w:tabs>
              <w:spacing w:line="260" w:lineRule="exact"/>
              <w:rPr>
                <w:color w:val="000000"/>
              </w:rPr>
            </w:pPr>
            <w:r w:rsidRPr="00263DB9">
              <w:rPr>
                <w:color w:val="000000"/>
                <w:szCs w:val="22"/>
              </w:rPr>
              <w:t>Vertigens, acufeno, perda de audição</w:t>
            </w:r>
          </w:p>
        </w:tc>
      </w:tr>
      <w:tr w:rsidR="00906898" w:rsidRPr="00263DB9" w14:paraId="375EB066" w14:textId="77777777" w:rsidTr="00E51817">
        <w:trPr>
          <w:cantSplit/>
        </w:trPr>
        <w:tc>
          <w:tcPr>
            <w:tcW w:w="9322" w:type="dxa"/>
            <w:gridSpan w:val="2"/>
          </w:tcPr>
          <w:p w14:paraId="375EB065" w14:textId="77777777" w:rsidR="00906898" w:rsidRPr="00263DB9" w:rsidRDefault="00906898" w:rsidP="00E51817">
            <w:pPr>
              <w:keepNext/>
              <w:widowControl w:val="0"/>
              <w:tabs>
                <w:tab w:val="left" w:pos="567"/>
              </w:tabs>
              <w:spacing w:line="260" w:lineRule="exact"/>
              <w:rPr>
                <w:b/>
                <w:color w:val="000000"/>
                <w:szCs w:val="22"/>
              </w:rPr>
            </w:pPr>
            <w:r w:rsidRPr="00263DB9">
              <w:rPr>
                <w:b/>
                <w:color w:val="000000"/>
                <w:szCs w:val="22"/>
              </w:rPr>
              <w:t>Cardiopatias</w:t>
            </w:r>
          </w:p>
        </w:tc>
      </w:tr>
      <w:tr w:rsidR="00906898" w:rsidRPr="00263DB9" w14:paraId="375EB069" w14:textId="77777777" w:rsidTr="00E51817">
        <w:trPr>
          <w:cantSplit/>
          <w:trHeight w:val="263"/>
        </w:trPr>
        <w:tc>
          <w:tcPr>
            <w:tcW w:w="2235" w:type="dxa"/>
          </w:tcPr>
          <w:p w14:paraId="375EB067" w14:textId="77777777" w:rsidR="00906898" w:rsidRPr="00263DB9" w:rsidRDefault="00906898" w:rsidP="00E51817">
            <w:pPr>
              <w:keepNext/>
              <w:widowControl w:val="0"/>
              <w:tabs>
                <w:tab w:val="left" w:pos="567"/>
              </w:tabs>
              <w:spacing w:line="260" w:lineRule="exact"/>
              <w:rPr>
                <w:b/>
                <w:color w:val="000000"/>
                <w:szCs w:val="22"/>
              </w:rPr>
            </w:pPr>
            <w:r w:rsidRPr="00263DB9">
              <w:rPr>
                <w:bCs/>
                <w:i/>
                <w:iCs/>
                <w:color w:val="000000"/>
                <w:szCs w:val="22"/>
              </w:rPr>
              <w:t>Pouco frequentes:</w:t>
            </w:r>
          </w:p>
        </w:tc>
        <w:tc>
          <w:tcPr>
            <w:tcW w:w="7087" w:type="dxa"/>
          </w:tcPr>
          <w:p w14:paraId="375EB068" w14:textId="77777777" w:rsidR="00906898" w:rsidRPr="00263DB9" w:rsidRDefault="00906898" w:rsidP="00E51817">
            <w:pPr>
              <w:keepNext/>
              <w:widowControl w:val="0"/>
              <w:tabs>
                <w:tab w:val="left" w:pos="567"/>
              </w:tabs>
              <w:spacing w:line="260" w:lineRule="exact"/>
              <w:rPr>
                <w:bCs/>
                <w:color w:val="000000"/>
                <w:szCs w:val="22"/>
              </w:rPr>
            </w:pPr>
            <w:r w:rsidRPr="00263DB9">
              <w:rPr>
                <w:bCs/>
                <w:color w:val="000000"/>
                <w:szCs w:val="22"/>
              </w:rPr>
              <w:t>Palpitações, taquicardia, insuficiência cardíaca congestiva</w:t>
            </w:r>
            <w:r w:rsidRPr="00263DB9">
              <w:rPr>
                <w:bCs/>
                <w:color w:val="000000"/>
                <w:szCs w:val="22"/>
                <w:vertAlign w:val="superscript"/>
              </w:rPr>
              <w:t>3</w:t>
            </w:r>
            <w:r w:rsidRPr="00263DB9">
              <w:rPr>
                <w:bCs/>
                <w:color w:val="000000"/>
                <w:szCs w:val="22"/>
              </w:rPr>
              <w:t>, edema pulmonar</w:t>
            </w:r>
          </w:p>
        </w:tc>
      </w:tr>
      <w:tr w:rsidR="00906898" w:rsidRPr="00263DB9" w14:paraId="375EB06C" w14:textId="77777777" w:rsidTr="00E51817">
        <w:trPr>
          <w:cantSplit/>
          <w:trHeight w:val="262"/>
        </w:trPr>
        <w:tc>
          <w:tcPr>
            <w:tcW w:w="2235" w:type="dxa"/>
          </w:tcPr>
          <w:p w14:paraId="375EB06A" w14:textId="77777777" w:rsidR="00906898" w:rsidRPr="00263DB9" w:rsidRDefault="00906898" w:rsidP="00E51817">
            <w:pPr>
              <w:keepNext/>
              <w:widowControl w:val="0"/>
              <w:tabs>
                <w:tab w:val="left" w:pos="567"/>
              </w:tabs>
              <w:spacing w:line="260" w:lineRule="exact"/>
              <w:rPr>
                <w:b/>
                <w:color w:val="000000"/>
                <w:szCs w:val="22"/>
              </w:rPr>
            </w:pPr>
            <w:r w:rsidRPr="00263DB9">
              <w:rPr>
                <w:bCs/>
                <w:i/>
                <w:iCs/>
                <w:color w:val="000000"/>
                <w:szCs w:val="22"/>
              </w:rPr>
              <w:t>Raros:</w:t>
            </w:r>
          </w:p>
        </w:tc>
        <w:tc>
          <w:tcPr>
            <w:tcW w:w="7087" w:type="dxa"/>
          </w:tcPr>
          <w:p w14:paraId="375EB06B" w14:textId="77777777" w:rsidR="00906898" w:rsidRPr="00263DB9" w:rsidRDefault="00906898" w:rsidP="00E51817">
            <w:pPr>
              <w:keepNext/>
              <w:widowControl w:val="0"/>
              <w:tabs>
                <w:tab w:val="left" w:pos="567"/>
              </w:tabs>
              <w:spacing w:line="260" w:lineRule="exact"/>
              <w:rPr>
                <w:bCs/>
                <w:color w:val="000000"/>
                <w:szCs w:val="22"/>
              </w:rPr>
            </w:pPr>
            <w:r w:rsidRPr="00263DB9">
              <w:rPr>
                <w:bCs/>
                <w:color w:val="000000"/>
                <w:szCs w:val="22"/>
              </w:rPr>
              <w:t>Arritmia, fibrilhação auricular, paragem cardíaca, enfarte do miocárdio, angina de peito, derrame pericárdico</w:t>
            </w:r>
          </w:p>
        </w:tc>
      </w:tr>
      <w:tr w:rsidR="00950732" w:rsidRPr="00263DB9" w14:paraId="375EB06F" w14:textId="77777777" w:rsidTr="00E51817">
        <w:trPr>
          <w:cantSplit/>
          <w:trHeight w:val="262"/>
        </w:trPr>
        <w:tc>
          <w:tcPr>
            <w:tcW w:w="2235" w:type="dxa"/>
          </w:tcPr>
          <w:p w14:paraId="375EB06D" w14:textId="77777777" w:rsidR="00950732" w:rsidRPr="00263DB9" w:rsidRDefault="00950732" w:rsidP="00E51817">
            <w:pPr>
              <w:widowControl w:val="0"/>
              <w:tabs>
                <w:tab w:val="left" w:pos="567"/>
              </w:tabs>
              <w:spacing w:line="260" w:lineRule="exact"/>
              <w:rPr>
                <w:bCs/>
                <w:i/>
                <w:iCs/>
                <w:color w:val="000000"/>
                <w:szCs w:val="22"/>
              </w:rPr>
            </w:pPr>
            <w:r w:rsidRPr="00263DB9">
              <w:rPr>
                <w:bCs/>
                <w:i/>
                <w:iCs/>
                <w:color w:val="000000"/>
                <w:szCs w:val="22"/>
              </w:rPr>
              <w:t>Desconhecido:</w:t>
            </w:r>
          </w:p>
        </w:tc>
        <w:tc>
          <w:tcPr>
            <w:tcW w:w="7087" w:type="dxa"/>
          </w:tcPr>
          <w:p w14:paraId="375EB06E" w14:textId="77777777" w:rsidR="00950732" w:rsidRPr="00263DB9" w:rsidRDefault="00950732" w:rsidP="00E51817">
            <w:pPr>
              <w:widowControl w:val="0"/>
              <w:tabs>
                <w:tab w:val="left" w:pos="567"/>
              </w:tabs>
              <w:spacing w:line="260" w:lineRule="exact"/>
              <w:rPr>
                <w:bCs/>
                <w:color w:val="000000"/>
                <w:szCs w:val="22"/>
              </w:rPr>
            </w:pPr>
            <w:r w:rsidRPr="00263DB9">
              <w:rPr>
                <w:bCs/>
                <w:color w:val="000000"/>
                <w:szCs w:val="22"/>
              </w:rPr>
              <w:t>Pericardite*, tamponamento cardíaco*</w:t>
            </w:r>
          </w:p>
        </w:tc>
      </w:tr>
      <w:tr w:rsidR="00906898" w:rsidRPr="00263DB9" w14:paraId="375EB071" w14:textId="77777777" w:rsidTr="00E51817">
        <w:trPr>
          <w:cantSplit/>
        </w:trPr>
        <w:tc>
          <w:tcPr>
            <w:tcW w:w="9322" w:type="dxa"/>
            <w:gridSpan w:val="2"/>
          </w:tcPr>
          <w:p w14:paraId="375EB070" w14:textId="77777777" w:rsidR="00906898" w:rsidRPr="00263DB9" w:rsidRDefault="00906898" w:rsidP="00E51817">
            <w:pPr>
              <w:keepNext/>
              <w:widowControl w:val="0"/>
              <w:tabs>
                <w:tab w:val="left" w:pos="567"/>
              </w:tabs>
              <w:spacing w:line="260" w:lineRule="exact"/>
              <w:rPr>
                <w:b/>
                <w:color w:val="000000"/>
                <w:szCs w:val="22"/>
              </w:rPr>
            </w:pPr>
            <w:r w:rsidRPr="00263DB9">
              <w:rPr>
                <w:b/>
                <w:color w:val="000000"/>
                <w:szCs w:val="22"/>
              </w:rPr>
              <w:lastRenderedPageBreak/>
              <w:t>Vasculopatias</w:t>
            </w:r>
            <w:r w:rsidRPr="00263DB9">
              <w:rPr>
                <w:b/>
                <w:color w:val="000000"/>
                <w:szCs w:val="22"/>
                <w:vertAlign w:val="superscript"/>
              </w:rPr>
              <w:t>4</w:t>
            </w:r>
          </w:p>
        </w:tc>
      </w:tr>
      <w:tr w:rsidR="00906898" w:rsidRPr="00263DB9" w14:paraId="375EB074" w14:textId="77777777" w:rsidTr="00E51817">
        <w:trPr>
          <w:cantSplit/>
          <w:trHeight w:val="263"/>
        </w:trPr>
        <w:tc>
          <w:tcPr>
            <w:tcW w:w="2235" w:type="dxa"/>
          </w:tcPr>
          <w:p w14:paraId="375EB072" w14:textId="77777777" w:rsidR="00906898" w:rsidRPr="00263DB9" w:rsidRDefault="00906898" w:rsidP="00E51817">
            <w:pPr>
              <w:keepNext/>
              <w:widowControl w:val="0"/>
              <w:tabs>
                <w:tab w:val="left" w:pos="567"/>
              </w:tabs>
              <w:spacing w:line="260" w:lineRule="exact"/>
              <w:rPr>
                <w:b/>
                <w:color w:val="000000"/>
                <w:szCs w:val="22"/>
              </w:rPr>
            </w:pPr>
            <w:r w:rsidRPr="00263DB9">
              <w:rPr>
                <w:i/>
                <w:color w:val="000000"/>
                <w:szCs w:val="22"/>
              </w:rPr>
              <w:t>Frequentes:</w:t>
            </w:r>
          </w:p>
        </w:tc>
        <w:tc>
          <w:tcPr>
            <w:tcW w:w="7087" w:type="dxa"/>
          </w:tcPr>
          <w:p w14:paraId="375EB073" w14:textId="77777777" w:rsidR="00906898" w:rsidRPr="00263DB9" w:rsidRDefault="00906898" w:rsidP="00E51817">
            <w:pPr>
              <w:keepNext/>
              <w:widowControl w:val="0"/>
              <w:tabs>
                <w:tab w:val="left" w:pos="567"/>
              </w:tabs>
              <w:spacing w:line="260" w:lineRule="exact"/>
              <w:rPr>
                <w:bCs/>
                <w:color w:val="000000"/>
                <w:szCs w:val="22"/>
              </w:rPr>
            </w:pPr>
            <w:r w:rsidRPr="00263DB9">
              <w:rPr>
                <w:bCs/>
                <w:color w:val="000000"/>
                <w:szCs w:val="22"/>
              </w:rPr>
              <w:t>Rubor, hemorragia</w:t>
            </w:r>
          </w:p>
        </w:tc>
      </w:tr>
      <w:tr w:rsidR="00906898" w:rsidRPr="00263DB9" w14:paraId="375EB077" w14:textId="77777777" w:rsidTr="00E51817">
        <w:trPr>
          <w:cantSplit/>
          <w:trHeight w:val="262"/>
        </w:trPr>
        <w:tc>
          <w:tcPr>
            <w:tcW w:w="2235" w:type="dxa"/>
          </w:tcPr>
          <w:p w14:paraId="375EB075" w14:textId="77777777" w:rsidR="00906898" w:rsidRPr="00263DB9" w:rsidRDefault="00906898" w:rsidP="00E51817">
            <w:pPr>
              <w:keepNext/>
              <w:widowControl w:val="0"/>
              <w:tabs>
                <w:tab w:val="left" w:pos="567"/>
              </w:tabs>
              <w:spacing w:line="260" w:lineRule="exact"/>
              <w:rPr>
                <w:b/>
                <w:color w:val="000000"/>
                <w:szCs w:val="22"/>
              </w:rPr>
            </w:pPr>
            <w:r w:rsidRPr="00263DB9">
              <w:rPr>
                <w:i/>
                <w:color w:val="000000"/>
                <w:szCs w:val="22"/>
              </w:rPr>
              <w:t>Pouco frequentes:</w:t>
            </w:r>
          </w:p>
        </w:tc>
        <w:tc>
          <w:tcPr>
            <w:tcW w:w="7087" w:type="dxa"/>
          </w:tcPr>
          <w:p w14:paraId="375EB076" w14:textId="77777777" w:rsidR="00906898" w:rsidRPr="00263DB9" w:rsidRDefault="00906898" w:rsidP="00E51817">
            <w:pPr>
              <w:keepNext/>
              <w:widowControl w:val="0"/>
              <w:tabs>
                <w:tab w:val="left" w:pos="567"/>
              </w:tabs>
              <w:spacing w:line="260" w:lineRule="exact"/>
              <w:rPr>
                <w:bCs/>
                <w:color w:val="000000"/>
                <w:szCs w:val="22"/>
              </w:rPr>
            </w:pPr>
            <w:r w:rsidRPr="00263DB9">
              <w:rPr>
                <w:bCs/>
                <w:color w:val="000000"/>
                <w:szCs w:val="22"/>
              </w:rPr>
              <w:t xml:space="preserve">Hipertensão, hematoma, </w:t>
            </w:r>
            <w:r w:rsidR="000E6735" w:rsidRPr="00263DB9">
              <w:rPr>
                <w:bCs/>
                <w:color w:val="000000"/>
                <w:szCs w:val="22"/>
              </w:rPr>
              <w:t xml:space="preserve">hematoma subdural, </w:t>
            </w:r>
            <w:r w:rsidRPr="00263DB9">
              <w:rPr>
                <w:bCs/>
                <w:color w:val="000000"/>
                <w:szCs w:val="22"/>
              </w:rPr>
              <w:t>arrefecimento das extremidades, hipotensão, fenómeno de Raynaud</w:t>
            </w:r>
          </w:p>
        </w:tc>
      </w:tr>
      <w:tr w:rsidR="00950732" w:rsidRPr="00263DB9" w14:paraId="375EB07A" w14:textId="77777777" w:rsidTr="00E51817">
        <w:trPr>
          <w:cantSplit/>
          <w:trHeight w:val="262"/>
        </w:trPr>
        <w:tc>
          <w:tcPr>
            <w:tcW w:w="2235" w:type="dxa"/>
          </w:tcPr>
          <w:p w14:paraId="375EB078" w14:textId="77777777" w:rsidR="00950732" w:rsidRPr="00263DB9" w:rsidRDefault="00950732" w:rsidP="00E51817">
            <w:pPr>
              <w:widowControl w:val="0"/>
              <w:tabs>
                <w:tab w:val="left" w:pos="567"/>
              </w:tabs>
              <w:spacing w:line="260" w:lineRule="exact"/>
              <w:rPr>
                <w:i/>
                <w:color w:val="000000"/>
                <w:szCs w:val="22"/>
              </w:rPr>
            </w:pPr>
            <w:r w:rsidRPr="00263DB9">
              <w:rPr>
                <w:i/>
                <w:color w:val="000000"/>
                <w:szCs w:val="22"/>
              </w:rPr>
              <w:t>Desconhecido:</w:t>
            </w:r>
          </w:p>
        </w:tc>
        <w:tc>
          <w:tcPr>
            <w:tcW w:w="7087" w:type="dxa"/>
          </w:tcPr>
          <w:p w14:paraId="375EB079" w14:textId="77777777" w:rsidR="00950732" w:rsidRPr="00263DB9" w:rsidRDefault="00950732" w:rsidP="00E51817">
            <w:pPr>
              <w:widowControl w:val="0"/>
              <w:tabs>
                <w:tab w:val="left" w:pos="567"/>
              </w:tabs>
              <w:spacing w:line="260" w:lineRule="exact"/>
              <w:rPr>
                <w:bCs/>
                <w:color w:val="000000"/>
                <w:szCs w:val="22"/>
              </w:rPr>
            </w:pPr>
            <w:r w:rsidRPr="00263DB9">
              <w:rPr>
                <w:bCs/>
                <w:color w:val="000000"/>
                <w:szCs w:val="22"/>
              </w:rPr>
              <w:t>Trombose/embolia*</w:t>
            </w:r>
          </w:p>
        </w:tc>
      </w:tr>
      <w:tr w:rsidR="00906898" w:rsidRPr="00263DB9" w14:paraId="375EB07C" w14:textId="77777777" w:rsidTr="00E51817">
        <w:trPr>
          <w:cantSplit/>
        </w:trPr>
        <w:tc>
          <w:tcPr>
            <w:tcW w:w="9322" w:type="dxa"/>
            <w:gridSpan w:val="2"/>
          </w:tcPr>
          <w:p w14:paraId="375EB07B" w14:textId="77777777" w:rsidR="00906898" w:rsidRPr="00263DB9" w:rsidRDefault="00906898" w:rsidP="00E51817">
            <w:pPr>
              <w:keepNext/>
              <w:widowControl w:val="0"/>
              <w:tabs>
                <w:tab w:val="left" w:pos="567"/>
              </w:tabs>
              <w:spacing w:line="260" w:lineRule="exact"/>
              <w:rPr>
                <w:color w:val="000000"/>
                <w:szCs w:val="22"/>
              </w:rPr>
            </w:pPr>
            <w:r w:rsidRPr="00263DB9">
              <w:rPr>
                <w:b/>
                <w:color w:val="000000"/>
                <w:szCs w:val="22"/>
              </w:rPr>
              <w:t>Doenças respiratórias, torácicas e do mediastino</w:t>
            </w:r>
          </w:p>
        </w:tc>
      </w:tr>
      <w:tr w:rsidR="00906898" w:rsidRPr="00263DB9" w14:paraId="375EB07F" w14:textId="77777777" w:rsidTr="00E51817">
        <w:trPr>
          <w:cantSplit/>
        </w:trPr>
        <w:tc>
          <w:tcPr>
            <w:tcW w:w="2235" w:type="dxa"/>
          </w:tcPr>
          <w:p w14:paraId="375EB07D"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Frequentes:</w:t>
            </w:r>
          </w:p>
        </w:tc>
        <w:tc>
          <w:tcPr>
            <w:tcW w:w="7087" w:type="dxa"/>
          </w:tcPr>
          <w:p w14:paraId="375EB07E"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lang w:val="fr-FR"/>
              </w:rPr>
              <w:t>Dispneia, epistaxe, tosse</w:t>
            </w:r>
          </w:p>
        </w:tc>
      </w:tr>
      <w:tr w:rsidR="00906898" w:rsidRPr="00263DB9" w14:paraId="375EB082" w14:textId="77777777" w:rsidTr="00E51817">
        <w:trPr>
          <w:cantSplit/>
        </w:trPr>
        <w:tc>
          <w:tcPr>
            <w:tcW w:w="2235" w:type="dxa"/>
          </w:tcPr>
          <w:p w14:paraId="375EB080"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Pouco frequentes:</w:t>
            </w:r>
          </w:p>
        </w:tc>
        <w:tc>
          <w:tcPr>
            <w:tcW w:w="7087" w:type="dxa"/>
          </w:tcPr>
          <w:p w14:paraId="375EB081"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Derrame pleural</w:t>
            </w:r>
            <w:r w:rsidRPr="00263DB9">
              <w:rPr>
                <w:color w:val="000000"/>
                <w:szCs w:val="22"/>
                <w:vertAlign w:val="superscript"/>
              </w:rPr>
              <w:t>5</w:t>
            </w:r>
            <w:r w:rsidRPr="00263DB9">
              <w:rPr>
                <w:color w:val="000000"/>
                <w:szCs w:val="22"/>
              </w:rPr>
              <w:t>, dor faringolaríngea, faringite</w:t>
            </w:r>
          </w:p>
        </w:tc>
      </w:tr>
      <w:tr w:rsidR="00906898" w:rsidRPr="00263DB9" w14:paraId="375EB085" w14:textId="77777777" w:rsidTr="00E51817">
        <w:trPr>
          <w:cantSplit/>
        </w:trPr>
        <w:tc>
          <w:tcPr>
            <w:tcW w:w="2235" w:type="dxa"/>
          </w:tcPr>
          <w:p w14:paraId="375EB083"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Raros:</w:t>
            </w:r>
          </w:p>
        </w:tc>
        <w:tc>
          <w:tcPr>
            <w:tcW w:w="7087" w:type="dxa"/>
          </w:tcPr>
          <w:p w14:paraId="375EB084"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Dor pleurítica, fibrose pulmonar, hipertensão pulmonar, hemorragia pulmonar</w:t>
            </w:r>
          </w:p>
        </w:tc>
      </w:tr>
      <w:tr w:rsidR="00950732" w:rsidRPr="00263DB9" w14:paraId="375EB088" w14:textId="77777777" w:rsidTr="00E51817">
        <w:trPr>
          <w:cantSplit/>
        </w:trPr>
        <w:tc>
          <w:tcPr>
            <w:tcW w:w="2235" w:type="dxa"/>
          </w:tcPr>
          <w:p w14:paraId="375EB086" w14:textId="77777777" w:rsidR="00950732" w:rsidRPr="00263DB9" w:rsidRDefault="00A11B25" w:rsidP="00E51817">
            <w:pPr>
              <w:widowControl w:val="0"/>
              <w:tabs>
                <w:tab w:val="left" w:pos="567"/>
              </w:tabs>
              <w:spacing w:line="260" w:lineRule="exact"/>
              <w:rPr>
                <w:i/>
                <w:color w:val="000000"/>
                <w:szCs w:val="22"/>
              </w:rPr>
            </w:pPr>
            <w:r w:rsidRPr="00263DB9">
              <w:rPr>
                <w:i/>
                <w:color w:val="000000"/>
                <w:szCs w:val="22"/>
              </w:rPr>
              <w:t>Desconhecido:</w:t>
            </w:r>
          </w:p>
        </w:tc>
        <w:tc>
          <w:tcPr>
            <w:tcW w:w="7087" w:type="dxa"/>
          </w:tcPr>
          <w:p w14:paraId="375EB087" w14:textId="77777777" w:rsidR="00950732" w:rsidRPr="00263DB9" w:rsidRDefault="00A11B25" w:rsidP="00E51817">
            <w:pPr>
              <w:widowControl w:val="0"/>
              <w:tabs>
                <w:tab w:val="left" w:pos="567"/>
              </w:tabs>
              <w:spacing w:line="260" w:lineRule="exact"/>
              <w:rPr>
                <w:color w:val="000000"/>
                <w:szCs w:val="22"/>
              </w:rPr>
            </w:pPr>
            <w:r w:rsidRPr="00263DB9">
              <w:rPr>
                <w:color w:val="000000"/>
                <w:szCs w:val="22"/>
              </w:rPr>
              <w:t>Insuficiência respiratória aguda</w:t>
            </w:r>
            <w:r w:rsidR="005D35DA" w:rsidRPr="00263DB9">
              <w:rPr>
                <w:color w:val="000000"/>
                <w:szCs w:val="22"/>
                <w:vertAlign w:val="superscript"/>
              </w:rPr>
              <w:t>11</w:t>
            </w:r>
            <w:r w:rsidR="001C429A" w:rsidRPr="00263DB9">
              <w:rPr>
                <w:color w:val="000000"/>
                <w:szCs w:val="22"/>
              </w:rPr>
              <w:t>*</w:t>
            </w:r>
            <w:r w:rsidRPr="00263DB9">
              <w:rPr>
                <w:color w:val="000000"/>
                <w:szCs w:val="22"/>
              </w:rPr>
              <w:t>, doença pulmonar intersticial*</w:t>
            </w:r>
          </w:p>
        </w:tc>
      </w:tr>
      <w:tr w:rsidR="00906898" w:rsidRPr="00263DB9" w14:paraId="375EB08A" w14:textId="77777777" w:rsidTr="00E51817">
        <w:trPr>
          <w:cantSplit/>
        </w:trPr>
        <w:tc>
          <w:tcPr>
            <w:tcW w:w="9322" w:type="dxa"/>
            <w:gridSpan w:val="2"/>
          </w:tcPr>
          <w:p w14:paraId="375EB089" w14:textId="77777777" w:rsidR="00906898" w:rsidRPr="00263DB9" w:rsidRDefault="00906898" w:rsidP="00E51817">
            <w:pPr>
              <w:keepNext/>
              <w:widowControl w:val="0"/>
              <w:tabs>
                <w:tab w:val="left" w:pos="567"/>
              </w:tabs>
              <w:spacing w:line="260" w:lineRule="exact"/>
              <w:rPr>
                <w:color w:val="000000"/>
                <w:lang w:val="fr-FR"/>
              </w:rPr>
            </w:pPr>
            <w:r w:rsidRPr="00263DB9">
              <w:rPr>
                <w:b/>
                <w:color w:val="000000"/>
                <w:szCs w:val="22"/>
              </w:rPr>
              <w:t>Doenças gastrointestinais</w:t>
            </w:r>
          </w:p>
        </w:tc>
      </w:tr>
      <w:tr w:rsidR="00906898" w:rsidRPr="00263DB9" w14:paraId="375EB08D" w14:textId="77777777" w:rsidTr="00E51817">
        <w:trPr>
          <w:cantSplit/>
        </w:trPr>
        <w:tc>
          <w:tcPr>
            <w:tcW w:w="2235" w:type="dxa"/>
          </w:tcPr>
          <w:p w14:paraId="375EB08B"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Muito frequentes:</w:t>
            </w:r>
          </w:p>
        </w:tc>
        <w:tc>
          <w:tcPr>
            <w:tcW w:w="7087" w:type="dxa"/>
          </w:tcPr>
          <w:p w14:paraId="375EB08C"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Náuseas, diarreia, vómitos, dispepsia, dor abdominal</w:t>
            </w:r>
            <w:r w:rsidRPr="00263DB9">
              <w:rPr>
                <w:color w:val="000000"/>
                <w:szCs w:val="22"/>
                <w:vertAlign w:val="superscript"/>
              </w:rPr>
              <w:t>6</w:t>
            </w:r>
          </w:p>
        </w:tc>
      </w:tr>
      <w:tr w:rsidR="00906898" w:rsidRPr="00263DB9" w14:paraId="375EB090" w14:textId="77777777" w:rsidTr="00E51817">
        <w:trPr>
          <w:cantSplit/>
        </w:trPr>
        <w:tc>
          <w:tcPr>
            <w:tcW w:w="2235" w:type="dxa"/>
          </w:tcPr>
          <w:p w14:paraId="375EB08E"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Frequentes:</w:t>
            </w:r>
          </w:p>
        </w:tc>
        <w:tc>
          <w:tcPr>
            <w:tcW w:w="7087" w:type="dxa"/>
          </w:tcPr>
          <w:p w14:paraId="375EB08F"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Flatulência, distensão abdominal, refluxo gastroesofágico, obstipação, boca seca, gastrite</w:t>
            </w:r>
          </w:p>
        </w:tc>
      </w:tr>
      <w:tr w:rsidR="00906898" w:rsidRPr="00263DB9" w14:paraId="375EB093" w14:textId="77777777" w:rsidTr="00E51817">
        <w:trPr>
          <w:cantSplit/>
        </w:trPr>
        <w:tc>
          <w:tcPr>
            <w:tcW w:w="2235" w:type="dxa"/>
          </w:tcPr>
          <w:p w14:paraId="375EB091"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Pouco frequentes:</w:t>
            </w:r>
          </w:p>
        </w:tc>
        <w:tc>
          <w:tcPr>
            <w:tcW w:w="7087" w:type="dxa"/>
          </w:tcPr>
          <w:p w14:paraId="375EB092"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Estomatite, ulceração oral, hemorragia gastrointestinal</w:t>
            </w:r>
            <w:r w:rsidRPr="00263DB9">
              <w:rPr>
                <w:color w:val="000000"/>
                <w:szCs w:val="22"/>
                <w:vertAlign w:val="superscript"/>
              </w:rPr>
              <w:t>7</w:t>
            </w:r>
            <w:r w:rsidRPr="00263DB9">
              <w:rPr>
                <w:color w:val="000000"/>
                <w:szCs w:val="22"/>
              </w:rPr>
              <w:t>, eructação, melenas, esofagite, ascite, úlcera gástrica, hematemese, xerostomia, disfagia, pancreatite</w:t>
            </w:r>
          </w:p>
        </w:tc>
      </w:tr>
      <w:tr w:rsidR="00906898" w:rsidRPr="00263DB9" w14:paraId="375EB096" w14:textId="77777777" w:rsidTr="00E51817">
        <w:trPr>
          <w:cantSplit/>
        </w:trPr>
        <w:tc>
          <w:tcPr>
            <w:tcW w:w="2235" w:type="dxa"/>
          </w:tcPr>
          <w:p w14:paraId="375EB094"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Raros:</w:t>
            </w:r>
          </w:p>
        </w:tc>
        <w:tc>
          <w:tcPr>
            <w:tcW w:w="7087" w:type="dxa"/>
          </w:tcPr>
          <w:p w14:paraId="375EB095" w14:textId="77777777" w:rsidR="00906898" w:rsidRPr="00263DB9" w:rsidRDefault="00906898" w:rsidP="00E51817">
            <w:pPr>
              <w:keepNext/>
              <w:widowControl w:val="0"/>
              <w:tabs>
                <w:tab w:val="left" w:pos="567"/>
              </w:tabs>
              <w:spacing w:line="260" w:lineRule="exact"/>
              <w:rPr>
                <w:snapToGrid w:val="0"/>
                <w:color w:val="000000"/>
                <w:szCs w:val="22"/>
              </w:rPr>
            </w:pPr>
            <w:r w:rsidRPr="00263DB9">
              <w:rPr>
                <w:color w:val="000000"/>
                <w:szCs w:val="22"/>
              </w:rPr>
              <w:t>Colite, í</w:t>
            </w:r>
            <w:r w:rsidRPr="00263DB9">
              <w:rPr>
                <w:snapToGrid w:val="0"/>
                <w:color w:val="000000"/>
                <w:szCs w:val="22"/>
              </w:rPr>
              <w:t>leos, doença inflamatória intestina</w:t>
            </w:r>
          </w:p>
        </w:tc>
      </w:tr>
      <w:tr w:rsidR="00A11B25" w:rsidRPr="00263DB9" w14:paraId="375EB099" w14:textId="77777777" w:rsidTr="00E51817">
        <w:trPr>
          <w:cantSplit/>
        </w:trPr>
        <w:tc>
          <w:tcPr>
            <w:tcW w:w="2235" w:type="dxa"/>
          </w:tcPr>
          <w:p w14:paraId="375EB097" w14:textId="77777777" w:rsidR="00A11B25" w:rsidRPr="00263DB9" w:rsidRDefault="00A11B25" w:rsidP="00E51817">
            <w:pPr>
              <w:widowControl w:val="0"/>
              <w:tabs>
                <w:tab w:val="left" w:pos="567"/>
              </w:tabs>
              <w:spacing w:line="260" w:lineRule="exact"/>
              <w:rPr>
                <w:i/>
                <w:color w:val="000000"/>
                <w:szCs w:val="22"/>
              </w:rPr>
            </w:pPr>
            <w:r w:rsidRPr="00263DB9">
              <w:rPr>
                <w:i/>
                <w:color w:val="000000"/>
                <w:szCs w:val="22"/>
              </w:rPr>
              <w:t>Desconhecido:</w:t>
            </w:r>
          </w:p>
        </w:tc>
        <w:tc>
          <w:tcPr>
            <w:tcW w:w="7087" w:type="dxa"/>
          </w:tcPr>
          <w:p w14:paraId="375EB098" w14:textId="77777777" w:rsidR="00A11B25" w:rsidRPr="00263DB9" w:rsidRDefault="00A11B25" w:rsidP="00E51817">
            <w:pPr>
              <w:widowControl w:val="0"/>
              <w:tabs>
                <w:tab w:val="left" w:pos="567"/>
              </w:tabs>
              <w:spacing w:line="260" w:lineRule="exact"/>
              <w:rPr>
                <w:color w:val="000000"/>
                <w:szCs w:val="22"/>
              </w:rPr>
            </w:pPr>
            <w:r w:rsidRPr="00263DB9">
              <w:rPr>
                <w:color w:val="000000"/>
                <w:szCs w:val="22"/>
              </w:rPr>
              <w:t>Obtrução intestinal/ileus</w:t>
            </w:r>
            <w:r w:rsidR="00094C01" w:rsidRPr="00263DB9">
              <w:rPr>
                <w:color w:val="000000"/>
                <w:szCs w:val="22"/>
              </w:rPr>
              <w:t>*</w:t>
            </w:r>
            <w:r w:rsidRPr="00263DB9">
              <w:rPr>
                <w:color w:val="000000"/>
                <w:szCs w:val="22"/>
              </w:rPr>
              <w:t>, perfuração gastrointestinal*, diverticulite*, ectasia vascular do antro gástrico (GAVE)*</w:t>
            </w:r>
          </w:p>
        </w:tc>
      </w:tr>
      <w:tr w:rsidR="00906898" w:rsidRPr="00263DB9" w14:paraId="375EB09B" w14:textId="77777777" w:rsidTr="00E51817">
        <w:trPr>
          <w:cantSplit/>
        </w:trPr>
        <w:tc>
          <w:tcPr>
            <w:tcW w:w="9322" w:type="dxa"/>
            <w:gridSpan w:val="2"/>
          </w:tcPr>
          <w:p w14:paraId="375EB09A" w14:textId="77777777" w:rsidR="00906898" w:rsidRPr="00263DB9" w:rsidRDefault="00906898" w:rsidP="00E51817">
            <w:pPr>
              <w:keepNext/>
              <w:widowControl w:val="0"/>
              <w:tabs>
                <w:tab w:val="left" w:pos="567"/>
              </w:tabs>
              <w:spacing w:line="260" w:lineRule="exact"/>
              <w:rPr>
                <w:b/>
                <w:color w:val="000000"/>
                <w:szCs w:val="22"/>
              </w:rPr>
            </w:pPr>
            <w:r w:rsidRPr="00263DB9">
              <w:rPr>
                <w:b/>
                <w:color w:val="000000"/>
                <w:szCs w:val="22"/>
              </w:rPr>
              <w:t>Afeções hepatobiliares</w:t>
            </w:r>
          </w:p>
        </w:tc>
      </w:tr>
      <w:tr w:rsidR="00906898" w:rsidRPr="00263DB9" w14:paraId="375EB09E" w14:textId="77777777" w:rsidTr="00E51817">
        <w:trPr>
          <w:cantSplit/>
          <w:trHeight w:val="260"/>
        </w:trPr>
        <w:tc>
          <w:tcPr>
            <w:tcW w:w="2235" w:type="dxa"/>
          </w:tcPr>
          <w:p w14:paraId="375EB09C" w14:textId="77777777" w:rsidR="00906898" w:rsidRPr="00263DB9" w:rsidRDefault="00906898" w:rsidP="00E51817">
            <w:pPr>
              <w:keepNext/>
              <w:widowControl w:val="0"/>
              <w:tabs>
                <w:tab w:val="left" w:pos="567"/>
              </w:tabs>
              <w:spacing w:line="260" w:lineRule="exact"/>
              <w:rPr>
                <w:bCs/>
                <w:i/>
                <w:iCs/>
                <w:color w:val="000000"/>
                <w:szCs w:val="22"/>
              </w:rPr>
            </w:pPr>
            <w:r w:rsidRPr="00263DB9">
              <w:rPr>
                <w:bCs/>
                <w:i/>
                <w:iCs/>
                <w:color w:val="000000"/>
                <w:szCs w:val="22"/>
              </w:rPr>
              <w:t>Frequentes:</w:t>
            </w:r>
          </w:p>
        </w:tc>
        <w:tc>
          <w:tcPr>
            <w:tcW w:w="7087" w:type="dxa"/>
          </w:tcPr>
          <w:p w14:paraId="375EB09D" w14:textId="77777777" w:rsidR="00906898" w:rsidRPr="00263DB9" w:rsidRDefault="00906898" w:rsidP="00E51817">
            <w:pPr>
              <w:keepNext/>
              <w:widowControl w:val="0"/>
              <w:tabs>
                <w:tab w:val="left" w:pos="567"/>
              </w:tabs>
              <w:spacing w:line="260" w:lineRule="exact"/>
              <w:rPr>
                <w:bCs/>
                <w:color w:val="000000"/>
                <w:szCs w:val="22"/>
              </w:rPr>
            </w:pPr>
            <w:r w:rsidRPr="00263DB9">
              <w:rPr>
                <w:bCs/>
                <w:color w:val="000000"/>
                <w:szCs w:val="22"/>
              </w:rPr>
              <w:t>Aumento das enzimas hepáticas</w:t>
            </w:r>
          </w:p>
        </w:tc>
      </w:tr>
      <w:tr w:rsidR="00906898" w:rsidRPr="00263DB9" w14:paraId="375EB0A1" w14:textId="77777777" w:rsidTr="00E51817">
        <w:trPr>
          <w:cantSplit/>
          <w:trHeight w:val="260"/>
        </w:trPr>
        <w:tc>
          <w:tcPr>
            <w:tcW w:w="2235" w:type="dxa"/>
          </w:tcPr>
          <w:p w14:paraId="375EB09F" w14:textId="77777777" w:rsidR="00906898" w:rsidRPr="00263DB9" w:rsidRDefault="00906898" w:rsidP="00E51817">
            <w:pPr>
              <w:keepNext/>
              <w:widowControl w:val="0"/>
              <w:tabs>
                <w:tab w:val="left" w:pos="567"/>
              </w:tabs>
              <w:spacing w:line="260" w:lineRule="exact"/>
              <w:rPr>
                <w:bCs/>
                <w:i/>
                <w:iCs/>
                <w:color w:val="000000"/>
                <w:szCs w:val="22"/>
              </w:rPr>
            </w:pPr>
            <w:r w:rsidRPr="00263DB9">
              <w:rPr>
                <w:bCs/>
                <w:i/>
                <w:iCs/>
                <w:color w:val="000000"/>
                <w:szCs w:val="22"/>
              </w:rPr>
              <w:t>Pouco frequentes:</w:t>
            </w:r>
          </w:p>
        </w:tc>
        <w:tc>
          <w:tcPr>
            <w:tcW w:w="7087" w:type="dxa"/>
          </w:tcPr>
          <w:p w14:paraId="375EB0A0" w14:textId="77777777" w:rsidR="00906898" w:rsidRPr="00263DB9" w:rsidRDefault="00906898" w:rsidP="00E51817">
            <w:pPr>
              <w:keepNext/>
              <w:widowControl w:val="0"/>
              <w:tabs>
                <w:tab w:val="left" w:pos="567"/>
              </w:tabs>
              <w:spacing w:line="260" w:lineRule="exact"/>
              <w:rPr>
                <w:bCs/>
                <w:color w:val="000000"/>
                <w:szCs w:val="22"/>
              </w:rPr>
            </w:pPr>
            <w:r w:rsidRPr="00263DB9">
              <w:rPr>
                <w:bCs/>
                <w:color w:val="000000"/>
                <w:szCs w:val="22"/>
              </w:rPr>
              <w:t>Hiperbilirrubinemia, hepatite, icterícia</w:t>
            </w:r>
          </w:p>
        </w:tc>
      </w:tr>
      <w:tr w:rsidR="00906898" w:rsidRPr="00263DB9" w14:paraId="375EB0A4" w14:textId="77777777" w:rsidTr="00E51817">
        <w:trPr>
          <w:cantSplit/>
          <w:trHeight w:val="260"/>
        </w:trPr>
        <w:tc>
          <w:tcPr>
            <w:tcW w:w="2235" w:type="dxa"/>
          </w:tcPr>
          <w:p w14:paraId="375EB0A2" w14:textId="77777777" w:rsidR="00906898" w:rsidRPr="00263DB9" w:rsidRDefault="00906898" w:rsidP="00E51817">
            <w:pPr>
              <w:widowControl w:val="0"/>
              <w:tabs>
                <w:tab w:val="left" w:pos="567"/>
              </w:tabs>
              <w:spacing w:line="260" w:lineRule="exact"/>
              <w:rPr>
                <w:bCs/>
                <w:i/>
                <w:iCs/>
                <w:color w:val="000000"/>
                <w:szCs w:val="22"/>
              </w:rPr>
            </w:pPr>
            <w:r w:rsidRPr="00263DB9">
              <w:rPr>
                <w:bCs/>
                <w:i/>
                <w:iCs/>
                <w:color w:val="000000"/>
                <w:szCs w:val="22"/>
              </w:rPr>
              <w:t>Raros:</w:t>
            </w:r>
          </w:p>
        </w:tc>
        <w:tc>
          <w:tcPr>
            <w:tcW w:w="7087" w:type="dxa"/>
          </w:tcPr>
          <w:p w14:paraId="375EB0A3" w14:textId="77777777" w:rsidR="00906898" w:rsidRPr="00263DB9" w:rsidRDefault="00906898" w:rsidP="00E51817">
            <w:pPr>
              <w:widowControl w:val="0"/>
              <w:tabs>
                <w:tab w:val="left" w:pos="567"/>
              </w:tabs>
              <w:spacing w:line="260" w:lineRule="exact"/>
              <w:rPr>
                <w:bCs/>
                <w:color w:val="000000"/>
                <w:szCs w:val="22"/>
              </w:rPr>
            </w:pPr>
            <w:r w:rsidRPr="00263DB9">
              <w:rPr>
                <w:bCs/>
                <w:color w:val="000000"/>
                <w:szCs w:val="22"/>
              </w:rPr>
              <w:t>Insuficiência hepática</w:t>
            </w:r>
            <w:r w:rsidRPr="00263DB9">
              <w:rPr>
                <w:bCs/>
                <w:color w:val="000000"/>
                <w:szCs w:val="22"/>
                <w:vertAlign w:val="superscript"/>
              </w:rPr>
              <w:t>8</w:t>
            </w:r>
            <w:r w:rsidRPr="00263DB9">
              <w:rPr>
                <w:bCs/>
                <w:color w:val="000000"/>
                <w:szCs w:val="22"/>
              </w:rPr>
              <w:t>, necrose hepática</w:t>
            </w:r>
          </w:p>
        </w:tc>
      </w:tr>
      <w:tr w:rsidR="00906898" w:rsidRPr="00263DB9" w14:paraId="375EB0A6" w14:textId="77777777" w:rsidTr="00E51817">
        <w:trPr>
          <w:cantSplit/>
        </w:trPr>
        <w:tc>
          <w:tcPr>
            <w:tcW w:w="9322" w:type="dxa"/>
            <w:gridSpan w:val="2"/>
          </w:tcPr>
          <w:p w14:paraId="375EB0A5" w14:textId="77777777" w:rsidR="00906898" w:rsidRPr="00263DB9" w:rsidRDefault="00906898" w:rsidP="00E51817">
            <w:pPr>
              <w:keepNext/>
              <w:widowControl w:val="0"/>
              <w:tabs>
                <w:tab w:val="left" w:pos="567"/>
              </w:tabs>
              <w:spacing w:line="260" w:lineRule="exact"/>
              <w:rPr>
                <w:color w:val="000000"/>
              </w:rPr>
            </w:pPr>
            <w:r w:rsidRPr="00263DB9">
              <w:rPr>
                <w:b/>
                <w:color w:val="000000"/>
                <w:szCs w:val="22"/>
              </w:rPr>
              <w:t>Afeções dos tecidos cutâneos e subcutâneos</w:t>
            </w:r>
          </w:p>
        </w:tc>
      </w:tr>
      <w:tr w:rsidR="00906898" w:rsidRPr="00263DB9" w14:paraId="375EB0A9" w14:textId="77777777" w:rsidTr="00E51817">
        <w:trPr>
          <w:cantSplit/>
        </w:trPr>
        <w:tc>
          <w:tcPr>
            <w:tcW w:w="2235" w:type="dxa"/>
          </w:tcPr>
          <w:p w14:paraId="375EB0A7"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Muito frequentes:</w:t>
            </w:r>
          </w:p>
        </w:tc>
        <w:tc>
          <w:tcPr>
            <w:tcW w:w="7087" w:type="dxa"/>
          </w:tcPr>
          <w:p w14:paraId="375EB0A8"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Edema periorbitário, dermatite/eczema/erupções cutâneas</w:t>
            </w:r>
          </w:p>
        </w:tc>
      </w:tr>
      <w:tr w:rsidR="00906898" w:rsidRPr="00263DB9" w14:paraId="375EB0AC" w14:textId="77777777" w:rsidTr="00E51817">
        <w:trPr>
          <w:cantSplit/>
        </w:trPr>
        <w:tc>
          <w:tcPr>
            <w:tcW w:w="2235" w:type="dxa"/>
          </w:tcPr>
          <w:p w14:paraId="375EB0AA"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Frequentes:</w:t>
            </w:r>
          </w:p>
        </w:tc>
        <w:tc>
          <w:tcPr>
            <w:tcW w:w="7087" w:type="dxa"/>
          </w:tcPr>
          <w:p w14:paraId="375EB0AB"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Prurido, edema da face, pele seca, eritema, alopécia, suores nocturnos, reações de fotossensibilidade</w:t>
            </w:r>
          </w:p>
        </w:tc>
      </w:tr>
      <w:tr w:rsidR="00906898" w:rsidRPr="00263DB9" w14:paraId="375EB0AF" w14:textId="77777777" w:rsidTr="00E51817">
        <w:trPr>
          <w:cantSplit/>
        </w:trPr>
        <w:tc>
          <w:tcPr>
            <w:tcW w:w="2235" w:type="dxa"/>
          </w:tcPr>
          <w:p w14:paraId="375EB0AD"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Pouco frequentes:</w:t>
            </w:r>
          </w:p>
        </w:tc>
        <w:tc>
          <w:tcPr>
            <w:tcW w:w="7087" w:type="dxa"/>
          </w:tcPr>
          <w:p w14:paraId="375EB0AE" w14:textId="77777777" w:rsidR="00906898" w:rsidRPr="00263DB9" w:rsidRDefault="00906898" w:rsidP="00E51817">
            <w:pPr>
              <w:keepNext/>
              <w:widowControl w:val="0"/>
              <w:tabs>
                <w:tab w:val="left" w:pos="567"/>
              </w:tabs>
              <w:spacing w:line="260" w:lineRule="exact"/>
              <w:rPr>
                <w:color w:val="000000"/>
                <w:szCs w:val="22"/>
              </w:rPr>
            </w:pPr>
            <w:r w:rsidRPr="00263DB9">
              <w:rPr>
                <w:color w:val="000000"/>
                <w:szCs w:val="22"/>
              </w:rPr>
              <w:t>Erupção cutânea pustular, contusão, aumento da sudação, urticária, equimose, aumento de tendência para hematomas, hipotricose, hipopigmentação da pele, dermatite exfoliativa, onicoclase, foliculitie, petéquias, psoríase, púrpura, hiperpigmentação cutânea, erupções bolhosas</w:t>
            </w:r>
          </w:p>
        </w:tc>
      </w:tr>
      <w:tr w:rsidR="00906898" w:rsidRPr="00263DB9" w14:paraId="375EB0B2" w14:textId="77777777" w:rsidTr="00E51817">
        <w:trPr>
          <w:cantSplit/>
        </w:trPr>
        <w:tc>
          <w:tcPr>
            <w:tcW w:w="2235" w:type="dxa"/>
          </w:tcPr>
          <w:p w14:paraId="375EB0B0" w14:textId="77777777" w:rsidR="00906898" w:rsidRPr="00263DB9" w:rsidRDefault="00906898" w:rsidP="00E51817">
            <w:pPr>
              <w:keepNext/>
              <w:widowControl w:val="0"/>
              <w:tabs>
                <w:tab w:val="left" w:pos="567"/>
              </w:tabs>
              <w:spacing w:line="260" w:lineRule="exact"/>
              <w:rPr>
                <w:color w:val="000000"/>
              </w:rPr>
            </w:pPr>
            <w:r w:rsidRPr="00263DB9">
              <w:rPr>
                <w:i/>
                <w:color w:val="000000"/>
                <w:szCs w:val="22"/>
              </w:rPr>
              <w:t>Raros:</w:t>
            </w:r>
          </w:p>
        </w:tc>
        <w:tc>
          <w:tcPr>
            <w:tcW w:w="7087" w:type="dxa"/>
          </w:tcPr>
          <w:p w14:paraId="375EB0B1" w14:textId="77777777" w:rsidR="00906898" w:rsidRPr="00263DB9" w:rsidRDefault="00906898" w:rsidP="00E51817">
            <w:pPr>
              <w:keepNext/>
              <w:widowControl w:val="0"/>
              <w:tabs>
                <w:tab w:val="left" w:pos="567"/>
              </w:tabs>
              <w:spacing w:line="260" w:lineRule="exact"/>
              <w:rPr>
                <w:color w:val="000000"/>
              </w:rPr>
            </w:pPr>
            <w:r w:rsidRPr="00263DB9">
              <w:rPr>
                <w:color w:val="000000"/>
                <w:szCs w:val="22"/>
              </w:rPr>
              <w:t>Dermatose neutrofílica febril aguda (síndrome de Sweet), descoloração das unhas, edema angioneurótico, erupção cutânea vesicular, eritema multiforme, vasculite leucocitoclástica, síndrome de Stevens-Johnson, pustulose exantematosa generalizada aguda (AGEP)</w:t>
            </w:r>
          </w:p>
        </w:tc>
      </w:tr>
      <w:tr w:rsidR="00A11B25" w:rsidRPr="00263DB9" w14:paraId="375EB0B5" w14:textId="77777777" w:rsidTr="00E51817">
        <w:trPr>
          <w:cantSplit/>
        </w:trPr>
        <w:tc>
          <w:tcPr>
            <w:tcW w:w="2235" w:type="dxa"/>
          </w:tcPr>
          <w:p w14:paraId="375EB0B3" w14:textId="77777777" w:rsidR="00A11B25" w:rsidRPr="00263DB9" w:rsidRDefault="00A11B25" w:rsidP="00E51817">
            <w:pPr>
              <w:widowControl w:val="0"/>
              <w:tabs>
                <w:tab w:val="left" w:pos="567"/>
              </w:tabs>
              <w:spacing w:line="260" w:lineRule="exact"/>
              <w:rPr>
                <w:i/>
                <w:color w:val="000000"/>
                <w:szCs w:val="22"/>
              </w:rPr>
            </w:pPr>
            <w:r w:rsidRPr="00263DB9">
              <w:rPr>
                <w:i/>
                <w:color w:val="000000"/>
                <w:szCs w:val="22"/>
              </w:rPr>
              <w:t>Desconhecido:</w:t>
            </w:r>
          </w:p>
        </w:tc>
        <w:tc>
          <w:tcPr>
            <w:tcW w:w="7087" w:type="dxa"/>
          </w:tcPr>
          <w:p w14:paraId="375EB0B4" w14:textId="77777777" w:rsidR="00A11B25" w:rsidRPr="00263DB9" w:rsidRDefault="000F4C1B" w:rsidP="00E51817">
            <w:pPr>
              <w:widowControl w:val="0"/>
              <w:tabs>
                <w:tab w:val="left" w:pos="567"/>
              </w:tabs>
              <w:spacing w:line="260" w:lineRule="exact"/>
              <w:rPr>
                <w:color w:val="000000"/>
                <w:szCs w:val="22"/>
              </w:rPr>
            </w:pPr>
            <w:r w:rsidRPr="00263DB9">
              <w:rPr>
                <w:color w:val="000000"/>
              </w:rPr>
              <w:t>E</w:t>
            </w:r>
            <w:r w:rsidR="00A11B25" w:rsidRPr="00263DB9">
              <w:rPr>
                <w:color w:val="000000"/>
              </w:rPr>
              <w:t xml:space="preserve">ritrodisestesia palmo-plantar*, queratose liquenoide*, líquen plano*, </w:t>
            </w:r>
            <w:r w:rsidR="00505DB7" w:rsidRPr="00263DB9">
              <w:rPr>
                <w:color w:val="000000"/>
              </w:rPr>
              <w:t>necrose epidérmica tóxica*, eritema com eosinofilia e sintomas sistémicos (DRESS)*</w:t>
            </w:r>
            <w:r w:rsidR="00D15152" w:rsidRPr="00263DB9">
              <w:rPr>
                <w:color w:val="000000"/>
              </w:rPr>
              <w:t>, pseudoporfiria*</w:t>
            </w:r>
          </w:p>
        </w:tc>
      </w:tr>
      <w:tr w:rsidR="00906898" w:rsidRPr="00263DB9" w14:paraId="375EB0B7" w14:textId="77777777" w:rsidTr="00E51817">
        <w:trPr>
          <w:cantSplit/>
        </w:trPr>
        <w:tc>
          <w:tcPr>
            <w:tcW w:w="9322" w:type="dxa"/>
            <w:gridSpan w:val="2"/>
          </w:tcPr>
          <w:p w14:paraId="375EB0B6" w14:textId="77777777" w:rsidR="00906898" w:rsidRPr="00263DB9" w:rsidRDefault="00906898" w:rsidP="00E51817">
            <w:pPr>
              <w:keepNext/>
              <w:widowControl w:val="0"/>
              <w:tabs>
                <w:tab w:val="left" w:pos="567"/>
              </w:tabs>
              <w:spacing w:line="260" w:lineRule="exact"/>
              <w:rPr>
                <w:color w:val="000000"/>
                <w:szCs w:val="22"/>
              </w:rPr>
            </w:pPr>
            <w:r w:rsidRPr="00263DB9">
              <w:rPr>
                <w:b/>
                <w:color w:val="000000"/>
                <w:szCs w:val="22"/>
              </w:rPr>
              <w:t>Afeções musculoesqueléticas e dos tecidos conjuntivos</w:t>
            </w:r>
          </w:p>
        </w:tc>
      </w:tr>
      <w:tr w:rsidR="00906898" w:rsidRPr="00263DB9" w14:paraId="375EB0BA" w14:textId="77777777" w:rsidTr="00E51817">
        <w:trPr>
          <w:cantSplit/>
        </w:trPr>
        <w:tc>
          <w:tcPr>
            <w:tcW w:w="2235" w:type="dxa"/>
          </w:tcPr>
          <w:p w14:paraId="375EB0B8" w14:textId="77777777" w:rsidR="00906898" w:rsidRPr="00263DB9" w:rsidRDefault="00906898" w:rsidP="00E51817">
            <w:pPr>
              <w:keepNext/>
              <w:widowControl w:val="0"/>
              <w:tabs>
                <w:tab w:val="left" w:pos="567"/>
              </w:tabs>
              <w:spacing w:line="260" w:lineRule="exact"/>
              <w:rPr>
                <w:i/>
                <w:color w:val="000000"/>
                <w:szCs w:val="22"/>
              </w:rPr>
            </w:pPr>
            <w:r w:rsidRPr="00263DB9">
              <w:rPr>
                <w:i/>
                <w:color w:val="000000"/>
                <w:szCs w:val="22"/>
              </w:rPr>
              <w:t>Muito frequentes:</w:t>
            </w:r>
          </w:p>
        </w:tc>
        <w:tc>
          <w:tcPr>
            <w:tcW w:w="7087" w:type="dxa"/>
          </w:tcPr>
          <w:p w14:paraId="375EB0B9" w14:textId="77777777" w:rsidR="00906898" w:rsidRPr="00263DB9" w:rsidRDefault="00906898" w:rsidP="00E51817">
            <w:pPr>
              <w:keepNext/>
              <w:widowControl w:val="0"/>
              <w:tabs>
                <w:tab w:val="left" w:pos="567"/>
              </w:tabs>
              <w:spacing w:line="260" w:lineRule="exact"/>
              <w:rPr>
                <w:color w:val="000000"/>
                <w:szCs w:val="22"/>
              </w:rPr>
            </w:pPr>
            <w:r w:rsidRPr="00263DB9">
              <w:rPr>
                <w:color w:val="000000"/>
                <w:szCs w:val="22"/>
              </w:rPr>
              <w:t>Espasmos e cãibras musculares, dor musculoesquelética incluindo mialgia</w:t>
            </w:r>
            <w:r w:rsidR="005D35DA" w:rsidRPr="00263DB9">
              <w:rPr>
                <w:color w:val="000000"/>
                <w:szCs w:val="22"/>
                <w:vertAlign w:val="superscript"/>
              </w:rPr>
              <w:t>9</w:t>
            </w:r>
            <w:r w:rsidRPr="00263DB9">
              <w:rPr>
                <w:color w:val="000000"/>
                <w:szCs w:val="22"/>
              </w:rPr>
              <w:t xml:space="preserve">, artralgia, dor </w:t>
            </w:r>
            <w:r w:rsidR="005D35DA" w:rsidRPr="00263DB9">
              <w:rPr>
                <w:color w:val="000000"/>
                <w:szCs w:val="22"/>
              </w:rPr>
              <w:t>óssea</w:t>
            </w:r>
            <w:r w:rsidR="005D35DA" w:rsidRPr="00263DB9">
              <w:rPr>
                <w:color w:val="000000"/>
                <w:szCs w:val="22"/>
                <w:vertAlign w:val="superscript"/>
              </w:rPr>
              <w:t>10</w:t>
            </w:r>
          </w:p>
        </w:tc>
      </w:tr>
      <w:tr w:rsidR="00906898" w:rsidRPr="00263DB9" w14:paraId="375EB0BD" w14:textId="77777777" w:rsidTr="00E51817">
        <w:trPr>
          <w:cantSplit/>
        </w:trPr>
        <w:tc>
          <w:tcPr>
            <w:tcW w:w="2235" w:type="dxa"/>
          </w:tcPr>
          <w:p w14:paraId="375EB0BB" w14:textId="77777777" w:rsidR="00906898" w:rsidRPr="00263DB9" w:rsidRDefault="00906898" w:rsidP="00E51817">
            <w:pPr>
              <w:keepNext/>
              <w:widowControl w:val="0"/>
              <w:tabs>
                <w:tab w:val="left" w:pos="567"/>
              </w:tabs>
              <w:spacing w:line="260" w:lineRule="exact"/>
              <w:rPr>
                <w:i/>
                <w:color w:val="000000"/>
                <w:szCs w:val="22"/>
              </w:rPr>
            </w:pPr>
            <w:r w:rsidRPr="00263DB9">
              <w:rPr>
                <w:i/>
                <w:color w:val="000000"/>
                <w:szCs w:val="22"/>
              </w:rPr>
              <w:t>Frequentes:</w:t>
            </w:r>
          </w:p>
        </w:tc>
        <w:tc>
          <w:tcPr>
            <w:tcW w:w="7087" w:type="dxa"/>
          </w:tcPr>
          <w:p w14:paraId="375EB0BC" w14:textId="77777777" w:rsidR="00906898" w:rsidRPr="00263DB9" w:rsidRDefault="00906898" w:rsidP="00E51817">
            <w:pPr>
              <w:keepNext/>
              <w:widowControl w:val="0"/>
              <w:tabs>
                <w:tab w:val="left" w:pos="567"/>
              </w:tabs>
              <w:spacing w:line="260" w:lineRule="exact"/>
              <w:rPr>
                <w:color w:val="000000"/>
                <w:szCs w:val="22"/>
              </w:rPr>
            </w:pPr>
            <w:r w:rsidRPr="00263DB9">
              <w:rPr>
                <w:color w:val="000000"/>
                <w:szCs w:val="22"/>
              </w:rPr>
              <w:t>Edema das articulações</w:t>
            </w:r>
          </w:p>
        </w:tc>
      </w:tr>
      <w:tr w:rsidR="00906898" w:rsidRPr="00263DB9" w14:paraId="375EB0C0" w14:textId="77777777" w:rsidTr="00E51817">
        <w:trPr>
          <w:cantSplit/>
        </w:trPr>
        <w:tc>
          <w:tcPr>
            <w:tcW w:w="2235" w:type="dxa"/>
          </w:tcPr>
          <w:p w14:paraId="375EB0BE" w14:textId="77777777" w:rsidR="00906898" w:rsidRPr="00263DB9" w:rsidRDefault="00906898" w:rsidP="00E51817">
            <w:pPr>
              <w:keepNext/>
              <w:widowControl w:val="0"/>
              <w:tabs>
                <w:tab w:val="left" w:pos="567"/>
              </w:tabs>
              <w:spacing w:line="260" w:lineRule="exact"/>
              <w:rPr>
                <w:i/>
                <w:color w:val="000000"/>
                <w:szCs w:val="22"/>
              </w:rPr>
            </w:pPr>
            <w:r w:rsidRPr="00263DB9">
              <w:rPr>
                <w:i/>
                <w:color w:val="000000"/>
                <w:szCs w:val="22"/>
              </w:rPr>
              <w:t>Pouco frequentes:</w:t>
            </w:r>
          </w:p>
        </w:tc>
        <w:tc>
          <w:tcPr>
            <w:tcW w:w="7087" w:type="dxa"/>
          </w:tcPr>
          <w:p w14:paraId="375EB0BF" w14:textId="77777777" w:rsidR="00906898" w:rsidRPr="00263DB9" w:rsidRDefault="00906898" w:rsidP="00E51817">
            <w:pPr>
              <w:keepNext/>
              <w:widowControl w:val="0"/>
              <w:tabs>
                <w:tab w:val="left" w:pos="567"/>
              </w:tabs>
              <w:spacing w:line="260" w:lineRule="exact"/>
              <w:rPr>
                <w:color w:val="000000"/>
                <w:szCs w:val="22"/>
              </w:rPr>
            </w:pPr>
            <w:r w:rsidRPr="00263DB9">
              <w:rPr>
                <w:color w:val="000000"/>
                <w:szCs w:val="22"/>
              </w:rPr>
              <w:t>Endurecimento muscular e articular</w:t>
            </w:r>
          </w:p>
        </w:tc>
      </w:tr>
      <w:tr w:rsidR="00906898" w:rsidRPr="00263DB9" w14:paraId="375EB0C3" w14:textId="77777777" w:rsidTr="00E51817">
        <w:trPr>
          <w:cantSplit/>
        </w:trPr>
        <w:tc>
          <w:tcPr>
            <w:tcW w:w="2235" w:type="dxa"/>
          </w:tcPr>
          <w:p w14:paraId="375EB0C1" w14:textId="77777777" w:rsidR="00906898" w:rsidRPr="00263DB9" w:rsidRDefault="00906898" w:rsidP="00E51817">
            <w:pPr>
              <w:keepNext/>
              <w:widowControl w:val="0"/>
              <w:tabs>
                <w:tab w:val="left" w:pos="567"/>
              </w:tabs>
              <w:spacing w:line="260" w:lineRule="exact"/>
              <w:rPr>
                <w:i/>
                <w:color w:val="000000"/>
                <w:szCs w:val="22"/>
              </w:rPr>
            </w:pPr>
            <w:r w:rsidRPr="00263DB9">
              <w:rPr>
                <w:i/>
                <w:color w:val="000000"/>
                <w:szCs w:val="22"/>
              </w:rPr>
              <w:t>Raros:</w:t>
            </w:r>
          </w:p>
        </w:tc>
        <w:tc>
          <w:tcPr>
            <w:tcW w:w="7087" w:type="dxa"/>
          </w:tcPr>
          <w:p w14:paraId="375EB0C2" w14:textId="77777777" w:rsidR="00906898" w:rsidRPr="00263DB9" w:rsidRDefault="00906898" w:rsidP="00E51817">
            <w:pPr>
              <w:keepNext/>
              <w:widowControl w:val="0"/>
              <w:tabs>
                <w:tab w:val="left" w:pos="567"/>
              </w:tabs>
              <w:spacing w:line="260" w:lineRule="exact"/>
              <w:rPr>
                <w:color w:val="000000"/>
                <w:szCs w:val="22"/>
              </w:rPr>
            </w:pPr>
            <w:r w:rsidRPr="00263DB9">
              <w:rPr>
                <w:bCs/>
                <w:color w:val="000000"/>
                <w:szCs w:val="22"/>
              </w:rPr>
              <w:t>Fraqueza muscular, artrite, rabdomiólise/miopatia</w:t>
            </w:r>
          </w:p>
        </w:tc>
      </w:tr>
      <w:tr w:rsidR="00505DB7" w:rsidRPr="00263DB9" w14:paraId="375EB0C6" w14:textId="77777777" w:rsidTr="00E51817">
        <w:trPr>
          <w:cantSplit/>
        </w:trPr>
        <w:tc>
          <w:tcPr>
            <w:tcW w:w="2235" w:type="dxa"/>
          </w:tcPr>
          <w:p w14:paraId="375EB0C4" w14:textId="77777777" w:rsidR="00505DB7" w:rsidRPr="00263DB9" w:rsidRDefault="00505DB7" w:rsidP="00E51817">
            <w:pPr>
              <w:widowControl w:val="0"/>
              <w:tabs>
                <w:tab w:val="left" w:pos="567"/>
              </w:tabs>
              <w:spacing w:line="260" w:lineRule="exact"/>
              <w:rPr>
                <w:i/>
                <w:color w:val="000000"/>
                <w:szCs w:val="22"/>
              </w:rPr>
            </w:pPr>
            <w:r w:rsidRPr="00263DB9">
              <w:rPr>
                <w:i/>
                <w:color w:val="000000"/>
                <w:szCs w:val="22"/>
              </w:rPr>
              <w:t>Desconhecido:</w:t>
            </w:r>
          </w:p>
        </w:tc>
        <w:tc>
          <w:tcPr>
            <w:tcW w:w="7087" w:type="dxa"/>
          </w:tcPr>
          <w:p w14:paraId="375EB0C5" w14:textId="77777777" w:rsidR="00505DB7" w:rsidRPr="00263DB9" w:rsidRDefault="00505DB7" w:rsidP="00E51817">
            <w:pPr>
              <w:widowControl w:val="0"/>
              <w:tabs>
                <w:tab w:val="left" w:pos="567"/>
              </w:tabs>
              <w:spacing w:line="260" w:lineRule="exact"/>
              <w:rPr>
                <w:bCs/>
                <w:color w:val="000000"/>
                <w:szCs w:val="22"/>
              </w:rPr>
            </w:pPr>
            <w:r w:rsidRPr="00263DB9">
              <w:rPr>
                <w:bCs/>
                <w:color w:val="000000"/>
                <w:szCs w:val="22"/>
              </w:rPr>
              <w:t>Necrólise avascular/necrose da anca*, atraso de crescimento em crianças*</w:t>
            </w:r>
          </w:p>
        </w:tc>
      </w:tr>
      <w:tr w:rsidR="00906898" w:rsidRPr="00263DB9" w14:paraId="375EB0C8" w14:textId="77777777" w:rsidTr="00E51817">
        <w:trPr>
          <w:cantSplit/>
        </w:trPr>
        <w:tc>
          <w:tcPr>
            <w:tcW w:w="9322" w:type="dxa"/>
            <w:gridSpan w:val="2"/>
          </w:tcPr>
          <w:p w14:paraId="375EB0C7" w14:textId="77777777" w:rsidR="00906898" w:rsidRPr="00263DB9" w:rsidRDefault="00906898" w:rsidP="00E51817">
            <w:pPr>
              <w:keepNext/>
              <w:widowControl w:val="0"/>
              <w:tabs>
                <w:tab w:val="left" w:pos="567"/>
              </w:tabs>
              <w:spacing w:line="260" w:lineRule="exact"/>
              <w:rPr>
                <w:b/>
                <w:color w:val="000000"/>
                <w:szCs w:val="22"/>
              </w:rPr>
            </w:pPr>
            <w:r w:rsidRPr="00263DB9">
              <w:rPr>
                <w:b/>
                <w:color w:val="000000"/>
                <w:szCs w:val="22"/>
              </w:rPr>
              <w:t>Doenças renais e urinárias</w:t>
            </w:r>
          </w:p>
        </w:tc>
      </w:tr>
      <w:tr w:rsidR="00906898" w:rsidRPr="00263DB9" w14:paraId="375EB0CB" w14:textId="77777777" w:rsidTr="00E51817">
        <w:trPr>
          <w:cantSplit/>
        </w:trPr>
        <w:tc>
          <w:tcPr>
            <w:tcW w:w="2235" w:type="dxa"/>
          </w:tcPr>
          <w:p w14:paraId="375EB0C9" w14:textId="77777777" w:rsidR="00906898" w:rsidRPr="00263DB9" w:rsidRDefault="00906898" w:rsidP="00E51817">
            <w:pPr>
              <w:keepNext/>
              <w:widowControl w:val="0"/>
              <w:tabs>
                <w:tab w:val="left" w:pos="567"/>
              </w:tabs>
              <w:spacing w:line="260" w:lineRule="exact"/>
              <w:rPr>
                <w:bCs/>
                <w:i/>
                <w:iCs/>
                <w:color w:val="000000"/>
                <w:szCs w:val="22"/>
              </w:rPr>
            </w:pPr>
            <w:r w:rsidRPr="00263DB9">
              <w:rPr>
                <w:bCs/>
                <w:i/>
                <w:iCs/>
                <w:color w:val="000000"/>
                <w:szCs w:val="22"/>
              </w:rPr>
              <w:t>Pouco frequentes:</w:t>
            </w:r>
          </w:p>
        </w:tc>
        <w:tc>
          <w:tcPr>
            <w:tcW w:w="7087" w:type="dxa"/>
          </w:tcPr>
          <w:p w14:paraId="375EB0CA" w14:textId="77777777" w:rsidR="00906898" w:rsidRPr="00263DB9" w:rsidRDefault="00906898" w:rsidP="00E51817">
            <w:pPr>
              <w:keepNext/>
              <w:widowControl w:val="0"/>
              <w:tabs>
                <w:tab w:val="left" w:pos="567"/>
              </w:tabs>
              <w:spacing w:line="260" w:lineRule="exact"/>
              <w:rPr>
                <w:b/>
                <w:color w:val="000000"/>
                <w:szCs w:val="22"/>
              </w:rPr>
            </w:pPr>
            <w:r w:rsidRPr="00263DB9">
              <w:rPr>
                <w:bCs/>
                <w:color w:val="000000"/>
                <w:szCs w:val="22"/>
              </w:rPr>
              <w:t>Dor renal, hematúria, insuficiência renal aguda, aumento da frequência urinária</w:t>
            </w:r>
          </w:p>
        </w:tc>
      </w:tr>
      <w:tr w:rsidR="00901683" w:rsidRPr="00263DB9" w14:paraId="375EB0CE" w14:textId="77777777" w:rsidTr="00E51817">
        <w:trPr>
          <w:cantSplit/>
        </w:trPr>
        <w:tc>
          <w:tcPr>
            <w:tcW w:w="2235" w:type="dxa"/>
          </w:tcPr>
          <w:p w14:paraId="375EB0CC" w14:textId="77777777" w:rsidR="00901683" w:rsidRPr="00263DB9" w:rsidRDefault="00901683" w:rsidP="00E51817">
            <w:pPr>
              <w:widowControl w:val="0"/>
              <w:tabs>
                <w:tab w:val="left" w:pos="567"/>
              </w:tabs>
              <w:spacing w:line="260" w:lineRule="exact"/>
              <w:rPr>
                <w:bCs/>
                <w:i/>
                <w:iCs/>
                <w:color w:val="000000"/>
                <w:szCs w:val="22"/>
              </w:rPr>
            </w:pPr>
            <w:r w:rsidRPr="00263DB9">
              <w:rPr>
                <w:bCs/>
                <w:i/>
                <w:iCs/>
                <w:color w:val="000000"/>
                <w:szCs w:val="22"/>
              </w:rPr>
              <w:t>Desconhecido</w:t>
            </w:r>
          </w:p>
        </w:tc>
        <w:tc>
          <w:tcPr>
            <w:tcW w:w="7087" w:type="dxa"/>
          </w:tcPr>
          <w:p w14:paraId="375EB0CD" w14:textId="77777777" w:rsidR="00901683" w:rsidRPr="00263DB9" w:rsidRDefault="00901683" w:rsidP="00E51817">
            <w:pPr>
              <w:widowControl w:val="0"/>
              <w:tabs>
                <w:tab w:val="left" w:pos="567"/>
              </w:tabs>
              <w:spacing w:line="260" w:lineRule="exact"/>
              <w:rPr>
                <w:bCs/>
                <w:color w:val="000000"/>
                <w:szCs w:val="22"/>
              </w:rPr>
            </w:pPr>
            <w:r w:rsidRPr="00263DB9">
              <w:rPr>
                <w:bCs/>
                <w:color w:val="000000"/>
                <w:szCs w:val="22"/>
              </w:rPr>
              <w:t>Insuficiência renal aguda</w:t>
            </w:r>
          </w:p>
        </w:tc>
      </w:tr>
      <w:tr w:rsidR="00906898" w:rsidRPr="00263DB9" w14:paraId="375EB0D0" w14:textId="77777777" w:rsidTr="00E51817">
        <w:trPr>
          <w:cantSplit/>
        </w:trPr>
        <w:tc>
          <w:tcPr>
            <w:tcW w:w="9322" w:type="dxa"/>
            <w:gridSpan w:val="2"/>
          </w:tcPr>
          <w:p w14:paraId="375EB0CF" w14:textId="77777777" w:rsidR="00906898" w:rsidRPr="00263DB9" w:rsidRDefault="00906898" w:rsidP="00E51817">
            <w:pPr>
              <w:keepNext/>
              <w:widowControl w:val="0"/>
              <w:tabs>
                <w:tab w:val="left" w:pos="567"/>
              </w:tabs>
              <w:spacing w:line="260" w:lineRule="exact"/>
              <w:rPr>
                <w:b/>
                <w:color w:val="000000"/>
                <w:szCs w:val="22"/>
              </w:rPr>
            </w:pPr>
            <w:r w:rsidRPr="00263DB9">
              <w:rPr>
                <w:b/>
                <w:color w:val="000000"/>
                <w:szCs w:val="22"/>
              </w:rPr>
              <w:lastRenderedPageBreak/>
              <w:t>Doenças dos orgãos genitais e da mama</w:t>
            </w:r>
          </w:p>
        </w:tc>
      </w:tr>
      <w:tr w:rsidR="00906898" w:rsidRPr="00263DB9" w14:paraId="375EB0D3" w14:textId="77777777" w:rsidTr="00E51817">
        <w:trPr>
          <w:cantSplit/>
          <w:trHeight w:val="263"/>
        </w:trPr>
        <w:tc>
          <w:tcPr>
            <w:tcW w:w="2235" w:type="dxa"/>
          </w:tcPr>
          <w:p w14:paraId="375EB0D1" w14:textId="77777777" w:rsidR="00906898" w:rsidRPr="00263DB9" w:rsidRDefault="00906898" w:rsidP="00E51817">
            <w:pPr>
              <w:keepNext/>
              <w:widowControl w:val="0"/>
              <w:tabs>
                <w:tab w:val="left" w:pos="567"/>
              </w:tabs>
              <w:spacing w:line="260" w:lineRule="exact"/>
              <w:rPr>
                <w:bCs/>
                <w:i/>
                <w:iCs/>
                <w:color w:val="000000"/>
                <w:szCs w:val="22"/>
              </w:rPr>
            </w:pPr>
            <w:r w:rsidRPr="00263DB9">
              <w:rPr>
                <w:bCs/>
                <w:i/>
                <w:iCs/>
                <w:color w:val="000000"/>
                <w:szCs w:val="22"/>
              </w:rPr>
              <w:t>Pouco frequentes:</w:t>
            </w:r>
          </w:p>
        </w:tc>
        <w:tc>
          <w:tcPr>
            <w:tcW w:w="7087" w:type="dxa"/>
          </w:tcPr>
          <w:p w14:paraId="375EB0D2" w14:textId="77777777" w:rsidR="00906898" w:rsidRPr="00263DB9" w:rsidRDefault="00906898" w:rsidP="00E51817">
            <w:pPr>
              <w:keepNext/>
              <w:widowControl w:val="0"/>
              <w:tabs>
                <w:tab w:val="left" w:pos="567"/>
              </w:tabs>
              <w:spacing w:line="260" w:lineRule="exact"/>
              <w:rPr>
                <w:b/>
                <w:color w:val="000000"/>
                <w:szCs w:val="22"/>
              </w:rPr>
            </w:pPr>
            <w:r w:rsidRPr="00263DB9">
              <w:rPr>
                <w:color w:val="000000"/>
                <w:szCs w:val="22"/>
              </w:rPr>
              <w:t>Ginecomastia, disfunção eréctil, menorragia, menstruação irregular, disfunção sexual, dor nos mamilos, aumento da mama, edema escrotal</w:t>
            </w:r>
          </w:p>
        </w:tc>
      </w:tr>
      <w:tr w:rsidR="00906898" w:rsidRPr="00263DB9" w14:paraId="375EB0D6" w14:textId="77777777" w:rsidTr="00E51817">
        <w:trPr>
          <w:cantSplit/>
          <w:trHeight w:val="262"/>
        </w:trPr>
        <w:tc>
          <w:tcPr>
            <w:tcW w:w="2235" w:type="dxa"/>
          </w:tcPr>
          <w:p w14:paraId="375EB0D4" w14:textId="77777777" w:rsidR="00906898" w:rsidRPr="00263DB9" w:rsidRDefault="00906898" w:rsidP="00E51817">
            <w:pPr>
              <w:widowControl w:val="0"/>
              <w:tabs>
                <w:tab w:val="left" w:pos="567"/>
              </w:tabs>
              <w:spacing w:line="260" w:lineRule="exact"/>
              <w:rPr>
                <w:bCs/>
                <w:i/>
                <w:iCs/>
                <w:color w:val="000000"/>
                <w:szCs w:val="22"/>
              </w:rPr>
            </w:pPr>
            <w:r w:rsidRPr="00263DB9">
              <w:rPr>
                <w:bCs/>
                <w:i/>
                <w:iCs/>
                <w:color w:val="000000"/>
                <w:szCs w:val="22"/>
              </w:rPr>
              <w:t>Raros:</w:t>
            </w:r>
          </w:p>
        </w:tc>
        <w:tc>
          <w:tcPr>
            <w:tcW w:w="7087" w:type="dxa"/>
          </w:tcPr>
          <w:p w14:paraId="375EB0D5" w14:textId="77777777" w:rsidR="00906898" w:rsidRPr="00263DB9" w:rsidRDefault="00906898" w:rsidP="00E51817">
            <w:pPr>
              <w:widowControl w:val="0"/>
              <w:tabs>
                <w:tab w:val="left" w:pos="567"/>
              </w:tabs>
              <w:spacing w:line="260" w:lineRule="exact"/>
              <w:rPr>
                <w:b/>
                <w:color w:val="000000"/>
                <w:szCs w:val="22"/>
              </w:rPr>
            </w:pPr>
            <w:r w:rsidRPr="00263DB9">
              <w:rPr>
                <w:color w:val="000000"/>
                <w:szCs w:val="22"/>
              </w:rPr>
              <w:t>Corpo lúteo hemorrágico/ovário quístico hemorrágico</w:t>
            </w:r>
          </w:p>
        </w:tc>
      </w:tr>
      <w:tr w:rsidR="00906898" w:rsidRPr="00263DB9" w14:paraId="375EB0D8" w14:textId="77777777" w:rsidTr="00E51817">
        <w:trPr>
          <w:cantSplit/>
        </w:trPr>
        <w:tc>
          <w:tcPr>
            <w:tcW w:w="9322" w:type="dxa"/>
            <w:gridSpan w:val="2"/>
          </w:tcPr>
          <w:p w14:paraId="375EB0D7" w14:textId="77777777" w:rsidR="00906898" w:rsidRPr="00263DB9" w:rsidRDefault="00906898" w:rsidP="00E51817">
            <w:pPr>
              <w:keepNext/>
              <w:widowControl w:val="0"/>
              <w:tabs>
                <w:tab w:val="left" w:pos="567"/>
              </w:tabs>
              <w:spacing w:line="260" w:lineRule="exact"/>
              <w:rPr>
                <w:color w:val="000000"/>
                <w:szCs w:val="22"/>
              </w:rPr>
            </w:pPr>
            <w:r w:rsidRPr="00263DB9">
              <w:rPr>
                <w:b/>
                <w:color w:val="000000"/>
                <w:szCs w:val="22"/>
              </w:rPr>
              <w:t>Perturbações gerais e alterações no local de administração</w:t>
            </w:r>
          </w:p>
        </w:tc>
      </w:tr>
      <w:tr w:rsidR="00906898" w:rsidRPr="00263DB9" w14:paraId="375EB0DB" w14:textId="77777777" w:rsidTr="00E51817">
        <w:trPr>
          <w:cantSplit/>
        </w:trPr>
        <w:tc>
          <w:tcPr>
            <w:tcW w:w="2235" w:type="dxa"/>
          </w:tcPr>
          <w:p w14:paraId="375EB0D9" w14:textId="77777777" w:rsidR="00906898" w:rsidRPr="00263DB9" w:rsidRDefault="00906898" w:rsidP="00E51817">
            <w:pPr>
              <w:keepNext/>
              <w:widowControl w:val="0"/>
              <w:tabs>
                <w:tab w:val="left" w:pos="567"/>
              </w:tabs>
              <w:spacing w:line="260" w:lineRule="exact"/>
              <w:rPr>
                <w:i/>
                <w:color w:val="000000"/>
                <w:szCs w:val="22"/>
              </w:rPr>
            </w:pPr>
            <w:r w:rsidRPr="00263DB9">
              <w:rPr>
                <w:i/>
                <w:color w:val="000000"/>
                <w:szCs w:val="22"/>
              </w:rPr>
              <w:t>Muito frequentes:</w:t>
            </w:r>
          </w:p>
        </w:tc>
        <w:tc>
          <w:tcPr>
            <w:tcW w:w="7087" w:type="dxa"/>
          </w:tcPr>
          <w:p w14:paraId="375EB0DA" w14:textId="77777777" w:rsidR="00906898" w:rsidRPr="00263DB9" w:rsidRDefault="00906898" w:rsidP="00E51817">
            <w:pPr>
              <w:keepNext/>
              <w:widowControl w:val="0"/>
              <w:tabs>
                <w:tab w:val="left" w:pos="567"/>
              </w:tabs>
              <w:spacing w:line="260" w:lineRule="exact"/>
              <w:rPr>
                <w:color w:val="000000"/>
                <w:szCs w:val="22"/>
              </w:rPr>
            </w:pPr>
            <w:r w:rsidRPr="00263DB9">
              <w:rPr>
                <w:color w:val="000000"/>
                <w:szCs w:val="22"/>
              </w:rPr>
              <w:t>Retenção de fluidos e edema, fadiga</w:t>
            </w:r>
          </w:p>
        </w:tc>
      </w:tr>
      <w:tr w:rsidR="00906898" w:rsidRPr="00263DB9" w14:paraId="375EB0DE" w14:textId="77777777" w:rsidTr="00E51817">
        <w:trPr>
          <w:cantSplit/>
        </w:trPr>
        <w:tc>
          <w:tcPr>
            <w:tcW w:w="2235" w:type="dxa"/>
          </w:tcPr>
          <w:p w14:paraId="375EB0DC" w14:textId="77777777" w:rsidR="00906898" w:rsidRPr="00263DB9" w:rsidRDefault="00906898" w:rsidP="00E51817">
            <w:pPr>
              <w:keepNext/>
              <w:widowControl w:val="0"/>
              <w:tabs>
                <w:tab w:val="left" w:pos="567"/>
              </w:tabs>
              <w:spacing w:line="260" w:lineRule="exact"/>
              <w:rPr>
                <w:i/>
                <w:color w:val="000000"/>
                <w:szCs w:val="22"/>
              </w:rPr>
            </w:pPr>
            <w:r w:rsidRPr="00263DB9">
              <w:rPr>
                <w:i/>
                <w:color w:val="000000"/>
                <w:szCs w:val="22"/>
              </w:rPr>
              <w:t>Frequentes:</w:t>
            </w:r>
          </w:p>
        </w:tc>
        <w:tc>
          <w:tcPr>
            <w:tcW w:w="7087" w:type="dxa"/>
          </w:tcPr>
          <w:p w14:paraId="375EB0DD" w14:textId="77777777" w:rsidR="00906898" w:rsidRPr="00263DB9" w:rsidRDefault="00906898" w:rsidP="00E51817">
            <w:pPr>
              <w:keepNext/>
              <w:widowControl w:val="0"/>
              <w:tabs>
                <w:tab w:val="left" w:pos="567"/>
              </w:tabs>
              <w:spacing w:line="260" w:lineRule="exact"/>
              <w:rPr>
                <w:color w:val="000000"/>
                <w:szCs w:val="22"/>
              </w:rPr>
            </w:pPr>
            <w:r w:rsidRPr="00263DB9">
              <w:rPr>
                <w:color w:val="000000"/>
                <w:szCs w:val="22"/>
              </w:rPr>
              <w:t>Fraqueza, pirexia, anasarca, arrepios, rigor</w:t>
            </w:r>
          </w:p>
        </w:tc>
      </w:tr>
      <w:tr w:rsidR="00906898" w:rsidRPr="00263DB9" w14:paraId="375EB0E1" w14:textId="77777777" w:rsidTr="00E51817">
        <w:trPr>
          <w:cantSplit/>
        </w:trPr>
        <w:tc>
          <w:tcPr>
            <w:tcW w:w="2235" w:type="dxa"/>
          </w:tcPr>
          <w:p w14:paraId="375EB0DF" w14:textId="77777777" w:rsidR="00906898" w:rsidRPr="00263DB9" w:rsidRDefault="00906898" w:rsidP="00E51817">
            <w:pPr>
              <w:widowControl w:val="0"/>
              <w:tabs>
                <w:tab w:val="left" w:pos="567"/>
              </w:tabs>
              <w:spacing w:line="260" w:lineRule="exact"/>
              <w:rPr>
                <w:i/>
                <w:color w:val="000000"/>
                <w:szCs w:val="22"/>
              </w:rPr>
            </w:pPr>
            <w:r w:rsidRPr="00263DB9">
              <w:rPr>
                <w:i/>
                <w:color w:val="000000"/>
                <w:szCs w:val="22"/>
              </w:rPr>
              <w:t>Pouco frequentes:</w:t>
            </w:r>
          </w:p>
        </w:tc>
        <w:tc>
          <w:tcPr>
            <w:tcW w:w="7087" w:type="dxa"/>
          </w:tcPr>
          <w:p w14:paraId="375EB0E0" w14:textId="77777777" w:rsidR="00906898" w:rsidRPr="00263DB9" w:rsidRDefault="00906898" w:rsidP="00E51817">
            <w:pPr>
              <w:widowControl w:val="0"/>
              <w:tabs>
                <w:tab w:val="left" w:pos="567"/>
              </w:tabs>
              <w:spacing w:line="260" w:lineRule="exact"/>
              <w:rPr>
                <w:color w:val="000000"/>
                <w:szCs w:val="22"/>
              </w:rPr>
            </w:pPr>
            <w:r w:rsidRPr="00263DB9">
              <w:rPr>
                <w:color w:val="000000"/>
                <w:szCs w:val="22"/>
              </w:rPr>
              <w:t>Dor no peito, mal-estar</w:t>
            </w:r>
          </w:p>
        </w:tc>
      </w:tr>
      <w:tr w:rsidR="00906898" w:rsidRPr="00263DB9" w14:paraId="375EB0E3" w14:textId="77777777" w:rsidTr="00E51817">
        <w:trPr>
          <w:cantSplit/>
        </w:trPr>
        <w:tc>
          <w:tcPr>
            <w:tcW w:w="9322" w:type="dxa"/>
            <w:gridSpan w:val="2"/>
          </w:tcPr>
          <w:p w14:paraId="375EB0E2" w14:textId="77777777" w:rsidR="00906898" w:rsidRPr="00263DB9" w:rsidRDefault="00906898" w:rsidP="00E51817">
            <w:pPr>
              <w:keepNext/>
              <w:keepLines/>
              <w:widowControl w:val="0"/>
              <w:tabs>
                <w:tab w:val="left" w:pos="567"/>
              </w:tabs>
              <w:spacing w:line="260" w:lineRule="exact"/>
              <w:rPr>
                <w:b/>
                <w:bCs/>
                <w:color w:val="000000"/>
                <w:szCs w:val="22"/>
              </w:rPr>
            </w:pPr>
            <w:r w:rsidRPr="00263DB9">
              <w:rPr>
                <w:b/>
                <w:bCs/>
                <w:color w:val="000000"/>
                <w:szCs w:val="22"/>
              </w:rPr>
              <w:t>Exames complementares de diagnóstico</w:t>
            </w:r>
          </w:p>
        </w:tc>
      </w:tr>
      <w:tr w:rsidR="00906898" w:rsidRPr="00263DB9" w14:paraId="375EB0E6" w14:textId="77777777" w:rsidTr="00E51817">
        <w:trPr>
          <w:cantSplit/>
        </w:trPr>
        <w:tc>
          <w:tcPr>
            <w:tcW w:w="2235" w:type="dxa"/>
          </w:tcPr>
          <w:p w14:paraId="375EB0E4" w14:textId="77777777" w:rsidR="00906898" w:rsidRPr="00263DB9" w:rsidRDefault="00906898" w:rsidP="00E51817">
            <w:pPr>
              <w:keepNext/>
              <w:keepLines/>
              <w:widowControl w:val="0"/>
              <w:tabs>
                <w:tab w:val="left" w:pos="567"/>
              </w:tabs>
              <w:spacing w:line="260" w:lineRule="exact"/>
              <w:rPr>
                <w:i/>
                <w:color w:val="000000"/>
                <w:szCs w:val="22"/>
              </w:rPr>
            </w:pPr>
            <w:r w:rsidRPr="00263DB9">
              <w:rPr>
                <w:i/>
                <w:color w:val="000000"/>
                <w:szCs w:val="22"/>
              </w:rPr>
              <w:t>Muito frequentes:</w:t>
            </w:r>
          </w:p>
        </w:tc>
        <w:tc>
          <w:tcPr>
            <w:tcW w:w="7087" w:type="dxa"/>
          </w:tcPr>
          <w:p w14:paraId="375EB0E5" w14:textId="77777777" w:rsidR="00906898" w:rsidRPr="00263DB9" w:rsidRDefault="00906898" w:rsidP="00E51817">
            <w:pPr>
              <w:keepNext/>
              <w:keepLines/>
              <w:widowControl w:val="0"/>
              <w:tabs>
                <w:tab w:val="left" w:pos="567"/>
              </w:tabs>
              <w:spacing w:line="260" w:lineRule="exact"/>
              <w:rPr>
                <w:color w:val="000000"/>
                <w:szCs w:val="22"/>
              </w:rPr>
            </w:pPr>
            <w:r w:rsidRPr="00263DB9">
              <w:rPr>
                <w:color w:val="000000"/>
                <w:szCs w:val="22"/>
              </w:rPr>
              <w:t>Aumento de peso</w:t>
            </w:r>
          </w:p>
        </w:tc>
      </w:tr>
      <w:tr w:rsidR="00906898" w:rsidRPr="00263DB9" w14:paraId="375EB0E9" w14:textId="77777777" w:rsidTr="00E51817">
        <w:trPr>
          <w:cantSplit/>
        </w:trPr>
        <w:tc>
          <w:tcPr>
            <w:tcW w:w="2235" w:type="dxa"/>
          </w:tcPr>
          <w:p w14:paraId="375EB0E7" w14:textId="77777777" w:rsidR="00906898" w:rsidRPr="00263DB9" w:rsidRDefault="00906898" w:rsidP="00E51817">
            <w:pPr>
              <w:keepNext/>
              <w:keepLines/>
              <w:widowControl w:val="0"/>
              <w:tabs>
                <w:tab w:val="left" w:pos="567"/>
              </w:tabs>
              <w:spacing w:line="260" w:lineRule="exact"/>
              <w:rPr>
                <w:i/>
                <w:color w:val="000000"/>
                <w:szCs w:val="22"/>
              </w:rPr>
            </w:pPr>
            <w:r w:rsidRPr="00263DB9">
              <w:rPr>
                <w:i/>
                <w:color w:val="000000"/>
                <w:szCs w:val="22"/>
              </w:rPr>
              <w:t>Frequentes:</w:t>
            </w:r>
          </w:p>
        </w:tc>
        <w:tc>
          <w:tcPr>
            <w:tcW w:w="7087" w:type="dxa"/>
          </w:tcPr>
          <w:p w14:paraId="375EB0E8" w14:textId="77777777" w:rsidR="00906898" w:rsidRPr="00263DB9" w:rsidRDefault="00906898" w:rsidP="00E51817">
            <w:pPr>
              <w:keepNext/>
              <w:keepLines/>
              <w:widowControl w:val="0"/>
              <w:tabs>
                <w:tab w:val="left" w:pos="567"/>
              </w:tabs>
              <w:spacing w:line="260" w:lineRule="exact"/>
              <w:rPr>
                <w:color w:val="000000"/>
                <w:szCs w:val="22"/>
              </w:rPr>
            </w:pPr>
            <w:r w:rsidRPr="00263DB9">
              <w:rPr>
                <w:color w:val="000000"/>
                <w:szCs w:val="22"/>
              </w:rPr>
              <w:t>Diminuição de peso</w:t>
            </w:r>
          </w:p>
        </w:tc>
      </w:tr>
      <w:tr w:rsidR="00906898" w:rsidRPr="00263DB9" w14:paraId="375EB0EC" w14:textId="77777777" w:rsidTr="00E51817">
        <w:trPr>
          <w:cantSplit/>
        </w:trPr>
        <w:tc>
          <w:tcPr>
            <w:tcW w:w="2235" w:type="dxa"/>
          </w:tcPr>
          <w:p w14:paraId="375EB0EA" w14:textId="77777777" w:rsidR="00906898" w:rsidRPr="00263DB9" w:rsidRDefault="00906898" w:rsidP="00E51817">
            <w:pPr>
              <w:keepNext/>
              <w:keepLines/>
              <w:widowControl w:val="0"/>
              <w:tabs>
                <w:tab w:val="left" w:pos="567"/>
              </w:tabs>
              <w:spacing w:line="260" w:lineRule="exact"/>
              <w:rPr>
                <w:i/>
                <w:color w:val="000000"/>
                <w:szCs w:val="22"/>
              </w:rPr>
            </w:pPr>
            <w:r w:rsidRPr="00263DB9">
              <w:rPr>
                <w:i/>
                <w:color w:val="000000"/>
                <w:szCs w:val="22"/>
              </w:rPr>
              <w:t>Pouco frequentes:</w:t>
            </w:r>
          </w:p>
        </w:tc>
        <w:tc>
          <w:tcPr>
            <w:tcW w:w="7087" w:type="dxa"/>
          </w:tcPr>
          <w:p w14:paraId="375EB0EB" w14:textId="77777777" w:rsidR="00906898" w:rsidRPr="00263DB9" w:rsidRDefault="00906898" w:rsidP="00E51817">
            <w:pPr>
              <w:keepNext/>
              <w:keepLines/>
              <w:widowControl w:val="0"/>
              <w:tabs>
                <w:tab w:val="left" w:pos="567"/>
              </w:tabs>
              <w:spacing w:line="260" w:lineRule="exact"/>
              <w:rPr>
                <w:color w:val="000000"/>
                <w:szCs w:val="22"/>
              </w:rPr>
            </w:pPr>
            <w:r w:rsidRPr="00263DB9">
              <w:rPr>
                <w:color w:val="000000"/>
                <w:szCs w:val="22"/>
              </w:rPr>
              <w:t>Aumento dos níveis sanguíneos de creatinina, aumento dos níveis sanguíneos de creatinina fosfocinase, aumento dos níveis sanguíneos da lactato desidrogenase, aumento dos níveis sanguíneos da fosfatase alcalina</w:t>
            </w:r>
          </w:p>
        </w:tc>
      </w:tr>
      <w:tr w:rsidR="00906898" w:rsidRPr="00263DB9" w14:paraId="375EB0EF" w14:textId="77777777" w:rsidTr="00E51817">
        <w:trPr>
          <w:cantSplit/>
        </w:trPr>
        <w:tc>
          <w:tcPr>
            <w:tcW w:w="2235" w:type="dxa"/>
          </w:tcPr>
          <w:p w14:paraId="375EB0ED" w14:textId="77777777" w:rsidR="00906898" w:rsidRPr="00263DB9" w:rsidRDefault="00906898" w:rsidP="00E51817">
            <w:pPr>
              <w:keepNext/>
              <w:keepLines/>
              <w:widowControl w:val="0"/>
              <w:tabs>
                <w:tab w:val="left" w:pos="567"/>
              </w:tabs>
              <w:spacing w:line="260" w:lineRule="exact"/>
              <w:rPr>
                <w:i/>
                <w:color w:val="000000"/>
                <w:szCs w:val="22"/>
              </w:rPr>
            </w:pPr>
            <w:r w:rsidRPr="00263DB9">
              <w:rPr>
                <w:i/>
                <w:color w:val="000000"/>
                <w:szCs w:val="22"/>
              </w:rPr>
              <w:t>Raros:</w:t>
            </w:r>
          </w:p>
        </w:tc>
        <w:tc>
          <w:tcPr>
            <w:tcW w:w="7087" w:type="dxa"/>
          </w:tcPr>
          <w:p w14:paraId="375EB0EE" w14:textId="77777777" w:rsidR="00906898" w:rsidRPr="00263DB9" w:rsidRDefault="00906898" w:rsidP="00E51817">
            <w:pPr>
              <w:keepNext/>
              <w:keepLines/>
              <w:widowControl w:val="0"/>
              <w:tabs>
                <w:tab w:val="left" w:pos="567"/>
              </w:tabs>
              <w:spacing w:line="260" w:lineRule="exact"/>
              <w:rPr>
                <w:color w:val="000000"/>
                <w:szCs w:val="22"/>
              </w:rPr>
            </w:pPr>
            <w:r w:rsidRPr="00263DB9">
              <w:rPr>
                <w:color w:val="000000"/>
                <w:szCs w:val="22"/>
              </w:rPr>
              <w:t>Aumento dos níveis sanguíneos de amilase</w:t>
            </w:r>
          </w:p>
        </w:tc>
      </w:tr>
    </w:tbl>
    <w:p w14:paraId="375EB0F0" w14:textId="77777777" w:rsidR="00505DB7" w:rsidRPr="00263DB9" w:rsidRDefault="00505DB7" w:rsidP="00E51817">
      <w:pPr>
        <w:keepNext/>
        <w:keepLines/>
        <w:widowControl w:val="0"/>
        <w:rPr>
          <w:color w:val="000000"/>
          <w:szCs w:val="22"/>
        </w:rPr>
      </w:pPr>
    </w:p>
    <w:p w14:paraId="375EB0F1" w14:textId="77777777" w:rsidR="00906898" w:rsidRPr="00263DB9" w:rsidRDefault="00505DB7" w:rsidP="00E51817">
      <w:pPr>
        <w:keepNext/>
        <w:keepLines/>
        <w:widowControl w:val="0"/>
        <w:ind w:left="567" w:hanging="567"/>
        <w:rPr>
          <w:color w:val="000000"/>
          <w:szCs w:val="22"/>
        </w:rPr>
      </w:pPr>
      <w:r w:rsidRPr="00263DB9">
        <w:rPr>
          <w:color w:val="000000"/>
          <w:szCs w:val="22"/>
        </w:rPr>
        <w:t>*</w:t>
      </w:r>
      <w:r w:rsidRPr="00263DB9">
        <w:rPr>
          <w:color w:val="000000"/>
          <w:szCs w:val="22"/>
        </w:rPr>
        <w:tab/>
        <w:t xml:space="preserve">Estes tipos de reações foram notificadas sobretudo na experiência pós-comercialização com Glivec. Isso inclui notificações de casos </w:t>
      </w:r>
      <w:r w:rsidR="00A6117A" w:rsidRPr="00263DB9">
        <w:rPr>
          <w:color w:val="000000"/>
          <w:szCs w:val="22"/>
        </w:rPr>
        <w:t>espontâneo</w:t>
      </w:r>
      <w:r w:rsidRPr="00263DB9">
        <w:rPr>
          <w:color w:val="000000"/>
          <w:szCs w:val="22"/>
        </w:rPr>
        <w:t xml:space="preserve">s, bem como acontecimentos adversos graves de estudos a decorrer, de programas de acesso alargado, </w:t>
      </w:r>
      <w:r w:rsidR="00A6117A" w:rsidRPr="00263DB9">
        <w:rPr>
          <w:color w:val="000000"/>
          <w:szCs w:val="22"/>
        </w:rPr>
        <w:t xml:space="preserve">de </w:t>
      </w:r>
      <w:r w:rsidRPr="00263DB9">
        <w:rPr>
          <w:color w:val="000000"/>
          <w:szCs w:val="22"/>
        </w:rPr>
        <w:t xml:space="preserve">estudos de farmacologia clínica e </w:t>
      </w:r>
      <w:r w:rsidR="00A6117A" w:rsidRPr="00263DB9">
        <w:rPr>
          <w:color w:val="000000"/>
          <w:szCs w:val="22"/>
        </w:rPr>
        <w:t xml:space="preserve">de </w:t>
      </w:r>
      <w:r w:rsidRPr="00263DB9">
        <w:rPr>
          <w:color w:val="000000"/>
          <w:szCs w:val="22"/>
        </w:rPr>
        <w:t>estudos exploratórios em indicações não aprovadas. Porque estas reações são notificadas a partir de uma população de tamanho incerto, nem sempre é possível estimar com segurança a sua frequência ou estabelecer uma relação causal com a exposição a imatinib.</w:t>
      </w:r>
    </w:p>
    <w:p w14:paraId="375EB0F2" w14:textId="77777777" w:rsidR="00906898" w:rsidRPr="00263DB9" w:rsidRDefault="00906898" w:rsidP="00E51817">
      <w:pPr>
        <w:keepNext/>
        <w:keepLines/>
        <w:widowControl w:val="0"/>
        <w:ind w:left="567" w:hanging="567"/>
        <w:rPr>
          <w:color w:val="000000"/>
          <w:szCs w:val="22"/>
        </w:rPr>
      </w:pPr>
      <w:r w:rsidRPr="00263DB9">
        <w:rPr>
          <w:color w:val="000000"/>
          <w:szCs w:val="22"/>
        </w:rPr>
        <w:t>1</w:t>
      </w:r>
      <w:r w:rsidRPr="00263DB9">
        <w:rPr>
          <w:color w:val="000000"/>
          <w:szCs w:val="22"/>
        </w:rPr>
        <w:tab/>
        <w:t>Foi notificada mais frequentemente pneumonia em doentes com LMC transformada e em doentes com GIST.</w:t>
      </w:r>
    </w:p>
    <w:p w14:paraId="375EB0F3" w14:textId="77777777" w:rsidR="00906898" w:rsidRPr="00263DB9" w:rsidRDefault="00906898" w:rsidP="00E51817">
      <w:pPr>
        <w:keepNext/>
        <w:keepLines/>
        <w:widowControl w:val="0"/>
        <w:ind w:left="567" w:hanging="567"/>
        <w:rPr>
          <w:color w:val="000000"/>
          <w:szCs w:val="22"/>
        </w:rPr>
      </w:pPr>
      <w:r w:rsidRPr="00263DB9">
        <w:rPr>
          <w:color w:val="000000"/>
          <w:szCs w:val="22"/>
        </w:rPr>
        <w:t>2</w:t>
      </w:r>
      <w:r w:rsidRPr="00263DB9">
        <w:rPr>
          <w:color w:val="000000"/>
          <w:szCs w:val="22"/>
        </w:rPr>
        <w:tab/>
        <w:t>As cefaleias foram mais frequentes em doentes com GIST.</w:t>
      </w:r>
    </w:p>
    <w:p w14:paraId="375EB0F4" w14:textId="77777777" w:rsidR="00906898" w:rsidRPr="00263DB9" w:rsidRDefault="00906898" w:rsidP="00E51817">
      <w:pPr>
        <w:keepNext/>
        <w:keepLines/>
        <w:widowControl w:val="0"/>
        <w:ind w:left="567" w:hanging="567"/>
        <w:rPr>
          <w:color w:val="000000"/>
          <w:szCs w:val="22"/>
        </w:rPr>
      </w:pPr>
      <w:r w:rsidRPr="00263DB9">
        <w:rPr>
          <w:color w:val="000000"/>
          <w:szCs w:val="22"/>
        </w:rPr>
        <w:t>3</w:t>
      </w:r>
      <w:r w:rsidRPr="00263DB9">
        <w:rPr>
          <w:color w:val="000000"/>
          <w:szCs w:val="22"/>
        </w:rPr>
        <w:tab/>
        <w:t>Numa base de doente-ano, foram mais frequentemente observados acontecimentos cardíacos incluindo insuficiência cardíaca congestiva em doentes com LMC transformada do que em doentes com LMC crónica.</w:t>
      </w:r>
    </w:p>
    <w:p w14:paraId="375EB0F5" w14:textId="77777777" w:rsidR="00906898" w:rsidRPr="00263DB9" w:rsidRDefault="00906898" w:rsidP="00E51817">
      <w:pPr>
        <w:keepNext/>
        <w:keepLines/>
        <w:widowControl w:val="0"/>
        <w:ind w:left="567" w:hanging="567"/>
        <w:rPr>
          <w:color w:val="000000"/>
          <w:szCs w:val="22"/>
        </w:rPr>
      </w:pPr>
      <w:r w:rsidRPr="00263DB9">
        <w:rPr>
          <w:color w:val="000000"/>
          <w:szCs w:val="22"/>
        </w:rPr>
        <w:t>4</w:t>
      </w:r>
      <w:r w:rsidRPr="00263DB9">
        <w:rPr>
          <w:color w:val="000000"/>
          <w:szCs w:val="22"/>
        </w:rPr>
        <w:tab/>
        <w:t>O rubor foi mais frequente em doentes com GIST e as hemorragias (hematomas, hemorragias) foram mais frequentes em doentes com GIST e com LMC transformada (LMC-AP e LMC-BC).</w:t>
      </w:r>
    </w:p>
    <w:p w14:paraId="375EB0F6" w14:textId="77777777" w:rsidR="00906898" w:rsidRPr="00263DB9" w:rsidRDefault="00906898" w:rsidP="00E51817">
      <w:pPr>
        <w:keepNext/>
        <w:keepLines/>
        <w:widowControl w:val="0"/>
        <w:ind w:left="567" w:hanging="567"/>
        <w:rPr>
          <w:color w:val="000000"/>
          <w:szCs w:val="22"/>
        </w:rPr>
      </w:pPr>
      <w:r w:rsidRPr="00263DB9">
        <w:rPr>
          <w:color w:val="000000"/>
          <w:szCs w:val="22"/>
        </w:rPr>
        <w:t>5</w:t>
      </w:r>
      <w:r w:rsidRPr="00263DB9">
        <w:rPr>
          <w:color w:val="000000"/>
          <w:szCs w:val="22"/>
        </w:rPr>
        <w:tab/>
        <w:t>Foi notificado derrame pleural com maior frequência em doentes com GIST e em doentes com LMC transformada (LMC-AP e LMC-BC) do que em doentes com LMC crónica.</w:t>
      </w:r>
    </w:p>
    <w:p w14:paraId="375EB0F7" w14:textId="77777777" w:rsidR="00906898" w:rsidRPr="00263DB9" w:rsidRDefault="00906898" w:rsidP="00E51817">
      <w:pPr>
        <w:keepNext/>
        <w:keepLines/>
        <w:widowControl w:val="0"/>
        <w:ind w:left="567" w:hanging="567"/>
        <w:rPr>
          <w:color w:val="000000"/>
          <w:szCs w:val="22"/>
        </w:rPr>
      </w:pPr>
      <w:r w:rsidRPr="00263DB9">
        <w:rPr>
          <w:color w:val="000000"/>
          <w:szCs w:val="22"/>
        </w:rPr>
        <w:t>6+7</w:t>
      </w:r>
      <w:r w:rsidRPr="00263DB9">
        <w:rPr>
          <w:color w:val="000000"/>
          <w:szCs w:val="22"/>
        </w:rPr>
        <w:tab/>
        <w:t>Dor abdominal e hemorragia gastrointestinal foram mais frequentemente observadas em doentes com GIST.</w:t>
      </w:r>
    </w:p>
    <w:p w14:paraId="375EB0F8" w14:textId="77777777" w:rsidR="00906898" w:rsidRPr="00263DB9" w:rsidRDefault="00906898" w:rsidP="00E51817">
      <w:pPr>
        <w:keepNext/>
        <w:keepLines/>
        <w:widowControl w:val="0"/>
        <w:ind w:left="567" w:hanging="567"/>
        <w:rPr>
          <w:color w:val="000000"/>
          <w:szCs w:val="22"/>
        </w:rPr>
      </w:pPr>
      <w:r w:rsidRPr="00263DB9">
        <w:rPr>
          <w:color w:val="000000"/>
          <w:szCs w:val="22"/>
        </w:rPr>
        <w:t>8</w:t>
      </w:r>
      <w:r w:rsidRPr="00263DB9">
        <w:rPr>
          <w:color w:val="000000"/>
          <w:szCs w:val="22"/>
        </w:rPr>
        <w:tab/>
        <w:t>Foram notificados alguns casos fatais de insuficiência hepática e de necrose hepática.</w:t>
      </w:r>
    </w:p>
    <w:p w14:paraId="375EB0F9" w14:textId="77777777" w:rsidR="00851458" w:rsidRPr="00263DB9" w:rsidRDefault="00851458" w:rsidP="00E51817">
      <w:pPr>
        <w:keepNext/>
        <w:keepLines/>
        <w:widowControl w:val="0"/>
        <w:ind w:left="567" w:hanging="567"/>
        <w:rPr>
          <w:color w:val="000000"/>
          <w:szCs w:val="22"/>
        </w:rPr>
      </w:pPr>
      <w:r w:rsidRPr="00263DB9">
        <w:rPr>
          <w:color w:val="000000"/>
          <w:szCs w:val="22"/>
        </w:rPr>
        <w:t>9</w:t>
      </w:r>
      <w:r w:rsidRPr="00263DB9">
        <w:rPr>
          <w:color w:val="000000"/>
          <w:szCs w:val="22"/>
        </w:rPr>
        <w:tab/>
      </w:r>
      <w:r w:rsidR="00FC1A34" w:rsidRPr="00263DB9">
        <w:rPr>
          <w:color w:val="000000"/>
          <w:szCs w:val="22"/>
        </w:rPr>
        <w:t>Após comercialização tem sido observada d</w:t>
      </w:r>
      <w:r w:rsidRPr="00263DB9">
        <w:rPr>
          <w:color w:val="000000"/>
          <w:szCs w:val="22"/>
        </w:rPr>
        <w:t>or musculoesquelética durante o tratamento com imatinib ou após a</w:t>
      </w:r>
      <w:r w:rsidR="00FC1A34" w:rsidRPr="00263DB9">
        <w:rPr>
          <w:color w:val="000000"/>
          <w:szCs w:val="22"/>
        </w:rPr>
        <w:t xml:space="preserve"> interrupção do tratamento.</w:t>
      </w:r>
    </w:p>
    <w:p w14:paraId="375EB0FA" w14:textId="77777777" w:rsidR="00906898" w:rsidRPr="00263DB9" w:rsidRDefault="00FC1A34" w:rsidP="00E51817">
      <w:pPr>
        <w:keepNext/>
        <w:keepLines/>
        <w:widowControl w:val="0"/>
        <w:ind w:left="567" w:hanging="567"/>
        <w:rPr>
          <w:color w:val="000000"/>
          <w:szCs w:val="22"/>
        </w:rPr>
      </w:pPr>
      <w:r w:rsidRPr="00263DB9">
        <w:rPr>
          <w:color w:val="000000"/>
          <w:szCs w:val="22"/>
        </w:rPr>
        <w:t>10</w:t>
      </w:r>
      <w:r w:rsidR="00906898" w:rsidRPr="00263DB9">
        <w:rPr>
          <w:color w:val="000000"/>
          <w:szCs w:val="22"/>
        </w:rPr>
        <w:tab/>
        <w:t>Dor musculoesquelética e acontecimentos relacionados foram mais frequentemente observados em doentes com LMC do que em doentes com GIST.</w:t>
      </w:r>
    </w:p>
    <w:p w14:paraId="375EB0FB" w14:textId="77777777" w:rsidR="00A6117A" w:rsidRPr="00263DB9" w:rsidRDefault="00FC1A34" w:rsidP="00E51817">
      <w:pPr>
        <w:keepLines/>
        <w:widowControl w:val="0"/>
        <w:ind w:left="567" w:hanging="567"/>
        <w:rPr>
          <w:color w:val="000000"/>
          <w:szCs w:val="22"/>
        </w:rPr>
      </w:pPr>
      <w:r w:rsidRPr="00263DB9">
        <w:rPr>
          <w:color w:val="000000"/>
          <w:szCs w:val="22"/>
        </w:rPr>
        <w:t>11</w:t>
      </w:r>
      <w:r w:rsidR="00A6117A" w:rsidRPr="00263DB9">
        <w:rPr>
          <w:color w:val="000000"/>
          <w:szCs w:val="22"/>
        </w:rPr>
        <w:tab/>
        <w:t>Foram notificados casos fatais em doentes com doença av</w:t>
      </w:r>
      <w:r w:rsidR="000F4C1B" w:rsidRPr="00263DB9">
        <w:rPr>
          <w:color w:val="000000"/>
          <w:szCs w:val="22"/>
        </w:rPr>
        <w:t>a</w:t>
      </w:r>
      <w:r w:rsidR="00A6117A" w:rsidRPr="00263DB9">
        <w:rPr>
          <w:color w:val="000000"/>
          <w:szCs w:val="22"/>
        </w:rPr>
        <w:t>nçada, infeções graves, neutropenia grave e outras situações concomitantes graves.</w:t>
      </w:r>
    </w:p>
    <w:p w14:paraId="375EB0FC" w14:textId="77777777" w:rsidR="00906898" w:rsidRPr="00263DB9" w:rsidRDefault="00906898" w:rsidP="00E51817">
      <w:pPr>
        <w:widowControl w:val="0"/>
        <w:rPr>
          <w:color w:val="000000"/>
          <w:szCs w:val="22"/>
        </w:rPr>
      </w:pPr>
    </w:p>
    <w:p w14:paraId="375EB0FD" w14:textId="77777777" w:rsidR="00906898" w:rsidRPr="00263DB9" w:rsidRDefault="00906898" w:rsidP="00E51817">
      <w:pPr>
        <w:keepNext/>
        <w:widowControl w:val="0"/>
        <w:suppressAutoHyphens/>
        <w:rPr>
          <w:color w:val="000000"/>
          <w:szCs w:val="22"/>
          <w:u w:val="single"/>
        </w:rPr>
      </w:pPr>
      <w:r w:rsidRPr="00263DB9">
        <w:rPr>
          <w:color w:val="000000"/>
          <w:szCs w:val="22"/>
          <w:u w:val="single"/>
        </w:rPr>
        <w:t>Alterações nos testes laboratoriais:</w:t>
      </w:r>
    </w:p>
    <w:p w14:paraId="375EB0FE" w14:textId="77777777" w:rsidR="00906898" w:rsidRPr="00263DB9" w:rsidRDefault="00906898" w:rsidP="00E51817">
      <w:pPr>
        <w:pStyle w:val="Heading6"/>
        <w:widowControl w:val="0"/>
        <w:tabs>
          <w:tab w:val="clear" w:pos="-720"/>
          <w:tab w:val="clear" w:pos="567"/>
          <w:tab w:val="clear" w:pos="4536"/>
        </w:tabs>
        <w:spacing w:line="240" w:lineRule="auto"/>
        <w:rPr>
          <w:color w:val="000000"/>
          <w:szCs w:val="22"/>
          <w:lang w:val="pt-PT"/>
        </w:rPr>
      </w:pPr>
      <w:r w:rsidRPr="00263DB9">
        <w:rPr>
          <w:color w:val="000000"/>
          <w:szCs w:val="22"/>
          <w:lang w:val="pt-PT"/>
        </w:rPr>
        <w:t>Hematológicas</w:t>
      </w:r>
    </w:p>
    <w:p w14:paraId="375EB0FF" w14:textId="77777777" w:rsidR="00906898" w:rsidRPr="00263DB9" w:rsidRDefault="00906898" w:rsidP="00E51817">
      <w:pPr>
        <w:widowControl w:val="0"/>
        <w:suppressAutoHyphens/>
        <w:rPr>
          <w:color w:val="000000"/>
          <w:szCs w:val="22"/>
        </w:rPr>
      </w:pPr>
      <w:r w:rsidRPr="00263DB9">
        <w:rPr>
          <w:color w:val="000000"/>
          <w:szCs w:val="22"/>
        </w:rPr>
        <w:t xml:space="preserve">Em doentes com LMC, as citopenias, particularmente neutropenia e trombocitopenia, foram um resultado consistente em todos os estudos, sugerindo uma frequência superior em doses elevadas </w:t>
      </w:r>
      <w:r w:rsidRPr="00263DB9">
        <w:rPr>
          <w:color w:val="000000"/>
          <w:szCs w:val="22"/>
        </w:rPr>
        <w:sym w:font="Symbol" w:char="F0B3"/>
      </w:r>
      <w:r w:rsidRPr="00263DB9">
        <w:rPr>
          <w:color w:val="000000"/>
          <w:szCs w:val="22"/>
        </w:rPr>
        <w:t> 750 mg (estudo de fase I). No entanto, a ocorrência de citopenias também foi claramente dependente da fase da doença. Em doentes em crise blástica e em fase acelerada, a frequência de neutropenias (ANC &lt; 1,0 x 10</w:t>
      </w:r>
      <w:r w:rsidRPr="00263DB9">
        <w:rPr>
          <w:color w:val="000000"/>
          <w:szCs w:val="22"/>
          <w:vertAlign w:val="superscript"/>
        </w:rPr>
        <w:t>9</w:t>
      </w:r>
      <w:r w:rsidRPr="00263DB9">
        <w:rPr>
          <w:color w:val="000000"/>
          <w:szCs w:val="22"/>
        </w:rPr>
        <w:t>/l) e trombocitopenias (contagem de plaquetas &lt; 50 x 10</w:t>
      </w:r>
      <w:r w:rsidRPr="00263DB9">
        <w:rPr>
          <w:color w:val="000000"/>
          <w:szCs w:val="22"/>
          <w:vertAlign w:val="superscript"/>
        </w:rPr>
        <w:t>9</w:t>
      </w:r>
      <w:r w:rsidRPr="00263DB9">
        <w:rPr>
          <w:color w:val="000000"/>
          <w:szCs w:val="22"/>
        </w:rPr>
        <w:t>/l) de grau 3 ou 4 foi 4 a 6 vezes superior (59–64% e 44–63% para a neutropenia e trombocitopenia, respetivamente), comparativamente a doentes diagnosticados de novo com LMC em fase crónica (16,7% para a neutropenia e 8,9% para a trombocitopenia). Em doentes diagnosticados de novo com LMC em fase crónica, foram observadas neutropenia (ANC &lt; 0,5 x 10</w:t>
      </w:r>
      <w:r w:rsidRPr="00263DB9">
        <w:rPr>
          <w:color w:val="000000"/>
          <w:szCs w:val="22"/>
          <w:vertAlign w:val="superscript"/>
        </w:rPr>
        <w:t>9</w:t>
      </w:r>
      <w:r w:rsidRPr="00263DB9">
        <w:rPr>
          <w:color w:val="000000"/>
          <w:szCs w:val="22"/>
        </w:rPr>
        <w:t>/l) e trombocitopenia (contagem de plaquetas &lt; 10 x 10</w:t>
      </w:r>
      <w:r w:rsidRPr="00263DB9">
        <w:rPr>
          <w:color w:val="000000"/>
          <w:szCs w:val="22"/>
          <w:vertAlign w:val="superscript"/>
        </w:rPr>
        <w:t>9</w:t>
      </w:r>
      <w:r w:rsidRPr="00263DB9">
        <w:rPr>
          <w:color w:val="000000"/>
          <w:szCs w:val="22"/>
        </w:rPr>
        <w:t xml:space="preserve">/l) de grau 4 em 3,6% e &lt; 1% dos doentes, respetivamente. A duração média dos episódios neutropénicos e trombocitopénicos variou, geralmente, entre 2 a 3 semanas e entre 3 a 4 semanas, respetivamente. Estes efeitos podem ser tratados, habitualmente, quer com uma redução da dose, quer </w:t>
      </w:r>
      <w:r w:rsidRPr="00263DB9">
        <w:rPr>
          <w:color w:val="000000"/>
          <w:szCs w:val="22"/>
        </w:rPr>
        <w:lastRenderedPageBreak/>
        <w:t>com uma interrupção do tratamento com Glivec mas podem, em casos raros, levar a interrupção permanente do tratamento. Em doentes pediátricos com LMC as toxicidades observadas mais frequentemente foram as citopenias de grau 3 ou 4 envolvendo neutropenia, trombocitopenia e anemia. Estas ocorreram geralmente durante os primeiros meses de tratamento.</w:t>
      </w:r>
    </w:p>
    <w:p w14:paraId="375EB100" w14:textId="77777777" w:rsidR="00906898" w:rsidRPr="00263DB9" w:rsidRDefault="00906898" w:rsidP="00E51817">
      <w:pPr>
        <w:widowControl w:val="0"/>
        <w:suppressAutoHyphens/>
        <w:rPr>
          <w:color w:val="000000"/>
          <w:szCs w:val="22"/>
        </w:rPr>
      </w:pPr>
    </w:p>
    <w:p w14:paraId="375EB101" w14:textId="77777777" w:rsidR="00906898" w:rsidRPr="00263DB9" w:rsidRDefault="00906898" w:rsidP="00E51817">
      <w:pPr>
        <w:widowControl w:val="0"/>
        <w:suppressAutoHyphens/>
        <w:rPr>
          <w:color w:val="000000"/>
          <w:szCs w:val="22"/>
        </w:rPr>
      </w:pPr>
      <w:r w:rsidRPr="00263DB9">
        <w:rPr>
          <w:color w:val="000000"/>
          <w:szCs w:val="22"/>
        </w:rPr>
        <w:t>No estudo em doentes com GIST metastáticos e/ou irressecáveis, foi notificada anemia de grau 3 e 4 em 5,4% e 0,7% dos doentes, respetivamente, a qual poderá ter estado relacionada com hemorragia gastrintestinal ou intratumoral em pelo menos alguns destes doentes. Ocorreu neutropenia de grau 3 e 4 em 7,5% e 2,7% dos doentes, respetivamente, e trombocitopenia de grau 3 em 0,7% dos doentes. Nenhum doente desenvolveu trombocitopenia de grau 4. A diminuição do número de glóbulos brancos e de neutrófilos ocorreu principalmente durante as primeiras seis semanas de terapêutica, após o que os valores se mantiveram relativamente estáveis.</w:t>
      </w:r>
    </w:p>
    <w:p w14:paraId="375EB102" w14:textId="77777777" w:rsidR="00906898" w:rsidRPr="00263DB9" w:rsidRDefault="00906898" w:rsidP="00E51817">
      <w:pPr>
        <w:widowControl w:val="0"/>
        <w:suppressAutoHyphens/>
        <w:rPr>
          <w:color w:val="000000"/>
          <w:szCs w:val="22"/>
        </w:rPr>
      </w:pPr>
    </w:p>
    <w:p w14:paraId="375EB103" w14:textId="77777777" w:rsidR="00906898" w:rsidRPr="00263DB9" w:rsidRDefault="00906898" w:rsidP="003970DC">
      <w:pPr>
        <w:pStyle w:val="Heading6"/>
        <w:widowControl w:val="0"/>
        <w:tabs>
          <w:tab w:val="clear" w:pos="-720"/>
          <w:tab w:val="clear" w:pos="567"/>
          <w:tab w:val="clear" w:pos="4536"/>
        </w:tabs>
        <w:spacing w:line="240" w:lineRule="auto"/>
        <w:rPr>
          <w:color w:val="000000"/>
          <w:szCs w:val="22"/>
          <w:lang w:val="pt-PT"/>
        </w:rPr>
      </w:pPr>
      <w:r w:rsidRPr="00263DB9">
        <w:rPr>
          <w:color w:val="000000"/>
          <w:szCs w:val="22"/>
          <w:lang w:val="pt-PT"/>
        </w:rPr>
        <w:t>Parâmetros bioquímicos</w:t>
      </w:r>
    </w:p>
    <w:p w14:paraId="375EB104" w14:textId="77777777" w:rsidR="00906898" w:rsidRPr="00263DB9" w:rsidRDefault="00906898" w:rsidP="00E51817">
      <w:pPr>
        <w:widowControl w:val="0"/>
        <w:suppressAutoHyphens/>
        <w:rPr>
          <w:color w:val="000000"/>
          <w:szCs w:val="22"/>
        </w:rPr>
      </w:pPr>
      <w:r w:rsidRPr="00263DB9">
        <w:rPr>
          <w:color w:val="000000"/>
          <w:szCs w:val="22"/>
        </w:rPr>
        <w:t>A ocorrência de elevação grave das transaminases (&lt; 5%) ou da bilirrubina (&lt; 1%) foi observada em doentes com LMC e foi geralmente controlada com redução da dose ou interrupção do tratamento (a duração mediana destes episódios foi de, aproximadamente, uma semana). O tratamento foi interrompido permanentemente devido a alterações laboratorias nos testes da função hepática em menos de 1% dos doentes com LMC. Nos doentes com GIST (estudo B2222), observou-se 6,8% casos de elevação da ALT (alaninatransaminase) de grau 3 ou 4 e 4,8% casos de elevação da AST (aspartato transaminase) de grau 3 ou 4. A elevação da bilirrubina foi inferior a 3%.</w:t>
      </w:r>
    </w:p>
    <w:p w14:paraId="375EB105" w14:textId="77777777" w:rsidR="00906898" w:rsidRPr="00263DB9" w:rsidRDefault="00906898" w:rsidP="00E51817">
      <w:pPr>
        <w:widowControl w:val="0"/>
        <w:suppressAutoHyphens/>
        <w:rPr>
          <w:color w:val="000000"/>
          <w:szCs w:val="22"/>
        </w:rPr>
      </w:pPr>
    </w:p>
    <w:p w14:paraId="375EB106" w14:textId="77777777" w:rsidR="00906898" w:rsidRPr="00263DB9" w:rsidRDefault="00906898" w:rsidP="00E51817">
      <w:pPr>
        <w:widowControl w:val="0"/>
        <w:suppressAutoHyphens/>
        <w:rPr>
          <w:color w:val="000000"/>
          <w:szCs w:val="22"/>
        </w:rPr>
      </w:pPr>
      <w:r w:rsidRPr="00263DB9">
        <w:rPr>
          <w:color w:val="000000"/>
          <w:szCs w:val="22"/>
        </w:rPr>
        <w:t>Ocorreram casos de hepatite citolítica e colestática e de insuficiência hepática; alguns deles fatais, incluíndo um doente numa dose elevada de paracetamol.</w:t>
      </w:r>
    </w:p>
    <w:p w14:paraId="375EB107" w14:textId="77777777" w:rsidR="00EA4848" w:rsidRPr="00263DB9" w:rsidRDefault="00EA4848" w:rsidP="00E51817">
      <w:pPr>
        <w:widowControl w:val="0"/>
        <w:suppressAutoHyphens/>
        <w:rPr>
          <w:color w:val="000000"/>
          <w:szCs w:val="22"/>
        </w:rPr>
      </w:pPr>
    </w:p>
    <w:p w14:paraId="375EB108" w14:textId="77777777" w:rsidR="00EA4848" w:rsidRPr="00263DB9" w:rsidRDefault="00EA4848" w:rsidP="003970DC">
      <w:pPr>
        <w:keepNext/>
        <w:widowControl w:val="0"/>
        <w:rPr>
          <w:color w:val="000000"/>
          <w:szCs w:val="22"/>
          <w:u w:val="single"/>
        </w:rPr>
      </w:pPr>
      <w:r w:rsidRPr="00263DB9">
        <w:rPr>
          <w:color w:val="000000"/>
          <w:szCs w:val="22"/>
          <w:u w:val="single"/>
        </w:rPr>
        <w:t>Descrição de reações adversas selecionadas</w:t>
      </w:r>
    </w:p>
    <w:p w14:paraId="375EB109" w14:textId="77777777" w:rsidR="00EA4848" w:rsidRPr="00263DB9" w:rsidRDefault="00EA4848" w:rsidP="003970DC">
      <w:pPr>
        <w:keepNext/>
        <w:widowControl w:val="0"/>
        <w:rPr>
          <w:i/>
          <w:szCs w:val="22"/>
          <w:u w:val="single"/>
        </w:rPr>
      </w:pPr>
      <w:r w:rsidRPr="00263DB9">
        <w:rPr>
          <w:i/>
          <w:szCs w:val="22"/>
          <w:u w:val="single"/>
        </w:rPr>
        <w:t>Reativação da Hepatite B</w:t>
      </w:r>
    </w:p>
    <w:p w14:paraId="375EB10A" w14:textId="77777777" w:rsidR="00906898" w:rsidRPr="00263DB9" w:rsidRDefault="00EA4848" w:rsidP="00E51817">
      <w:pPr>
        <w:widowControl w:val="0"/>
        <w:suppressAutoHyphens/>
        <w:rPr>
          <w:color w:val="000000"/>
          <w:szCs w:val="22"/>
        </w:rPr>
      </w:pPr>
      <w:r w:rsidRPr="00263DB9">
        <w:rPr>
          <w:color w:val="000000"/>
          <w:szCs w:val="22"/>
        </w:rPr>
        <w:t xml:space="preserve">Foi notificada a reativação da Hepatite B associada a ITC BCR-ABL. Alguns destes casos resultaram em insuficiência hepática aguda ou hepatite fulminante levando ao transplante do fígado ou à morte </w:t>
      </w:r>
      <w:r w:rsidR="00EF698C" w:rsidRPr="00263DB9">
        <w:rPr>
          <w:color w:val="000000"/>
          <w:szCs w:val="22"/>
        </w:rPr>
        <w:t>(ver secção </w:t>
      </w:r>
      <w:r w:rsidRPr="00263DB9">
        <w:rPr>
          <w:color w:val="000000"/>
          <w:szCs w:val="22"/>
        </w:rPr>
        <w:t>4.4).</w:t>
      </w:r>
    </w:p>
    <w:p w14:paraId="375EB10B" w14:textId="77777777" w:rsidR="00EA4848" w:rsidRPr="00263DB9" w:rsidRDefault="00EA4848" w:rsidP="00E51817">
      <w:pPr>
        <w:widowControl w:val="0"/>
        <w:suppressAutoHyphens/>
        <w:rPr>
          <w:color w:val="000000"/>
          <w:szCs w:val="22"/>
        </w:rPr>
      </w:pPr>
    </w:p>
    <w:p w14:paraId="375EB10C" w14:textId="77777777" w:rsidR="00FB4789" w:rsidRPr="00263DB9" w:rsidRDefault="00FB4789" w:rsidP="003970DC">
      <w:pPr>
        <w:keepNext/>
        <w:widowControl w:val="0"/>
        <w:suppressAutoHyphens/>
        <w:rPr>
          <w:szCs w:val="22"/>
          <w:u w:val="single"/>
        </w:rPr>
      </w:pPr>
      <w:r w:rsidRPr="00263DB9">
        <w:rPr>
          <w:noProof/>
          <w:szCs w:val="22"/>
          <w:u w:val="single"/>
        </w:rPr>
        <w:t>Notificação de suspeitas de reações adversas</w:t>
      </w:r>
    </w:p>
    <w:p w14:paraId="375EB10D" w14:textId="77777777" w:rsidR="00FB4789" w:rsidRPr="00263DB9" w:rsidRDefault="00FB4789" w:rsidP="00E51817">
      <w:pPr>
        <w:widowControl w:val="0"/>
        <w:suppressAutoHyphens/>
        <w:rPr>
          <w:szCs w:val="22"/>
        </w:rPr>
      </w:pPr>
      <w:r w:rsidRPr="00263DB9">
        <w:rPr>
          <w:noProof/>
          <w:szCs w:val="22"/>
        </w:rPr>
        <w:t>A notificação de suspeitas de reações adversas após a autorização do medicamento é importante, uma vez que permite uma monitorização contínua da relação benefício-risco do medicamento.</w:t>
      </w:r>
      <w:r w:rsidRPr="00263DB9">
        <w:rPr>
          <w:szCs w:val="22"/>
        </w:rPr>
        <w:t xml:space="preserve"> Pede-se aos profissionais de saúde que notifiquem quaisquer suspeitas de reações adversas </w:t>
      </w:r>
      <w:r w:rsidRPr="00263DB9">
        <w:rPr>
          <w:szCs w:val="22"/>
          <w:shd w:val="clear" w:color="auto" w:fill="D9D9D9"/>
        </w:rPr>
        <w:t>através</w:t>
      </w:r>
      <w:r w:rsidR="007F163E" w:rsidRPr="00263DB9">
        <w:rPr>
          <w:szCs w:val="22"/>
          <w:shd w:val="clear" w:color="auto" w:fill="D9D9D9"/>
        </w:rPr>
        <w:t xml:space="preserve"> do sistema nacional de notificação mencionado no</w:t>
      </w:r>
      <w:r w:rsidRPr="00263DB9">
        <w:rPr>
          <w:szCs w:val="22"/>
          <w:shd w:val="pct15" w:color="auto" w:fill="auto"/>
        </w:rPr>
        <w:t xml:space="preserve"> </w:t>
      </w:r>
      <w:hyperlink r:id="rId12" w:history="1">
        <w:r w:rsidRPr="00263DB9">
          <w:rPr>
            <w:rStyle w:val="Hyperlink"/>
            <w:shd w:val="pct15" w:color="auto" w:fill="auto"/>
          </w:rPr>
          <w:t>Apêndice V</w:t>
        </w:r>
      </w:hyperlink>
      <w:r w:rsidRPr="00263DB9">
        <w:rPr>
          <w:szCs w:val="22"/>
        </w:rPr>
        <w:t>.</w:t>
      </w:r>
    </w:p>
    <w:p w14:paraId="375EB10E" w14:textId="77777777" w:rsidR="00FB4789" w:rsidRPr="00263DB9" w:rsidRDefault="00FB4789" w:rsidP="00E51817">
      <w:pPr>
        <w:widowControl w:val="0"/>
        <w:suppressAutoHyphens/>
        <w:rPr>
          <w:color w:val="000000"/>
          <w:szCs w:val="22"/>
        </w:rPr>
      </w:pPr>
    </w:p>
    <w:p w14:paraId="375EB10F"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4.9</w:t>
      </w:r>
      <w:r w:rsidRPr="00263DB9">
        <w:rPr>
          <w:b/>
          <w:color w:val="000000"/>
          <w:szCs w:val="22"/>
        </w:rPr>
        <w:tab/>
        <w:t>Sobredosagem</w:t>
      </w:r>
    </w:p>
    <w:p w14:paraId="375EB110" w14:textId="77777777" w:rsidR="00906898" w:rsidRPr="00263DB9" w:rsidRDefault="00906898" w:rsidP="003970DC">
      <w:pPr>
        <w:keepNext/>
        <w:widowControl w:val="0"/>
        <w:suppressAutoHyphens/>
        <w:rPr>
          <w:color w:val="000000"/>
          <w:szCs w:val="22"/>
        </w:rPr>
      </w:pPr>
    </w:p>
    <w:p w14:paraId="375EB111" w14:textId="77777777" w:rsidR="00906898" w:rsidRPr="00263DB9" w:rsidRDefault="00906898" w:rsidP="00E51817">
      <w:pPr>
        <w:widowControl w:val="0"/>
        <w:suppressAutoHyphens/>
        <w:rPr>
          <w:color w:val="000000"/>
          <w:szCs w:val="22"/>
        </w:rPr>
      </w:pPr>
      <w:r w:rsidRPr="00263DB9">
        <w:rPr>
          <w:color w:val="000000"/>
          <w:szCs w:val="22"/>
        </w:rPr>
        <w:t>A experiência com doses superiores à dose terapêutica recomendada é limitada. Foram notificados casos isolados de sobredosagem com Glivec, espontaneamente e na literatura. Na eventualidade de sobredosagem, o doente deve ser observado e ser-lhe administrado tratamento sintomático adequado. Geralmente o resultado relatado nestes casos é de “melhoria” ou “recuperação”. Foram notificados os seguintes acontecimentos com intervalos de dosagem diferentes:</w:t>
      </w:r>
    </w:p>
    <w:p w14:paraId="375EB112" w14:textId="77777777" w:rsidR="00906898" w:rsidRPr="00263DB9" w:rsidRDefault="00906898" w:rsidP="00E51817">
      <w:pPr>
        <w:widowControl w:val="0"/>
        <w:suppressAutoHyphens/>
        <w:rPr>
          <w:color w:val="000000"/>
          <w:szCs w:val="22"/>
        </w:rPr>
      </w:pPr>
    </w:p>
    <w:p w14:paraId="375EB113" w14:textId="77777777" w:rsidR="00906898" w:rsidRPr="00263DB9" w:rsidRDefault="00906898" w:rsidP="003970DC">
      <w:pPr>
        <w:keepNext/>
        <w:widowControl w:val="0"/>
        <w:suppressAutoHyphens/>
        <w:rPr>
          <w:i/>
          <w:iCs/>
          <w:color w:val="000000"/>
          <w:szCs w:val="22"/>
        </w:rPr>
      </w:pPr>
      <w:r w:rsidRPr="00263DB9">
        <w:rPr>
          <w:i/>
          <w:iCs/>
          <w:color w:val="000000"/>
          <w:szCs w:val="22"/>
        </w:rPr>
        <w:t>População adulta</w:t>
      </w:r>
    </w:p>
    <w:p w14:paraId="375EB114" w14:textId="77777777" w:rsidR="00906898" w:rsidRPr="00263DB9" w:rsidRDefault="00906898" w:rsidP="00E51817">
      <w:pPr>
        <w:widowControl w:val="0"/>
        <w:suppressAutoHyphens/>
        <w:rPr>
          <w:color w:val="000000"/>
          <w:szCs w:val="22"/>
        </w:rPr>
      </w:pPr>
      <w:r w:rsidRPr="00263DB9">
        <w:rPr>
          <w:color w:val="000000"/>
          <w:szCs w:val="22"/>
        </w:rPr>
        <w:t>1200 a 1600 mg (duração variável entre 1 a 10 dias): Náuseas, vómitos, diarreia, erupção cutânea, eritema, edema, tumefação, fadiga, espasmos musculares, trombocitopenia, pancitopenia, dor abdominal, cefaleias, diminuição do apetite.</w:t>
      </w:r>
    </w:p>
    <w:p w14:paraId="375EB115" w14:textId="77777777" w:rsidR="00906898" w:rsidRPr="00263DB9" w:rsidRDefault="00906898" w:rsidP="00E51817">
      <w:pPr>
        <w:widowControl w:val="0"/>
        <w:suppressAutoHyphens/>
        <w:rPr>
          <w:color w:val="000000"/>
          <w:szCs w:val="22"/>
        </w:rPr>
      </w:pPr>
      <w:r w:rsidRPr="00263DB9">
        <w:rPr>
          <w:color w:val="000000"/>
          <w:szCs w:val="22"/>
        </w:rPr>
        <w:t>1800 a 3200 mg (num máximo de 3200 mg diárias durante 6 dias): Fraqueza, mialgia, creatinina fosfoquinase aumentada, bilirrubina aumentada, dor gastrointestinal.</w:t>
      </w:r>
    </w:p>
    <w:p w14:paraId="375EB116" w14:textId="77777777" w:rsidR="00906898" w:rsidRPr="00263DB9" w:rsidRDefault="00906898" w:rsidP="00E51817">
      <w:pPr>
        <w:widowControl w:val="0"/>
        <w:suppressAutoHyphens/>
        <w:rPr>
          <w:color w:val="000000"/>
          <w:szCs w:val="22"/>
        </w:rPr>
      </w:pPr>
      <w:r w:rsidRPr="00263DB9">
        <w:rPr>
          <w:color w:val="000000"/>
          <w:szCs w:val="22"/>
        </w:rPr>
        <w:t>6400 mg (dose única): Foi notificado na literatura um caso de um doente que sofreu náuseas, vómitos, dor abdominal, pirexia, tumefação da face, diminuição da contagem de neutrófilos, transaminases aumentadas.</w:t>
      </w:r>
    </w:p>
    <w:p w14:paraId="375EB117" w14:textId="77777777" w:rsidR="00906898" w:rsidRPr="00263DB9" w:rsidRDefault="00906898" w:rsidP="00E51817">
      <w:pPr>
        <w:widowControl w:val="0"/>
        <w:suppressAutoHyphens/>
        <w:rPr>
          <w:color w:val="000000"/>
          <w:szCs w:val="22"/>
        </w:rPr>
      </w:pPr>
      <w:r w:rsidRPr="00263DB9">
        <w:rPr>
          <w:color w:val="000000"/>
          <w:szCs w:val="22"/>
        </w:rPr>
        <w:t>8 a 10 g (dose única): Foram notificados vómitos e dor gastrointestinal.</w:t>
      </w:r>
    </w:p>
    <w:p w14:paraId="375EB118" w14:textId="77777777" w:rsidR="00906898" w:rsidRPr="00263DB9" w:rsidRDefault="00906898" w:rsidP="00E51817">
      <w:pPr>
        <w:widowControl w:val="0"/>
        <w:suppressAutoHyphens/>
        <w:rPr>
          <w:color w:val="000000"/>
          <w:szCs w:val="22"/>
        </w:rPr>
      </w:pPr>
    </w:p>
    <w:p w14:paraId="375EB119" w14:textId="77777777" w:rsidR="00906898" w:rsidRPr="00263DB9" w:rsidRDefault="00906898" w:rsidP="003970DC">
      <w:pPr>
        <w:keepNext/>
        <w:widowControl w:val="0"/>
        <w:suppressAutoHyphens/>
        <w:rPr>
          <w:i/>
          <w:iCs/>
          <w:color w:val="000000"/>
          <w:szCs w:val="22"/>
        </w:rPr>
      </w:pPr>
      <w:r w:rsidRPr="00263DB9">
        <w:rPr>
          <w:i/>
          <w:iCs/>
          <w:color w:val="000000"/>
          <w:szCs w:val="22"/>
        </w:rPr>
        <w:lastRenderedPageBreak/>
        <w:t>População pediátrica</w:t>
      </w:r>
    </w:p>
    <w:p w14:paraId="375EB11A" w14:textId="77777777" w:rsidR="00906898" w:rsidRPr="00263DB9" w:rsidRDefault="00906898" w:rsidP="00E51817">
      <w:pPr>
        <w:widowControl w:val="0"/>
        <w:suppressAutoHyphens/>
        <w:rPr>
          <w:color w:val="000000"/>
          <w:szCs w:val="22"/>
        </w:rPr>
      </w:pPr>
      <w:r w:rsidRPr="00263DB9">
        <w:rPr>
          <w:color w:val="000000"/>
          <w:szCs w:val="22"/>
        </w:rPr>
        <w:t>Um rapaz de 3 anos de idade exposto a uma dose única de 400 mg sofreu vómitos, diarreia e anorexia, e outro rapaz de 3 anos de idade exposto a uma dose única de 980 mg sofreu diminuição da contagem de glóbulos brancos e diarreia.</w:t>
      </w:r>
    </w:p>
    <w:p w14:paraId="375EB11B" w14:textId="77777777" w:rsidR="00906898" w:rsidRPr="00263DB9" w:rsidRDefault="00906898" w:rsidP="00E51817">
      <w:pPr>
        <w:widowControl w:val="0"/>
        <w:suppressAutoHyphens/>
        <w:rPr>
          <w:color w:val="000000"/>
          <w:szCs w:val="22"/>
        </w:rPr>
      </w:pPr>
    </w:p>
    <w:p w14:paraId="375EB11C" w14:textId="77777777" w:rsidR="00906898" w:rsidRPr="00263DB9" w:rsidRDefault="00906898" w:rsidP="00E51817">
      <w:pPr>
        <w:widowControl w:val="0"/>
        <w:suppressAutoHyphens/>
        <w:rPr>
          <w:color w:val="000000"/>
          <w:szCs w:val="22"/>
        </w:rPr>
      </w:pPr>
      <w:r w:rsidRPr="00263DB9">
        <w:rPr>
          <w:color w:val="000000"/>
          <w:szCs w:val="22"/>
        </w:rPr>
        <w:t>Em caso de sobredosagem, deve ser administrado tratamento de suporte adequado devendo manter-se o doente em observação.</w:t>
      </w:r>
    </w:p>
    <w:p w14:paraId="375EB11D" w14:textId="77777777" w:rsidR="00906898" w:rsidRPr="00263DB9" w:rsidRDefault="00906898" w:rsidP="00E51817">
      <w:pPr>
        <w:widowControl w:val="0"/>
        <w:suppressAutoHyphens/>
        <w:rPr>
          <w:color w:val="000000"/>
          <w:szCs w:val="22"/>
        </w:rPr>
      </w:pPr>
    </w:p>
    <w:p w14:paraId="375EB11E" w14:textId="77777777" w:rsidR="00906898" w:rsidRPr="00263DB9" w:rsidRDefault="00906898" w:rsidP="00E51817">
      <w:pPr>
        <w:widowControl w:val="0"/>
        <w:suppressAutoHyphens/>
        <w:rPr>
          <w:color w:val="000000"/>
          <w:szCs w:val="22"/>
        </w:rPr>
      </w:pPr>
    </w:p>
    <w:p w14:paraId="375EB11F"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5.</w:t>
      </w:r>
      <w:r w:rsidRPr="00263DB9">
        <w:rPr>
          <w:b/>
          <w:color w:val="000000"/>
          <w:szCs w:val="22"/>
        </w:rPr>
        <w:tab/>
        <w:t>PROPRIEDADES FARMACOLÓGICAS</w:t>
      </w:r>
    </w:p>
    <w:p w14:paraId="375EB120" w14:textId="77777777" w:rsidR="00906898" w:rsidRPr="00263DB9" w:rsidRDefault="00906898" w:rsidP="003970DC">
      <w:pPr>
        <w:keepNext/>
        <w:widowControl w:val="0"/>
        <w:suppressAutoHyphens/>
        <w:rPr>
          <w:color w:val="000000"/>
          <w:szCs w:val="22"/>
        </w:rPr>
      </w:pPr>
    </w:p>
    <w:p w14:paraId="375EB121"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5.1</w:t>
      </w:r>
      <w:r w:rsidRPr="00263DB9">
        <w:rPr>
          <w:b/>
          <w:color w:val="000000"/>
          <w:szCs w:val="22"/>
        </w:rPr>
        <w:tab/>
        <w:t>Propriedades farmacodinâmicas</w:t>
      </w:r>
    </w:p>
    <w:p w14:paraId="375EB122" w14:textId="77777777" w:rsidR="00906898" w:rsidRPr="00263DB9" w:rsidRDefault="00906898" w:rsidP="003970DC">
      <w:pPr>
        <w:keepNext/>
        <w:widowControl w:val="0"/>
        <w:suppressAutoHyphens/>
        <w:rPr>
          <w:color w:val="000000"/>
          <w:szCs w:val="22"/>
        </w:rPr>
      </w:pPr>
    </w:p>
    <w:p w14:paraId="375EB123" w14:textId="77777777" w:rsidR="00906898" w:rsidRPr="00263DB9" w:rsidRDefault="00906898" w:rsidP="003970DC">
      <w:pPr>
        <w:keepNext/>
        <w:widowControl w:val="0"/>
        <w:suppressAutoHyphens/>
        <w:ind w:left="567" w:hanging="567"/>
        <w:rPr>
          <w:color w:val="000000"/>
          <w:szCs w:val="22"/>
        </w:rPr>
      </w:pPr>
      <w:r w:rsidRPr="00263DB9">
        <w:rPr>
          <w:color w:val="000000"/>
          <w:szCs w:val="22"/>
        </w:rPr>
        <w:t>Grupo farmacoterapêutico: inibidor da proteína tirosinacinase, código ATC: L01XE01</w:t>
      </w:r>
    </w:p>
    <w:p w14:paraId="375EB124" w14:textId="77777777" w:rsidR="00906898" w:rsidRPr="00263DB9" w:rsidRDefault="00906898" w:rsidP="003970DC">
      <w:pPr>
        <w:keepNext/>
        <w:widowControl w:val="0"/>
        <w:suppressAutoHyphens/>
        <w:rPr>
          <w:color w:val="000000"/>
          <w:szCs w:val="22"/>
        </w:rPr>
      </w:pPr>
    </w:p>
    <w:p w14:paraId="375EB125" w14:textId="77777777" w:rsidR="00906898" w:rsidRPr="00263DB9" w:rsidRDefault="00906898" w:rsidP="003970DC">
      <w:pPr>
        <w:pStyle w:val="EndnoteText"/>
        <w:keepNext/>
        <w:tabs>
          <w:tab w:val="clear" w:pos="567"/>
        </w:tabs>
        <w:rPr>
          <w:color w:val="000000"/>
          <w:szCs w:val="22"/>
          <w:u w:val="single"/>
        </w:rPr>
      </w:pPr>
      <w:r w:rsidRPr="00263DB9">
        <w:rPr>
          <w:color w:val="000000"/>
          <w:szCs w:val="22"/>
          <w:u w:val="single"/>
        </w:rPr>
        <w:t>Mecanismo de ação</w:t>
      </w:r>
    </w:p>
    <w:p w14:paraId="375EB126" w14:textId="77777777" w:rsidR="00906898" w:rsidRPr="00263DB9" w:rsidRDefault="00906898" w:rsidP="00E51817">
      <w:pPr>
        <w:pStyle w:val="EndnoteText"/>
        <w:tabs>
          <w:tab w:val="clear" w:pos="567"/>
        </w:tabs>
        <w:rPr>
          <w:color w:val="000000"/>
          <w:szCs w:val="22"/>
        </w:rPr>
      </w:pPr>
      <w:r w:rsidRPr="00263DB9">
        <w:t>O imatinib é uma pequena molécula</w:t>
      </w:r>
      <w:r w:rsidRPr="00263DB9">
        <w:rPr>
          <w:color w:val="000000"/>
          <w:szCs w:val="22"/>
        </w:rPr>
        <w:t xml:space="preserve"> inibidora da proteína tirosinacinase que inibe potentemente a atividade tirosinacinase Bcr-Abl, bem como vários recetores com atividade tirosinacinase (TK): Kit, recetor para o fator das células germinativas (SCF) codificado pelo proto-oncogene c-Kit, os recetores do domínio de discoidina (DDR1 e DDR2), recetor do fator estimulador de colónias (CSF-1R) e recetores do fator de crescimento derivado das plaquetas alfa e beta (PDGFR-alfa e PDGFR-beta). O imatinib pode também inibir as vias celulares mediadas pela ativação destes recetores com atividade tirosinacinase.</w:t>
      </w:r>
    </w:p>
    <w:p w14:paraId="375EB127" w14:textId="77777777" w:rsidR="00906898" w:rsidRPr="00263DB9" w:rsidRDefault="00906898" w:rsidP="00E51817">
      <w:pPr>
        <w:widowControl w:val="0"/>
        <w:suppressAutoHyphens/>
        <w:rPr>
          <w:color w:val="000000"/>
          <w:szCs w:val="22"/>
        </w:rPr>
      </w:pPr>
    </w:p>
    <w:p w14:paraId="375EB128" w14:textId="77777777" w:rsidR="00906898" w:rsidRPr="00263DB9" w:rsidRDefault="00906898" w:rsidP="003970DC">
      <w:pPr>
        <w:keepNext/>
        <w:widowControl w:val="0"/>
        <w:suppressAutoHyphens/>
        <w:rPr>
          <w:color w:val="000000"/>
          <w:szCs w:val="22"/>
        </w:rPr>
      </w:pPr>
      <w:r w:rsidRPr="00263DB9">
        <w:rPr>
          <w:u w:val="single"/>
        </w:rPr>
        <w:t>Efeitos farmacodinâmicos</w:t>
      </w:r>
    </w:p>
    <w:p w14:paraId="375EB129" w14:textId="77777777" w:rsidR="00906898" w:rsidRPr="00263DB9" w:rsidRDefault="00906898" w:rsidP="00E51817">
      <w:pPr>
        <w:widowControl w:val="0"/>
        <w:suppressAutoHyphens/>
        <w:rPr>
          <w:color w:val="000000"/>
          <w:szCs w:val="22"/>
        </w:rPr>
      </w:pPr>
      <w:r w:rsidRPr="00263DB9">
        <w:rPr>
          <w:color w:val="000000"/>
          <w:szCs w:val="22"/>
        </w:rPr>
        <w:t xml:space="preserve">O imatinib é um inibidor da proteína tirosinacinase que inibe potentemente a tirosinacinase Bcr-Abl aos níveis </w:t>
      </w:r>
      <w:r w:rsidRPr="00263DB9">
        <w:rPr>
          <w:i/>
          <w:color w:val="000000"/>
          <w:szCs w:val="22"/>
        </w:rPr>
        <w:t>in vitro</w:t>
      </w:r>
      <w:r w:rsidRPr="00263DB9">
        <w:rPr>
          <w:color w:val="000000"/>
          <w:szCs w:val="22"/>
        </w:rPr>
        <w:t xml:space="preserve">, celular e </w:t>
      </w:r>
      <w:r w:rsidRPr="00263DB9">
        <w:rPr>
          <w:i/>
          <w:color w:val="000000"/>
          <w:szCs w:val="22"/>
        </w:rPr>
        <w:t>in vivo</w:t>
      </w:r>
      <w:r w:rsidRPr="00263DB9">
        <w:rPr>
          <w:color w:val="000000"/>
          <w:szCs w:val="22"/>
        </w:rPr>
        <w:t>. O composto inibe selectivamente a proliferação e induz a apoptose nas linhagens celulares bcr-abl positivas bem como em células leucémicas frescas de doentes com LMC positiva para o cromossoma Filadélfia e leucemia linfoblástica aguda (LLA).</w:t>
      </w:r>
    </w:p>
    <w:p w14:paraId="375EB12A" w14:textId="77777777" w:rsidR="00906898" w:rsidRPr="00263DB9" w:rsidRDefault="00906898" w:rsidP="00E51817">
      <w:pPr>
        <w:widowControl w:val="0"/>
        <w:suppressAutoHyphens/>
        <w:rPr>
          <w:color w:val="000000"/>
          <w:szCs w:val="22"/>
        </w:rPr>
      </w:pPr>
    </w:p>
    <w:p w14:paraId="375EB12B" w14:textId="77777777" w:rsidR="00906898" w:rsidRPr="00263DB9" w:rsidRDefault="00906898" w:rsidP="00E51817">
      <w:pPr>
        <w:widowControl w:val="0"/>
        <w:suppressAutoHyphens/>
        <w:rPr>
          <w:color w:val="000000"/>
          <w:szCs w:val="22"/>
        </w:rPr>
      </w:pPr>
      <w:r w:rsidRPr="00263DB9">
        <w:rPr>
          <w:i/>
          <w:color w:val="000000"/>
          <w:szCs w:val="22"/>
        </w:rPr>
        <w:t>In vivo</w:t>
      </w:r>
      <w:r w:rsidRPr="00263DB9">
        <w:rPr>
          <w:color w:val="000000"/>
          <w:szCs w:val="22"/>
        </w:rPr>
        <w:t>, o composto mostra atividade anti-tumoral como um agente único em modelos animais usando células tumorais bcr-abl positivas.</w:t>
      </w:r>
    </w:p>
    <w:p w14:paraId="375EB12C" w14:textId="77777777" w:rsidR="00906898" w:rsidRPr="00263DB9" w:rsidRDefault="00906898" w:rsidP="00E51817">
      <w:pPr>
        <w:widowControl w:val="0"/>
        <w:suppressAutoHyphens/>
        <w:rPr>
          <w:color w:val="000000"/>
          <w:szCs w:val="22"/>
        </w:rPr>
      </w:pPr>
    </w:p>
    <w:p w14:paraId="375EB12D" w14:textId="77777777" w:rsidR="00906898" w:rsidRPr="00263DB9" w:rsidRDefault="00906898" w:rsidP="00E51817">
      <w:pPr>
        <w:widowControl w:val="0"/>
        <w:suppressAutoHyphens/>
        <w:rPr>
          <w:color w:val="000000"/>
          <w:szCs w:val="22"/>
        </w:rPr>
      </w:pPr>
      <w:r w:rsidRPr="00263DB9">
        <w:rPr>
          <w:color w:val="000000"/>
          <w:szCs w:val="22"/>
        </w:rPr>
        <w:t xml:space="preserve">O imatinib é também um inibidor dos recetores da tirosinacinase para o fator de crescimento derivado das plaquetas (PDGF), PDGF-R, e fator das células germinativas (SCF), c-Kit, e inibe os efeitos celulares mediados pelos PDGF e SCF. </w:t>
      </w:r>
      <w:r w:rsidRPr="00263DB9">
        <w:rPr>
          <w:i/>
          <w:color w:val="000000"/>
          <w:szCs w:val="22"/>
        </w:rPr>
        <w:t>In vitro</w:t>
      </w:r>
      <w:r w:rsidRPr="00263DB9">
        <w:rPr>
          <w:color w:val="000000"/>
          <w:szCs w:val="22"/>
        </w:rPr>
        <w:t>, o imatinib inibe a proliferação e induz a apoptose nas células dos tumores do estroma gastrintestinal (GIST), as quais exprimem uma mutação ativadora do Kit. A ativação constitutiva do recetor de PDGF ou das proteínas tirosina cinase Abl como consequência da fusão de diversas proteinas conjugadas ou da produção constitutiva de PDGF tem sido implicadas na patogénese de MDS/MPD, síndrome hipereosinofílica avançada/leucemia eosinofílica crónica e DFSP. O imatinib inibe a sinalização e a proliferação de células desencadeada pela desregulação do PDGFR e da atividade da cinase Abl.</w:t>
      </w:r>
    </w:p>
    <w:p w14:paraId="375EB12E" w14:textId="77777777" w:rsidR="00906898" w:rsidRPr="00263DB9" w:rsidRDefault="00906898" w:rsidP="00E51817">
      <w:pPr>
        <w:widowControl w:val="0"/>
        <w:suppressAutoHyphens/>
        <w:rPr>
          <w:color w:val="000000"/>
          <w:szCs w:val="22"/>
        </w:rPr>
      </w:pPr>
    </w:p>
    <w:p w14:paraId="375EB12F" w14:textId="77777777" w:rsidR="00906898" w:rsidRPr="00263DB9" w:rsidRDefault="00906898" w:rsidP="003970DC">
      <w:pPr>
        <w:keepNext/>
        <w:widowControl w:val="0"/>
        <w:suppressAutoHyphens/>
        <w:rPr>
          <w:color w:val="000000"/>
          <w:szCs w:val="22"/>
        </w:rPr>
      </w:pPr>
      <w:r w:rsidRPr="00263DB9">
        <w:rPr>
          <w:color w:val="000000"/>
          <w:szCs w:val="22"/>
          <w:u w:val="single"/>
        </w:rPr>
        <w:t>Estudos clínicos na leucemia mieloide crónica</w:t>
      </w:r>
    </w:p>
    <w:p w14:paraId="375EB130" w14:textId="77777777" w:rsidR="00906898" w:rsidRPr="00263DB9" w:rsidRDefault="00906898" w:rsidP="00E51817">
      <w:pPr>
        <w:widowControl w:val="0"/>
        <w:suppressAutoHyphens/>
        <w:rPr>
          <w:color w:val="000000"/>
          <w:szCs w:val="22"/>
        </w:rPr>
      </w:pPr>
      <w:r w:rsidRPr="00263DB9">
        <w:rPr>
          <w:color w:val="000000"/>
          <w:szCs w:val="22"/>
        </w:rPr>
        <w:t xml:space="preserve">A eficácia de Glivec baseia-se em taxas de resposta hematológica e citogenética globais e na </w:t>
      </w:r>
      <w:r w:rsidR="00600EF5" w:rsidRPr="00263DB9">
        <w:rPr>
          <w:color w:val="000000"/>
          <w:szCs w:val="22"/>
        </w:rPr>
        <w:t xml:space="preserve">sobrevivência </w:t>
      </w:r>
      <w:r w:rsidRPr="00263DB9">
        <w:rPr>
          <w:color w:val="000000"/>
          <w:szCs w:val="22"/>
        </w:rPr>
        <w:t xml:space="preserve">sem progressão da doença. Exceto na LMC em fase crónica diagnosticada de novo, não há ensaios clínicos controlados demonstrativos de benefício clínico, tal como melhoria nos sintomas relacionados com a doença ou aumento da </w:t>
      </w:r>
      <w:r w:rsidR="00600EF5" w:rsidRPr="00263DB9">
        <w:rPr>
          <w:color w:val="000000"/>
          <w:szCs w:val="22"/>
        </w:rPr>
        <w:t>sobrevivência</w:t>
      </w:r>
      <w:r w:rsidRPr="00263DB9">
        <w:rPr>
          <w:color w:val="000000"/>
          <w:szCs w:val="22"/>
        </w:rPr>
        <w:t>.</w:t>
      </w:r>
    </w:p>
    <w:p w14:paraId="375EB131" w14:textId="77777777" w:rsidR="00906898" w:rsidRPr="00263DB9" w:rsidRDefault="00906898" w:rsidP="00E51817">
      <w:pPr>
        <w:widowControl w:val="0"/>
        <w:suppressAutoHyphens/>
        <w:rPr>
          <w:color w:val="000000"/>
          <w:szCs w:val="22"/>
        </w:rPr>
      </w:pPr>
    </w:p>
    <w:p w14:paraId="375EB132" w14:textId="77777777" w:rsidR="00906898" w:rsidRPr="00263DB9" w:rsidRDefault="00906898" w:rsidP="00E51817">
      <w:pPr>
        <w:widowControl w:val="0"/>
        <w:suppressAutoHyphens/>
        <w:rPr>
          <w:color w:val="000000"/>
          <w:szCs w:val="22"/>
        </w:rPr>
      </w:pPr>
      <w:r w:rsidRPr="00263DB9">
        <w:rPr>
          <w:color w:val="000000"/>
          <w:szCs w:val="22"/>
        </w:rPr>
        <w:t>Foram realizados três grandes estudos internacionais, abertos, não controlados, de fase II em doentes com LMC positiva para o cromossoma Filadélfia (Ph+) na doença avançada, blástica ou em fase acelerada, outras leucemias Ph+ ou com LMC em fase crónica mas com insucesso com a terapêutica anterior com alfa-interferão (IFN). Em doentes diagnosticados de novo com LMC Ph+, foi realizado um grande estudo multicêntrico de fase III, internacional, aleatorizado e aberto. Além disso, foram tratadas crianças em dois ensaios de fase I e uma num ensaio de fase II.</w:t>
      </w:r>
    </w:p>
    <w:p w14:paraId="375EB133" w14:textId="77777777" w:rsidR="00906898" w:rsidRPr="00263DB9" w:rsidRDefault="00906898" w:rsidP="00E51817">
      <w:pPr>
        <w:widowControl w:val="0"/>
        <w:suppressAutoHyphens/>
        <w:rPr>
          <w:color w:val="000000"/>
          <w:szCs w:val="22"/>
        </w:rPr>
      </w:pPr>
    </w:p>
    <w:p w14:paraId="375EB134" w14:textId="77777777" w:rsidR="00906898" w:rsidRPr="00263DB9" w:rsidRDefault="00906898" w:rsidP="00E51817">
      <w:pPr>
        <w:widowControl w:val="0"/>
        <w:suppressAutoHyphens/>
        <w:rPr>
          <w:color w:val="000000"/>
          <w:szCs w:val="22"/>
        </w:rPr>
      </w:pPr>
      <w:r w:rsidRPr="00263DB9">
        <w:rPr>
          <w:color w:val="000000"/>
          <w:szCs w:val="22"/>
        </w:rPr>
        <w:t xml:space="preserve">Em todos os estudos clínicos, 38–40% dos doentes tinham </w:t>
      </w:r>
      <w:r w:rsidRPr="00263DB9">
        <w:rPr>
          <w:color w:val="000000"/>
          <w:szCs w:val="22"/>
        </w:rPr>
        <w:sym w:font="Symbol" w:char="F0B3"/>
      </w:r>
      <w:r w:rsidRPr="00263DB9">
        <w:rPr>
          <w:color w:val="000000"/>
          <w:szCs w:val="22"/>
        </w:rPr>
        <w:t xml:space="preserve"> 60 anos de idade e 10–12% dos doentes </w:t>
      </w:r>
      <w:r w:rsidRPr="00263DB9">
        <w:rPr>
          <w:color w:val="000000"/>
          <w:szCs w:val="22"/>
        </w:rPr>
        <w:lastRenderedPageBreak/>
        <w:t xml:space="preserve">tinham </w:t>
      </w:r>
      <w:r w:rsidRPr="00263DB9">
        <w:rPr>
          <w:color w:val="000000"/>
          <w:szCs w:val="22"/>
        </w:rPr>
        <w:sym w:font="Symbol" w:char="F0B3"/>
      </w:r>
      <w:r w:rsidRPr="00263DB9">
        <w:rPr>
          <w:color w:val="000000"/>
          <w:szCs w:val="22"/>
        </w:rPr>
        <w:t> 70 anos de idade.</w:t>
      </w:r>
    </w:p>
    <w:p w14:paraId="375EB135" w14:textId="77777777" w:rsidR="00906898" w:rsidRPr="00263DB9" w:rsidRDefault="00906898" w:rsidP="00E51817">
      <w:pPr>
        <w:widowControl w:val="0"/>
        <w:suppressAutoHyphens/>
        <w:rPr>
          <w:color w:val="000000"/>
          <w:szCs w:val="22"/>
        </w:rPr>
      </w:pPr>
    </w:p>
    <w:p w14:paraId="375EB136" w14:textId="77777777" w:rsidR="00906898" w:rsidRPr="00263DB9" w:rsidRDefault="00906898" w:rsidP="00E51817">
      <w:pPr>
        <w:widowControl w:val="0"/>
        <w:suppressAutoHyphens/>
        <w:rPr>
          <w:color w:val="000000"/>
          <w:szCs w:val="22"/>
        </w:rPr>
      </w:pPr>
      <w:r w:rsidRPr="00263DB9">
        <w:rPr>
          <w:i/>
          <w:color w:val="000000"/>
          <w:szCs w:val="22"/>
        </w:rPr>
        <w:t>Fase crónica, doentes tratados de novo</w:t>
      </w:r>
      <w:r w:rsidRPr="00263DB9">
        <w:rPr>
          <w:color w:val="000000"/>
          <w:szCs w:val="22"/>
        </w:rPr>
        <w:t xml:space="preserve">: neste estudo de fase III em doentes adultos comparou-se o tratamento com Glivec em monoterapia </w:t>
      </w:r>
      <w:r w:rsidRPr="00263DB9">
        <w:rPr>
          <w:i/>
          <w:color w:val="000000"/>
          <w:szCs w:val="22"/>
        </w:rPr>
        <w:t>versus</w:t>
      </w:r>
      <w:r w:rsidRPr="00263DB9">
        <w:rPr>
          <w:color w:val="000000"/>
          <w:szCs w:val="22"/>
        </w:rPr>
        <w:t xml:space="preserve"> a associação com interferão-alfa (IFN) e citarabina (Ara-C). Os doentes que não responderam ao tratamento (ausência de resposta hematológica completa (CHR) aos 6 meses, aumento do número de leucócitos, ausência de resposta citogenética </w:t>
      </w:r>
      <w:r w:rsidRPr="00263DB9">
        <w:rPr>
          <w:i/>
          <w:iCs/>
          <w:color w:val="000000"/>
          <w:szCs w:val="22"/>
        </w:rPr>
        <w:t>major</w:t>
      </w:r>
      <w:r w:rsidRPr="00263DB9">
        <w:rPr>
          <w:color w:val="000000"/>
          <w:szCs w:val="22"/>
        </w:rPr>
        <w:t xml:space="preserve"> (MCyR) aos 24 meses), que tiveram perda de resposta (perda de CHR ou MCyR) ou intolerância grave ao tratamento foram autorizados a mudar para o braço de tratamento alternativo. No braço de tratameneto com Glivec, os doentes foram tratados com 400 mg por dia. No braço tratado com IFN, os doentes foram tratados com uma dose alvo de IFN de 5 MUI/m</w:t>
      </w:r>
      <w:r w:rsidRPr="00263DB9">
        <w:rPr>
          <w:color w:val="000000"/>
          <w:szCs w:val="22"/>
          <w:vertAlign w:val="superscript"/>
        </w:rPr>
        <w:t>2</w:t>
      </w:r>
      <w:r w:rsidRPr="00263DB9">
        <w:rPr>
          <w:color w:val="000000"/>
          <w:szCs w:val="22"/>
        </w:rPr>
        <w:t>/dia, por via subcutânea, em associação com Ara-C, 20 mg/m</w:t>
      </w:r>
      <w:r w:rsidRPr="00263DB9">
        <w:rPr>
          <w:color w:val="000000"/>
          <w:szCs w:val="22"/>
          <w:vertAlign w:val="superscript"/>
        </w:rPr>
        <w:t>2</w:t>
      </w:r>
      <w:r w:rsidRPr="00263DB9">
        <w:rPr>
          <w:color w:val="000000"/>
          <w:szCs w:val="22"/>
        </w:rPr>
        <w:t>/dia durante 10 dias por mês.</w:t>
      </w:r>
    </w:p>
    <w:p w14:paraId="375EB137" w14:textId="77777777" w:rsidR="00906898" w:rsidRPr="00263DB9" w:rsidRDefault="00906898" w:rsidP="00E51817">
      <w:pPr>
        <w:widowControl w:val="0"/>
        <w:suppressAutoHyphens/>
        <w:rPr>
          <w:color w:val="000000"/>
          <w:szCs w:val="22"/>
        </w:rPr>
      </w:pPr>
    </w:p>
    <w:p w14:paraId="375EB138" w14:textId="77777777" w:rsidR="00906898" w:rsidRPr="00263DB9" w:rsidRDefault="00906898" w:rsidP="00E51817">
      <w:pPr>
        <w:widowControl w:val="0"/>
        <w:suppressAutoHyphens/>
        <w:rPr>
          <w:color w:val="000000"/>
          <w:szCs w:val="22"/>
        </w:rPr>
      </w:pPr>
      <w:r w:rsidRPr="00263DB9">
        <w:rPr>
          <w:color w:val="000000"/>
          <w:szCs w:val="22"/>
        </w:rPr>
        <w:t xml:space="preserve">Um total de 1.106 doentes foram aleatorizados, sendo incluídos 553 em cada braço. As características basais eram similares nos dois braços. A idade mediana era 51 anos (variação de 18–70 anos), sendo que 21,9% dos doentes tinham idade superior ou igual a 60 anos. Quanto ao sexo, 59% eram do sexo masculino e 41% feminino; 89,9% caucasianos e 4,7% de raça negra. Sete anos após o recrutamento do último doente, a mediana da duração do tratamento em primeira linha foi de 82 e 8 meses nos braços Glivec e IFN, respetivamente. A mediana da duração do tratamento em segunda linha com Glivec foi de 64 meses. Globalmente, nos doentes tratados com Glivec em primeira linha, a dose diária média administrada foi 406 ± 76 mg. O principal </w:t>
      </w:r>
      <w:r w:rsidR="00600EF5" w:rsidRPr="00263DB9">
        <w:rPr>
          <w:color w:val="000000"/>
          <w:szCs w:val="22"/>
        </w:rPr>
        <w:t>objetivo</w:t>
      </w:r>
      <w:r w:rsidRPr="00263DB9">
        <w:rPr>
          <w:color w:val="000000"/>
          <w:szCs w:val="22"/>
        </w:rPr>
        <w:t xml:space="preserve"> de eficácia deste estudo é a </w:t>
      </w:r>
      <w:r w:rsidR="00600EF5" w:rsidRPr="00263DB9">
        <w:rPr>
          <w:color w:val="000000"/>
          <w:szCs w:val="22"/>
        </w:rPr>
        <w:t xml:space="preserve">sobrevivência </w:t>
      </w:r>
      <w:r w:rsidRPr="00263DB9">
        <w:rPr>
          <w:color w:val="000000"/>
          <w:szCs w:val="22"/>
        </w:rPr>
        <w:t xml:space="preserve">sem progressão da doença. Progressão foi definida como qualquer das seguintes ocorrências: progressão para fase acelerada ou crise blástica, morte, perda de CHR ou MCyR, ou, em doentes sem CHR, aumento do número de leucócitos independente de controlo terapêutico adequado. Os principais </w:t>
      </w:r>
      <w:r w:rsidR="00600EF5" w:rsidRPr="00263DB9">
        <w:rPr>
          <w:color w:val="000000"/>
          <w:szCs w:val="22"/>
        </w:rPr>
        <w:t xml:space="preserve">objetivos </w:t>
      </w:r>
      <w:r w:rsidRPr="00263DB9">
        <w:rPr>
          <w:color w:val="000000"/>
          <w:szCs w:val="22"/>
        </w:rPr>
        <w:t xml:space="preserve">secundários são a resposta citogenética </w:t>
      </w:r>
      <w:r w:rsidRPr="00263DB9">
        <w:rPr>
          <w:i/>
          <w:iCs/>
          <w:color w:val="000000"/>
          <w:szCs w:val="22"/>
        </w:rPr>
        <w:t>major</w:t>
      </w:r>
      <w:r w:rsidRPr="00263DB9">
        <w:rPr>
          <w:color w:val="000000"/>
          <w:szCs w:val="22"/>
        </w:rPr>
        <w:t xml:space="preserve">, resposta hematológica, resposta molecular (avaliação de doença mínima residual), tempo para progressão para fase acelerada ou crise blástica e </w:t>
      </w:r>
      <w:r w:rsidR="00600EF5" w:rsidRPr="00263DB9">
        <w:rPr>
          <w:color w:val="000000"/>
          <w:szCs w:val="22"/>
        </w:rPr>
        <w:t>sobrevivência</w:t>
      </w:r>
      <w:r w:rsidRPr="00263DB9">
        <w:rPr>
          <w:color w:val="000000"/>
          <w:szCs w:val="22"/>
        </w:rPr>
        <w:t>. Na Tabela </w:t>
      </w:r>
      <w:r w:rsidR="00094C01" w:rsidRPr="00263DB9">
        <w:rPr>
          <w:color w:val="000000"/>
          <w:szCs w:val="22"/>
        </w:rPr>
        <w:t>2</w:t>
      </w:r>
      <w:r w:rsidRPr="00263DB9">
        <w:rPr>
          <w:color w:val="000000"/>
          <w:szCs w:val="22"/>
        </w:rPr>
        <w:t xml:space="preserve"> mostram-se os resultados obtidos.</w:t>
      </w:r>
    </w:p>
    <w:p w14:paraId="375EB139" w14:textId="77777777" w:rsidR="00906898" w:rsidRPr="00263DB9" w:rsidRDefault="00906898" w:rsidP="00E51817">
      <w:pPr>
        <w:pStyle w:val="EndnoteText"/>
        <w:rPr>
          <w:color w:val="000000"/>
          <w:szCs w:val="22"/>
        </w:rPr>
      </w:pPr>
    </w:p>
    <w:p w14:paraId="375EB13A" w14:textId="77777777" w:rsidR="00906898" w:rsidRPr="00263DB9" w:rsidRDefault="00906898" w:rsidP="003970DC">
      <w:pPr>
        <w:pStyle w:val="EndnoteText"/>
        <w:keepNext/>
        <w:keepLines/>
        <w:tabs>
          <w:tab w:val="clear" w:pos="567"/>
          <w:tab w:val="left" w:pos="1134"/>
        </w:tabs>
        <w:rPr>
          <w:b/>
          <w:color w:val="000000"/>
          <w:szCs w:val="22"/>
        </w:rPr>
      </w:pPr>
      <w:r w:rsidRPr="00263DB9">
        <w:rPr>
          <w:b/>
          <w:color w:val="000000"/>
          <w:szCs w:val="22"/>
        </w:rPr>
        <w:t>Tabela </w:t>
      </w:r>
      <w:r w:rsidR="00094C01" w:rsidRPr="00263DB9">
        <w:rPr>
          <w:b/>
          <w:color w:val="000000"/>
          <w:szCs w:val="22"/>
        </w:rPr>
        <w:t>2</w:t>
      </w:r>
      <w:r w:rsidRPr="00263DB9">
        <w:rPr>
          <w:b/>
          <w:color w:val="000000"/>
          <w:szCs w:val="22"/>
        </w:rPr>
        <w:tab/>
        <w:t>Resposta no estudo em LMC diagnosticada de novo (dados de 84 meses)</w:t>
      </w:r>
    </w:p>
    <w:p w14:paraId="375EB13B" w14:textId="77777777" w:rsidR="00906898" w:rsidRPr="00263DB9" w:rsidRDefault="00906898" w:rsidP="003970DC">
      <w:pPr>
        <w:pStyle w:val="EndnoteText"/>
        <w:keepNext/>
        <w:keepLines/>
        <w:rPr>
          <w:color w:val="000000"/>
          <w:szCs w:val="22"/>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906898" w:rsidRPr="00263DB9" w14:paraId="375EB13F" w14:textId="77777777" w:rsidTr="003970DC">
        <w:trPr>
          <w:cantSplit/>
        </w:trPr>
        <w:tc>
          <w:tcPr>
            <w:tcW w:w="3794" w:type="dxa"/>
            <w:tcBorders>
              <w:top w:val="single" w:sz="4" w:space="0" w:color="auto"/>
              <w:left w:val="single" w:sz="4" w:space="0" w:color="auto"/>
              <w:bottom w:val="nil"/>
            </w:tcBorders>
          </w:tcPr>
          <w:p w14:paraId="375EB13C" w14:textId="77777777" w:rsidR="00906898" w:rsidRPr="00263DB9" w:rsidRDefault="00906898" w:rsidP="003970DC">
            <w:pPr>
              <w:pStyle w:val="Table"/>
              <w:widowControl w:val="0"/>
              <w:spacing w:before="0" w:after="0"/>
              <w:rPr>
                <w:rFonts w:ascii="Times New Roman" w:hAnsi="Times New Roman"/>
                <w:color w:val="000000"/>
                <w:szCs w:val="22"/>
                <w:lang w:val="pt-PT"/>
              </w:rPr>
            </w:pPr>
          </w:p>
        </w:tc>
        <w:tc>
          <w:tcPr>
            <w:tcW w:w="2693" w:type="dxa"/>
            <w:tcBorders>
              <w:top w:val="single" w:sz="4" w:space="0" w:color="auto"/>
              <w:bottom w:val="nil"/>
            </w:tcBorders>
          </w:tcPr>
          <w:p w14:paraId="375EB13D" w14:textId="77777777" w:rsidR="00906898" w:rsidRPr="00263DB9" w:rsidRDefault="00906898" w:rsidP="003970DC">
            <w:pPr>
              <w:pStyle w:val="Table"/>
              <w:widowControl w:val="0"/>
              <w:spacing w:before="0" w:after="0"/>
              <w:jc w:val="center"/>
              <w:rPr>
                <w:rFonts w:ascii="Times New Roman" w:hAnsi="Times New Roman"/>
                <w:b/>
                <w:color w:val="000000"/>
                <w:szCs w:val="22"/>
              </w:rPr>
            </w:pPr>
            <w:r w:rsidRPr="00263DB9">
              <w:rPr>
                <w:rFonts w:ascii="Times New Roman" w:hAnsi="Times New Roman"/>
                <w:b/>
                <w:color w:val="000000"/>
                <w:szCs w:val="22"/>
              </w:rPr>
              <w:t>Glivec</w:t>
            </w:r>
          </w:p>
        </w:tc>
        <w:tc>
          <w:tcPr>
            <w:tcW w:w="2718" w:type="dxa"/>
            <w:tcBorders>
              <w:top w:val="single" w:sz="4" w:space="0" w:color="auto"/>
              <w:bottom w:val="nil"/>
              <w:right w:val="single" w:sz="4" w:space="0" w:color="auto"/>
            </w:tcBorders>
          </w:tcPr>
          <w:p w14:paraId="375EB13E" w14:textId="77777777" w:rsidR="00906898" w:rsidRPr="00263DB9" w:rsidRDefault="00906898" w:rsidP="003970DC">
            <w:pPr>
              <w:pStyle w:val="Table"/>
              <w:widowControl w:val="0"/>
              <w:spacing w:before="0" w:after="0"/>
              <w:jc w:val="center"/>
              <w:rPr>
                <w:rFonts w:ascii="Times New Roman" w:hAnsi="Times New Roman"/>
                <w:b/>
                <w:color w:val="000000"/>
                <w:szCs w:val="22"/>
              </w:rPr>
            </w:pPr>
            <w:r w:rsidRPr="00263DB9">
              <w:rPr>
                <w:rFonts w:ascii="Times New Roman" w:hAnsi="Times New Roman"/>
                <w:b/>
                <w:color w:val="000000"/>
                <w:szCs w:val="22"/>
              </w:rPr>
              <w:t>IFN+Ara-C</w:t>
            </w:r>
          </w:p>
        </w:tc>
      </w:tr>
      <w:tr w:rsidR="00906898" w:rsidRPr="00263DB9" w14:paraId="375EB143" w14:textId="77777777" w:rsidTr="003970DC">
        <w:trPr>
          <w:cantSplit/>
        </w:trPr>
        <w:tc>
          <w:tcPr>
            <w:tcW w:w="3794" w:type="dxa"/>
            <w:tcBorders>
              <w:top w:val="nil"/>
              <w:left w:val="single" w:sz="4" w:space="0" w:color="auto"/>
              <w:bottom w:val="single" w:sz="4" w:space="0" w:color="auto"/>
            </w:tcBorders>
          </w:tcPr>
          <w:p w14:paraId="375EB140" w14:textId="77777777" w:rsidR="00906898" w:rsidRPr="00263DB9" w:rsidRDefault="00906898" w:rsidP="003970DC">
            <w:pPr>
              <w:pStyle w:val="Table"/>
              <w:widowControl w:val="0"/>
              <w:spacing w:before="0" w:after="0"/>
              <w:rPr>
                <w:rFonts w:ascii="Times New Roman" w:hAnsi="Times New Roman"/>
                <w:b/>
                <w:color w:val="000000"/>
                <w:szCs w:val="22"/>
              </w:rPr>
            </w:pPr>
            <w:r w:rsidRPr="00263DB9">
              <w:rPr>
                <w:rFonts w:ascii="Times New Roman" w:hAnsi="Times New Roman"/>
                <w:b/>
                <w:color w:val="000000"/>
                <w:szCs w:val="22"/>
              </w:rPr>
              <w:t>(Taxas de melhor resposta)</w:t>
            </w:r>
          </w:p>
        </w:tc>
        <w:tc>
          <w:tcPr>
            <w:tcW w:w="2693" w:type="dxa"/>
            <w:tcBorders>
              <w:top w:val="nil"/>
              <w:bottom w:val="single" w:sz="4" w:space="0" w:color="auto"/>
            </w:tcBorders>
          </w:tcPr>
          <w:p w14:paraId="375EB141"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rPr>
              <w:t>n=553</w:t>
            </w:r>
          </w:p>
        </w:tc>
        <w:tc>
          <w:tcPr>
            <w:tcW w:w="2718" w:type="dxa"/>
            <w:tcBorders>
              <w:top w:val="nil"/>
              <w:bottom w:val="single" w:sz="4" w:space="0" w:color="auto"/>
              <w:right w:val="single" w:sz="4" w:space="0" w:color="auto"/>
            </w:tcBorders>
          </w:tcPr>
          <w:p w14:paraId="375EB142"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rPr>
              <w:t>n=553</w:t>
            </w:r>
          </w:p>
        </w:tc>
      </w:tr>
      <w:tr w:rsidR="00906898" w:rsidRPr="00263DB9" w14:paraId="375EB147" w14:textId="77777777" w:rsidTr="003970DC">
        <w:trPr>
          <w:cantSplit/>
        </w:trPr>
        <w:tc>
          <w:tcPr>
            <w:tcW w:w="3794" w:type="dxa"/>
            <w:tcBorders>
              <w:top w:val="nil"/>
              <w:left w:val="single" w:sz="4" w:space="0" w:color="auto"/>
            </w:tcBorders>
          </w:tcPr>
          <w:p w14:paraId="375EB144" w14:textId="77777777" w:rsidR="00906898" w:rsidRPr="00263DB9" w:rsidRDefault="00906898" w:rsidP="003970DC">
            <w:pPr>
              <w:pStyle w:val="Table"/>
              <w:widowControl w:val="0"/>
              <w:spacing w:before="0" w:after="0"/>
              <w:rPr>
                <w:rFonts w:ascii="Times New Roman" w:hAnsi="Times New Roman"/>
                <w:b/>
                <w:color w:val="000000"/>
                <w:szCs w:val="22"/>
              </w:rPr>
            </w:pPr>
            <w:r w:rsidRPr="00263DB9">
              <w:rPr>
                <w:rFonts w:ascii="Times New Roman" w:hAnsi="Times New Roman"/>
                <w:b/>
                <w:color w:val="000000"/>
                <w:szCs w:val="22"/>
              </w:rPr>
              <w:t>Resposta hematológica</w:t>
            </w:r>
          </w:p>
        </w:tc>
        <w:tc>
          <w:tcPr>
            <w:tcW w:w="2693" w:type="dxa"/>
            <w:tcBorders>
              <w:top w:val="nil"/>
            </w:tcBorders>
          </w:tcPr>
          <w:p w14:paraId="375EB145" w14:textId="77777777" w:rsidR="00906898" w:rsidRPr="00263DB9" w:rsidRDefault="00906898" w:rsidP="003970DC">
            <w:pPr>
              <w:pStyle w:val="Table"/>
              <w:widowControl w:val="0"/>
              <w:spacing w:before="0" w:after="0"/>
              <w:jc w:val="center"/>
              <w:rPr>
                <w:rFonts w:ascii="Times New Roman" w:hAnsi="Times New Roman"/>
                <w:b/>
                <w:color w:val="000000"/>
                <w:szCs w:val="22"/>
              </w:rPr>
            </w:pPr>
          </w:p>
        </w:tc>
        <w:tc>
          <w:tcPr>
            <w:tcW w:w="2718" w:type="dxa"/>
            <w:tcBorders>
              <w:top w:val="nil"/>
              <w:right w:val="single" w:sz="4" w:space="0" w:color="auto"/>
            </w:tcBorders>
          </w:tcPr>
          <w:p w14:paraId="375EB146" w14:textId="77777777" w:rsidR="00906898" w:rsidRPr="00263DB9" w:rsidRDefault="00906898" w:rsidP="003970DC">
            <w:pPr>
              <w:pStyle w:val="Table"/>
              <w:widowControl w:val="0"/>
              <w:spacing w:before="0" w:after="0"/>
              <w:jc w:val="center"/>
              <w:rPr>
                <w:rFonts w:ascii="Times New Roman" w:hAnsi="Times New Roman"/>
                <w:b/>
                <w:color w:val="000000"/>
                <w:szCs w:val="22"/>
              </w:rPr>
            </w:pPr>
          </w:p>
        </w:tc>
      </w:tr>
      <w:tr w:rsidR="00906898" w:rsidRPr="00263DB9" w14:paraId="375EB14B" w14:textId="77777777" w:rsidTr="003970DC">
        <w:trPr>
          <w:cantSplit/>
        </w:trPr>
        <w:tc>
          <w:tcPr>
            <w:tcW w:w="3794" w:type="dxa"/>
            <w:tcBorders>
              <w:top w:val="nil"/>
              <w:left w:val="single" w:sz="4" w:space="0" w:color="auto"/>
            </w:tcBorders>
          </w:tcPr>
          <w:p w14:paraId="375EB148" w14:textId="77777777" w:rsidR="00906898" w:rsidRPr="00263DB9" w:rsidRDefault="00906898" w:rsidP="003970DC">
            <w:pPr>
              <w:pStyle w:val="Table"/>
              <w:widowControl w:val="0"/>
              <w:spacing w:before="0" w:after="0"/>
              <w:rPr>
                <w:rFonts w:ascii="Times New Roman" w:hAnsi="Times New Roman"/>
                <w:color w:val="000000"/>
                <w:szCs w:val="22"/>
              </w:rPr>
            </w:pPr>
            <w:r w:rsidRPr="00263DB9">
              <w:rPr>
                <w:rFonts w:ascii="Times New Roman" w:hAnsi="Times New Roman"/>
                <w:color w:val="000000"/>
                <w:szCs w:val="22"/>
              </w:rPr>
              <w:t>Taxa de CHR n (%)</w:t>
            </w:r>
          </w:p>
        </w:tc>
        <w:tc>
          <w:tcPr>
            <w:tcW w:w="2693" w:type="dxa"/>
            <w:tcBorders>
              <w:top w:val="nil"/>
            </w:tcBorders>
          </w:tcPr>
          <w:p w14:paraId="375EB149"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534 (96,6</w:t>
            </w:r>
            <w:r w:rsidRPr="00263DB9">
              <w:rPr>
                <w:rFonts w:ascii="Times New Roman" w:hAnsi="Times New Roman"/>
                <w:color w:val="000000"/>
                <w:szCs w:val="22"/>
              </w:rPr>
              <w:t>%</w:t>
            </w:r>
            <w:r w:rsidRPr="00263DB9">
              <w:rPr>
                <w:rFonts w:ascii="Times New Roman" w:hAnsi="Times New Roman"/>
                <w:color w:val="000000"/>
                <w:szCs w:val="22"/>
                <w:lang w:val="en-GB"/>
              </w:rPr>
              <w:t>)*</w:t>
            </w:r>
          </w:p>
        </w:tc>
        <w:tc>
          <w:tcPr>
            <w:tcW w:w="2718" w:type="dxa"/>
            <w:tcBorders>
              <w:top w:val="nil"/>
              <w:right w:val="single" w:sz="4" w:space="0" w:color="auto"/>
            </w:tcBorders>
          </w:tcPr>
          <w:p w14:paraId="375EB14A"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313 (56,6</w:t>
            </w:r>
            <w:r w:rsidRPr="00263DB9">
              <w:rPr>
                <w:rFonts w:ascii="Times New Roman" w:hAnsi="Times New Roman"/>
                <w:color w:val="000000"/>
                <w:szCs w:val="22"/>
              </w:rPr>
              <w:t>%</w:t>
            </w:r>
            <w:r w:rsidRPr="00263DB9">
              <w:rPr>
                <w:rFonts w:ascii="Times New Roman" w:hAnsi="Times New Roman"/>
                <w:color w:val="000000"/>
                <w:szCs w:val="22"/>
                <w:lang w:val="en-GB"/>
              </w:rPr>
              <w:t>)*</w:t>
            </w:r>
          </w:p>
        </w:tc>
      </w:tr>
      <w:tr w:rsidR="00906898" w:rsidRPr="00263DB9" w14:paraId="375EB14F" w14:textId="77777777" w:rsidTr="003970DC">
        <w:trPr>
          <w:cantSplit/>
        </w:trPr>
        <w:tc>
          <w:tcPr>
            <w:tcW w:w="3794" w:type="dxa"/>
            <w:tcBorders>
              <w:left w:val="single" w:sz="4" w:space="0" w:color="auto"/>
            </w:tcBorders>
          </w:tcPr>
          <w:p w14:paraId="375EB14C" w14:textId="77777777" w:rsidR="00906898" w:rsidRPr="00263DB9" w:rsidRDefault="00906898" w:rsidP="003970DC">
            <w:pPr>
              <w:pStyle w:val="Table"/>
              <w:widowControl w:val="0"/>
              <w:spacing w:before="0" w:after="0"/>
              <w:rPr>
                <w:rFonts w:ascii="Times New Roman" w:hAnsi="Times New Roman"/>
                <w:color w:val="000000"/>
                <w:szCs w:val="22"/>
              </w:rPr>
            </w:pPr>
            <w:r w:rsidRPr="00263DB9">
              <w:rPr>
                <w:rFonts w:ascii="Times New Roman" w:hAnsi="Times New Roman"/>
                <w:color w:val="000000"/>
                <w:szCs w:val="22"/>
              </w:rPr>
              <w:tab/>
              <w:t>[95% IC]</w:t>
            </w:r>
          </w:p>
        </w:tc>
        <w:tc>
          <w:tcPr>
            <w:tcW w:w="2693" w:type="dxa"/>
          </w:tcPr>
          <w:p w14:paraId="375EB14D"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[94,7</w:t>
            </w:r>
            <w:r w:rsidRPr="00263DB9">
              <w:rPr>
                <w:rFonts w:ascii="Times New Roman" w:hAnsi="Times New Roman"/>
                <w:color w:val="000000"/>
                <w:szCs w:val="22"/>
              </w:rPr>
              <w:t>%</w:t>
            </w:r>
            <w:r w:rsidRPr="00263DB9">
              <w:rPr>
                <w:rFonts w:ascii="Times New Roman" w:hAnsi="Times New Roman"/>
                <w:color w:val="000000"/>
                <w:szCs w:val="22"/>
                <w:lang w:val="en-GB"/>
              </w:rPr>
              <w:t>; 97,9</w:t>
            </w:r>
            <w:r w:rsidRPr="00263DB9">
              <w:rPr>
                <w:rFonts w:ascii="Times New Roman" w:hAnsi="Times New Roman"/>
                <w:color w:val="000000"/>
                <w:szCs w:val="22"/>
              </w:rPr>
              <w:t>%</w:t>
            </w:r>
            <w:r w:rsidRPr="00263DB9">
              <w:rPr>
                <w:rFonts w:ascii="Times New Roman" w:hAnsi="Times New Roman"/>
                <w:color w:val="000000"/>
                <w:szCs w:val="22"/>
                <w:lang w:val="en-GB"/>
              </w:rPr>
              <w:t>]</w:t>
            </w:r>
          </w:p>
        </w:tc>
        <w:tc>
          <w:tcPr>
            <w:tcW w:w="2718" w:type="dxa"/>
            <w:tcBorders>
              <w:right w:val="single" w:sz="4" w:space="0" w:color="auto"/>
            </w:tcBorders>
          </w:tcPr>
          <w:p w14:paraId="375EB14E"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[52,4</w:t>
            </w:r>
            <w:r w:rsidRPr="00263DB9">
              <w:rPr>
                <w:rFonts w:ascii="Times New Roman" w:hAnsi="Times New Roman"/>
                <w:color w:val="000000"/>
                <w:szCs w:val="22"/>
              </w:rPr>
              <w:t>%</w:t>
            </w:r>
            <w:r w:rsidRPr="00263DB9">
              <w:rPr>
                <w:rFonts w:ascii="Times New Roman" w:hAnsi="Times New Roman"/>
                <w:color w:val="000000"/>
                <w:szCs w:val="22"/>
                <w:lang w:val="en-GB"/>
              </w:rPr>
              <w:t>; 60,8</w:t>
            </w:r>
            <w:r w:rsidRPr="00263DB9">
              <w:rPr>
                <w:rFonts w:ascii="Times New Roman" w:hAnsi="Times New Roman"/>
                <w:color w:val="000000"/>
                <w:szCs w:val="22"/>
              </w:rPr>
              <w:t>%</w:t>
            </w:r>
            <w:r w:rsidRPr="00263DB9">
              <w:rPr>
                <w:rFonts w:ascii="Times New Roman" w:hAnsi="Times New Roman"/>
                <w:color w:val="000000"/>
                <w:szCs w:val="22"/>
                <w:lang w:val="en-GB"/>
              </w:rPr>
              <w:t>]</w:t>
            </w:r>
          </w:p>
        </w:tc>
      </w:tr>
      <w:tr w:rsidR="00906898" w:rsidRPr="00263DB9" w14:paraId="375EB153" w14:textId="77777777" w:rsidTr="003970DC">
        <w:trPr>
          <w:cantSplit/>
        </w:trPr>
        <w:tc>
          <w:tcPr>
            <w:tcW w:w="3794" w:type="dxa"/>
            <w:tcBorders>
              <w:left w:val="single" w:sz="4" w:space="0" w:color="auto"/>
            </w:tcBorders>
          </w:tcPr>
          <w:p w14:paraId="375EB150" w14:textId="77777777" w:rsidR="00906898" w:rsidRPr="00263DB9" w:rsidRDefault="00906898" w:rsidP="003970DC">
            <w:pPr>
              <w:pStyle w:val="Table"/>
              <w:widowControl w:val="0"/>
              <w:spacing w:before="0" w:after="0"/>
              <w:rPr>
                <w:rFonts w:ascii="Times New Roman" w:hAnsi="Times New Roman"/>
                <w:color w:val="000000"/>
                <w:szCs w:val="22"/>
              </w:rPr>
            </w:pPr>
          </w:p>
        </w:tc>
        <w:tc>
          <w:tcPr>
            <w:tcW w:w="2693" w:type="dxa"/>
          </w:tcPr>
          <w:p w14:paraId="375EB151" w14:textId="77777777" w:rsidR="00906898" w:rsidRPr="00263DB9" w:rsidRDefault="00906898" w:rsidP="003970DC">
            <w:pPr>
              <w:pStyle w:val="Table"/>
              <w:widowControl w:val="0"/>
              <w:spacing w:before="0" w:after="0"/>
              <w:rPr>
                <w:rFonts w:ascii="Times New Roman" w:hAnsi="Times New Roman"/>
                <w:color w:val="000000"/>
                <w:szCs w:val="22"/>
              </w:rPr>
            </w:pPr>
          </w:p>
        </w:tc>
        <w:tc>
          <w:tcPr>
            <w:tcW w:w="2718" w:type="dxa"/>
            <w:tcBorders>
              <w:right w:val="single" w:sz="4" w:space="0" w:color="auto"/>
            </w:tcBorders>
          </w:tcPr>
          <w:p w14:paraId="375EB152" w14:textId="77777777" w:rsidR="00906898" w:rsidRPr="00263DB9" w:rsidRDefault="00906898" w:rsidP="003970DC">
            <w:pPr>
              <w:pStyle w:val="Table"/>
              <w:widowControl w:val="0"/>
              <w:spacing w:before="0" w:after="0"/>
              <w:rPr>
                <w:rFonts w:ascii="Times New Roman" w:hAnsi="Times New Roman"/>
                <w:color w:val="000000"/>
                <w:szCs w:val="22"/>
              </w:rPr>
            </w:pPr>
          </w:p>
        </w:tc>
      </w:tr>
      <w:tr w:rsidR="00906898" w:rsidRPr="00263DB9" w14:paraId="375EB157" w14:textId="77777777" w:rsidTr="003970DC">
        <w:trPr>
          <w:cantSplit/>
        </w:trPr>
        <w:tc>
          <w:tcPr>
            <w:tcW w:w="3794" w:type="dxa"/>
            <w:tcBorders>
              <w:left w:val="single" w:sz="4" w:space="0" w:color="auto"/>
            </w:tcBorders>
          </w:tcPr>
          <w:p w14:paraId="375EB154" w14:textId="77777777" w:rsidR="00906898" w:rsidRPr="00263DB9" w:rsidRDefault="00906898" w:rsidP="003970DC">
            <w:pPr>
              <w:pStyle w:val="Table"/>
              <w:widowControl w:val="0"/>
              <w:spacing w:before="0" w:after="0"/>
              <w:rPr>
                <w:rFonts w:ascii="Times New Roman" w:hAnsi="Times New Roman"/>
                <w:b/>
                <w:color w:val="000000"/>
                <w:szCs w:val="22"/>
              </w:rPr>
            </w:pPr>
            <w:r w:rsidRPr="00263DB9">
              <w:rPr>
                <w:rFonts w:ascii="Times New Roman" w:hAnsi="Times New Roman"/>
                <w:b/>
                <w:color w:val="000000"/>
                <w:szCs w:val="22"/>
              </w:rPr>
              <w:t>Resposta citogenética</w:t>
            </w:r>
          </w:p>
        </w:tc>
        <w:tc>
          <w:tcPr>
            <w:tcW w:w="2693" w:type="dxa"/>
          </w:tcPr>
          <w:p w14:paraId="375EB155" w14:textId="77777777" w:rsidR="00906898" w:rsidRPr="00263DB9" w:rsidRDefault="00906898" w:rsidP="003970DC">
            <w:pPr>
              <w:pStyle w:val="Table"/>
              <w:widowControl w:val="0"/>
              <w:spacing w:before="0" w:after="0"/>
              <w:rPr>
                <w:rFonts w:ascii="Times New Roman" w:hAnsi="Times New Roman"/>
                <w:b/>
                <w:color w:val="000000"/>
                <w:szCs w:val="22"/>
              </w:rPr>
            </w:pPr>
          </w:p>
        </w:tc>
        <w:tc>
          <w:tcPr>
            <w:tcW w:w="2718" w:type="dxa"/>
            <w:tcBorders>
              <w:right w:val="single" w:sz="4" w:space="0" w:color="auto"/>
            </w:tcBorders>
          </w:tcPr>
          <w:p w14:paraId="375EB156" w14:textId="77777777" w:rsidR="00906898" w:rsidRPr="00263DB9" w:rsidRDefault="00906898" w:rsidP="003970DC">
            <w:pPr>
              <w:pStyle w:val="Table"/>
              <w:widowControl w:val="0"/>
              <w:spacing w:before="0" w:after="0"/>
              <w:rPr>
                <w:rFonts w:ascii="Times New Roman" w:hAnsi="Times New Roman"/>
                <w:b/>
                <w:color w:val="000000"/>
                <w:szCs w:val="22"/>
              </w:rPr>
            </w:pPr>
          </w:p>
        </w:tc>
      </w:tr>
      <w:tr w:rsidR="00906898" w:rsidRPr="00263DB9" w14:paraId="375EB15B" w14:textId="77777777" w:rsidTr="003970DC">
        <w:trPr>
          <w:cantSplit/>
        </w:trPr>
        <w:tc>
          <w:tcPr>
            <w:tcW w:w="3794" w:type="dxa"/>
            <w:tcBorders>
              <w:left w:val="single" w:sz="4" w:space="0" w:color="auto"/>
            </w:tcBorders>
          </w:tcPr>
          <w:p w14:paraId="375EB158" w14:textId="77777777" w:rsidR="00906898" w:rsidRPr="00263DB9" w:rsidRDefault="00906898" w:rsidP="003970DC">
            <w:pPr>
              <w:pStyle w:val="Table"/>
              <w:widowControl w:val="0"/>
              <w:spacing w:before="0" w:after="0"/>
              <w:rPr>
                <w:rFonts w:ascii="Times New Roman" w:hAnsi="Times New Roman"/>
                <w:color w:val="000000"/>
                <w:szCs w:val="22"/>
              </w:rPr>
            </w:pPr>
            <w:r w:rsidRPr="00263DB9">
              <w:rPr>
                <w:rFonts w:ascii="Times New Roman" w:hAnsi="Times New Roman"/>
                <w:color w:val="000000"/>
                <w:szCs w:val="22"/>
              </w:rPr>
              <w:t xml:space="preserve">Resposta </w:t>
            </w:r>
            <w:r w:rsidRPr="00263DB9">
              <w:rPr>
                <w:rFonts w:ascii="Times New Roman" w:hAnsi="Times New Roman"/>
                <w:i/>
                <w:iCs/>
                <w:color w:val="000000"/>
                <w:szCs w:val="22"/>
              </w:rPr>
              <w:t>major</w:t>
            </w:r>
            <w:r w:rsidRPr="00263DB9">
              <w:rPr>
                <w:rFonts w:ascii="Times New Roman" w:hAnsi="Times New Roman"/>
                <w:color w:val="000000"/>
                <w:szCs w:val="22"/>
              </w:rPr>
              <w:t xml:space="preserve"> n (%)</w:t>
            </w:r>
          </w:p>
        </w:tc>
        <w:tc>
          <w:tcPr>
            <w:tcW w:w="2693" w:type="dxa"/>
          </w:tcPr>
          <w:p w14:paraId="375EB159"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490 (88,6</w:t>
            </w:r>
            <w:r w:rsidRPr="00263DB9">
              <w:rPr>
                <w:rFonts w:ascii="Times New Roman" w:hAnsi="Times New Roman"/>
                <w:color w:val="000000"/>
                <w:szCs w:val="22"/>
              </w:rPr>
              <w:t>%</w:t>
            </w:r>
            <w:r w:rsidRPr="00263DB9">
              <w:rPr>
                <w:rFonts w:ascii="Times New Roman" w:hAnsi="Times New Roman"/>
                <w:color w:val="000000"/>
                <w:szCs w:val="22"/>
                <w:lang w:val="en-GB"/>
              </w:rPr>
              <w:t>)*</w:t>
            </w:r>
          </w:p>
        </w:tc>
        <w:tc>
          <w:tcPr>
            <w:tcW w:w="2718" w:type="dxa"/>
            <w:tcBorders>
              <w:right w:val="single" w:sz="4" w:space="0" w:color="auto"/>
            </w:tcBorders>
          </w:tcPr>
          <w:p w14:paraId="375EB15A"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129 (23,3</w:t>
            </w:r>
            <w:r w:rsidRPr="00263DB9">
              <w:rPr>
                <w:rFonts w:ascii="Times New Roman" w:hAnsi="Times New Roman"/>
                <w:color w:val="000000"/>
                <w:szCs w:val="22"/>
              </w:rPr>
              <w:t>%</w:t>
            </w:r>
            <w:r w:rsidRPr="00263DB9">
              <w:rPr>
                <w:rFonts w:ascii="Times New Roman" w:hAnsi="Times New Roman"/>
                <w:color w:val="000000"/>
                <w:szCs w:val="22"/>
                <w:lang w:val="en-GB"/>
              </w:rPr>
              <w:t>)*</w:t>
            </w:r>
          </w:p>
        </w:tc>
      </w:tr>
      <w:tr w:rsidR="00906898" w:rsidRPr="00263DB9" w14:paraId="375EB15F" w14:textId="77777777" w:rsidTr="003970DC">
        <w:trPr>
          <w:cantSplit/>
        </w:trPr>
        <w:tc>
          <w:tcPr>
            <w:tcW w:w="3794" w:type="dxa"/>
            <w:tcBorders>
              <w:left w:val="single" w:sz="4" w:space="0" w:color="auto"/>
            </w:tcBorders>
          </w:tcPr>
          <w:p w14:paraId="375EB15C" w14:textId="77777777" w:rsidR="00906898" w:rsidRPr="00263DB9" w:rsidRDefault="00906898" w:rsidP="003970DC">
            <w:pPr>
              <w:pStyle w:val="Table"/>
              <w:widowControl w:val="0"/>
              <w:spacing w:before="0" w:after="0"/>
              <w:rPr>
                <w:rFonts w:ascii="Times New Roman" w:hAnsi="Times New Roman"/>
                <w:color w:val="000000"/>
                <w:szCs w:val="22"/>
              </w:rPr>
            </w:pPr>
            <w:r w:rsidRPr="00263DB9">
              <w:rPr>
                <w:rFonts w:ascii="Times New Roman" w:hAnsi="Times New Roman"/>
                <w:color w:val="000000"/>
                <w:szCs w:val="22"/>
              </w:rPr>
              <w:tab/>
              <w:t>[95% IC]</w:t>
            </w:r>
          </w:p>
        </w:tc>
        <w:tc>
          <w:tcPr>
            <w:tcW w:w="2693" w:type="dxa"/>
          </w:tcPr>
          <w:p w14:paraId="375EB15D"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[85,7</w:t>
            </w:r>
            <w:r w:rsidRPr="00263DB9">
              <w:rPr>
                <w:rFonts w:ascii="Times New Roman" w:hAnsi="Times New Roman"/>
                <w:color w:val="000000"/>
                <w:szCs w:val="22"/>
              </w:rPr>
              <w:t>%</w:t>
            </w:r>
            <w:r w:rsidRPr="00263DB9">
              <w:rPr>
                <w:rFonts w:ascii="Times New Roman" w:hAnsi="Times New Roman"/>
                <w:color w:val="000000"/>
                <w:szCs w:val="22"/>
                <w:lang w:val="en-GB"/>
              </w:rPr>
              <w:t>; 91,1</w:t>
            </w:r>
            <w:r w:rsidRPr="00263DB9">
              <w:rPr>
                <w:rFonts w:ascii="Times New Roman" w:hAnsi="Times New Roman"/>
                <w:color w:val="000000"/>
                <w:szCs w:val="22"/>
              </w:rPr>
              <w:t>%</w:t>
            </w:r>
            <w:r w:rsidRPr="00263DB9">
              <w:rPr>
                <w:rFonts w:ascii="Times New Roman" w:hAnsi="Times New Roman"/>
                <w:color w:val="000000"/>
                <w:szCs w:val="22"/>
                <w:lang w:val="en-GB"/>
              </w:rPr>
              <w:t>]</w:t>
            </w:r>
          </w:p>
        </w:tc>
        <w:tc>
          <w:tcPr>
            <w:tcW w:w="2718" w:type="dxa"/>
            <w:tcBorders>
              <w:right w:val="single" w:sz="4" w:space="0" w:color="auto"/>
            </w:tcBorders>
          </w:tcPr>
          <w:p w14:paraId="375EB15E"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[19,9</w:t>
            </w:r>
            <w:r w:rsidRPr="00263DB9">
              <w:rPr>
                <w:rFonts w:ascii="Times New Roman" w:hAnsi="Times New Roman"/>
                <w:color w:val="000000"/>
                <w:szCs w:val="22"/>
              </w:rPr>
              <w:t>%</w:t>
            </w:r>
            <w:r w:rsidRPr="00263DB9">
              <w:rPr>
                <w:rFonts w:ascii="Times New Roman" w:hAnsi="Times New Roman"/>
                <w:color w:val="000000"/>
                <w:szCs w:val="22"/>
                <w:lang w:val="en-GB"/>
              </w:rPr>
              <w:t>; 27,1</w:t>
            </w:r>
            <w:r w:rsidRPr="00263DB9">
              <w:rPr>
                <w:rFonts w:ascii="Times New Roman" w:hAnsi="Times New Roman"/>
                <w:color w:val="000000"/>
                <w:szCs w:val="22"/>
              </w:rPr>
              <w:t>%</w:t>
            </w:r>
            <w:r w:rsidRPr="00263DB9">
              <w:rPr>
                <w:rFonts w:ascii="Times New Roman" w:hAnsi="Times New Roman"/>
                <w:color w:val="000000"/>
                <w:szCs w:val="22"/>
                <w:lang w:val="en-GB"/>
              </w:rPr>
              <w:t>]</w:t>
            </w:r>
          </w:p>
        </w:tc>
      </w:tr>
      <w:tr w:rsidR="00906898" w:rsidRPr="00263DB9" w14:paraId="375EB163" w14:textId="77777777" w:rsidTr="003970DC">
        <w:trPr>
          <w:cantSplit/>
        </w:trPr>
        <w:tc>
          <w:tcPr>
            <w:tcW w:w="3794" w:type="dxa"/>
            <w:tcBorders>
              <w:left w:val="single" w:sz="4" w:space="0" w:color="auto"/>
            </w:tcBorders>
          </w:tcPr>
          <w:p w14:paraId="375EB160" w14:textId="77777777" w:rsidR="00906898" w:rsidRPr="00263DB9" w:rsidRDefault="00906898" w:rsidP="003970DC">
            <w:pPr>
              <w:pStyle w:val="Table"/>
              <w:widowControl w:val="0"/>
              <w:spacing w:before="0" w:after="0"/>
              <w:rPr>
                <w:rFonts w:ascii="Times New Roman" w:hAnsi="Times New Roman"/>
                <w:color w:val="000000"/>
                <w:szCs w:val="22"/>
              </w:rPr>
            </w:pPr>
            <w:r w:rsidRPr="00263DB9">
              <w:rPr>
                <w:rFonts w:ascii="Times New Roman" w:hAnsi="Times New Roman"/>
                <w:color w:val="000000"/>
                <w:szCs w:val="22"/>
              </w:rPr>
              <w:tab/>
              <w:t>CyR completo n (%)</w:t>
            </w:r>
          </w:p>
        </w:tc>
        <w:tc>
          <w:tcPr>
            <w:tcW w:w="2693" w:type="dxa"/>
          </w:tcPr>
          <w:p w14:paraId="375EB161"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456 (82,5%)*</w:t>
            </w:r>
          </w:p>
        </w:tc>
        <w:tc>
          <w:tcPr>
            <w:tcW w:w="2718" w:type="dxa"/>
            <w:tcBorders>
              <w:right w:val="single" w:sz="4" w:space="0" w:color="auto"/>
            </w:tcBorders>
          </w:tcPr>
          <w:p w14:paraId="375EB162"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64 (11,6</w:t>
            </w:r>
            <w:r w:rsidRPr="00263DB9">
              <w:rPr>
                <w:rFonts w:ascii="Times New Roman" w:hAnsi="Times New Roman"/>
                <w:color w:val="000000"/>
                <w:szCs w:val="22"/>
              </w:rPr>
              <w:t>%</w:t>
            </w:r>
            <w:r w:rsidRPr="00263DB9">
              <w:rPr>
                <w:rFonts w:ascii="Times New Roman" w:hAnsi="Times New Roman"/>
                <w:color w:val="000000"/>
                <w:szCs w:val="22"/>
                <w:lang w:val="en-GB"/>
              </w:rPr>
              <w:t>)*</w:t>
            </w:r>
          </w:p>
        </w:tc>
      </w:tr>
      <w:tr w:rsidR="00906898" w:rsidRPr="00263DB9" w14:paraId="375EB167" w14:textId="77777777" w:rsidTr="003970DC">
        <w:trPr>
          <w:cantSplit/>
        </w:trPr>
        <w:tc>
          <w:tcPr>
            <w:tcW w:w="3794" w:type="dxa"/>
            <w:tcBorders>
              <w:left w:val="single" w:sz="4" w:space="0" w:color="auto"/>
            </w:tcBorders>
          </w:tcPr>
          <w:p w14:paraId="375EB164" w14:textId="77777777" w:rsidR="00906898" w:rsidRPr="00263DB9" w:rsidRDefault="00906898" w:rsidP="003970DC">
            <w:pPr>
              <w:pStyle w:val="Table"/>
              <w:widowControl w:val="0"/>
              <w:spacing w:before="0" w:after="0"/>
              <w:rPr>
                <w:rFonts w:ascii="Times New Roman" w:hAnsi="Times New Roman"/>
                <w:color w:val="000000"/>
                <w:szCs w:val="22"/>
              </w:rPr>
            </w:pPr>
            <w:r w:rsidRPr="00263DB9">
              <w:rPr>
                <w:rFonts w:ascii="Times New Roman" w:hAnsi="Times New Roman"/>
                <w:color w:val="000000"/>
                <w:szCs w:val="22"/>
              </w:rPr>
              <w:tab/>
              <w:t>CyR parcial n (%)</w:t>
            </w:r>
          </w:p>
        </w:tc>
        <w:tc>
          <w:tcPr>
            <w:tcW w:w="2693" w:type="dxa"/>
          </w:tcPr>
          <w:p w14:paraId="375EB165"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34 (6,1%)</w:t>
            </w:r>
          </w:p>
        </w:tc>
        <w:tc>
          <w:tcPr>
            <w:tcW w:w="2718" w:type="dxa"/>
            <w:tcBorders>
              <w:right w:val="single" w:sz="4" w:space="0" w:color="auto"/>
            </w:tcBorders>
          </w:tcPr>
          <w:p w14:paraId="375EB166"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65 (11,8</w:t>
            </w:r>
            <w:r w:rsidRPr="00263DB9">
              <w:rPr>
                <w:rFonts w:ascii="Times New Roman" w:hAnsi="Times New Roman"/>
                <w:color w:val="000000"/>
                <w:szCs w:val="22"/>
              </w:rPr>
              <w:t>%</w:t>
            </w:r>
            <w:r w:rsidRPr="00263DB9">
              <w:rPr>
                <w:rFonts w:ascii="Times New Roman" w:hAnsi="Times New Roman"/>
                <w:color w:val="000000"/>
                <w:szCs w:val="22"/>
                <w:lang w:val="en-GB"/>
              </w:rPr>
              <w:t>)</w:t>
            </w:r>
          </w:p>
        </w:tc>
      </w:tr>
      <w:tr w:rsidR="00906898" w:rsidRPr="00263DB9" w14:paraId="375EB16B" w14:textId="77777777" w:rsidTr="003970DC">
        <w:trPr>
          <w:cantSplit/>
        </w:trPr>
        <w:tc>
          <w:tcPr>
            <w:tcW w:w="3794" w:type="dxa"/>
            <w:tcBorders>
              <w:left w:val="single" w:sz="4" w:space="0" w:color="auto"/>
              <w:bottom w:val="nil"/>
            </w:tcBorders>
          </w:tcPr>
          <w:p w14:paraId="375EB168" w14:textId="77777777" w:rsidR="00906898" w:rsidRPr="00263DB9" w:rsidRDefault="00906898" w:rsidP="003970DC">
            <w:pPr>
              <w:pStyle w:val="Table"/>
              <w:widowControl w:val="0"/>
              <w:spacing w:before="0" w:after="0"/>
              <w:rPr>
                <w:rFonts w:ascii="Times New Roman" w:hAnsi="Times New Roman"/>
                <w:color w:val="000000"/>
                <w:szCs w:val="22"/>
              </w:rPr>
            </w:pPr>
          </w:p>
        </w:tc>
        <w:tc>
          <w:tcPr>
            <w:tcW w:w="2693" w:type="dxa"/>
            <w:tcBorders>
              <w:bottom w:val="nil"/>
            </w:tcBorders>
          </w:tcPr>
          <w:p w14:paraId="375EB169" w14:textId="77777777" w:rsidR="00906898" w:rsidRPr="00263DB9" w:rsidRDefault="00906898" w:rsidP="003970DC">
            <w:pPr>
              <w:pStyle w:val="Table"/>
              <w:widowControl w:val="0"/>
              <w:spacing w:before="0" w:after="0"/>
              <w:rPr>
                <w:rFonts w:ascii="Times New Roman" w:hAnsi="Times New Roman"/>
                <w:color w:val="000000"/>
                <w:szCs w:val="22"/>
              </w:rPr>
            </w:pPr>
          </w:p>
        </w:tc>
        <w:tc>
          <w:tcPr>
            <w:tcW w:w="2718" w:type="dxa"/>
            <w:tcBorders>
              <w:bottom w:val="nil"/>
              <w:right w:val="single" w:sz="4" w:space="0" w:color="auto"/>
            </w:tcBorders>
          </w:tcPr>
          <w:p w14:paraId="375EB16A" w14:textId="77777777" w:rsidR="00906898" w:rsidRPr="00263DB9" w:rsidRDefault="00906898" w:rsidP="003970DC">
            <w:pPr>
              <w:pStyle w:val="Table"/>
              <w:widowControl w:val="0"/>
              <w:spacing w:before="0" w:after="0"/>
              <w:rPr>
                <w:rFonts w:ascii="Times New Roman" w:hAnsi="Times New Roman"/>
                <w:color w:val="000000"/>
                <w:szCs w:val="22"/>
              </w:rPr>
            </w:pPr>
          </w:p>
        </w:tc>
      </w:tr>
      <w:tr w:rsidR="00906898" w:rsidRPr="00263DB9" w14:paraId="375EB16F" w14:textId="77777777" w:rsidTr="003970DC">
        <w:trPr>
          <w:cantSplit/>
        </w:trPr>
        <w:tc>
          <w:tcPr>
            <w:tcW w:w="3794" w:type="dxa"/>
            <w:tcBorders>
              <w:left w:val="single" w:sz="4" w:space="0" w:color="auto"/>
              <w:bottom w:val="nil"/>
            </w:tcBorders>
          </w:tcPr>
          <w:p w14:paraId="375EB16C" w14:textId="77777777" w:rsidR="00906898" w:rsidRPr="00263DB9" w:rsidRDefault="00906898" w:rsidP="003970DC">
            <w:pPr>
              <w:pStyle w:val="Table"/>
              <w:widowControl w:val="0"/>
              <w:spacing w:before="0" w:after="0"/>
              <w:rPr>
                <w:rFonts w:ascii="Times New Roman" w:hAnsi="Times New Roman"/>
                <w:color w:val="000000"/>
                <w:szCs w:val="22"/>
              </w:rPr>
            </w:pPr>
            <w:r w:rsidRPr="00263DB9">
              <w:rPr>
                <w:rFonts w:ascii="Times New Roman" w:hAnsi="Times New Roman"/>
                <w:b/>
                <w:color w:val="000000"/>
                <w:szCs w:val="22"/>
              </w:rPr>
              <w:t>Resposta molecular</w:t>
            </w:r>
            <w:r w:rsidRPr="00263DB9">
              <w:rPr>
                <w:rFonts w:ascii="Times New Roman" w:hAnsi="Times New Roman"/>
                <w:color w:val="000000"/>
                <w:szCs w:val="22"/>
                <w:lang w:val="pt-PT"/>
              </w:rPr>
              <w:t>**</w:t>
            </w:r>
          </w:p>
        </w:tc>
        <w:tc>
          <w:tcPr>
            <w:tcW w:w="2693" w:type="dxa"/>
            <w:tcBorders>
              <w:bottom w:val="nil"/>
            </w:tcBorders>
          </w:tcPr>
          <w:p w14:paraId="375EB16D" w14:textId="77777777" w:rsidR="00906898" w:rsidRPr="00263DB9" w:rsidRDefault="00906898" w:rsidP="003970DC">
            <w:pPr>
              <w:pStyle w:val="Table"/>
              <w:widowControl w:val="0"/>
              <w:spacing w:before="0" w:after="0"/>
              <w:rPr>
                <w:rFonts w:ascii="Times New Roman" w:hAnsi="Times New Roman"/>
                <w:color w:val="000000"/>
                <w:szCs w:val="22"/>
              </w:rPr>
            </w:pPr>
          </w:p>
        </w:tc>
        <w:tc>
          <w:tcPr>
            <w:tcW w:w="2718" w:type="dxa"/>
            <w:tcBorders>
              <w:bottom w:val="nil"/>
              <w:right w:val="single" w:sz="4" w:space="0" w:color="auto"/>
            </w:tcBorders>
          </w:tcPr>
          <w:p w14:paraId="375EB16E" w14:textId="77777777" w:rsidR="00906898" w:rsidRPr="00263DB9" w:rsidRDefault="00906898" w:rsidP="003970DC">
            <w:pPr>
              <w:pStyle w:val="Table"/>
              <w:widowControl w:val="0"/>
              <w:spacing w:before="0" w:after="0"/>
              <w:rPr>
                <w:rFonts w:ascii="Times New Roman" w:hAnsi="Times New Roman"/>
                <w:color w:val="000000"/>
                <w:szCs w:val="22"/>
              </w:rPr>
            </w:pPr>
          </w:p>
        </w:tc>
      </w:tr>
      <w:tr w:rsidR="00906898" w:rsidRPr="00263DB9" w14:paraId="375EB173" w14:textId="77777777" w:rsidTr="003970DC">
        <w:trPr>
          <w:cantSplit/>
        </w:trPr>
        <w:tc>
          <w:tcPr>
            <w:tcW w:w="3794" w:type="dxa"/>
            <w:tcBorders>
              <w:left w:val="single" w:sz="4" w:space="0" w:color="auto"/>
              <w:bottom w:val="nil"/>
            </w:tcBorders>
          </w:tcPr>
          <w:p w14:paraId="375EB170" w14:textId="77777777" w:rsidR="00906898" w:rsidRPr="00263DB9" w:rsidRDefault="00906898" w:rsidP="003970DC">
            <w:pPr>
              <w:pStyle w:val="Table"/>
              <w:widowControl w:val="0"/>
              <w:spacing w:before="0" w:after="0"/>
              <w:rPr>
                <w:rFonts w:ascii="Times New Roman" w:hAnsi="Times New Roman"/>
                <w:color w:val="000000"/>
                <w:szCs w:val="22"/>
              </w:rPr>
            </w:pPr>
            <w:r w:rsidRPr="00263DB9">
              <w:rPr>
                <w:rFonts w:ascii="Times New Roman" w:hAnsi="Times New Roman"/>
                <w:color w:val="000000"/>
                <w:szCs w:val="22"/>
                <w:lang w:val="en-GB"/>
              </w:rPr>
              <w:t xml:space="preserve">Resposta </w:t>
            </w:r>
            <w:r w:rsidRPr="00263DB9">
              <w:rPr>
                <w:rFonts w:ascii="Times New Roman" w:hAnsi="Times New Roman"/>
                <w:i/>
                <w:iCs/>
                <w:color w:val="000000"/>
                <w:szCs w:val="22"/>
                <w:lang w:val="en-GB"/>
              </w:rPr>
              <w:t>major</w:t>
            </w:r>
            <w:r w:rsidRPr="00263DB9">
              <w:rPr>
                <w:rFonts w:ascii="Times New Roman" w:hAnsi="Times New Roman"/>
                <w:color w:val="000000"/>
                <w:szCs w:val="22"/>
                <w:lang w:val="en-GB"/>
              </w:rPr>
              <w:t xml:space="preserve"> aos 12 meses (%)</w:t>
            </w:r>
          </w:p>
        </w:tc>
        <w:tc>
          <w:tcPr>
            <w:tcW w:w="2693" w:type="dxa"/>
            <w:tcBorders>
              <w:bottom w:val="nil"/>
            </w:tcBorders>
          </w:tcPr>
          <w:p w14:paraId="375EB171"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153/305=50,2%</w:t>
            </w:r>
          </w:p>
        </w:tc>
        <w:tc>
          <w:tcPr>
            <w:tcW w:w="2718" w:type="dxa"/>
            <w:tcBorders>
              <w:bottom w:val="nil"/>
              <w:right w:val="single" w:sz="4" w:space="0" w:color="auto"/>
            </w:tcBorders>
          </w:tcPr>
          <w:p w14:paraId="375EB172"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8/83=9,6%</w:t>
            </w:r>
          </w:p>
        </w:tc>
      </w:tr>
      <w:tr w:rsidR="00906898" w:rsidRPr="00263DB9" w14:paraId="375EB177" w14:textId="77777777" w:rsidTr="003970DC">
        <w:trPr>
          <w:cantSplit/>
        </w:trPr>
        <w:tc>
          <w:tcPr>
            <w:tcW w:w="3794" w:type="dxa"/>
            <w:tcBorders>
              <w:left w:val="single" w:sz="4" w:space="0" w:color="auto"/>
              <w:bottom w:val="nil"/>
            </w:tcBorders>
          </w:tcPr>
          <w:p w14:paraId="375EB174" w14:textId="77777777" w:rsidR="00906898" w:rsidRPr="00263DB9" w:rsidRDefault="00906898" w:rsidP="003970DC">
            <w:pPr>
              <w:pStyle w:val="Table"/>
              <w:widowControl w:val="0"/>
              <w:spacing w:before="0" w:after="0"/>
              <w:rPr>
                <w:rFonts w:ascii="Times New Roman" w:hAnsi="Times New Roman"/>
                <w:color w:val="000000"/>
                <w:szCs w:val="22"/>
              </w:rPr>
            </w:pPr>
            <w:r w:rsidRPr="00263DB9">
              <w:rPr>
                <w:rFonts w:ascii="Times New Roman" w:hAnsi="Times New Roman"/>
                <w:color w:val="000000"/>
                <w:szCs w:val="22"/>
                <w:lang w:val="en-GB"/>
              </w:rPr>
              <w:t xml:space="preserve">Resposta </w:t>
            </w:r>
            <w:r w:rsidRPr="00263DB9">
              <w:rPr>
                <w:rFonts w:ascii="Times New Roman" w:hAnsi="Times New Roman"/>
                <w:i/>
                <w:iCs/>
                <w:color w:val="000000"/>
                <w:szCs w:val="22"/>
                <w:lang w:val="en-GB"/>
              </w:rPr>
              <w:t>major</w:t>
            </w:r>
            <w:r w:rsidRPr="00263DB9">
              <w:rPr>
                <w:rFonts w:ascii="Times New Roman" w:hAnsi="Times New Roman"/>
                <w:color w:val="000000"/>
                <w:szCs w:val="22"/>
                <w:lang w:val="en-GB"/>
              </w:rPr>
              <w:t xml:space="preserve"> aos 24 meses (%)</w:t>
            </w:r>
          </w:p>
        </w:tc>
        <w:tc>
          <w:tcPr>
            <w:tcW w:w="2693" w:type="dxa"/>
            <w:tcBorders>
              <w:bottom w:val="nil"/>
            </w:tcBorders>
          </w:tcPr>
          <w:p w14:paraId="375EB175"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73/104=70,2%</w:t>
            </w:r>
          </w:p>
        </w:tc>
        <w:tc>
          <w:tcPr>
            <w:tcW w:w="2718" w:type="dxa"/>
            <w:tcBorders>
              <w:bottom w:val="nil"/>
              <w:right w:val="single" w:sz="4" w:space="0" w:color="auto"/>
            </w:tcBorders>
          </w:tcPr>
          <w:p w14:paraId="375EB176" w14:textId="77777777" w:rsidR="00906898" w:rsidRPr="00263DB9" w:rsidRDefault="00906898" w:rsidP="003970DC">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3/12=25%</w:t>
            </w:r>
          </w:p>
        </w:tc>
      </w:tr>
      <w:tr w:rsidR="00906898" w:rsidRPr="00263DB9" w14:paraId="375EB17B" w14:textId="77777777" w:rsidTr="003970DC">
        <w:trPr>
          <w:cantSplit/>
        </w:trPr>
        <w:tc>
          <w:tcPr>
            <w:tcW w:w="3794" w:type="dxa"/>
            <w:tcBorders>
              <w:left w:val="single" w:sz="4" w:space="0" w:color="auto"/>
              <w:bottom w:val="nil"/>
            </w:tcBorders>
          </w:tcPr>
          <w:p w14:paraId="375EB178" w14:textId="77777777" w:rsidR="00906898" w:rsidRPr="00263DB9" w:rsidRDefault="00906898" w:rsidP="003970DC">
            <w:pPr>
              <w:pStyle w:val="Table"/>
              <w:widowControl w:val="0"/>
              <w:spacing w:before="0" w:after="0"/>
              <w:rPr>
                <w:rFonts w:ascii="Times New Roman" w:hAnsi="Times New Roman"/>
                <w:color w:val="000000"/>
                <w:szCs w:val="22"/>
                <w:lang w:val="en-GB"/>
              </w:rPr>
            </w:pPr>
            <w:r w:rsidRPr="00263DB9">
              <w:rPr>
                <w:rFonts w:ascii="Times New Roman" w:hAnsi="Times New Roman"/>
                <w:color w:val="000000"/>
                <w:szCs w:val="22"/>
                <w:lang w:val="en-GB"/>
              </w:rPr>
              <w:t xml:space="preserve">Resposta </w:t>
            </w:r>
            <w:r w:rsidRPr="00263DB9">
              <w:rPr>
                <w:rFonts w:ascii="Times New Roman" w:hAnsi="Times New Roman"/>
                <w:i/>
                <w:color w:val="000000"/>
                <w:szCs w:val="22"/>
                <w:lang w:val="en-GB"/>
              </w:rPr>
              <w:t>major</w:t>
            </w:r>
            <w:r w:rsidRPr="00263DB9">
              <w:rPr>
                <w:rFonts w:ascii="Times New Roman" w:hAnsi="Times New Roman"/>
                <w:color w:val="000000"/>
                <w:szCs w:val="22"/>
                <w:lang w:val="en-GB"/>
              </w:rPr>
              <w:t xml:space="preserve"> aos 84 meses (%)</w:t>
            </w:r>
          </w:p>
        </w:tc>
        <w:tc>
          <w:tcPr>
            <w:tcW w:w="2693" w:type="dxa"/>
            <w:tcBorders>
              <w:bottom w:val="nil"/>
            </w:tcBorders>
          </w:tcPr>
          <w:p w14:paraId="375EB179" w14:textId="77777777" w:rsidR="00906898" w:rsidRPr="00263DB9" w:rsidRDefault="00906898" w:rsidP="003970DC">
            <w:pPr>
              <w:pStyle w:val="Table"/>
              <w:widowControl w:val="0"/>
              <w:spacing w:before="0" w:after="0"/>
              <w:jc w:val="center"/>
              <w:rPr>
                <w:rFonts w:ascii="Times New Roman" w:hAnsi="Times New Roman"/>
                <w:color w:val="000000"/>
                <w:szCs w:val="22"/>
                <w:lang w:val="en-GB"/>
              </w:rPr>
            </w:pPr>
            <w:r w:rsidRPr="00263DB9">
              <w:rPr>
                <w:rFonts w:ascii="Times New Roman" w:hAnsi="Times New Roman"/>
                <w:color w:val="000000"/>
                <w:szCs w:val="22"/>
                <w:lang w:val="en-GB"/>
              </w:rPr>
              <w:t>102/116=87,9%</w:t>
            </w:r>
          </w:p>
        </w:tc>
        <w:tc>
          <w:tcPr>
            <w:tcW w:w="2718" w:type="dxa"/>
            <w:tcBorders>
              <w:bottom w:val="nil"/>
              <w:right w:val="single" w:sz="4" w:space="0" w:color="auto"/>
            </w:tcBorders>
          </w:tcPr>
          <w:p w14:paraId="375EB17A" w14:textId="77777777" w:rsidR="00906898" w:rsidRPr="00263DB9" w:rsidRDefault="00906898" w:rsidP="003970DC">
            <w:pPr>
              <w:pStyle w:val="Table"/>
              <w:widowControl w:val="0"/>
              <w:spacing w:before="0" w:after="0"/>
              <w:jc w:val="center"/>
              <w:rPr>
                <w:rFonts w:ascii="Times New Roman" w:hAnsi="Times New Roman"/>
                <w:color w:val="000000"/>
                <w:szCs w:val="22"/>
                <w:lang w:val="en-GB"/>
              </w:rPr>
            </w:pPr>
            <w:r w:rsidRPr="00263DB9">
              <w:rPr>
                <w:rFonts w:ascii="Times New Roman" w:hAnsi="Times New Roman"/>
                <w:color w:val="000000"/>
                <w:szCs w:val="22"/>
                <w:lang w:val="en-GB"/>
              </w:rPr>
              <w:t>3/4=75%</w:t>
            </w:r>
          </w:p>
        </w:tc>
      </w:tr>
      <w:tr w:rsidR="00906898" w:rsidRPr="00263DB9" w14:paraId="375EB182" w14:textId="77777777" w:rsidTr="003970DC">
        <w:trPr>
          <w:cantSplit/>
        </w:trPr>
        <w:tc>
          <w:tcPr>
            <w:tcW w:w="9205" w:type="dxa"/>
            <w:gridSpan w:val="3"/>
            <w:tcBorders>
              <w:top w:val="single" w:sz="4" w:space="0" w:color="auto"/>
              <w:left w:val="single" w:sz="4" w:space="0" w:color="auto"/>
              <w:bottom w:val="single" w:sz="4" w:space="0" w:color="auto"/>
              <w:right w:val="single" w:sz="4" w:space="0" w:color="auto"/>
            </w:tcBorders>
          </w:tcPr>
          <w:p w14:paraId="375EB17C" w14:textId="77777777" w:rsidR="00906898" w:rsidRPr="00263DB9" w:rsidRDefault="00906898" w:rsidP="003970DC">
            <w:pPr>
              <w:pStyle w:val="Table"/>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 p&lt;0,001; teste exato de Fischer</w:t>
            </w:r>
          </w:p>
          <w:p w14:paraId="375EB17D" w14:textId="77777777" w:rsidR="00906898" w:rsidRPr="00263DB9" w:rsidRDefault="00906898" w:rsidP="003970DC">
            <w:pPr>
              <w:pStyle w:val="Table"/>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 as percentagens de resposta molecular foram baseadas nas amostras disponíveis</w:t>
            </w:r>
          </w:p>
          <w:p w14:paraId="375EB17E" w14:textId="77777777" w:rsidR="00906898" w:rsidRPr="00263DB9" w:rsidRDefault="00906898" w:rsidP="003970DC">
            <w:pPr>
              <w:pStyle w:val="Table"/>
              <w:widowControl w:val="0"/>
              <w:spacing w:before="0" w:after="0"/>
              <w:rPr>
                <w:rFonts w:ascii="Times New Roman" w:hAnsi="Times New Roman"/>
                <w:b/>
                <w:color w:val="000000"/>
                <w:szCs w:val="22"/>
                <w:lang w:val="pt-PT"/>
              </w:rPr>
            </w:pPr>
            <w:r w:rsidRPr="00263DB9">
              <w:rPr>
                <w:rFonts w:ascii="Times New Roman" w:hAnsi="Times New Roman"/>
                <w:b/>
                <w:color w:val="000000"/>
                <w:szCs w:val="22"/>
                <w:lang w:val="pt-PT"/>
              </w:rPr>
              <w:t xml:space="preserve">Critérios de resposta hematológica (todas as respostas a serem confirmadas após </w:t>
            </w:r>
            <w:r w:rsidRPr="00263DB9">
              <w:rPr>
                <w:rFonts w:ascii="Times New Roman" w:hAnsi="Times New Roman"/>
                <w:b/>
                <w:color w:val="000000"/>
                <w:szCs w:val="22"/>
                <w:lang w:val="pt-PT"/>
              </w:rPr>
              <w:sym w:font="Symbol" w:char="F0B3"/>
            </w:r>
            <w:r w:rsidRPr="00263DB9">
              <w:rPr>
                <w:rFonts w:ascii="Times New Roman" w:hAnsi="Times New Roman"/>
                <w:b/>
                <w:color w:val="000000"/>
                <w:szCs w:val="22"/>
                <w:lang w:val="pt-PT"/>
              </w:rPr>
              <w:t> 4 semanas):</w:t>
            </w:r>
          </w:p>
          <w:p w14:paraId="375EB17F" w14:textId="77777777" w:rsidR="00906898" w:rsidRPr="00263DB9" w:rsidRDefault="00906898" w:rsidP="003970DC">
            <w:pPr>
              <w:pStyle w:val="Table"/>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WBC &lt; 10 x 10</w:t>
            </w:r>
            <w:r w:rsidRPr="00263DB9">
              <w:rPr>
                <w:rFonts w:ascii="Times New Roman" w:hAnsi="Times New Roman"/>
                <w:color w:val="000000"/>
                <w:szCs w:val="22"/>
                <w:vertAlign w:val="superscript"/>
                <w:lang w:val="pt-PT"/>
              </w:rPr>
              <w:t>9</w:t>
            </w:r>
            <w:r w:rsidRPr="00263DB9">
              <w:rPr>
                <w:rFonts w:ascii="Times New Roman" w:hAnsi="Times New Roman"/>
                <w:color w:val="000000"/>
                <w:szCs w:val="22"/>
                <w:lang w:val="pt-PT"/>
              </w:rPr>
              <w:t>/l, plaquetas &lt; 450 x 10</w:t>
            </w:r>
            <w:r w:rsidRPr="00263DB9">
              <w:rPr>
                <w:rFonts w:ascii="Times New Roman" w:hAnsi="Times New Roman"/>
                <w:color w:val="000000"/>
                <w:szCs w:val="22"/>
                <w:vertAlign w:val="superscript"/>
                <w:lang w:val="pt-PT"/>
              </w:rPr>
              <w:t>9</w:t>
            </w:r>
            <w:r w:rsidRPr="00263DB9">
              <w:rPr>
                <w:rFonts w:ascii="Times New Roman" w:hAnsi="Times New Roman"/>
                <w:color w:val="000000"/>
                <w:szCs w:val="22"/>
                <w:lang w:val="pt-PT"/>
              </w:rPr>
              <w:t>/l, mielocito+metamielocito &lt; 5% no sangue, sem blastócitos e promielocitos no sangue, basófilos &lt; 20%, sem envolvimento extramedular</w:t>
            </w:r>
          </w:p>
          <w:p w14:paraId="375EB180" w14:textId="77777777" w:rsidR="00906898" w:rsidRPr="00263DB9" w:rsidRDefault="00906898" w:rsidP="003970DC">
            <w:pPr>
              <w:pStyle w:val="Table"/>
              <w:widowControl w:val="0"/>
              <w:spacing w:before="0" w:after="0"/>
              <w:rPr>
                <w:rFonts w:ascii="Times New Roman" w:hAnsi="Times New Roman"/>
                <w:color w:val="000000"/>
                <w:szCs w:val="22"/>
                <w:lang w:val="pt-PT"/>
              </w:rPr>
            </w:pPr>
            <w:r w:rsidRPr="00263DB9">
              <w:rPr>
                <w:rFonts w:ascii="Times New Roman" w:hAnsi="Times New Roman"/>
                <w:b/>
                <w:color w:val="000000"/>
                <w:szCs w:val="22"/>
                <w:lang w:val="pt-PT"/>
              </w:rPr>
              <w:t xml:space="preserve">Critérios de resposta citogenética: </w:t>
            </w:r>
            <w:r w:rsidRPr="00263DB9">
              <w:rPr>
                <w:rFonts w:ascii="Times New Roman" w:hAnsi="Times New Roman"/>
                <w:color w:val="000000"/>
                <w:szCs w:val="22"/>
                <w:lang w:val="pt-PT"/>
              </w:rPr>
              <w:t xml:space="preserve">completa (0% metáfases Ph+), parcial (1–35%), minor (36–65%) ou mínima (66–95%). Uma resposta </w:t>
            </w:r>
            <w:r w:rsidRPr="00263DB9">
              <w:rPr>
                <w:rFonts w:ascii="Times New Roman" w:hAnsi="Times New Roman"/>
                <w:i/>
                <w:iCs/>
                <w:color w:val="000000"/>
                <w:szCs w:val="22"/>
                <w:lang w:val="pt-PT"/>
              </w:rPr>
              <w:t>major</w:t>
            </w:r>
            <w:r w:rsidRPr="00263DB9">
              <w:rPr>
                <w:rFonts w:ascii="Times New Roman" w:hAnsi="Times New Roman"/>
                <w:color w:val="000000"/>
                <w:szCs w:val="22"/>
                <w:lang w:val="pt-PT"/>
              </w:rPr>
              <w:t xml:space="preserve"> (0–35%) combina ambas as respostas completa e parcial.</w:t>
            </w:r>
          </w:p>
          <w:p w14:paraId="375EB181" w14:textId="77777777" w:rsidR="00906898" w:rsidRPr="00263DB9" w:rsidRDefault="00906898" w:rsidP="003970DC">
            <w:pPr>
              <w:pStyle w:val="Table"/>
              <w:widowControl w:val="0"/>
              <w:spacing w:before="0" w:after="0"/>
              <w:rPr>
                <w:rFonts w:ascii="Times New Roman" w:hAnsi="Times New Roman"/>
                <w:color w:val="000000"/>
                <w:szCs w:val="22"/>
                <w:lang w:val="pt-PT"/>
              </w:rPr>
            </w:pPr>
            <w:r w:rsidRPr="00263DB9">
              <w:rPr>
                <w:rFonts w:ascii="Times New Roman" w:hAnsi="Times New Roman"/>
                <w:b/>
                <w:color w:val="000000"/>
                <w:szCs w:val="22"/>
                <w:lang w:val="pt-PT"/>
              </w:rPr>
              <w:t xml:space="preserve">Critérios de resposta molecular </w:t>
            </w:r>
            <w:r w:rsidRPr="00263DB9">
              <w:rPr>
                <w:rFonts w:ascii="Times New Roman" w:hAnsi="Times New Roman"/>
                <w:b/>
                <w:i/>
                <w:iCs/>
                <w:color w:val="000000"/>
                <w:szCs w:val="22"/>
                <w:lang w:val="pt-PT"/>
              </w:rPr>
              <w:t>major</w:t>
            </w:r>
            <w:r w:rsidRPr="00263DB9">
              <w:rPr>
                <w:rFonts w:ascii="Times New Roman" w:hAnsi="Times New Roman"/>
                <w:color w:val="000000"/>
                <w:szCs w:val="22"/>
                <w:lang w:val="pt-PT"/>
              </w:rPr>
              <w:t>: redução ≥ 3 logaritmos na quantidade de Bcr-Abl transcritos no sangue periférico (medida pelo doseamento quantitativo em tempo real da transcriptase reversa PCR) sobre valores basais padronizados.</w:t>
            </w:r>
          </w:p>
        </w:tc>
      </w:tr>
    </w:tbl>
    <w:p w14:paraId="375EB183" w14:textId="77777777" w:rsidR="00906898" w:rsidRPr="00263DB9" w:rsidRDefault="00906898" w:rsidP="00E51817">
      <w:pPr>
        <w:pStyle w:val="EndnoteText"/>
        <w:rPr>
          <w:color w:val="000000"/>
          <w:szCs w:val="22"/>
        </w:rPr>
      </w:pPr>
    </w:p>
    <w:p w14:paraId="375EB184" w14:textId="77777777" w:rsidR="00906898" w:rsidRPr="00263DB9" w:rsidRDefault="00906898" w:rsidP="00E51817">
      <w:pPr>
        <w:pStyle w:val="EndnoteText"/>
        <w:rPr>
          <w:color w:val="000000"/>
          <w:szCs w:val="22"/>
        </w:rPr>
      </w:pPr>
      <w:r w:rsidRPr="00263DB9">
        <w:rPr>
          <w:color w:val="000000"/>
          <w:szCs w:val="22"/>
        </w:rPr>
        <w:t xml:space="preserve">As taxas de resposta hematológica completa, resposta citogenética </w:t>
      </w:r>
      <w:r w:rsidRPr="00263DB9">
        <w:rPr>
          <w:i/>
          <w:iCs/>
          <w:color w:val="000000"/>
          <w:szCs w:val="22"/>
        </w:rPr>
        <w:t>major</w:t>
      </w:r>
      <w:r w:rsidRPr="00263DB9">
        <w:rPr>
          <w:color w:val="000000"/>
          <w:szCs w:val="22"/>
        </w:rPr>
        <w:t xml:space="preserve"> e resposta citogenética </w:t>
      </w:r>
      <w:r w:rsidRPr="00263DB9">
        <w:rPr>
          <w:color w:val="000000"/>
          <w:szCs w:val="22"/>
        </w:rPr>
        <w:lastRenderedPageBreak/>
        <w:t>completa no tratamento em primeira linha foram estimadas usando a abordagem de Kaplan-Meier, para a qual as não-respostas foram censuradas à data da última examinação. Usando esta abordagem, as taxas de resposta cumulativas estimadas para o tratamento em primeira linha com Glivec melhoraram desde os 12 meses de tratamento até aos 84 meses de tratamento, conforme segue: CHR de 96,4% para 98,4% e CCyR de 69,5% para 87,2%, respetivamente.</w:t>
      </w:r>
    </w:p>
    <w:p w14:paraId="375EB185" w14:textId="77777777" w:rsidR="00906898" w:rsidRPr="00263DB9" w:rsidRDefault="00906898" w:rsidP="00E51817">
      <w:pPr>
        <w:pStyle w:val="EndnoteText"/>
        <w:rPr>
          <w:color w:val="000000"/>
          <w:szCs w:val="22"/>
        </w:rPr>
      </w:pPr>
    </w:p>
    <w:p w14:paraId="375EB186" w14:textId="77777777" w:rsidR="00906898" w:rsidRPr="00263DB9" w:rsidRDefault="00906898" w:rsidP="00E51817">
      <w:pPr>
        <w:pStyle w:val="EndnoteText"/>
        <w:rPr>
          <w:color w:val="000000"/>
          <w:szCs w:val="22"/>
        </w:rPr>
      </w:pPr>
      <w:r w:rsidRPr="00263DB9">
        <w:rPr>
          <w:color w:val="000000"/>
          <w:szCs w:val="22"/>
        </w:rPr>
        <w:t>Em 7 anos de acompanhamento, existiram 93 (16,8%) casos de progressão no braço tratado com Glivec: 37 (6,7%) envolvendo progressão para fase acelerada/crise blástica, 31 (5,6%) de perda de MCyR, 15 (2,7%) perdas de CHR ou aumento no WBC e 10 (1,8%) mortes não relacionadas com LMC. Em contrapartida, existiram 165 (29,8%) casos no braço IFN+Ara-C, dos quais 130 ocorreram durante o tratamento em primeira linha com IFN+Ara-C.</w:t>
      </w:r>
    </w:p>
    <w:p w14:paraId="375EB187" w14:textId="77777777" w:rsidR="00906898" w:rsidRPr="00263DB9" w:rsidRDefault="00906898" w:rsidP="00E51817">
      <w:pPr>
        <w:widowControl w:val="0"/>
        <w:suppressAutoHyphens/>
        <w:rPr>
          <w:color w:val="000000"/>
          <w:szCs w:val="22"/>
        </w:rPr>
      </w:pPr>
    </w:p>
    <w:p w14:paraId="375EB188" w14:textId="77777777" w:rsidR="00906898" w:rsidRPr="00263DB9" w:rsidRDefault="00906898" w:rsidP="00E51817">
      <w:pPr>
        <w:widowControl w:val="0"/>
        <w:suppressAutoHyphens/>
        <w:rPr>
          <w:color w:val="000000"/>
          <w:szCs w:val="22"/>
        </w:rPr>
      </w:pPr>
      <w:r w:rsidRPr="00263DB9">
        <w:rPr>
          <w:color w:val="000000"/>
          <w:szCs w:val="22"/>
        </w:rPr>
        <w:t xml:space="preserve">A taxa estimada de doentes sem progressão da doença para fase acelerada, ou crise blástica, aos 84 meses, foi significativamente superior no braço tratado com Glivec comparativamente ao braço tratado com IFN (92,5% </w:t>
      </w:r>
      <w:r w:rsidRPr="00263DB9">
        <w:rPr>
          <w:i/>
          <w:color w:val="000000"/>
          <w:szCs w:val="22"/>
        </w:rPr>
        <w:t>versus</w:t>
      </w:r>
      <w:r w:rsidRPr="00263DB9">
        <w:rPr>
          <w:color w:val="000000"/>
          <w:szCs w:val="22"/>
        </w:rPr>
        <w:t xml:space="preserve"> 85,1%, p&lt;0,001). A taxa anual de progressão para fase acelerada ou crise blástica diminuiu com o tempo em tratamento e foi inferior a 1% por ano nos quarto e quinto anos de tratamento. A taxa estimada para a </w:t>
      </w:r>
      <w:r w:rsidR="00600EF5" w:rsidRPr="00263DB9">
        <w:rPr>
          <w:color w:val="000000"/>
          <w:szCs w:val="22"/>
        </w:rPr>
        <w:t xml:space="preserve">sobrevivência </w:t>
      </w:r>
      <w:r w:rsidRPr="00263DB9">
        <w:rPr>
          <w:color w:val="000000"/>
          <w:szCs w:val="22"/>
        </w:rPr>
        <w:t xml:space="preserve">sem progressão da doença aos 84 meses foi de 81,2% no braço tratado com Glivec e de 60,6% no braço controlo (p&lt;0,001). As taxas anuais de progressão de qualquer tipo para </w:t>
      </w:r>
      <w:r w:rsidRPr="00263DB9">
        <w:rPr>
          <w:rStyle w:val="EndnoteTextChar"/>
          <w:color w:val="000000"/>
          <w:szCs w:val="22"/>
        </w:rPr>
        <w:t>Glivec também diminuíram ao longo do tempo.</w:t>
      </w:r>
    </w:p>
    <w:p w14:paraId="375EB189" w14:textId="77777777" w:rsidR="00906898" w:rsidRPr="00263DB9" w:rsidRDefault="00906898" w:rsidP="00E51817">
      <w:pPr>
        <w:pStyle w:val="EndnoteText"/>
        <w:rPr>
          <w:color w:val="000000"/>
          <w:szCs w:val="22"/>
        </w:rPr>
      </w:pPr>
    </w:p>
    <w:p w14:paraId="375EB18A" w14:textId="77777777" w:rsidR="00906898" w:rsidRPr="00263DB9" w:rsidRDefault="00906898" w:rsidP="00E51817">
      <w:pPr>
        <w:pStyle w:val="EndnoteText"/>
        <w:rPr>
          <w:color w:val="000000"/>
          <w:szCs w:val="22"/>
        </w:rPr>
      </w:pPr>
      <w:r w:rsidRPr="00263DB9">
        <w:rPr>
          <w:color w:val="000000"/>
          <w:szCs w:val="22"/>
        </w:rPr>
        <w:t xml:space="preserve">Um total de 71 (12,8%) e 85 (15,4%) doentes morreram nos grupos Givec e IFN+Ara-C, respetivamente. Aos 84 meses, a </w:t>
      </w:r>
      <w:r w:rsidR="00600EF5" w:rsidRPr="00263DB9">
        <w:rPr>
          <w:color w:val="000000"/>
          <w:szCs w:val="22"/>
        </w:rPr>
        <w:t xml:space="preserve">sobrevivência </w:t>
      </w:r>
      <w:r w:rsidRPr="00263DB9">
        <w:rPr>
          <w:color w:val="000000"/>
          <w:szCs w:val="22"/>
        </w:rPr>
        <w:t xml:space="preserve">global estimada é de 86,4% (83, 90) vs. 83,3% (80, 87) nos grupos aleatorizados para Glivec e IFN+Ara-C, respetivamente (p=0,073; teste de log-rank). Este </w:t>
      </w:r>
      <w:r w:rsidR="00600EF5" w:rsidRPr="00263DB9">
        <w:rPr>
          <w:color w:val="000000"/>
          <w:szCs w:val="22"/>
        </w:rPr>
        <w:t>objetivo</w:t>
      </w:r>
      <w:r w:rsidRPr="00263DB9">
        <w:rPr>
          <w:color w:val="000000"/>
          <w:szCs w:val="22"/>
        </w:rPr>
        <w:t xml:space="preserve"> de tempo até evento é fortemente afetado pela alta taxa de </w:t>
      </w:r>
      <w:r w:rsidRPr="00263DB9">
        <w:rPr>
          <w:i/>
          <w:color w:val="000000"/>
          <w:szCs w:val="22"/>
        </w:rPr>
        <w:t>crossover</w:t>
      </w:r>
      <w:r w:rsidRPr="00263DB9">
        <w:rPr>
          <w:color w:val="000000"/>
          <w:szCs w:val="22"/>
        </w:rPr>
        <w:t xml:space="preserve"> de IFN+Ara-C para Glivec. O efeito do tratamento com Glivec na </w:t>
      </w:r>
      <w:r w:rsidR="00600EF5" w:rsidRPr="00263DB9">
        <w:rPr>
          <w:color w:val="000000"/>
          <w:szCs w:val="22"/>
        </w:rPr>
        <w:t xml:space="preserve">sobrevivência </w:t>
      </w:r>
      <w:r w:rsidRPr="00263DB9">
        <w:rPr>
          <w:color w:val="000000"/>
          <w:szCs w:val="22"/>
        </w:rPr>
        <w:t xml:space="preserve">na fase crónica na LMC diagnosticada de novo foi adicionalmente avaliado numa análise retrospetiva dos dados de Glivec acima notificados com os dados primários de outro estudo de Fase III usando IFN+Ara-C (n=325) num regímen idêntico. Nesta análise retrospetiva, a superioridade de Glivec sobre o IFN+Ara-C na </w:t>
      </w:r>
      <w:r w:rsidR="00600EF5" w:rsidRPr="00263DB9">
        <w:rPr>
          <w:color w:val="000000"/>
          <w:szCs w:val="22"/>
        </w:rPr>
        <w:t xml:space="preserve">sobrevivência </w:t>
      </w:r>
      <w:r w:rsidRPr="00263DB9">
        <w:rPr>
          <w:color w:val="000000"/>
          <w:szCs w:val="22"/>
        </w:rPr>
        <w:t>global foi demonstrada (p&lt;0,001); em 42 meses, 47 (8,5%) doentes de Glivec e 63 (19,4%) doentes de IFN+Ara-C tinham morrido.</w:t>
      </w:r>
    </w:p>
    <w:p w14:paraId="375EB18B" w14:textId="77777777" w:rsidR="00906898" w:rsidRPr="00263DB9" w:rsidRDefault="00906898" w:rsidP="00E51817">
      <w:pPr>
        <w:pStyle w:val="EndnoteText"/>
        <w:rPr>
          <w:color w:val="000000"/>
          <w:szCs w:val="22"/>
        </w:rPr>
      </w:pPr>
    </w:p>
    <w:p w14:paraId="375EB18C" w14:textId="77777777" w:rsidR="00906898" w:rsidRPr="00263DB9" w:rsidRDefault="00906898" w:rsidP="00E51817">
      <w:pPr>
        <w:pStyle w:val="EndnoteText"/>
        <w:rPr>
          <w:color w:val="000000"/>
          <w:szCs w:val="22"/>
        </w:rPr>
      </w:pPr>
      <w:r w:rsidRPr="00263DB9">
        <w:rPr>
          <w:color w:val="000000"/>
          <w:szCs w:val="22"/>
        </w:rPr>
        <w:t>O grau de resposta citogenética e resposta molecular teve um efeito claro nos resultados de longa duração em doentes tratados com Glivec. Enquanto que uma estimativa de 96% (93%) de doentes com CCyR (PCyR) aos 12 meses estavam livres de progressão para fase acelerada/crise blástica aos 84 meses, apenas 81% dos doentes sem MCyR aos 12 meses estiveram livres de progressão para LMC avançada aos 84 meses (p&lt;0,001 global, p=0,25 entre CCyR e PCyR). Para doentes com redução na Bcr-Abl transcriptase de, pelo menos 3 logaritmos, a probabilidade de manutenção livre de progressão da doença para fase acelerada/crise blástica foi de 99% aos 84 meses. Observações semelhantes foram registadas na análise de referência aos 18 meses.</w:t>
      </w:r>
    </w:p>
    <w:p w14:paraId="375EB18D" w14:textId="77777777" w:rsidR="00906898" w:rsidRPr="00263DB9" w:rsidRDefault="00906898" w:rsidP="00E51817">
      <w:pPr>
        <w:widowControl w:val="0"/>
        <w:suppressAutoHyphens/>
        <w:rPr>
          <w:color w:val="000000"/>
          <w:szCs w:val="22"/>
        </w:rPr>
      </w:pPr>
    </w:p>
    <w:p w14:paraId="375EB18E" w14:textId="77777777" w:rsidR="00906898" w:rsidRPr="00263DB9" w:rsidRDefault="00906898" w:rsidP="00E51817">
      <w:pPr>
        <w:widowControl w:val="0"/>
        <w:suppressAutoHyphens/>
        <w:rPr>
          <w:color w:val="000000"/>
          <w:szCs w:val="22"/>
        </w:rPr>
      </w:pPr>
      <w:r w:rsidRPr="00263DB9">
        <w:rPr>
          <w:color w:val="000000"/>
          <w:szCs w:val="22"/>
        </w:rPr>
        <w:t>Neste estudo foi permitido aumento da dose de 400 mg para 600 mg por dia e, depois, de 600 mg para 800 mg por dia. Após 42 meses de seguimento, 11 doentes tiveram perda confirmada (em 4 semanas) da resposta citogenética. Destes 11 doentes, aumentou-se a dose até 800 mg por dia em 4, tendo 2 dos quais recuperado a resposta citogenética (1 parcial e 1 completa, este último atingindo também resposta molecular), enquanto que dos 7 doentes em que não se procedeu ao aumento da dose, somente um recuperou resposta citogenética completa. A percentagem de determinadas reações adversas foi superior nos 40 doentes nos quais a dose foi aumentada para 800 mg por dia, comparativamente à população de doentes prévia ao aumento da dose (n=551). As reações adversas que ocorreram mais frequentemente incluíram hemorragia gastrintestinal, conjuntivite e aumento das transaminases ou bilirrubina. Outras reações adversas foram relatadas com frequência igual ou inferior.</w:t>
      </w:r>
    </w:p>
    <w:p w14:paraId="375EB18F" w14:textId="77777777" w:rsidR="00906898" w:rsidRPr="00263DB9" w:rsidRDefault="00906898" w:rsidP="00E51817">
      <w:pPr>
        <w:widowControl w:val="0"/>
        <w:suppressAutoHyphens/>
        <w:rPr>
          <w:color w:val="000000"/>
          <w:szCs w:val="22"/>
        </w:rPr>
      </w:pPr>
    </w:p>
    <w:p w14:paraId="375EB190" w14:textId="77777777" w:rsidR="00906898" w:rsidRPr="00263DB9" w:rsidRDefault="00906898" w:rsidP="00E51817">
      <w:pPr>
        <w:widowControl w:val="0"/>
        <w:suppressAutoHyphens/>
        <w:rPr>
          <w:color w:val="000000"/>
          <w:szCs w:val="22"/>
        </w:rPr>
      </w:pPr>
      <w:r w:rsidRPr="00263DB9">
        <w:rPr>
          <w:i/>
          <w:color w:val="000000"/>
          <w:szCs w:val="22"/>
        </w:rPr>
        <w:t>Fase crónica, insucesso com interferão</w:t>
      </w:r>
      <w:r w:rsidRPr="00263DB9">
        <w:rPr>
          <w:color w:val="000000"/>
          <w:szCs w:val="22"/>
        </w:rPr>
        <w:t>: 532 doentes adultos foram tratados com uma dose inicial de 400 mg. Os doentes foram distribuídos em três categorias principais: insucesso hematológico (29%), insucesso citogenético (35</w:t>
      </w:r>
      <w:r w:rsidRPr="00263DB9">
        <w:rPr>
          <w:bCs/>
          <w:color w:val="000000"/>
          <w:szCs w:val="22"/>
        </w:rPr>
        <w:t>%</w:t>
      </w:r>
      <w:r w:rsidRPr="00263DB9">
        <w:rPr>
          <w:color w:val="000000"/>
          <w:szCs w:val="22"/>
        </w:rPr>
        <w:t xml:space="preserve">) ou intolerância ao interferão (36%). Os doentes tinham feito uma média de 14 meses de terapêutica anterior com interferão em doses </w:t>
      </w:r>
      <w:r w:rsidRPr="00263DB9">
        <w:rPr>
          <w:color w:val="000000"/>
          <w:szCs w:val="22"/>
        </w:rPr>
        <w:sym w:font="Symbol" w:char="F0B3"/>
      </w:r>
      <w:r w:rsidRPr="00263DB9">
        <w:rPr>
          <w:color w:val="000000"/>
          <w:szCs w:val="22"/>
        </w:rPr>
        <w:t> 25 x 10</w:t>
      </w:r>
      <w:r w:rsidRPr="00263DB9">
        <w:rPr>
          <w:color w:val="000000"/>
          <w:szCs w:val="22"/>
          <w:vertAlign w:val="superscript"/>
        </w:rPr>
        <w:t>6</w:t>
      </w:r>
      <w:r w:rsidRPr="00263DB9">
        <w:rPr>
          <w:color w:val="000000"/>
          <w:szCs w:val="22"/>
        </w:rPr>
        <w:t xml:space="preserve"> UI/semana e encontravam-se todos em fase crónica tardia, com um tempo médio desde o diagnóstico de 32 meses. A variável </w:t>
      </w:r>
      <w:r w:rsidRPr="00263DB9">
        <w:rPr>
          <w:color w:val="000000"/>
          <w:szCs w:val="22"/>
        </w:rPr>
        <w:lastRenderedPageBreak/>
        <w:t xml:space="preserve">primária de eficácia do estudo foi a taxa de resposta citogenética </w:t>
      </w:r>
      <w:r w:rsidRPr="00263DB9">
        <w:rPr>
          <w:i/>
          <w:iCs/>
          <w:color w:val="000000"/>
          <w:szCs w:val="22"/>
        </w:rPr>
        <w:t>major</w:t>
      </w:r>
      <w:r w:rsidRPr="00263DB9">
        <w:rPr>
          <w:color w:val="000000"/>
          <w:szCs w:val="22"/>
        </w:rPr>
        <w:t xml:space="preserve"> (resposta completa mais parcial, 0 a 35% de metafases Ph+ na medula óssea).</w:t>
      </w:r>
    </w:p>
    <w:p w14:paraId="375EB191" w14:textId="77777777" w:rsidR="00906898" w:rsidRPr="00263DB9" w:rsidRDefault="00906898" w:rsidP="00E51817">
      <w:pPr>
        <w:widowControl w:val="0"/>
        <w:suppressAutoHyphens/>
        <w:rPr>
          <w:color w:val="000000"/>
          <w:szCs w:val="22"/>
        </w:rPr>
      </w:pPr>
    </w:p>
    <w:p w14:paraId="375EB192" w14:textId="77777777" w:rsidR="00906898" w:rsidRPr="00263DB9" w:rsidRDefault="00906898" w:rsidP="00E51817">
      <w:pPr>
        <w:widowControl w:val="0"/>
        <w:suppressAutoHyphens/>
        <w:rPr>
          <w:color w:val="000000"/>
          <w:szCs w:val="22"/>
        </w:rPr>
      </w:pPr>
      <w:r w:rsidRPr="00263DB9">
        <w:rPr>
          <w:color w:val="000000"/>
          <w:szCs w:val="22"/>
        </w:rPr>
        <w:t xml:space="preserve">Neste estudo, 65% dos doentes atingiram uma resposta citogenética </w:t>
      </w:r>
      <w:r w:rsidRPr="00263DB9">
        <w:rPr>
          <w:i/>
          <w:iCs/>
          <w:color w:val="000000"/>
          <w:szCs w:val="22"/>
        </w:rPr>
        <w:t>major</w:t>
      </w:r>
      <w:r w:rsidRPr="00263DB9">
        <w:rPr>
          <w:color w:val="000000"/>
          <w:szCs w:val="22"/>
        </w:rPr>
        <w:t xml:space="preserve"> que foi completa em 53% (confirmado 43%) dos doentes (Tabela </w:t>
      </w:r>
      <w:r w:rsidR="00094C01" w:rsidRPr="00263DB9">
        <w:rPr>
          <w:color w:val="000000"/>
          <w:szCs w:val="22"/>
        </w:rPr>
        <w:t>3</w:t>
      </w:r>
      <w:r w:rsidRPr="00263DB9">
        <w:rPr>
          <w:color w:val="000000"/>
          <w:szCs w:val="22"/>
        </w:rPr>
        <w:t>). Foi atingida uma resposta hematológica completa em 95% dos doentes.</w:t>
      </w:r>
    </w:p>
    <w:p w14:paraId="375EB193" w14:textId="77777777" w:rsidR="00906898" w:rsidRPr="00263DB9" w:rsidRDefault="00906898" w:rsidP="00E51817">
      <w:pPr>
        <w:widowControl w:val="0"/>
        <w:suppressAutoHyphens/>
        <w:rPr>
          <w:color w:val="000000"/>
          <w:szCs w:val="22"/>
        </w:rPr>
      </w:pPr>
    </w:p>
    <w:p w14:paraId="375EB194" w14:textId="77777777" w:rsidR="00906898" w:rsidRPr="00263DB9" w:rsidRDefault="00906898" w:rsidP="00E51817">
      <w:pPr>
        <w:widowControl w:val="0"/>
        <w:suppressAutoHyphens/>
        <w:rPr>
          <w:color w:val="000000"/>
          <w:szCs w:val="22"/>
        </w:rPr>
      </w:pPr>
      <w:r w:rsidRPr="00263DB9">
        <w:rPr>
          <w:i/>
          <w:color w:val="000000"/>
          <w:szCs w:val="22"/>
        </w:rPr>
        <w:t>Fase acelerada</w:t>
      </w:r>
      <w:r w:rsidRPr="00263DB9">
        <w:rPr>
          <w:color w:val="000000"/>
          <w:szCs w:val="22"/>
        </w:rPr>
        <w:t>: foram admitidos 235 doentes adultos com doença em fase acelerada. Os primeiros 77 doentes iniciaram com 400 mg, subsequentemente o protocolo foi corrigido para permitir a administração de doses mais elevadas e os restantes 158 doentes iniciaram com 600 mg.</w:t>
      </w:r>
    </w:p>
    <w:p w14:paraId="375EB195" w14:textId="77777777" w:rsidR="00906898" w:rsidRPr="00263DB9" w:rsidRDefault="00906898" w:rsidP="00E51817">
      <w:pPr>
        <w:widowControl w:val="0"/>
        <w:suppressAutoHyphens/>
        <w:rPr>
          <w:color w:val="000000"/>
          <w:szCs w:val="22"/>
        </w:rPr>
      </w:pPr>
    </w:p>
    <w:p w14:paraId="375EB196" w14:textId="77777777" w:rsidR="00906898" w:rsidRPr="00263DB9" w:rsidRDefault="00906898" w:rsidP="00E51817">
      <w:pPr>
        <w:widowControl w:val="0"/>
        <w:suppressAutoHyphens/>
        <w:rPr>
          <w:color w:val="000000"/>
          <w:szCs w:val="22"/>
        </w:rPr>
      </w:pPr>
      <w:r w:rsidRPr="00263DB9">
        <w:rPr>
          <w:color w:val="000000"/>
          <w:szCs w:val="22"/>
        </w:rPr>
        <w:t>A variável primária de eficácia foi a taxa de resposta hematológica, notificada como resposta hematológica completa, não evidência de leucemia (i.e. ausência de blastos na medula e no sangue, mas sem uma recuperação total do sangue periférico como para as respostas completas), ou retorno à LMC em fase crónica. Foi atingida uma resposta hematológica confirmada em 71,5% dos doentes (Tabela </w:t>
      </w:r>
      <w:r w:rsidR="00094C01" w:rsidRPr="00263DB9">
        <w:rPr>
          <w:color w:val="000000"/>
          <w:szCs w:val="22"/>
        </w:rPr>
        <w:t>3</w:t>
      </w:r>
      <w:r w:rsidRPr="00263DB9">
        <w:rPr>
          <w:color w:val="000000"/>
          <w:szCs w:val="22"/>
        </w:rPr>
        <w:t xml:space="preserve">). De realçar que 27,7% dos doentes também atingiram uma resposta citogenética </w:t>
      </w:r>
      <w:r w:rsidRPr="00263DB9">
        <w:rPr>
          <w:i/>
          <w:iCs/>
          <w:color w:val="000000"/>
          <w:szCs w:val="22"/>
        </w:rPr>
        <w:t>major</w:t>
      </w:r>
      <w:r w:rsidRPr="00263DB9">
        <w:rPr>
          <w:color w:val="000000"/>
          <w:szCs w:val="22"/>
        </w:rPr>
        <w:t xml:space="preserve">, a qual foi completa em 20,4% (confirmado 16%) dos doentes. Para os doentes tratados com 600 mg, a estimativa atual para a mediana da taxa de </w:t>
      </w:r>
      <w:r w:rsidR="00600EF5" w:rsidRPr="00263DB9">
        <w:rPr>
          <w:color w:val="000000"/>
          <w:szCs w:val="22"/>
        </w:rPr>
        <w:t xml:space="preserve">sobrevivência </w:t>
      </w:r>
      <w:r w:rsidRPr="00263DB9">
        <w:rPr>
          <w:color w:val="000000"/>
          <w:szCs w:val="22"/>
        </w:rPr>
        <w:t xml:space="preserve">sem progressão e para a </w:t>
      </w:r>
      <w:r w:rsidR="00600EF5" w:rsidRPr="00263DB9">
        <w:rPr>
          <w:color w:val="000000"/>
          <w:szCs w:val="22"/>
        </w:rPr>
        <w:t xml:space="preserve">sobrevivência </w:t>
      </w:r>
      <w:r w:rsidRPr="00263DB9">
        <w:rPr>
          <w:color w:val="000000"/>
          <w:szCs w:val="22"/>
        </w:rPr>
        <w:t>global é de 22,9 e de 42,5 meses, respetivamente.</w:t>
      </w:r>
    </w:p>
    <w:p w14:paraId="375EB197" w14:textId="77777777" w:rsidR="00906898" w:rsidRPr="00263DB9" w:rsidRDefault="00906898" w:rsidP="00E51817">
      <w:pPr>
        <w:widowControl w:val="0"/>
        <w:suppressAutoHyphens/>
        <w:rPr>
          <w:color w:val="000000"/>
          <w:szCs w:val="22"/>
        </w:rPr>
      </w:pPr>
    </w:p>
    <w:p w14:paraId="375EB198" w14:textId="77777777" w:rsidR="00906898" w:rsidRPr="00263DB9" w:rsidRDefault="00906898" w:rsidP="00E51817">
      <w:pPr>
        <w:widowControl w:val="0"/>
        <w:suppressAutoHyphens/>
        <w:rPr>
          <w:color w:val="000000"/>
          <w:szCs w:val="22"/>
        </w:rPr>
      </w:pPr>
      <w:r w:rsidRPr="00263DB9">
        <w:rPr>
          <w:i/>
          <w:color w:val="000000"/>
          <w:szCs w:val="22"/>
        </w:rPr>
        <w:t>Crise blástica mieloide</w:t>
      </w:r>
      <w:r w:rsidRPr="00263DB9">
        <w:rPr>
          <w:color w:val="000000"/>
          <w:szCs w:val="22"/>
        </w:rPr>
        <w:t>: foram admitidos 260 doentes com crise blástica mieloide. 95 (37%) tinham feito quimioterapia prévia para o tratamento da fase acelerada ou da crise blástica (“doentes pré-tratados”) enquanto que 165 (63%) não a fizeram (“doentes não tratados”). Os primeiros 37 doentes iniciaram com 400 mg, o protocolo foi corrigido subsequentemente para permitir a administração de doses mais elevadas e os restantes 223 doentes iniciaram com 600 mg.</w:t>
      </w:r>
    </w:p>
    <w:p w14:paraId="375EB199" w14:textId="77777777" w:rsidR="00906898" w:rsidRPr="00263DB9" w:rsidRDefault="00906898" w:rsidP="00E51817">
      <w:pPr>
        <w:widowControl w:val="0"/>
        <w:suppressAutoHyphens/>
        <w:rPr>
          <w:color w:val="000000"/>
          <w:szCs w:val="22"/>
        </w:rPr>
      </w:pPr>
    </w:p>
    <w:p w14:paraId="375EB19A" w14:textId="77777777" w:rsidR="00906898" w:rsidRPr="00263DB9" w:rsidRDefault="00906898" w:rsidP="00E51817">
      <w:pPr>
        <w:widowControl w:val="0"/>
        <w:suppressAutoHyphens/>
        <w:rPr>
          <w:color w:val="000000"/>
          <w:szCs w:val="22"/>
        </w:rPr>
      </w:pPr>
      <w:r w:rsidRPr="00263DB9">
        <w:rPr>
          <w:color w:val="000000"/>
          <w:szCs w:val="22"/>
        </w:rPr>
        <w:t xml:space="preserve">A variável primária de eficácia foi a taxa de resposta hematológica, notificada como resposta hematológica completa, não evidência de leucemia, ou retorno à LMC em fase crónica, usando os mesmos critérios usados para o estudo em fase acelerada. Neste estudo, 31% dos doentes atingiram uma resposta hematológica (36% não tratados anteriormente e 22% em doentes tratados anteriormente). A taxa de resposta também foi mais elevada nos doentes tratados com 600 mg (33%) quando comparados com os doentes tratados com 400 mg (16%, p=0,0220). A estimativa atual da </w:t>
      </w:r>
      <w:r w:rsidR="00600EF5" w:rsidRPr="00263DB9">
        <w:rPr>
          <w:color w:val="000000"/>
          <w:szCs w:val="22"/>
        </w:rPr>
        <w:t xml:space="preserve">sobrevivência </w:t>
      </w:r>
      <w:r w:rsidRPr="00263DB9">
        <w:rPr>
          <w:color w:val="000000"/>
          <w:szCs w:val="22"/>
        </w:rPr>
        <w:t>média dos doentes não tratados e tratados anteriormente foi 7,7 e 4,7 meses, respetivamente.</w:t>
      </w:r>
    </w:p>
    <w:p w14:paraId="375EB19B" w14:textId="77777777" w:rsidR="00906898" w:rsidRPr="00263DB9" w:rsidRDefault="00906898" w:rsidP="00E51817">
      <w:pPr>
        <w:widowControl w:val="0"/>
        <w:suppressAutoHyphens/>
        <w:rPr>
          <w:color w:val="000000"/>
          <w:szCs w:val="22"/>
        </w:rPr>
      </w:pPr>
    </w:p>
    <w:p w14:paraId="375EB19C" w14:textId="77777777" w:rsidR="00906898" w:rsidRPr="00263DB9" w:rsidRDefault="00906898" w:rsidP="00E51817">
      <w:pPr>
        <w:widowControl w:val="0"/>
        <w:suppressAutoHyphens/>
        <w:rPr>
          <w:color w:val="000000"/>
          <w:szCs w:val="22"/>
        </w:rPr>
      </w:pPr>
      <w:r w:rsidRPr="00263DB9">
        <w:rPr>
          <w:i/>
          <w:color w:val="000000"/>
          <w:szCs w:val="22"/>
        </w:rPr>
        <w:t>Crise blástica linfoide</w:t>
      </w:r>
      <w:r w:rsidRPr="00263DB9">
        <w:rPr>
          <w:color w:val="000000"/>
          <w:szCs w:val="22"/>
        </w:rPr>
        <w:t>: o número de doentes incluídos nos estudos de fase I foi limitado (n=10). A taxa de resposta hematológica foi de 70% com uma duração de 2–3 meses.</w:t>
      </w:r>
    </w:p>
    <w:p w14:paraId="375EB19D" w14:textId="77777777" w:rsidR="00906898" w:rsidRPr="00263DB9" w:rsidRDefault="00906898" w:rsidP="00E51817">
      <w:pPr>
        <w:widowControl w:val="0"/>
        <w:suppressAutoHyphens/>
        <w:rPr>
          <w:color w:val="000000"/>
          <w:szCs w:val="22"/>
        </w:rPr>
      </w:pPr>
    </w:p>
    <w:p w14:paraId="375EB19E" w14:textId="77777777" w:rsidR="00906898" w:rsidRPr="00263DB9" w:rsidRDefault="00906898" w:rsidP="003970DC">
      <w:pPr>
        <w:keepNext/>
        <w:keepLines/>
        <w:widowControl w:val="0"/>
        <w:tabs>
          <w:tab w:val="left" w:pos="1134"/>
        </w:tabs>
        <w:suppressAutoHyphens/>
        <w:rPr>
          <w:color w:val="000000"/>
          <w:szCs w:val="22"/>
        </w:rPr>
      </w:pPr>
      <w:r w:rsidRPr="00263DB9">
        <w:rPr>
          <w:b/>
          <w:color w:val="000000"/>
          <w:szCs w:val="22"/>
        </w:rPr>
        <w:lastRenderedPageBreak/>
        <w:t>Tabela </w:t>
      </w:r>
      <w:r w:rsidR="00094C01" w:rsidRPr="00263DB9">
        <w:rPr>
          <w:b/>
          <w:color w:val="000000"/>
          <w:szCs w:val="22"/>
        </w:rPr>
        <w:t>3</w:t>
      </w:r>
      <w:r w:rsidRPr="00263DB9">
        <w:rPr>
          <w:b/>
          <w:color w:val="000000"/>
          <w:szCs w:val="22"/>
        </w:rPr>
        <w:tab/>
        <w:t>Resposta em estudos na LMC em adultos</w:t>
      </w:r>
    </w:p>
    <w:p w14:paraId="375EB19F" w14:textId="77777777" w:rsidR="00906898" w:rsidRPr="00263DB9" w:rsidRDefault="00906898" w:rsidP="003970DC">
      <w:pPr>
        <w:keepNext/>
        <w:keepLines/>
        <w:widowControl w:val="0"/>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1985"/>
        <w:gridCol w:w="1984"/>
        <w:gridCol w:w="1655"/>
      </w:tblGrid>
      <w:tr w:rsidR="00906898" w:rsidRPr="00263DB9" w14:paraId="375EB1A7" w14:textId="77777777" w:rsidTr="003970DC">
        <w:trPr>
          <w:cantSplit/>
        </w:trPr>
        <w:tc>
          <w:tcPr>
            <w:tcW w:w="3652" w:type="dxa"/>
          </w:tcPr>
          <w:p w14:paraId="375EB1A0" w14:textId="77777777" w:rsidR="00906898" w:rsidRPr="00263DB9" w:rsidRDefault="00906898" w:rsidP="003970DC">
            <w:pPr>
              <w:keepNext/>
              <w:keepLines/>
              <w:widowControl w:val="0"/>
              <w:suppressAutoHyphens/>
              <w:rPr>
                <w:color w:val="000000"/>
                <w:szCs w:val="22"/>
              </w:rPr>
            </w:pPr>
          </w:p>
        </w:tc>
        <w:tc>
          <w:tcPr>
            <w:tcW w:w="1985" w:type="dxa"/>
          </w:tcPr>
          <w:p w14:paraId="375EB1A1" w14:textId="77777777" w:rsidR="00906898" w:rsidRPr="00263DB9" w:rsidRDefault="00906898" w:rsidP="003970DC">
            <w:pPr>
              <w:keepNext/>
              <w:keepLines/>
              <w:widowControl w:val="0"/>
              <w:suppressAutoHyphens/>
              <w:jc w:val="center"/>
              <w:rPr>
                <w:color w:val="000000"/>
                <w:szCs w:val="22"/>
              </w:rPr>
            </w:pPr>
            <w:r w:rsidRPr="00263DB9">
              <w:rPr>
                <w:color w:val="000000"/>
                <w:szCs w:val="22"/>
              </w:rPr>
              <w:t>Estudo 0110</w:t>
            </w:r>
          </w:p>
          <w:p w14:paraId="375EB1A2" w14:textId="77777777" w:rsidR="00906898" w:rsidRPr="00263DB9" w:rsidRDefault="00906898" w:rsidP="003970DC">
            <w:pPr>
              <w:keepNext/>
              <w:keepLines/>
              <w:widowControl w:val="0"/>
              <w:suppressAutoHyphens/>
              <w:jc w:val="center"/>
              <w:rPr>
                <w:color w:val="000000"/>
                <w:szCs w:val="22"/>
              </w:rPr>
            </w:pPr>
            <w:r w:rsidRPr="00263DB9">
              <w:rPr>
                <w:color w:val="000000"/>
                <w:szCs w:val="22"/>
              </w:rPr>
              <w:t>Dados aos 37 meses</w:t>
            </w:r>
          </w:p>
        </w:tc>
        <w:tc>
          <w:tcPr>
            <w:tcW w:w="1984" w:type="dxa"/>
          </w:tcPr>
          <w:p w14:paraId="375EB1A3" w14:textId="77777777" w:rsidR="00906898" w:rsidRPr="00263DB9" w:rsidRDefault="00906898" w:rsidP="003970DC">
            <w:pPr>
              <w:keepNext/>
              <w:keepLines/>
              <w:widowControl w:val="0"/>
              <w:suppressAutoHyphens/>
              <w:jc w:val="center"/>
              <w:rPr>
                <w:color w:val="000000"/>
                <w:szCs w:val="22"/>
              </w:rPr>
            </w:pPr>
            <w:r w:rsidRPr="00263DB9">
              <w:rPr>
                <w:color w:val="000000"/>
                <w:szCs w:val="22"/>
              </w:rPr>
              <w:t>Estudo 0109</w:t>
            </w:r>
          </w:p>
          <w:p w14:paraId="375EB1A4" w14:textId="77777777" w:rsidR="00906898" w:rsidRPr="00263DB9" w:rsidRDefault="00906898" w:rsidP="003970DC">
            <w:pPr>
              <w:keepNext/>
              <w:keepLines/>
              <w:widowControl w:val="0"/>
              <w:suppressAutoHyphens/>
              <w:jc w:val="center"/>
              <w:rPr>
                <w:color w:val="000000"/>
                <w:szCs w:val="22"/>
              </w:rPr>
            </w:pPr>
            <w:r w:rsidRPr="00263DB9">
              <w:rPr>
                <w:color w:val="000000"/>
                <w:szCs w:val="22"/>
              </w:rPr>
              <w:t>Dados aos 40,5 meses</w:t>
            </w:r>
          </w:p>
        </w:tc>
        <w:tc>
          <w:tcPr>
            <w:tcW w:w="1655" w:type="dxa"/>
          </w:tcPr>
          <w:p w14:paraId="375EB1A5" w14:textId="77777777" w:rsidR="00906898" w:rsidRPr="00263DB9" w:rsidRDefault="00906898" w:rsidP="003970DC">
            <w:pPr>
              <w:keepNext/>
              <w:keepLines/>
              <w:widowControl w:val="0"/>
              <w:suppressAutoHyphens/>
              <w:ind w:left="-108" w:right="-154"/>
              <w:jc w:val="center"/>
              <w:rPr>
                <w:color w:val="000000"/>
                <w:szCs w:val="22"/>
              </w:rPr>
            </w:pPr>
            <w:r w:rsidRPr="00263DB9">
              <w:rPr>
                <w:color w:val="000000"/>
                <w:szCs w:val="22"/>
              </w:rPr>
              <w:t>Estudo 0102</w:t>
            </w:r>
          </w:p>
          <w:p w14:paraId="375EB1A6" w14:textId="77777777" w:rsidR="00906898" w:rsidRPr="00263DB9" w:rsidRDefault="00906898" w:rsidP="003970DC">
            <w:pPr>
              <w:keepNext/>
              <w:keepLines/>
              <w:widowControl w:val="0"/>
              <w:suppressAutoHyphens/>
              <w:ind w:left="-108" w:right="-154"/>
              <w:jc w:val="center"/>
              <w:rPr>
                <w:color w:val="000000"/>
                <w:szCs w:val="22"/>
              </w:rPr>
            </w:pPr>
            <w:r w:rsidRPr="00263DB9">
              <w:rPr>
                <w:color w:val="000000"/>
                <w:szCs w:val="22"/>
              </w:rPr>
              <w:t>Dados aos 38 meses</w:t>
            </w:r>
          </w:p>
        </w:tc>
      </w:tr>
      <w:tr w:rsidR="00906898" w:rsidRPr="00263DB9" w14:paraId="375EB1AF" w14:textId="77777777" w:rsidTr="003970DC">
        <w:trPr>
          <w:cantSplit/>
        </w:trPr>
        <w:tc>
          <w:tcPr>
            <w:tcW w:w="3652" w:type="dxa"/>
          </w:tcPr>
          <w:p w14:paraId="375EB1A8" w14:textId="77777777" w:rsidR="00906898" w:rsidRPr="00263DB9" w:rsidRDefault="00906898" w:rsidP="003970DC">
            <w:pPr>
              <w:keepNext/>
              <w:keepLines/>
              <w:widowControl w:val="0"/>
              <w:suppressAutoHyphens/>
              <w:rPr>
                <w:color w:val="000000"/>
                <w:szCs w:val="22"/>
              </w:rPr>
            </w:pPr>
          </w:p>
        </w:tc>
        <w:tc>
          <w:tcPr>
            <w:tcW w:w="1985" w:type="dxa"/>
          </w:tcPr>
          <w:p w14:paraId="375EB1A9"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Fase crónica, insucesso de IFN</w:t>
            </w:r>
          </w:p>
          <w:p w14:paraId="375EB1AA"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(n=532)</w:t>
            </w:r>
          </w:p>
        </w:tc>
        <w:tc>
          <w:tcPr>
            <w:tcW w:w="1984" w:type="dxa"/>
          </w:tcPr>
          <w:p w14:paraId="375EB1AB"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Fase acelerada</w:t>
            </w:r>
          </w:p>
          <w:p w14:paraId="375EB1AC"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(n=235)</w:t>
            </w:r>
          </w:p>
        </w:tc>
        <w:tc>
          <w:tcPr>
            <w:tcW w:w="1655" w:type="dxa"/>
          </w:tcPr>
          <w:p w14:paraId="375EB1AD" w14:textId="77777777" w:rsidR="00906898" w:rsidRPr="00263DB9" w:rsidRDefault="00906898" w:rsidP="003970DC">
            <w:pPr>
              <w:keepNext/>
              <w:keepLines/>
              <w:widowControl w:val="0"/>
              <w:suppressAutoHyphens/>
              <w:ind w:left="-108" w:right="-154"/>
              <w:jc w:val="center"/>
              <w:rPr>
                <w:color w:val="000000"/>
                <w:szCs w:val="22"/>
              </w:rPr>
            </w:pPr>
            <w:r w:rsidRPr="00263DB9">
              <w:rPr>
                <w:color w:val="000000"/>
                <w:szCs w:val="22"/>
              </w:rPr>
              <w:t>Crise blástica mieloide</w:t>
            </w:r>
          </w:p>
          <w:p w14:paraId="375EB1AE" w14:textId="77777777" w:rsidR="00906898" w:rsidRPr="00263DB9" w:rsidRDefault="00906898" w:rsidP="003970DC">
            <w:pPr>
              <w:keepNext/>
              <w:keepLines/>
              <w:widowControl w:val="0"/>
              <w:suppressAutoHyphens/>
              <w:ind w:left="-108" w:right="-154"/>
              <w:jc w:val="center"/>
              <w:rPr>
                <w:color w:val="000000"/>
                <w:szCs w:val="22"/>
              </w:rPr>
            </w:pPr>
            <w:r w:rsidRPr="00263DB9">
              <w:rPr>
                <w:color w:val="000000"/>
                <w:szCs w:val="22"/>
              </w:rPr>
              <w:t>(n=260)</w:t>
            </w:r>
          </w:p>
        </w:tc>
      </w:tr>
      <w:tr w:rsidR="00906898" w:rsidRPr="00263DB9" w14:paraId="375EB1B2" w14:textId="77777777" w:rsidTr="003970DC">
        <w:trPr>
          <w:cantSplit/>
        </w:trPr>
        <w:tc>
          <w:tcPr>
            <w:tcW w:w="3652" w:type="dxa"/>
          </w:tcPr>
          <w:p w14:paraId="375EB1B0" w14:textId="77777777" w:rsidR="00906898" w:rsidRPr="00263DB9" w:rsidRDefault="00906898" w:rsidP="003970DC">
            <w:pPr>
              <w:keepNext/>
              <w:keepLines/>
              <w:widowControl w:val="0"/>
              <w:suppressAutoHyphens/>
              <w:rPr>
                <w:color w:val="000000"/>
                <w:szCs w:val="22"/>
              </w:rPr>
            </w:pPr>
          </w:p>
        </w:tc>
        <w:tc>
          <w:tcPr>
            <w:tcW w:w="5624" w:type="dxa"/>
            <w:gridSpan w:val="3"/>
          </w:tcPr>
          <w:p w14:paraId="375EB1B1" w14:textId="77777777" w:rsidR="00906898" w:rsidRPr="00263DB9" w:rsidRDefault="00906898" w:rsidP="003970DC">
            <w:pPr>
              <w:keepNext/>
              <w:keepLines/>
              <w:widowControl w:val="0"/>
              <w:suppressAutoHyphens/>
              <w:ind w:left="-108"/>
              <w:jc w:val="center"/>
              <w:rPr>
                <w:color w:val="000000"/>
                <w:szCs w:val="22"/>
              </w:rPr>
            </w:pPr>
            <w:r w:rsidRPr="00263DB9">
              <w:rPr>
                <w:color w:val="000000"/>
                <w:szCs w:val="22"/>
              </w:rPr>
              <w:t>% de doentes (IC</w:t>
            </w:r>
            <w:r w:rsidRPr="00263DB9">
              <w:rPr>
                <w:color w:val="000000"/>
                <w:szCs w:val="22"/>
                <w:vertAlign w:val="subscript"/>
              </w:rPr>
              <w:t>95%</w:t>
            </w:r>
            <w:r w:rsidRPr="00263DB9">
              <w:rPr>
                <w:color w:val="000000"/>
                <w:szCs w:val="22"/>
              </w:rPr>
              <w:t>)</w:t>
            </w:r>
          </w:p>
        </w:tc>
      </w:tr>
      <w:tr w:rsidR="00906898" w:rsidRPr="00263DB9" w14:paraId="375EB1C6" w14:textId="77777777" w:rsidTr="003970DC">
        <w:trPr>
          <w:cantSplit/>
        </w:trPr>
        <w:tc>
          <w:tcPr>
            <w:tcW w:w="3652" w:type="dxa"/>
          </w:tcPr>
          <w:p w14:paraId="375EB1B3" w14:textId="77777777" w:rsidR="00906898" w:rsidRPr="00263DB9" w:rsidRDefault="00906898" w:rsidP="003970DC">
            <w:pPr>
              <w:keepNext/>
              <w:keepLines/>
              <w:widowControl w:val="0"/>
              <w:suppressAutoHyphens/>
              <w:ind w:right="-108"/>
              <w:rPr>
                <w:color w:val="000000"/>
                <w:szCs w:val="22"/>
                <w:vertAlign w:val="superscript"/>
              </w:rPr>
            </w:pPr>
            <w:r w:rsidRPr="00263DB9">
              <w:rPr>
                <w:color w:val="000000"/>
                <w:szCs w:val="22"/>
              </w:rPr>
              <w:t>Resposta hematológica</w:t>
            </w:r>
            <w:r w:rsidRPr="00263DB9">
              <w:rPr>
                <w:color w:val="000000"/>
                <w:szCs w:val="22"/>
                <w:vertAlign w:val="superscript"/>
              </w:rPr>
              <w:t>1</w:t>
            </w:r>
          </w:p>
          <w:p w14:paraId="375EB1B4" w14:textId="77777777" w:rsidR="00906898" w:rsidRPr="00263DB9" w:rsidRDefault="00906898" w:rsidP="003970DC">
            <w:pPr>
              <w:pStyle w:val="BodyTextIndent"/>
              <w:keepNext/>
              <w:keepLines/>
              <w:widowControl w:val="0"/>
              <w:ind w:left="142" w:right="-108" w:firstLine="0"/>
              <w:rPr>
                <w:color w:val="000000"/>
                <w:szCs w:val="22"/>
              </w:rPr>
            </w:pPr>
            <w:r w:rsidRPr="00263DB9">
              <w:rPr>
                <w:color w:val="000000"/>
                <w:szCs w:val="22"/>
              </w:rPr>
              <w:t>Resposta hematológica completa (RHC)</w:t>
            </w:r>
          </w:p>
          <w:p w14:paraId="375EB1B5" w14:textId="77777777" w:rsidR="00906898" w:rsidRPr="00263DB9" w:rsidRDefault="00906898" w:rsidP="003970DC">
            <w:pPr>
              <w:keepNext/>
              <w:keepLines/>
              <w:widowControl w:val="0"/>
              <w:suppressAutoHyphens/>
              <w:ind w:left="142" w:right="-108"/>
              <w:rPr>
                <w:color w:val="000000"/>
                <w:szCs w:val="22"/>
              </w:rPr>
            </w:pPr>
            <w:r w:rsidRPr="00263DB9">
              <w:rPr>
                <w:color w:val="000000"/>
                <w:szCs w:val="22"/>
              </w:rPr>
              <w:t>Não evidência de leucemia (NEL)</w:t>
            </w:r>
          </w:p>
          <w:p w14:paraId="375EB1B6" w14:textId="77777777" w:rsidR="00906898" w:rsidRPr="00263DB9" w:rsidRDefault="00906898" w:rsidP="003970DC">
            <w:pPr>
              <w:keepNext/>
              <w:keepLines/>
              <w:widowControl w:val="0"/>
              <w:suppressAutoHyphens/>
              <w:ind w:left="142" w:right="-108"/>
              <w:rPr>
                <w:color w:val="000000"/>
                <w:szCs w:val="22"/>
              </w:rPr>
            </w:pPr>
            <w:r w:rsidRPr="00263DB9">
              <w:rPr>
                <w:color w:val="000000"/>
                <w:szCs w:val="22"/>
              </w:rPr>
              <w:t>Retorno à fase crónica (RFC)</w:t>
            </w:r>
          </w:p>
        </w:tc>
        <w:tc>
          <w:tcPr>
            <w:tcW w:w="1985" w:type="dxa"/>
          </w:tcPr>
          <w:p w14:paraId="375EB1B7"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95% (92,3–96,3)</w:t>
            </w:r>
          </w:p>
          <w:p w14:paraId="375EB1B8"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95%</w:t>
            </w:r>
          </w:p>
          <w:p w14:paraId="375EB1B9" w14:textId="77777777" w:rsidR="00906898" w:rsidRPr="00263DB9" w:rsidRDefault="00906898" w:rsidP="003970DC">
            <w:pPr>
              <w:keepNext/>
              <w:keepLines/>
              <w:widowControl w:val="0"/>
              <w:suppressAutoHyphens/>
              <w:ind w:left="-108" w:right="-108"/>
              <w:jc w:val="center"/>
              <w:rPr>
                <w:color w:val="000000"/>
                <w:szCs w:val="22"/>
              </w:rPr>
            </w:pPr>
          </w:p>
          <w:p w14:paraId="375EB1BA"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Não aplicável</w:t>
            </w:r>
          </w:p>
          <w:p w14:paraId="375EB1BB"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Não aplicável</w:t>
            </w:r>
          </w:p>
        </w:tc>
        <w:tc>
          <w:tcPr>
            <w:tcW w:w="1984" w:type="dxa"/>
          </w:tcPr>
          <w:p w14:paraId="375EB1BC"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71% (65,3–77,2)</w:t>
            </w:r>
          </w:p>
          <w:p w14:paraId="375EB1BD"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42%</w:t>
            </w:r>
          </w:p>
          <w:p w14:paraId="375EB1BE" w14:textId="77777777" w:rsidR="00906898" w:rsidRPr="00263DB9" w:rsidRDefault="00906898" w:rsidP="003970DC">
            <w:pPr>
              <w:keepNext/>
              <w:keepLines/>
              <w:widowControl w:val="0"/>
              <w:suppressAutoHyphens/>
              <w:ind w:left="-108" w:right="-108"/>
              <w:jc w:val="center"/>
              <w:rPr>
                <w:color w:val="000000"/>
                <w:szCs w:val="22"/>
              </w:rPr>
            </w:pPr>
          </w:p>
          <w:p w14:paraId="375EB1BF"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12%</w:t>
            </w:r>
          </w:p>
          <w:p w14:paraId="375EB1C0"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17%</w:t>
            </w:r>
          </w:p>
        </w:tc>
        <w:tc>
          <w:tcPr>
            <w:tcW w:w="1655" w:type="dxa"/>
          </w:tcPr>
          <w:p w14:paraId="375EB1C1" w14:textId="77777777" w:rsidR="00906898" w:rsidRPr="00263DB9" w:rsidRDefault="00906898" w:rsidP="003970DC">
            <w:pPr>
              <w:keepNext/>
              <w:keepLines/>
              <w:widowControl w:val="0"/>
              <w:suppressAutoHyphens/>
              <w:ind w:left="-108" w:right="-154"/>
              <w:jc w:val="center"/>
              <w:rPr>
                <w:color w:val="000000"/>
                <w:szCs w:val="22"/>
              </w:rPr>
            </w:pPr>
            <w:r w:rsidRPr="00263DB9">
              <w:rPr>
                <w:color w:val="000000"/>
                <w:szCs w:val="22"/>
              </w:rPr>
              <w:t>31% (25,2–36,8)</w:t>
            </w:r>
          </w:p>
          <w:p w14:paraId="375EB1C2" w14:textId="77777777" w:rsidR="00906898" w:rsidRPr="00263DB9" w:rsidRDefault="00906898" w:rsidP="003970DC">
            <w:pPr>
              <w:keepNext/>
              <w:keepLines/>
              <w:widowControl w:val="0"/>
              <w:suppressAutoHyphens/>
              <w:ind w:left="-108" w:right="-154"/>
              <w:jc w:val="center"/>
              <w:rPr>
                <w:color w:val="000000"/>
                <w:szCs w:val="22"/>
              </w:rPr>
            </w:pPr>
            <w:r w:rsidRPr="00263DB9">
              <w:rPr>
                <w:color w:val="000000"/>
                <w:szCs w:val="22"/>
              </w:rPr>
              <w:t>8%</w:t>
            </w:r>
          </w:p>
          <w:p w14:paraId="375EB1C3" w14:textId="77777777" w:rsidR="00906898" w:rsidRPr="00263DB9" w:rsidRDefault="00906898" w:rsidP="003970DC">
            <w:pPr>
              <w:keepNext/>
              <w:keepLines/>
              <w:widowControl w:val="0"/>
              <w:suppressAutoHyphens/>
              <w:ind w:left="-108" w:right="-154"/>
              <w:jc w:val="center"/>
              <w:rPr>
                <w:color w:val="000000"/>
                <w:szCs w:val="22"/>
              </w:rPr>
            </w:pPr>
          </w:p>
          <w:p w14:paraId="375EB1C4" w14:textId="77777777" w:rsidR="00906898" w:rsidRPr="00263DB9" w:rsidRDefault="00906898" w:rsidP="003970DC">
            <w:pPr>
              <w:keepNext/>
              <w:keepLines/>
              <w:widowControl w:val="0"/>
              <w:suppressAutoHyphens/>
              <w:ind w:left="-108" w:right="-154"/>
              <w:jc w:val="center"/>
              <w:rPr>
                <w:color w:val="000000"/>
                <w:szCs w:val="22"/>
              </w:rPr>
            </w:pPr>
            <w:r w:rsidRPr="00263DB9">
              <w:rPr>
                <w:color w:val="000000"/>
                <w:szCs w:val="22"/>
              </w:rPr>
              <w:t>5%</w:t>
            </w:r>
          </w:p>
          <w:p w14:paraId="375EB1C5" w14:textId="77777777" w:rsidR="00906898" w:rsidRPr="00263DB9" w:rsidRDefault="00906898" w:rsidP="003970DC">
            <w:pPr>
              <w:keepNext/>
              <w:keepLines/>
              <w:widowControl w:val="0"/>
              <w:suppressAutoHyphens/>
              <w:ind w:left="-108" w:right="-154"/>
              <w:jc w:val="center"/>
              <w:rPr>
                <w:color w:val="000000"/>
                <w:szCs w:val="22"/>
              </w:rPr>
            </w:pPr>
            <w:r w:rsidRPr="00263DB9">
              <w:rPr>
                <w:color w:val="000000"/>
                <w:szCs w:val="22"/>
              </w:rPr>
              <w:t>18%</w:t>
            </w:r>
          </w:p>
        </w:tc>
      </w:tr>
      <w:tr w:rsidR="00906898" w:rsidRPr="00263DB9" w14:paraId="375EB1D7" w14:textId="77777777" w:rsidTr="003970DC">
        <w:trPr>
          <w:cantSplit/>
        </w:trPr>
        <w:tc>
          <w:tcPr>
            <w:tcW w:w="3652" w:type="dxa"/>
          </w:tcPr>
          <w:p w14:paraId="375EB1C7" w14:textId="77777777" w:rsidR="00906898" w:rsidRPr="00263DB9" w:rsidRDefault="00906898" w:rsidP="003970DC">
            <w:pPr>
              <w:keepNext/>
              <w:keepLines/>
              <w:widowControl w:val="0"/>
              <w:suppressAutoHyphens/>
              <w:ind w:right="-108"/>
              <w:rPr>
                <w:color w:val="000000"/>
                <w:szCs w:val="22"/>
                <w:vertAlign w:val="superscript"/>
              </w:rPr>
            </w:pPr>
            <w:r w:rsidRPr="00263DB9">
              <w:rPr>
                <w:color w:val="000000"/>
                <w:szCs w:val="22"/>
              </w:rPr>
              <w:t xml:space="preserve">Resposta citogenética </w:t>
            </w:r>
            <w:r w:rsidRPr="00263DB9">
              <w:rPr>
                <w:i/>
                <w:iCs/>
                <w:color w:val="000000"/>
                <w:szCs w:val="22"/>
              </w:rPr>
              <w:t>major</w:t>
            </w:r>
            <w:r w:rsidRPr="00263DB9">
              <w:rPr>
                <w:color w:val="000000"/>
                <w:szCs w:val="22"/>
                <w:vertAlign w:val="superscript"/>
              </w:rPr>
              <w:t>2</w:t>
            </w:r>
          </w:p>
          <w:p w14:paraId="375EB1C8" w14:textId="77777777" w:rsidR="00906898" w:rsidRPr="00263DB9" w:rsidRDefault="00906898" w:rsidP="003970DC">
            <w:pPr>
              <w:keepNext/>
              <w:keepLines/>
              <w:widowControl w:val="0"/>
              <w:suppressAutoHyphens/>
              <w:ind w:right="-108"/>
              <w:rPr>
                <w:color w:val="000000"/>
                <w:szCs w:val="22"/>
              </w:rPr>
            </w:pPr>
            <w:r w:rsidRPr="00263DB9">
              <w:rPr>
                <w:color w:val="000000"/>
                <w:szCs w:val="22"/>
              </w:rPr>
              <w:tab/>
              <w:t>Completa</w:t>
            </w:r>
          </w:p>
          <w:p w14:paraId="375EB1C9" w14:textId="77777777" w:rsidR="00906898" w:rsidRPr="00263DB9" w:rsidRDefault="00906898" w:rsidP="003970DC">
            <w:pPr>
              <w:keepNext/>
              <w:keepLines/>
              <w:widowControl w:val="0"/>
              <w:suppressAutoHyphens/>
              <w:ind w:right="-108"/>
              <w:rPr>
                <w:color w:val="000000"/>
                <w:szCs w:val="22"/>
              </w:rPr>
            </w:pPr>
            <w:r w:rsidRPr="00263DB9">
              <w:rPr>
                <w:color w:val="000000"/>
                <w:szCs w:val="22"/>
              </w:rPr>
              <w:tab/>
              <w:t>(Confirmada</w:t>
            </w:r>
            <w:r w:rsidRPr="00263DB9">
              <w:rPr>
                <w:color w:val="000000"/>
                <w:szCs w:val="22"/>
                <w:vertAlign w:val="superscript"/>
              </w:rPr>
              <w:t>3</w:t>
            </w:r>
            <w:r w:rsidRPr="00263DB9">
              <w:rPr>
                <w:color w:val="000000"/>
                <w:szCs w:val="22"/>
              </w:rPr>
              <w:t xml:space="preserve">) </w:t>
            </w:r>
            <w:r w:rsidRPr="00263DB9">
              <w:rPr>
                <w:color w:val="000000"/>
                <w:szCs w:val="22"/>
              </w:rPr>
              <w:sym w:font="Symbol" w:char="F05B"/>
            </w:r>
            <w:r w:rsidRPr="00263DB9">
              <w:rPr>
                <w:color w:val="000000"/>
                <w:szCs w:val="22"/>
              </w:rPr>
              <w:t>IC 95%</w:t>
            </w:r>
            <w:r w:rsidRPr="00263DB9">
              <w:rPr>
                <w:color w:val="000000"/>
                <w:szCs w:val="22"/>
              </w:rPr>
              <w:sym w:font="Symbol" w:char="F05D"/>
            </w:r>
          </w:p>
          <w:p w14:paraId="375EB1CA" w14:textId="77777777" w:rsidR="00906898" w:rsidRPr="00263DB9" w:rsidRDefault="00906898" w:rsidP="003970DC">
            <w:pPr>
              <w:keepNext/>
              <w:keepLines/>
              <w:widowControl w:val="0"/>
              <w:suppressAutoHyphens/>
              <w:ind w:right="-108"/>
              <w:rPr>
                <w:color w:val="000000"/>
                <w:szCs w:val="22"/>
              </w:rPr>
            </w:pPr>
            <w:r w:rsidRPr="00263DB9">
              <w:rPr>
                <w:color w:val="000000"/>
                <w:szCs w:val="22"/>
              </w:rPr>
              <w:tab/>
              <w:t>Parcial</w:t>
            </w:r>
          </w:p>
        </w:tc>
        <w:tc>
          <w:tcPr>
            <w:tcW w:w="1985" w:type="dxa"/>
          </w:tcPr>
          <w:p w14:paraId="375EB1CB"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65% (61,2–69,5)</w:t>
            </w:r>
          </w:p>
          <w:p w14:paraId="375EB1CC"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53%</w:t>
            </w:r>
          </w:p>
          <w:p w14:paraId="375EB1CD"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 xml:space="preserve">(43%) </w:t>
            </w:r>
            <w:r w:rsidRPr="00263DB9">
              <w:rPr>
                <w:color w:val="000000"/>
                <w:szCs w:val="22"/>
              </w:rPr>
              <w:sym w:font="Symbol" w:char="F05B"/>
            </w:r>
            <w:r w:rsidRPr="00263DB9">
              <w:rPr>
                <w:color w:val="000000"/>
                <w:szCs w:val="22"/>
              </w:rPr>
              <w:t>38,6–47,2</w:t>
            </w:r>
            <w:r w:rsidRPr="00263DB9">
              <w:rPr>
                <w:color w:val="000000"/>
                <w:szCs w:val="22"/>
              </w:rPr>
              <w:sym w:font="Symbol" w:char="F05D"/>
            </w:r>
          </w:p>
          <w:p w14:paraId="375EB1CE"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12%</w:t>
            </w:r>
          </w:p>
        </w:tc>
        <w:tc>
          <w:tcPr>
            <w:tcW w:w="1984" w:type="dxa"/>
          </w:tcPr>
          <w:p w14:paraId="375EB1CF"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28% (22,0–33,9)</w:t>
            </w:r>
          </w:p>
          <w:p w14:paraId="375EB1D0"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20%</w:t>
            </w:r>
          </w:p>
          <w:p w14:paraId="375EB1D1"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 xml:space="preserve">(16%) </w:t>
            </w:r>
            <w:r w:rsidRPr="00263DB9">
              <w:rPr>
                <w:color w:val="000000"/>
                <w:szCs w:val="22"/>
              </w:rPr>
              <w:sym w:font="Symbol" w:char="F05B"/>
            </w:r>
            <w:r w:rsidRPr="00263DB9">
              <w:rPr>
                <w:color w:val="000000"/>
                <w:szCs w:val="22"/>
              </w:rPr>
              <w:t>11,3–21,0</w:t>
            </w:r>
            <w:r w:rsidRPr="00263DB9">
              <w:rPr>
                <w:color w:val="000000"/>
                <w:szCs w:val="22"/>
              </w:rPr>
              <w:sym w:font="Symbol" w:char="F05D"/>
            </w:r>
          </w:p>
          <w:p w14:paraId="375EB1D2" w14:textId="77777777" w:rsidR="00906898" w:rsidRPr="00263DB9" w:rsidRDefault="00906898" w:rsidP="003970DC">
            <w:pPr>
              <w:keepNext/>
              <w:keepLines/>
              <w:widowControl w:val="0"/>
              <w:suppressAutoHyphens/>
              <w:ind w:left="-108" w:right="-108"/>
              <w:jc w:val="center"/>
              <w:rPr>
                <w:color w:val="000000"/>
                <w:szCs w:val="22"/>
              </w:rPr>
            </w:pPr>
            <w:r w:rsidRPr="00263DB9">
              <w:rPr>
                <w:color w:val="000000"/>
                <w:szCs w:val="22"/>
              </w:rPr>
              <w:t>7%</w:t>
            </w:r>
          </w:p>
        </w:tc>
        <w:tc>
          <w:tcPr>
            <w:tcW w:w="1655" w:type="dxa"/>
          </w:tcPr>
          <w:p w14:paraId="375EB1D3" w14:textId="77777777" w:rsidR="00906898" w:rsidRPr="00263DB9" w:rsidRDefault="00906898" w:rsidP="003970DC">
            <w:pPr>
              <w:keepNext/>
              <w:keepLines/>
              <w:widowControl w:val="0"/>
              <w:suppressAutoHyphens/>
              <w:ind w:left="-108" w:right="-154"/>
              <w:jc w:val="center"/>
              <w:rPr>
                <w:color w:val="000000"/>
                <w:szCs w:val="22"/>
              </w:rPr>
            </w:pPr>
            <w:r w:rsidRPr="00263DB9">
              <w:rPr>
                <w:color w:val="000000"/>
                <w:szCs w:val="22"/>
              </w:rPr>
              <w:t>15% (11,2–20,4)</w:t>
            </w:r>
          </w:p>
          <w:p w14:paraId="375EB1D4" w14:textId="77777777" w:rsidR="00906898" w:rsidRPr="00263DB9" w:rsidRDefault="00906898" w:rsidP="003970DC">
            <w:pPr>
              <w:keepNext/>
              <w:keepLines/>
              <w:widowControl w:val="0"/>
              <w:suppressAutoHyphens/>
              <w:ind w:left="-108" w:right="-154"/>
              <w:jc w:val="center"/>
              <w:rPr>
                <w:color w:val="000000"/>
                <w:szCs w:val="22"/>
              </w:rPr>
            </w:pPr>
            <w:r w:rsidRPr="00263DB9">
              <w:rPr>
                <w:color w:val="000000"/>
                <w:szCs w:val="22"/>
              </w:rPr>
              <w:t>7%</w:t>
            </w:r>
          </w:p>
          <w:p w14:paraId="375EB1D5" w14:textId="77777777" w:rsidR="00906898" w:rsidRPr="00263DB9" w:rsidRDefault="00906898" w:rsidP="003970DC">
            <w:pPr>
              <w:keepNext/>
              <w:keepLines/>
              <w:widowControl w:val="0"/>
              <w:suppressAutoHyphens/>
              <w:ind w:left="-108" w:right="-154"/>
              <w:jc w:val="center"/>
              <w:rPr>
                <w:color w:val="000000"/>
                <w:szCs w:val="22"/>
              </w:rPr>
            </w:pPr>
            <w:r w:rsidRPr="00263DB9">
              <w:rPr>
                <w:color w:val="000000"/>
                <w:szCs w:val="22"/>
              </w:rPr>
              <w:t xml:space="preserve">(2%) </w:t>
            </w:r>
            <w:r w:rsidRPr="00263DB9">
              <w:rPr>
                <w:color w:val="000000"/>
                <w:szCs w:val="22"/>
              </w:rPr>
              <w:sym w:font="Symbol" w:char="F05B"/>
            </w:r>
            <w:r w:rsidRPr="00263DB9">
              <w:rPr>
                <w:color w:val="000000"/>
                <w:szCs w:val="22"/>
              </w:rPr>
              <w:t>0,6–4,4</w:t>
            </w:r>
            <w:r w:rsidRPr="00263DB9">
              <w:rPr>
                <w:color w:val="000000"/>
                <w:szCs w:val="22"/>
              </w:rPr>
              <w:sym w:font="Symbol" w:char="F05D"/>
            </w:r>
          </w:p>
          <w:p w14:paraId="375EB1D6" w14:textId="77777777" w:rsidR="00906898" w:rsidRPr="00263DB9" w:rsidRDefault="00906898" w:rsidP="003970DC">
            <w:pPr>
              <w:keepNext/>
              <w:keepLines/>
              <w:widowControl w:val="0"/>
              <w:suppressAutoHyphens/>
              <w:ind w:left="-108" w:right="-154"/>
              <w:jc w:val="center"/>
              <w:rPr>
                <w:color w:val="000000"/>
                <w:szCs w:val="22"/>
              </w:rPr>
            </w:pPr>
            <w:r w:rsidRPr="00263DB9">
              <w:rPr>
                <w:color w:val="000000"/>
                <w:szCs w:val="22"/>
              </w:rPr>
              <w:t>8%</w:t>
            </w:r>
          </w:p>
        </w:tc>
      </w:tr>
      <w:tr w:rsidR="00906898" w:rsidRPr="00263DB9" w14:paraId="375EB1E0" w14:textId="77777777" w:rsidTr="003970DC">
        <w:trPr>
          <w:cantSplit/>
        </w:trPr>
        <w:tc>
          <w:tcPr>
            <w:tcW w:w="9276" w:type="dxa"/>
            <w:gridSpan w:val="4"/>
          </w:tcPr>
          <w:p w14:paraId="375EB1D8" w14:textId="77777777" w:rsidR="00906898" w:rsidRPr="00263DB9" w:rsidRDefault="00906898" w:rsidP="003970DC">
            <w:pPr>
              <w:keepNext/>
              <w:keepLines/>
              <w:widowControl w:val="0"/>
              <w:suppressAutoHyphens/>
              <w:rPr>
                <w:color w:val="000000"/>
                <w:szCs w:val="22"/>
              </w:rPr>
            </w:pPr>
            <w:r w:rsidRPr="00263DB9">
              <w:rPr>
                <w:b/>
                <w:color w:val="000000"/>
                <w:szCs w:val="22"/>
                <w:vertAlign w:val="superscript"/>
              </w:rPr>
              <w:t>1</w:t>
            </w:r>
            <w:r w:rsidRPr="00263DB9">
              <w:rPr>
                <w:b/>
                <w:color w:val="000000"/>
                <w:szCs w:val="22"/>
              </w:rPr>
              <w:t xml:space="preserve">Critérios para a resposta hematológica (todas as respostas a ser confirmadas após </w:t>
            </w:r>
            <w:r w:rsidRPr="00263DB9">
              <w:rPr>
                <w:b/>
                <w:color w:val="000000"/>
                <w:szCs w:val="22"/>
              </w:rPr>
              <w:sym w:font="Symbol" w:char="F0B3"/>
            </w:r>
            <w:r w:rsidRPr="00263DB9">
              <w:rPr>
                <w:b/>
                <w:color w:val="000000"/>
                <w:szCs w:val="22"/>
              </w:rPr>
              <w:t> 4 semanas):</w:t>
            </w:r>
          </w:p>
          <w:p w14:paraId="375EB1D9" w14:textId="77777777" w:rsidR="00906898" w:rsidRPr="00263DB9" w:rsidRDefault="00906898" w:rsidP="003970DC">
            <w:pPr>
              <w:keepNext/>
              <w:keepLines/>
              <w:widowControl w:val="0"/>
              <w:suppressAutoHyphens/>
              <w:ind w:left="709" w:hanging="709"/>
              <w:rPr>
                <w:color w:val="000000"/>
                <w:szCs w:val="22"/>
              </w:rPr>
            </w:pPr>
            <w:r w:rsidRPr="00263DB9">
              <w:rPr>
                <w:color w:val="000000"/>
                <w:szCs w:val="22"/>
              </w:rPr>
              <w:t>CHR:</w:t>
            </w:r>
            <w:r w:rsidRPr="00263DB9">
              <w:rPr>
                <w:color w:val="000000"/>
                <w:szCs w:val="22"/>
              </w:rPr>
              <w:tab/>
              <w:t>Estudo 0110 [WBC &lt; 10 x 10</w:t>
            </w:r>
            <w:r w:rsidRPr="00263DB9">
              <w:rPr>
                <w:color w:val="000000"/>
                <w:szCs w:val="22"/>
                <w:vertAlign w:val="superscript"/>
              </w:rPr>
              <w:t>9</w:t>
            </w:r>
            <w:r w:rsidRPr="00263DB9">
              <w:rPr>
                <w:color w:val="000000"/>
                <w:szCs w:val="22"/>
              </w:rPr>
              <w:t>/l, plaquetas &lt; 450 x 10</w:t>
            </w:r>
            <w:r w:rsidRPr="00263DB9">
              <w:rPr>
                <w:color w:val="000000"/>
                <w:szCs w:val="22"/>
                <w:vertAlign w:val="superscript"/>
              </w:rPr>
              <w:t>9</w:t>
            </w:r>
            <w:r w:rsidRPr="00263DB9">
              <w:rPr>
                <w:color w:val="000000"/>
                <w:szCs w:val="22"/>
              </w:rPr>
              <w:t>/l, mielócitos+metamielócitos &lt; 5% no sangue, ausência de blastos e promielócitos no sangue, basófilos &lt; 20%, sem envolvimento extramedular</w:t>
            </w:r>
            <w:r w:rsidRPr="00263DB9">
              <w:rPr>
                <w:color w:val="000000"/>
                <w:szCs w:val="22"/>
              </w:rPr>
              <w:sym w:font="Symbol" w:char="F05D"/>
            </w:r>
            <w:r w:rsidRPr="00263DB9">
              <w:rPr>
                <w:color w:val="000000"/>
                <w:szCs w:val="22"/>
              </w:rPr>
              <w:t xml:space="preserve"> e nos estudos 0102 e 0109 [ANC </w:t>
            </w:r>
            <w:r w:rsidRPr="00263DB9">
              <w:rPr>
                <w:color w:val="000000"/>
                <w:szCs w:val="22"/>
              </w:rPr>
              <w:sym w:font="Symbol" w:char="F0B3"/>
            </w:r>
            <w:r w:rsidRPr="00263DB9">
              <w:rPr>
                <w:color w:val="000000"/>
                <w:szCs w:val="22"/>
              </w:rPr>
              <w:t> 1,5 x 10</w:t>
            </w:r>
            <w:r w:rsidRPr="00263DB9">
              <w:rPr>
                <w:color w:val="000000"/>
                <w:szCs w:val="22"/>
                <w:vertAlign w:val="superscript"/>
              </w:rPr>
              <w:t>9</w:t>
            </w:r>
            <w:r w:rsidRPr="00263DB9">
              <w:rPr>
                <w:color w:val="000000"/>
                <w:szCs w:val="22"/>
              </w:rPr>
              <w:t xml:space="preserve">/l, plaquetas </w:t>
            </w:r>
            <w:r w:rsidRPr="00263DB9">
              <w:rPr>
                <w:color w:val="000000"/>
                <w:szCs w:val="22"/>
              </w:rPr>
              <w:sym w:font="Symbol" w:char="F0B3"/>
            </w:r>
            <w:r w:rsidRPr="00263DB9">
              <w:rPr>
                <w:color w:val="000000"/>
                <w:szCs w:val="22"/>
              </w:rPr>
              <w:t> 100 x 10</w:t>
            </w:r>
            <w:r w:rsidRPr="00263DB9">
              <w:rPr>
                <w:color w:val="000000"/>
                <w:szCs w:val="22"/>
                <w:vertAlign w:val="superscript"/>
              </w:rPr>
              <w:t>9</w:t>
            </w:r>
            <w:r w:rsidRPr="00263DB9">
              <w:rPr>
                <w:color w:val="000000"/>
                <w:szCs w:val="22"/>
              </w:rPr>
              <w:t>/l, ausência de blastos no sangue, blastos da MO &lt; 5%, ausência de doença extramedular</w:t>
            </w:r>
            <w:r w:rsidRPr="00263DB9">
              <w:rPr>
                <w:color w:val="000000"/>
                <w:szCs w:val="22"/>
              </w:rPr>
              <w:sym w:font="Symbol" w:char="F05D"/>
            </w:r>
          </w:p>
          <w:p w14:paraId="375EB1DA" w14:textId="77777777" w:rsidR="00906898" w:rsidRPr="00263DB9" w:rsidRDefault="00906898" w:rsidP="003970DC">
            <w:pPr>
              <w:keepNext/>
              <w:keepLines/>
              <w:widowControl w:val="0"/>
              <w:suppressAutoHyphens/>
              <w:ind w:left="709" w:hanging="709"/>
              <w:rPr>
                <w:color w:val="000000"/>
                <w:szCs w:val="22"/>
              </w:rPr>
            </w:pPr>
            <w:r w:rsidRPr="00263DB9">
              <w:rPr>
                <w:color w:val="000000"/>
                <w:szCs w:val="22"/>
              </w:rPr>
              <w:t>NEL:</w:t>
            </w:r>
            <w:r w:rsidRPr="00263DB9">
              <w:rPr>
                <w:color w:val="000000"/>
                <w:szCs w:val="22"/>
              </w:rPr>
              <w:tab/>
              <w:t xml:space="preserve">Mesmos critérios que a CHR mas ANC </w:t>
            </w:r>
            <w:r w:rsidRPr="00263DB9">
              <w:rPr>
                <w:color w:val="000000"/>
                <w:szCs w:val="22"/>
              </w:rPr>
              <w:sym w:font="Symbol" w:char="F0B3"/>
            </w:r>
            <w:r w:rsidRPr="00263DB9">
              <w:rPr>
                <w:color w:val="000000"/>
                <w:szCs w:val="22"/>
              </w:rPr>
              <w:t> 1 x 10</w:t>
            </w:r>
            <w:r w:rsidRPr="00263DB9">
              <w:rPr>
                <w:color w:val="000000"/>
                <w:szCs w:val="22"/>
                <w:vertAlign w:val="superscript"/>
              </w:rPr>
              <w:t>9</w:t>
            </w:r>
            <w:r w:rsidRPr="00263DB9">
              <w:rPr>
                <w:color w:val="000000"/>
                <w:szCs w:val="22"/>
              </w:rPr>
              <w:t xml:space="preserve">/l e plaquetas </w:t>
            </w:r>
            <w:r w:rsidRPr="00263DB9">
              <w:rPr>
                <w:color w:val="000000"/>
                <w:szCs w:val="22"/>
              </w:rPr>
              <w:sym w:font="Symbol" w:char="F0B3"/>
            </w:r>
            <w:r w:rsidRPr="00263DB9">
              <w:rPr>
                <w:color w:val="000000"/>
                <w:szCs w:val="22"/>
              </w:rPr>
              <w:t> 20 x 10</w:t>
            </w:r>
            <w:r w:rsidRPr="00263DB9">
              <w:rPr>
                <w:color w:val="000000"/>
                <w:szCs w:val="22"/>
                <w:vertAlign w:val="superscript"/>
              </w:rPr>
              <w:t>9</w:t>
            </w:r>
            <w:r w:rsidRPr="00263DB9">
              <w:rPr>
                <w:color w:val="000000"/>
                <w:szCs w:val="22"/>
              </w:rPr>
              <w:t>/l (apenas 0102 e 0109)</w:t>
            </w:r>
          </w:p>
          <w:p w14:paraId="375EB1DB" w14:textId="77777777" w:rsidR="00906898" w:rsidRPr="00263DB9" w:rsidRDefault="00906898" w:rsidP="003970DC">
            <w:pPr>
              <w:keepNext/>
              <w:keepLines/>
              <w:widowControl w:val="0"/>
              <w:suppressAutoHyphens/>
              <w:ind w:left="709" w:hanging="709"/>
              <w:rPr>
                <w:color w:val="000000"/>
                <w:szCs w:val="22"/>
              </w:rPr>
            </w:pPr>
            <w:r w:rsidRPr="00263DB9">
              <w:rPr>
                <w:color w:val="000000"/>
                <w:szCs w:val="22"/>
              </w:rPr>
              <w:t>RTC:</w:t>
            </w:r>
            <w:r w:rsidRPr="00263DB9">
              <w:rPr>
                <w:color w:val="000000"/>
                <w:szCs w:val="22"/>
              </w:rPr>
              <w:tab/>
              <w:t>&lt; 15% blastos MO e SP, &lt; 30% blastos+promielócitos na MO e SP, &lt; 20% basófilos no SP, ausência de doença extramedular para além da esplénica e hepática (apenas para 0102 e 0109).</w:t>
            </w:r>
          </w:p>
          <w:p w14:paraId="375EB1DC" w14:textId="77777777" w:rsidR="00906898" w:rsidRPr="00263DB9" w:rsidRDefault="00906898" w:rsidP="003970DC">
            <w:pPr>
              <w:keepNext/>
              <w:keepLines/>
              <w:widowControl w:val="0"/>
              <w:suppressAutoHyphens/>
              <w:ind w:left="709" w:hanging="709"/>
              <w:rPr>
                <w:color w:val="000000"/>
                <w:szCs w:val="22"/>
              </w:rPr>
            </w:pPr>
            <w:r w:rsidRPr="00263DB9">
              <w:rPr>
                <w:color w:val="000000"/>
                <w:szCs w:val="22"/>
              </w:rPr>
              <w:t>MO = medula óssea, SP = sangue periférico</w:t>
            </w:r>
          </w:p>
          <w:p w14:paraId="375EB1DD" w14:textId="77777777" w:rsidR="00906898" w:rsidRPr="00263DB9" w:rsidRDefault="00906898" w:rsidP="003970DC">
            <w:pPr>
              <w:keepNext/>
              <w:keepLines/>
              <w:widowControl w:val="0"/>
              <w:suppressAutoHyphens/>
              <w:ind w:left="709" w:hanging="709"/>
              <w:rPr>
                <w:color w:val="000000"/>
                <w:szCs w:val="22"/>
              </w:rPr>
            </w:pPr>
            <w:r w:rsidRPr="00263DB9">
              <w:rPr>
                <w:b/>
                <w:color w:val="000000"/>
                <w:szCs w:val="22"/>
                <w:vertAlign w:val="superscript"/>
              </w:rPr>
              <w:t>2</w:t>
            </w:r>
            <w:r w:rsidRPr="00263DB9">
              <w:rPr>
                <w:b/>
                <w:color w:val="000000"/>
                <w:szCs w:val="22"/>
              </w:rPr>
              <w:t>Critérios para a resposta citogenética:</w:t>
            </w:r>
          </w:p>
          <w:p w14:paraId="375EB1DE" w14:textId="77777777" w:rsidR="00906898" w:rsidRPr="00263DB9" w:rsidRDefault="00906898" w:rsidP="003970DC">
            <w:pPr>
              <w:keepNext/>
              <w:keepLines/>
              <w:widowControl w:val="0"/>
              <w:suppressAutoHyphens/>
              <w:rPr>
                <w:color w:val="000000"/>
                <w:szCs w:val="22"/>
              </w:rPr>
            </w:pPr>
            <w:r w:rsidRPr="00263DB9">
              <w:rPr>
                <w:color w:val="000000"/>
                <w:szCs w:val="22"/>
              </w:rPr>
              <w:t xml:space="preserve">Uma resposta </w:t>
            </w:r>
            <w:r w:rsidRPr="00263DB9">
              <w:rPr>
                <w:i/>
                <w:iCs/>
                <w:color w:val="000000"/>
                <w:szCs w:val="22"/>
              </w:rPr>
              <w:t>major</w:t>
            </w:r>
            <w:r w:rsidRPr="00263DB9">
              <w:rPr>
                <w:color w:val="000000"/>
                <w:szCs w:val="22"/>
              </w:rPr>
              <w:t xml:space="preserve"> combina as respostas completa e parcial: completa (0% metafases Ph+), parcial (1–35%).</w:t>
            </w:r>
          </w:p>
          <w:p w14:paraId="375EB1DF" w14:textId="77777777" w:rsidR="00906898" w:rsidRPr="00263DB9" w:rsidRDefault="00906898" w:rsidP="003970DC">
            <w:pPr>
              <w:keepNext/>
              <w:keepLines/>
              <w:widowControl w:val="0"/>
              <w:suppressAutoHyphens/>
              <w:rPr>
                <w:color w:val="000000"/>
                <w:szCs w:val="22"/>
              </w:rPr>
            </w:pPr>
            <w:r w:rsidRPr="00263DB9">
              <w:rPr>
                <w:color w:val="000000"/>
                <w:szCs w:val="22"/>
                <w:vertAlign w:val="superscript"/>
              </w:rPr>
              <w:t>3</w:t>
            </w:r>
            <w:r w:rsidRPr="00263DB9">
              <w:rPr>
                <w:color w:val="000000"/>
                <w:szCs w:val="22"/>
              </w:rPr>
              <w:t xml:space="preserve"> Resposta citogenética completa confirmada através de segunda avaliação citogenética da medula óssea, realizada pelo menos um mês após o estudo inicial na medula óssea.</w:t>
            </w:r>
          </w:p>
        </w:tc>
      </w:tr>
    </w:tbl>
    <w:p w14:paraId="375EB1E1" w14:textId="77777777" w:rsidR="00906898" w:rsidRPr="00263DB9" w:rsidRDefault="00906898" w:rsidP="00E51817">
      <w:pPr>
        <w:widowControl w:val="0"/>
        <w:suppressAutoHyphens/>
        <w:rPr>
          <w:color w:val="000000"/>
          <w:szCs w:val="22"/>
        </w:rPr>
      </w:pPr>
    </w:p>
    <w:p w14:paraId="375EB1E2" w14:textId="77777777" w:rsidR="00906898" w:rsidRPr="00263DB9" w:rsidRDefault="00906898" w:rsidP="00E51817">
      <w:pPr>
        <w:widowControl w:val="0"/>
        <w:suppressAutoHyphens/>
        <w:rPr>
          <w:color w:val="000000"/>
          <w:szCs w:val="22"/>
        </w:rPr>
      </w:pPr>
      <w:r w:rsidRPr="00263DB9">
        <w:rPr>
          <w:i/>
          <w:color w:val="000000"/>
          <w:szCs w:val="22"/>
        </w:rPr>
        <w:t>Doentes pediátricos</w:t>
      </w:r>
      <w:r w:rsidRPr="00263DB9">
        <w:rPr>
          <w:color w:val="000000"/>
          <w:szCs w:val="22"/>
        </w:rPr>
        <w:t>: foram incluídos um total de 26 doentes pediátricos de idade inferior a 18 anos, com LMC em fase crónica (n=11) ou LMC em fase de crise blástica ou com leucemia aguda Ph+ (n=15), num ensaio de fase I de determinação de dose. Esta população de doentes teve tratamento prévio intenso, pois 46% tinham sido sujeitos a transplante de medula óssea e 73% tinham feito multiquimioterapia. Os doentes foram tratados com Glivec em doses de 260 mg/m</w:t>
      </w:r>
      <w:r w:rsidRPr="00263DB9">
        <w:rPr>
          <w:color w:val="000000"/>
          <w:szCs w:val="22"/>
          <w:vertAlign w:val="superscript"/>
        </w:rPr>
        <w:t>2</w:t>
      </w:r>
      <w:r w:rsidRPr="00263DB9">
        <w:rPr>
          <w:color w:val="000000"/>
          <w:szCs w:val="22"/>
        </w:rPr>
        <w:t xml:space="preserve"> por dia (n=5), 340 mg/m</w:t>
      </w:r>
      <w:r w:rsidRPr="00263DB9">
        <w:rPr>
          <w:color w:val="000000"/>
          <w:szCs w:val="22"/>
          <w:vertAlign w:val="superscript"/>
        </w:rPr>
        <w:t>2</w:t>
      </w:r>
      <w:r w:rsidRPr="00263DB9">
        <w:rPr>
          <w:color w:val="000000"/>
          <w:szCs w:val="22"/>
        </w:rPr>
        <w:t xml:space="preserve"> por dia (n=9), 440 mg/m</w:t>
      </w:r>
      <w:r w:rsidRPr="00263DB9">
        <w:rPr>
          <w:color w:val="000000"/>
          <w:szCs w:val="22"/>
          <w:vertAlign w:val="superscript"/>
        </w:rPr>
        <w:t>2</w:t>
      </w:r>
      <w:r w:rsidRPr="00263DB9">
        <w:rPr>
          <w:color w:val="000000"/>
          <w:szCs w:val="22"/>
        </w:rPr>
        <w:t xml:space="preserve"> por dia (n=7) e 570 mg/m</w:t>
      </w:r>
      <w:r w:rsidRPr="00263DB9">
        <w:rPr>
          <w:color w:val="000000"/>
          <w:szCs w:val="22"/>
          <w:vertAlign w:val="superscript"/>
        </w:rPr>
        <w:t>2</w:t>
      </w:r>
      <w:r w:rsidRPr="00263DB9">
        <w:rPr>
          <w:color w:val="000000"/>
          <w:szCs w:val="22"/>
        </w:rPr>
        <w:t xml:space="preserve"> por dia (n=5). De entre 9 doentes com LMC em fase crónica e resultados relativos à resposta citogenética disponíveis, 4 (44%) e 3 (33%) atingiram resposta citogenética completa e parcial, respetivamente, com uma taxa de MCyR de 77%.</w:t>
      </w:r>
    </w:p>
    <w:p w14:paraId="375EB1E3" w14:textId="77777777" w:rsidR="00906898" w:rsidRPr="00263DB9" w:rsidRDefault="00906898" w:rsidP="00E51817">
      <w:pPr>
        <w:widowControl w:val="0"/>
        <w:suppressAutoHyphens/>
        <w:rPr>
          <w:color w:val="000000"/>
          <w:szCs w:val="22"/>
        </w:rPr>
      </w:pPr>
    </w:p>
    <w:p w14:paraId="375EB1E4" w14:textId="77777777" w:rsidR="00906898" w:rsidRPr="00263DB9" w:rsidRDefault="00906898" w:rsidP="00E51817">
      <w:pPr>
        <w:widowControl w:val="0"/>
        <w:suppressAutoHyphens/>
        <w:rPr>
          <w:color w:val="000000"/>
          <w:szCs w:val="22"/>
        </w:rPr>
      </w:pPr>
      <w:r w:rsidRPr="00263DB9">
        <w:rPr>
          <w:color w:val="000000"/>
          <w:szCs w:val="22"/>
        </w:rPr>
        <w:t>Um total de 51 doentes pediátricos diagnosticados de novo com LMC e com LMC em fase crónica não tratada foram incluidos num ensaio multicêntrico de fase II, aberto, com braço único. Os doentes foram tratados com Glivec em doses de 340 mg/m</w:t>
      </w:r>
      <w:r w:rsidRPr="00263DB9">
        <w:rPr>
          <w:color w:val="000000"/>
          <w:szCs w:val="22"/>
          <w:vertAlign w:val="superscript"/>
        </w:rPr>
        <w:t>2</w:t>
      </w:r>
      <w:r w:rsidRPr="00263DB9">
        <w:rPr>
          <w:color w:val="000000"/>
          <w:szCs w:val="22"/>
        </w:rPr>
        <w:t xml:space="preserve"> por dia, sem interrupações na ausência de toxicidade condicionada pela dose. O tratamento com Glivec induz uma resposta rápida em doentes pediátricos diagnosticados de novo com LMC com uma CHR de 78% após 8 semanas de tratamento. A taxa elevada de CHR é acompanhada pelo desenvolvimento de uma resposta citogenética completa (CCyR) de 65% a qual é comparável com os resultados observados nos adultos. Adicionalmente, a resposta citogenética parcial (PCyR) foi observada em 16% para uma MCyR de 81%. A maioria dos doentes que atingiram uma CCyR desenvolveram a CCyR entre 3 a 10 meses com uma mediana de tempo de resposta, baseado na estimativa de Kaplan-Meier, de 5,6 meses.</w:t>
      </w:r>
    </w:p>
    <w:p w14:paraId="375EB1E5" w14:textId="77777777" w:rsidR="00906898" w:rsidRPr="00263DB9" w:rsidRDefault="00906898" w:rsidP="00E51817">
      <w:pPr>
        <w:widowControl w:val="0"/>
        <w:suppressAutoHyphens/>
        <w:rPr>
          <w:color w:val="000000"/>
          <w:szCs w:val="22"/>
        </w:rPr>
      </w:pPr>
    </w:p>
    <w:p w14:paraId="375EB1E6" w14:textId="77777777" w:rsidR="00906898" w:rsidRPr="00263DB9" w:rsidRDefault="00906898" w:rsidP="00E51817">
      <w:pPr>
        <w:widowControl w:val="0"/>
        <w:suppressAutoHyphens/>
        <w:rPr>
          <w:color w:val="000000"/>
          <w:szCs w:val="22"/>
        </w:rPr>
      </w:pPr>
      <w:r w:rsidRPr="00263DB9">
        <w:rPr>
          <w:color w:val="000000"/>
          <w:szCs w:val="22"/>
        </w:rPr>
        <w:lastRenderedPageBreak/>
        <w:t>A Agência Europeia de Medicamentos dispensou a obrigação de apresentação dos resultados dos estudos com Glivec em todos os sub-grupos da população pediátrica com leucemia mieloide crónica cromossoma de Filadélfia (translocação bcr-abl) positiva (ver secção 4.2 para informação sobre utilização pediátrica).</w:t>
      </w:r>
    </w:p>
    <w:p w14:paraId="375EB1E7" w14:textId="77777777" w:rsidR="00906898" w:rsidRPr="00263DB9" w:rsidRDefault="00906898" w:rsidP="00E51817">
      <w:pPr>
        <w:widowControl w:val="0"/>
        <w:suppressAutoHyphens/>
        <w:rPr>
          <w:color w:val="000000"/>
          <w:szCs w:val="22"/>
        </w:rPr>
      </w:pPr>
    </w:p>
    <w:p w14:paraId="375EB1E8" w14:textId="77777777" w:rsidR="00906898" w:rsidRPr="00263DB9" w:rsidRDefault="00906898" w:rsidP="003970DC">
      <w:pPr>
        <w:keepNext/>
        <w:widowControl w:val="0"/>
        <w:suppressAutoHyphens/>
        <w:rPr>
          <w:color w:val="000000"/>
          <w:szCs w:val="22"/>
          <w:u w:val="single"/>
        </w:rPr>
      </w:pPr>
      <w:r w:rsidRPr="00263DB9">
        <w:rPr>
          <w:color w:val="000000"/>
          <w:szCs w:val="22"/>
          <w:u w:val="single"/>
        </w:rPr>
        <w:t>Ensaios clínicos em LLA Ph+</w:t>
      </w:r>
    </w:p>
    <w:p w14:paraId="375EB1E9" w14:textId="77777777" w:rsidR="00906898" w:rsidRPr="00263DB9" w:rsidRDefault="00906898" w:rsidP="00E51817">
      <w:pPr>
        <w:widowControl w:val="0"/>
        <w:suppressAutoHyphens/>
        <w:rPr>
          <w:color w:val="000000"/>
          <w:szCs w:val="22"/>
        </w:rPr>
      </w:pPr>
      <w:r w:rsidRPr="00263DB9">
        <w:rPr>
          <w:i/>
          <w:color w:val="000000"/>
          <w:szCs w:val="22"/>
        </w:rPr>
        <w:t>LLA Ph+ diagnosticado de novo</w:t>
      </w:r>
      <w:r w:rsidRPr="00263DB9">
        <w:rPr>
          <w:color w:val="000000"/>
          <w:szCs w:val="22"/>
        </w:rPr>
        <w:t>: Num estudo controlado (ADE10) de imatinib versus a quimioterapia de indução em 55 doentes diagnosticados de novo, com 55 anos ou mais, o imatinib utilizado em monoterapia induziu uma taxa de resposta hematológica significativamente maior que a quimioterapia (96,3% vs 50%; p=0,0001). Quando o tratamento de salvação com imatinib foi administrado em doentes que não responderam ou que responderam pouco à quimioterapia, resultou que em 9 doentes (81,8%) num total de 11 alcançaram uma resposta hematológica completa. Este efeito clínico foi associado a uma redução mais elevada das transcrições bcr-abl em doentes tratados com imatinib comparativamente com o braço da quimioterapia após 2 semanas de tratamento (p=0,02). Todos os doentes receberam imatinib e quimioterapia de consolidação (ver Tabela </w:t>
      </w:r>
      <w:r w:rsidR="00094C01" w:rsidRPr="00263DB9">
        <w:rPr>
          <w:color w:val="000000"/>
          <w:szCs w:val="22"/>
        </w:rPr>
        <w:t>4</w:t>
      </w:r>
      <w:r w:rsidRPr="00263DB9">
        <w:rPr>
          <w:color w:val="000000"/>
          <w:szCs w:val="22"/>
        </w:rPr>
        <w:t xml:space="preserve">) após indução e os níveis de transcrições bcr-abl foram idênticos nos dois braços na 8ª semana. Como previsto com base no desenho do estudo, não se observaram diferenças na duração de remissão, </w:t>
      </w:r>
      <w:r w:rsidR="00600EF5" w:rsidRPr="00263DB9">
        <w:rPr>
          <w:color w:val="000000"/>
          <w:szCs w:val="22"/>
        </w:rPr>
        <w:t xml:space="preserve">sobrevivência </w:t>
      </w:r>
      <w:r w:rsidRPr="00263DB9">
        <w:rPr>
          <w:color w:val="000000"/>
          <w:szCs w:val="22"/>
        </w:rPr>
        <w:t xml:space="preserve">livre de doença e </w:t>
      </w:r>
      <w:r w:rsidR="00600EF5" w:rsidRPr="00263DB9">
        <w:rPr>
          <w:color w:val="000000"/>
          <w:szCs w:val="22"/>
        </w:rPr>
        <w:t xml:space="preserve">sobrevivência </w:t>
      </w:r>
      <w:r w:rsidRPr="00263DB9">
        <w:rPr>
          <w:color w:val="000000"/>
          <w:szCs w:val="22"/>
        </w:rPr>
        <w:t xml:space="preserve">global, contudo os doentes com resposta molecular completa e permanecendo na doença residual mínima obtiveram melhores resultados tanto na duração de remissão (p=0,01) como na </w:t>
      </w:r>
      <w:r w:rsidR="00600EF5" w:rsidRPr="00263DB9">
        <w:rPr>
          <w:color w:val="000000"/>
          <w:szCs w:val="22"/>
        </w:rPr>
        <w:t xml:space="preserve">sobrevivência </w:t>
      </w:r>
      <w:r w:rsidRPr="00263DB9">
        <w:rPr>
          <w:color w:val="000000"/>
          <w:szCs w:val="22"/>
        </w:rPr>
        <w:t>sem doença (p=0,02).</w:t>
      </w:r>
    </w:p>
    <w:p w14:paraId="375EB1EA" w14:textId="77777777" w:rsidR="00906898" w:rsidRPr="00263DB9" w:rsidRDefault="00906898" w:rsidP="00E51817">
      <w:pPr>
        <w:widowControl w:val="0"/>
        <w:suppressAutoHyphens/>
        <w:rPr>
          <w:color w:val="000000"/>
          <w:szCs w:val="22"/>
        </w:rPr>
      </w:pPr>
    </w:p>
    <w:p w14:paraId="375EB1EB" w14:textId="77777777" w:rsidR="00906898" w:rsidRPr="00263DB9" w:rsidRDefault="00906898" w:rsidP="00E51817">
      <w:pPr>
        <w:widowControl w:val="0"/>
        <w:suppressAutoHyphens/>
        <w:rPr>
          <w:color w:val="000000"/>
          <w:szCs w:val="22"/>
        </w:rPr>
      </w:pPr>
      <w:r w:rsidRPr="00263DB9">
        <w:rPr>
          <w:color w:val="000000"/>
          <w:szCs w:val="22"/>
        </w:rPr>
        <w:t>Os resultados observados numa população de 211 doentes LLA Ph+ diagnosticados de novo em quatro ensaios clínicos não controlados (AAU02, ADE04, AJP01 e AUS01) são consistentes com os resultados acima descritos. O imatinib em associação com a quimioterapia de indução (ver Tabela </w:t>
      </w:r>
      <w:r w:rsidR="00094C01" w:rsidRPr="00263DB9">
        <w:rPr>
          <w:color w:val="000000"/>
          <w:szCs w:val="22"/>
        </w:rPr>
        <w:t>4</w:t>
      </w:r>
      <w:r w:rsidRPr="00263DB9">
        <w:rPr>
          <w:color w:val="000000"/>
          <w:szCs w:val="22"/>
        </w:rPr>
        <w:t xml:space="preserve">) originou uma taxa de resposta hematológica completa de 93% (147 de 158 doentes avaliados) e uma taxa de resposta citogénica </w:t>
      </w:r>
      <w:r w:rsidRPr="00263DB9">
        <w:rPr>
          <w:i/>
          <w:iCs/>
          <w:color w:val="000000"/>
          <w:szCs w:val="22"/>
        </w:rPr>
        <w:t>major</w:t>
      </w:r>
      <w:r w:rsidRPr="00263DB9">
        <w:rPr>
          <w:color w:val="000000"/>
          <w:szCs w:val="22"/>
        </w:rPr>
        <w:t xml:space="preserve"> de 90% (19 em 21 doentes avaliados). A taxa de resposta molecular completa foi de 48% (49 de 102 doentes avaliados). A </w:t>
      </w:r>
      <w:r w:rsidR="00600EF5" w:rsidRPr="00263DB9">
        <w:rPr>
          <w:color w:val="000000"/>
          <w:szCs w:val="22"/>
        </w:rPr>
        <w:t xml:space="preserve">sobrevivência </w:t>
      </w:r>
      <w:r w:rsidRPr="00263DB9">
        <w:rPr>
          <w:color w:val="000000"/>
          <w:szCs w:val="22"/>
        </w:rPr>
        <w:t xml:space="preserve">livre de doença (DFS) e a </w:t>
      </w:r>
      <w:r w:rsidR="00600EF5" w:rsidRPr="00263DB9">
        <w:rPr>
          <w:color w:val="000000"/>
          <w:szCs w:val="22"/>
        </w:rPr>
        <w:t xml:space="preserve">sobrevivência </w:t>
      </w:r>
      <w:r w:rsidRPr="00263DB9">
        <w:rPr>
          <w:color w:val="000000"/>
          <w:szCs w:val="22"/>
        </w:rPr>
        <w:t>global (OS) excedeu constantemente 1 ano e foi superior ao controlo histórico (DFS p&lt;0,001, OS p&lt;0,0001) em 2 estudos (AJP01 e AUS01).</w:t>
      </w:r>
    </w:p>
    <w:p w14:paraId="375EB1EC" w14:textId="77777777" w:rsidR="00906898" w:rsidRPr="00263DB9" w:rsidRDefault="00906898" w:rsidP="00E51817">
      <w:pPr>
        <w:widowControl w:val="0"/>
        <w:suppressAutoHyphens/>
        <w:rPr>
          <w:color w:val="000000"/>
          <w:szCs w:val="22"/>
        </w:rPr>
      </w:pPr>
    </w:p>
    <w:p w14:paraId="375EB1ED" w14:textId="77777777" w:rsidR="00906898" w:rsidRPr="00263DB9" w:rsidRDefault="00906898" w:rsidP="003970DC">
      <w:pPr>
        <w:keepNext/>
        <w:widowControl w:val="0"/>
        <w:suppressAutoHyphens/>
        <w:rPr>
          <w:b/>
          <w:color w:val="000000"/>
          <w:szCs w:val="22"/>
        </w:rPr>
      </w:pPr>
      <w:r w:rsidRPr="00263DB9">
        <w:rPr>
          <w:b/>
          <w:color w:val="000000"/>
          <w:szCs w:val="22"/>
        </w:rPr>
        <w:lastRenderedPageBreak/>
        <w:t>Tabela </w:t>
      </w:r>
      <w:r w:rsidR="00094C01" w:rsidRPr="00263DB9">
        <w:rPr>
          <w:b/>
          <w:color w:val="000000"/>
          <w:szCs w:val="22"/>
        </w:rPr>
        <w:t>4</w:t>
      </w:r>
      <w:r w:rsidRPr="00263DB9">
        <w:rPr>
          <w:b/>
          <w:color w:val="000000"/>
          <w:szCs w:val="22"/>
        </w:rPr>
        <w:tab/>
        <w:t>Regimes de quimioterapia utilizados em associação com imatinib</w:t>
      </w:r>
    </w:p>
    <w:p w14:paraId="375EB1EE" w14:textId="77777777" w:rsidR="00906898" w:rsidRPr="00263DB9" w:rsidRDefault="00906898" w:rsidP="003970DC">
      <w:pPr>
        <w:keepNext/>
        <w:widowControl w:val="0"/>
        <w:suppressAutoHyphens/>
        <w:rPr>
          <w:color w:val="000000"/>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906898" w:rsidRPr="00263DB9" w14:paraId="375EB1F1" w14:textId="77777777" w:rsidTr="003970DC">
        <w:trPr>
          <w:cantSplit/>
        </w:trPr>
        <w:tc>
          <w:tcPr>
            <w:tcW w:w="2148" w:type="dxa"/>
            <w:tcBorders>
              <w:top w:val="single" w:sz="4" w:space="0" w:color="auto"/>
              <w:bottom w:val="single" w:sz="4" w:space="0" w:color="auto"/>
            </w:tcBorders>
          </w:tcPr>
          <w:p w14:paraId="375EB1EF"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b/>
                <w:color w:val="000000"/>
                <w:szCs w:val="22"/>
                <w:lang w:val="pt-PT"/>
              </w:rPr>
              <w:t>Estudo ADE10</w:t>
            </w:r>
          </w:p>
        </w:tc>
        <w:tc>
          <w:tcPr>
            <w:tcW w:w="6732" w:type="dxa"/>
            <w:gridSpan w:val="4"/>
            <w:tcBorders>
              <w:top w:val="single" w:sz="4" w:space="0" w:color="auto"/>
              <w:bottom w:val="single" w:sz="4" w:space="0" w:color="auto"/>
            </w:tcBorders>
          </w:tcPr>
          <w:p w14:paraId="375EB1F0"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p>
        </w:tc>
      </w:tr>
      <w:tr w:rsidR="00906898" w:rsidRPr="00263DB9" w14:paraId="375EB1F6" w14:textId="77777777" w:rsidTr="003970DC">
        <w:trPr>
          <w:cantSplit/>
        </w:trPr>
        <w:tc>
          <w:tcPr>
            <w:tcW w:w="2148" w:type="dxa"/>
            <w:tcBorders>
              <w:top w:val="single" w:sz="4" w:space="0" w:color="auto"/>
              <w:bottom w:val="single" w:sz="4" w:space="0" w:color="auto"/>
            </w:tcBorders>
          </w:tcPr>
          <w:p w14:paraId="375EB1F2"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Pré-fase</w:t>
            </w:r>
          </w:p>
        </w:tc>
        <w:tc>
          <w:tcPr>
            <w:tcW w:w="6732" w:type="dxa"/>
            <w:gridSpan w:val="4"/>
            <w:tcBorders>
              <w:top w:val="single" w:sz="4" w:space="0" w:color="auto"/>
              <w:bottom w:val="single" w:sz="4" w:space="0" w:color="auto"/>
            </w:tcBorders>
          </w:tcPr>
          <w:p w14:paraId="375EB1F3"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DEX 10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1-5;</w:t>
            </w:r>
          </w:p>
          <w:p w14:paraId="375EB1F4"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CP 200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dias 3, 4, 5</w:t>
            </w:r>
            <w:r w:rsidR="00E726DC" w:rsidRPr="00263DB9">
              <w:rPr>
                <w:rFonts w:ascii="Times New Roman" w:hAnsi="Times New Roman"/>
                <w:color w:val="000000"/>
                <w:szCs w:val="22"/>
                <w:lang w:val="pt-PT"/>
              </w:rPr>
              <w:t>;</w:t>
            </w:r>
          </w:p>
          <w:p w14:paraId="375EB1F5"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MTX 12 mg intratecal, dia 1</w:t>
            </w:r>
          </w:p>
        </w:tc>
      </w:tr>
      <w:tr w:rsidR="00906898" w:rsidRPr="00263DB9" w14:paraId="375EB1FD" w14:textId="77777777" w:rsidTr="003970DC">
        <w:trPr>
          <w:cantSplit/>
        </w:trPr>
        <w:tc>
          <w:tcPr>
            <w:tcW w:w="2148" w:type="dxa"/>
            <w:tcBorders>
              <w:top w:val="single" w:sz="4" w:space="0" w:color="auto"/>
              <w:bottom w:val="single" w:sz="4" w:space="0" w:color="auto"/>
            </w:tcBorders>
          </w:tcPr>
          <w:p w14:paraId="375EB1F7"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Remissão de indução</w:t>
            </w:r>
          </w:p>
        </w:tc>
        <w:tc>
          <w:tcPr>
            <w:tcW w:w="6732" w:type="dxa"/>
            <w:gridSpan w:val="4"/>
            <w:tcBorders>
              <w:top w:val="single" w:sz="4" w:space="0" w:color="auto"/>
              <w:bottom w:val="single" w:sz="4" w:space="0" w:color="auto"/>
            </w:tcBorders>
          </w:tcPr>
          <w:p w14:paraId="375EB1F8"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DEX 10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6-7, 13-16</w:t>
            </w:r>
            <w:r w:rsidR="00E726DC" w:rsidRPr="00263DB9">
              <w:rPr>
                <w:rFonts w:ascii="Times New Roman" w:hAnsi="Times New Roman"/>
                <w:color w:val="000000"/>
                <w:szCs w:val="22"/>
                <w:lang w:val="pt-PT"/>
              </w:rPr>
              <w:t>;</w:t>
            </w:r>
          </w:p>
          <w:p w14:paraId="375EB1F9"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VCR 1 mg i.v., dias 7, 14</w:t>
            </w:r>
            <w:r w:rsidR="00E726DC" w:rsidRPr="00263DB9">
              <w:rPr>
                <w:rFonts w:ascii="Times New Roman" w:hAnsi="Times New Roman"/>
                <w:color w:val="000000"/>
                <w:szCs w:val="22"/>
                <w:lang w:val="pt-PT"/>
              </w:rPr>
              <w:t>;</w:t>
            </w:r>
          </w:p>
          <w:p w14:paraId="375EB1FA"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IDA 8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(0.5 h), </w:t>
            </w:r>
            <w:r w:rsidR="00053CCB" w:rsidRPr="00263DB9">
              <w:rPr>
                <w:rFonts w:ascii="Times New Roman" w:hAnsi="Times New Roman"/>
                <w:color w:val="000000"/>
                <w:szCs w:val="22"/>
                <w:lang w:val="pt-PT"/>
              </w:rPr>
              <w:t>dias</w:t>
            </w:r>
            <w:r w:rsidRPr="00263DB9">
              <w:rPr>
                <w:rFonts w:ascii="Times New Roman" w:hAnsi="Times New Roman"/>
                <w:color w:val="000000"/>
                <w:szCs w:val="22"/>
                <w:lang w:val="pt-PT"/>
              </w:rPr>
              <w:t> 7, 8, 14, 15;</w:t>
            </w:r>
          </w:p>
          <w:p w14:paraId="375EB1FB"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CP 500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i.v.(1 h) dia 1</w:t>
            </w:r>
            <w:r w:rsidR="00E726DC" w:rsidRPr="00263DB9">
              <w:rPr>
                <w:rFonts w:ascii="Times New Roman" w:hAnsi="Times New Roman"/>
                <w:color w:val="000000"/>
                <w:szCs w:val="22"/>
                <w:lang w:val="pt-PT"/>
              </w:rPr>
              <w:t>;</w:t>
            </w:r>
          </w:p>
          <w:p w14:paraId="375EB1FC"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Ara-C 60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dias 22-25, 29-32</w:t>
            </w:r>
          </w:p>
        </w:tc>
      </w:tr>
      <w:tr w:rsidR="00906898" w:rsidRPr="00263DB9" w14:paraId="375EB201" w14:textId="77777777" w:rsidTr="003970DC">
        <w:trPr>
          <w:cantSplit/>
        </w:trPr>
        <w:tc>
          <w:tcPr>
            <w:tcW w:w="2148" w:type="dxa"/>
            <w:tcBorders>
              <w:top w:val="single" w:sz="4" w:space="0" w:color="auto"/>
              <w:bottom w:val="single" w:sz="4" w:space="0" w:color="auto"/>
            </w:tcBorders>
          </w:tcPr>
          <w:p w14:paraId="375EB1FE"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Tratamento de consolidação I, III, V</w:t>
            </w:r>
          </w:p>
        </w:tc>
        <w:tc>
          <w:tcPr>
            <w:tcW w:w="6732" w:type="dxa"/>
            <w:gridSpan w:val="4"/>
            <w:tcBorders>
              <w:top w:val="single" w:sz="4" w:space="0" w:color="auto"/>
              <w:bottom w:val="single" w:sz="4" w:space="0" w:color="auto"/>
            </w:tcBorders>
          </w:tcPr>
          <w:p w14:paraId="375EB1FF"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MTX 500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(24 h), dias 1, 15;</w:t>
            </w:r>
          </w:p>
          <w:p w14:paraId="375EB200"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6-MP 25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1-20</w:t>
            </w:r>
          </w:p>
        </w:tc>
      </w:tr>
      <w:tr w:rsidR="00906898" w:rsidRPr="00263DB9" w14:paraId="375EB205" w14:textId="77777777" w:rsidTr="003970DC">
        <w:trPr>
          <w:cantSplit/>
        </w:trPr>
        <w:tc>
          <w:tcPr>
            <w:tcW w:w="2148" w:type="dxa"/>
            <w:tcBorders>
              <w:top w:val="single" w:sz="4" w:space="0" w:color="auto"/>
              <w:bottom w:val="single" w:sz="4" w:space="0" w:color="auto"/>
            </w:tcBorders>
          </w:tcPr>
          <w:p w14:paraId="375EB202"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Tratamento de consolidação II, IV</w:t>
            </w:r>
          </w:p>
        </w:tc>
        <w:tc>
          <w:tcPr>
            <w:tcW w:w="6732" w:type="dxa"/>
            <w:gridSpan w:val="4"/>
            <w:tcBorders>
              <w:top w:val="single" w:sz="4" w:space="0" w:color="auto"/>
              <w:bottom w:val="single" w:sz="4" w:space="0" w:color="auto"/>
            </w:tcBorders>
          </w:tcPr>
          <w:p w14:paraId="375EB203" w14:textId="77777777" w:rsidR="00E726DC" w:rsidRPr="00263DB9" w:rsidRDefault="00906898" w:rsidP="003970DC">
            <w:pPr>
              <w:pStyle w:val="Table"/>
              <w:keepLines w:val="0"/>
              <w:widowControl w:val="0"/>
              <w:spacing w:before="0" w:after="0"/>
              <w:rPr>
                <w:rFonts w:ascii="Times New Roman" w:hAnsi="Times New Roman"/>
                <w:color w:val="000000"/>
                <w:szCs w:val="22"/>
                <w:lang w:val="pt-BR"/>
              </w:rPr>
            </w:pPr>
            <w:r w:rsidRPr="00263DB9">
              <w:rPr>
                <w:rFonts w:ascii="Times New Roman" w:hAnsi="Times New Roman"/>
                <w:color w:val="000000"/>
                <w:szCs w:val="22"/>
                <w:lang w:val="pt-BR"/>
              </w:rPr>
              <w:t>Ara-C 75 mg/m</w:t>
            </w:r>
            <w:r w:rsidRPr="00263DB9">
              <w:rPr>
                <w:rFonts w:ascii="Times New Roman" w:hAnsi="Times New Roman"/>
                <w:color w:val="000000"/>
                <w:szCs w:val="22"/>
                <w:vertAlign w:val="superscript"/>
                <w:lang w:val="pt-BR"/>
              </w:rPr>
              <w:t>2</w:t>
            </w:r>
            <w:r w:rsidRPr="00263DB9">
              <w:rPr>
                <w:rFonts w:ascii="Times New Roman" w:hAnsi="Times New Roman"/>
                <w:color w:val="000000"/>
                <w:szCs w:val="22"/>
                <w:lang w:val="pt-BR"/>
              </w:rPr>
              <w:t xml:space="preserve"> i.v. (1 h), dias 1-5;</w:t>
            </w:r>
          </w:p>
          <w:p w14:paraId="375EB204" w14:textId="77777777" w:rsidR="00906898" w:rsidRPr="00263DB9" w:rsidRDefault="00906898" w:rsidP="003970DC">
            <w:pPr>
              <w:pStyle w:val="Table"/>
              <w:keepLines w:val="0"/>
              <w:widowControl w:val="0"/>
              <w:spacing w:before="0" w:after="0"/>
              <w:rPr>
                <w:rFonts w:ascii="Times New Roman" w:hAnsi="Times New Roman"/>
                <w:color w:val="000000"/>
                <w:szCs w:val="22"/>
                <w:lang w:val="pt-BR"/>
              </w:rPr>
            </w:pPr>
            <w:r w:rsidRPr="00263DB9">
              <w:rPr>
                <w:rFonts w:ascii="Times New Roman" w:hAnsi="Times New Roman"/>
                <w:color w:val="000000"/>
                <w:szCs w:val="22"/>
                <w:lang w:val="pt-BR"/>
              </w:rPr>
              <w:t>VM26 60 mg/m</w:t>
            </w:r>
            <w:r w:rsidRPr="00263DB9">
              <w:rPr>
                <w:rFonts w:ascii="Times New Roman" w:hAnsi="Times New Roman"/>
                <w:color w:val="000000"/>
                <w:szCs w:val="22"/>
                <w:vertAlign w:val="superscript"/>
                <w:lang w:val="pt-BR"/>
              </w:rPr>
              <w:t>2</w:t>
            </w:r>
            <w:r w:rsidRPr="00263DB9">
              <w:rPr>
                <w:rFonts w:ascii="Times New Roman" w:hAnsi="Times New Roman"/>
                <w:color w:val="000000"/>
                <w:szCs w:val="22"/>
                <w:lang w:val="pt-BR"/>
              </w:rPr>
              <w:t xml:space="preserve"> i.v. (1 h), dias 1-5</w:t>
            </w:r>
          </w:p>
        </w:tc>
      </w:tr>
      <w:tr w:rsidR="00906898" w:rsidRPr="00263DB9" w14:paraId="375EB20B" w14:textId="77777777" w:rsidTr="003970DC">
        <w:trPr>
          <w:cantSplit/>
        </w:trPr>
        <w:tc>
          <w:tcPr>
            <w:tcW w:w="2148" w:type="dxa"/>
            <w:tcBorders>
              <w:top w:val="single" w:sz="4" w:space="0" w:color="auto"/>
              <w:bottom w:val="single" w:sz="4" w:space="0" w:color="auto"/>
            </w:tcBorders>
          </w:tcPr>
          <w:p w14:paraId="375EB206" w14:textId="77777777" w:rsidR="00906898" w:rsidRPr="00263DB9" w:rsidRDefault="00906898" w:rsidP="003970DC">
            <w:pPr>
              <w:pStyle w:val="Table"/>
              <w:keepLines w:val="0"/>
              <w:widowControl w:val="0"/>
              <w:spacing w:before="0" w:after="0"/>
              <w:rPr>
                <w:rFonts w:ascii="Times New Roman" w:hAnsi="Times New Roman"/>
                <w:b/>
                <w:color w:val="000000"/>
                <w:szCs w:val="22"/>
              </w:rPr>
            </w:pPr>
            <w:r w:rsidRPr="00263DB9">
              <w:rPr>
                <w:rFonts w:ascii="Times New Roman" w:hAnsi="Times New Roman"/>
                <w:b/>
                <w:color w:val="000000"/>
                <w:szCs w:val="22"/>
              </w:rPr>
              <w:t>Estudo AAU02</w:t>
            </w:r>
          </w:p>
        </w:tc>
        <w:tc>
          <w:tcPr>
            <w:tcW w:w="2652" w:type="dxa"/>
            <w:tcBorders>
              <w:top w:val="single" w:sz="4" w:space="0" w:color="auto"/>
              <w:bottom w:val="single" w:sz="4" w:space="0" w:color="auto"/>
            </w:tcBorders>
          </w:tcPr>
          <w:p w14:paraId="375EB207" w14:textId="77777777" w:rsidR="00906898" w:rsidRPr="00263DB9" w:rsidRDefault="00906898" w:rsidP="003970DC">
            <w:pPr>
              <w:pStyle w:val="Table"/>
              <w:keepLines w:val="0"/>
              <w:widowControl w:val="0"/>
              <w:spacing w:before="0" w:after="0"/>
              <w:rPr>
                <w:rFonts w:ascii="Times New Roman" w:hAnsi="Times New Roman"/>
                <w:color w:val="000000"/>
                <w:szCs w:val="22"/>
              </w:rPr>
            </w:pPr>
          </w:p>
        </w:tc>
        <w:tc>
          <w:tcPr>
            <w:tcW w:w="1080" w:type="dxa"/>
            <w:tcBorders>
              <w:top w:val="single" w:sz="4" w:space="0" w:color="auto"/>
              <w:bottom w:val="single" w:sz="4" w:space="0" w:color="auto"/>
            </w:tcBorders>
          </w:tcPr>
          <w:p w14:paraId="375EB208" w14:textId="77777777" w:rsidR="00906898" w:rsidRPr="00263DB9" w:rsidRDefault="00906898" w:rsidP="003970DC">
            <w:pPr>
              <w:pStyle w:val="Table"/>
              <w:keepLines w:val="0"/>
              <w:widowControl w:val="0"/>
              <w:spacing w:before="0" w:after="0"/>
              <w:rPr>
                <w:rFonts w:ascii="Times New Roman" w:hAnsi="Times New Roman"/>
                <w:color w:val="000000"/>
                <w:szCs w:val="22"/>
              </w:rPr>
            </w:pPr>
          </w:p>
        </w:tc>
        <w:tc>
          <w:tcPr>
            <w:tcW w:w="1380" w:type="dxa"/>
            <w:tcBorders>
              <w:top w:val="single" w:sz="4" w:space="0" w:color="auto"/>
              <w:bottom w:val="single" w:sz="4" w:space="0" w:color="auto"/>
            </w:tcBorders>
          </w:tcPr>
          <w:p w14:paraId="375EB209" w14:textId="77777777" w:rsidR="00906898" w:rsidRPr="00263DB9" w:rsidRDefault="00906898" w:rsidP="003970DC">
            <w:pPr>
              <w:pStyle w:val="Table"/>
              <w:keepLines w:val="0"/>
              <w:widowControl w:val="0"/>
              <w:spacing w:before="0" w:after="0"/>
              <w:rPr>
                <w:rFonts w:ascii="Times New Roman" w:hAnsi="Times New Roman"/>
                <w:color w:val="000000"/>
                <w:szCs w:val="22"/>
              </w:rPr>
            </w:pPr>
          </w:p>
        </w:tc>
        <w:tc>
          <w:tcPr>
            <w:tcW w:w="1620" w:type="dxa"/>
            <w:tcBorders>
              <w:top w:val="single" w:sz="4" w:space="0" w:color="auto"/>
              <w:bottom w:val="single" w:sz="4" w:space="0" w:color="auto"/>
            </w:tcBorders>
          </w:tcPr>
          <w:p w14:paraId="375EB20A" w14:textId="77777777" w:rsidR="00906898" w:rsidRPr="00263DB9" w:rsidRDefault="00906898" w:rsidP="003970DC">
            <w:pPr>
              <w:pStyle w:val="Table"/>
              <w:keepLines w:val="0"/>
              <w:widowControl w:val="0"/>
              <w:spacing w:before="0" w:after="0"/>
              <w:rPr>
                <w:rFonts w:ascii="Times New Roman" w:hAnsi="Times New Roman"/>
                <w:color w:val="000000"/>
                <w:szCs w:val="22"/>
              </w:rPr>
            </w:pPr>
          </w:p>
        </w:tc>
      </w:tr>
      <w:tr w:rsidR="00906898" w:rsidRPr="00263DB9" w14:paraId="375EB215" w14:textId="77777777" w:rsidTr="003970DC">
        <w:trPr>
          <w:cantSplit/>
        </w:trPr>
        <w:tc>
          <w:tcPr>
            <w:tcW w:w="2148" w:type="dxa"/>
            <w:tcBorders>
              <w:top w:val="single" w:sz="4" w:space="0" w:color="auto"/>
              <w:bottom w:val="single" w:sz="4" w:space="0" w:color="auto"/>
            </w:tcBorders>
          </w:tcPr>
          <w:p w14:paraId="375EB20C"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Tratamento de indução (</w:t>
            </w:r>
            <w:r w:rsidRPr="00263DB9">
              <w:rPr>
                <w:rFonts w:ascii="Times New Roman" w:hAnsi="Times New Roman"/>
                <w:i/>
                <w:color w:val="000000"/>
                <w:szCs w:val="22"/>
                <w:lang w:val="pt-PT"/>
              </w:rPr>
              <w:t>de novo</w:t>
            </w:r>
            <w:r w:rsidRPr="00263DB9">
              <w:rPr>
                <w:rFonts w:ascii="Times New Roman" w:hAnsi="Times New Roman"/>
                <w:color w:val="000000"/>
                <w:szCs w:val="22"/>
                <w:lang w:val="pt-PT"/>
              </w:rPr>
              <w:t xml:space="preserve"> LLA Ph+)</w:t>
            </w:r>
          </w:p>
        </w:tc>
        <w:tc>
          <w:tcPr>
            <w:tcW w:w="6732" w:type="dxa"/>
            <w:gridSpan w:val="4"/>
            <w:tcBorders>
              <w:top w:val="single" w:sz="4" w:space="0" w:color="auto"/>
              <w:bottom w:val="single" w:sz="4" w:space="0" w:color="auto"/>
            </w:tcBorders>
          </w:tcPr>
          <w:p w14:paraId="375EB20D"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Daunorrubicina 30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dias 1-3, 15-16;</w:t>
            </w:r>
          </w:p>
          <w:p w14:paraId="375EB20E"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VCR 2 mg dose total i.v., dias 1, 8, 15, 22;</w:t>
            </w:r>
          </w:p>
          <w:p w14:paraId="375EB20F"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CP 750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dias 1, 8;</w:t>
            </w:r>
          </w:p>
          <w:p w14:paraId="375EB210" w14:textId="77777777" w:rsidR="00E726DC" w:rsidRPr="00263DB9" w:rsidRDefault="00E726DC"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P</w:t>
            </w:r>
            <w:r w:rsidR="00906898" w:rsidRPr="00263DB9">
              <w:rPr>
                <w:rFonts w:ascii="Times New Roman" w:hAnsi="Times New Roman"/>
                <w:color w:val="000000"/>
                <w:szCs w:val="22"/>
                <w:lang w:val="pt-PT"/>
              </w:rPr>
              <w:t>rednisona 60 mg/m</w:t>
            </w:r>
            <w:r w:rsidR="00906898" w:rsidRPr="00263DB9">
              <w:rPr>
                <w:rFonts w:ascii="Times New Roman" w:hAnsi="Times New Roman"/>
                <w:color w:val="000000"/>
                <w:szCs w:val="22"/>
                <w:vertAlign w:val="superscript"/>
                <w:lang w:val="pt-PT"/>
              </w:rPr>
              <w:t>2</w:t>
            </w:r>
            <w:r w:rsidR="00906898" w:rsidRPr="00263DB9">
              <w:rPr>
                <w:rFonts w:ascii="Times New Roman" w:hAnsi="Times New Roman"/>
                <w:color w:val="000000"/>
                <w:szCs w:val="22"/>
                <w:lang w:val="pt-PT"/>
              </w:rPr>
              <w:t xml:space="preserve"> oral, dias 1-7, 15-21;</w:t>
            </w:r>
          </w:p>
          <w:p w14:paraId="375EB211"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IDA 9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1-28;</w:t>
            </w:r>
          </w:p>
          <w:p w14:paraId="375EB212"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MTX 15 mg intratecal, dias 1, 8, 15, 22;</w:t>
            </w:r>
          </w:p>
          <w:p w14:paraId="375EB213"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Ara-C 40 mg intratecal, dias 1, 8, 15, 22;</w:t>
            </w:r>
          </w:p>
          <w:p w14:paraId="375EB214" w14:textId="77777777" w:rsidR="00906898" w:rsidRPr="00263DB9" w:rsidRDefault="00E726DC"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w:t>
            </w:r>
            <w:r w:rsidR="00906898" w:rsidRPr="00263DB9">
              <w:rPr>
                <w:rFonts w:ascii="Times New Roman" w:hAnsi="Times New Roman"/>
                <w:color w:val="000000"/>
                <w:szCs w:val="22"/>
                <w:lang w:val="pt-PT"/>
              </w:rPr>
              <w:t>etilprednisolona 40 mg intratecal, dias 1, 8, 15, 22</w:t>
            </w:r>
          </w:p>
        </w:tc>
      </w:tr>
      <w:tr w:rsidR="00906898" w:rsidRPr="00263DB9" w14:paraId="375EB21B" w14:textId="77777777" w:rsidTr="003970DC">
        <w:trPr>
          <w:cantSplit/>
        </w:trPr>
        <w:tc>
          <w:tcPr>
            <w:tcW w:w="2148" w:type="dxa"/>
            <w:tcBorders>
              <w:top w:val="single" w:sz="4" w:space="0" w:color="auto"/>
              <w:bottom w:val="single" w:sz="4" w:space="0" w:color="auto"/>
            </w:tcBorders>
          </w:tcPr>
          <w:p w14:paraId="375EB216" w14:textId="77777777" w:rsidR="00906898" w:rsidRPr="00263DB9" w:rsidRDefault="00906898" w:rsidP="003970DC">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Consolidação (</w:t>
            </w:r>
            <w:r w:rsidRPr="00263DB9">
              <w:rPr>
                <w:rFonts w:ascii="Times New Roman" w:hAnsi="Times New Roman"/>
                <w:i/>
                <w:color w:val="000000"/>
                <w:szCs w:val="22"/>
                <w:lang w:val="pt-PT"/>
              </w:rPr>
              <w:t>de novo</w:t>
            </w:r>
            <w:r w:rsidRPr="00263DB9">
              <w:rPr>
                <w:rFonts w:ascii="Times New Roman" w:hAnsi="Times New Roman"/>
                <w:color w:val="000000"/>
                <w:szCs w:val="22"/>
                <w:lang w:val="pt-PT"/>
              </w:rPr>
              <w:t xml:space="preserve"> LLA Ph+)</w:t>
            </w:r>
          </w:p>
        </w:tc>
        <w:tc>
          <w:tcPr>
            <w:tcW w:w="6732" w:type="dxa"/>
            <w:gridSpan w:val="4"/>
            <w:tcBorders>
              <w:top w:val="single" w:sz="4" w:space="0" w:color="auto"/>
              <w:bottom w:val="single" w:sz="4" w:space="0" w:color="auto"/>
            </w:tcBorders>
          </w:tcPr>
          <w:p w14:paraId="375EB217" w14:textId="77777777" w:rsidR="00E726DC" w:rsidRPr="00263DB9" w:rsidRDefault="00906898" w:rsidP="003970DC">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Ara-C 1.000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/12 h i.v.(3 h), dias 1-4;</w:t>
            </w:r>
          </w:p>
          <w:p w14:paraId="375EB218" w14:textId="77777777" w:rsidR="00E726DC" w:rsidRPr="00263DB9" w:rsidRDefault="00E726DC" w:rsidP="003970DC">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w:t>
            </w:r>
            <w:r w:rsidR="00906898" w:rsidRPr="00263DB9">
              <w:rPr>
                <w:rFonts w:ascii="Times New Roman" w:hAnsi="Times New Roman"/>
                <w:color w:val="000000"/>
                <w:szCs w:val="22"/>
                <w:lang w:val="pt-PT"/>
              </w:rPr>
              <w:t>itoxantrona 10 mg/m</w:t>
            </w:r>
            <w:r w:rsidR="00906898" w:rsidRPr="00263DB9">
              <w:rPr>
                <w:rFonts w:ascii="Times New Roman" w:hAnsi="Times New Roman"/>
                <w:color w:val="000000"/>
                <w:szCs w:val="22"/>
                <w:vertAlign w:val="superscript"/>
                <w:lang w:val="pt-PT"/>
              </w:rPr>
              <w:t>2</w:t>
            </w:r>
            <w:r w:rsidR="00906898" w:rsidRPr="00263DB9">
              <w:rPr>
                <w:rFonts w:ascii="Times New Roman" w:hAnsi="Times New Roman"/>
                <w:color w:val="000000"/>
                <w:szCs w:val="22"/>
                <w:lang w:val="pt-PT"/>
              </w:rPr>
              <w:t xml:space="preserve"> i.v. dias 3-5;</w:t>
            </w:r>
          </w:p>
          <w:p w14:paraId="375EB219" w14:textId="77777777" w:rsidR="00E726DC" w:rsidRPr="00263DB9" w:rsidRDefault="00906898" w:rsidP="003970DC">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MTX 15 mg intratecal, dia 1;</w:t>
            </w:r>
          </w:p>
          <w:p w14:paraId="375EB21A" w14:textId="77777777" w:rsidR="00906898" w:rsidRPr="00263DB9" w:rsidRDefault="00E726DC" w:rsidP="003970DC">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w:t>
            </w:r>
            <w:r w:rsidR="00906898" w:rsidRPr="00263DB9">
              <w:rPr>
                <w:rFonts w:ascii="Times New Roman" w:hAnsi="Times New Roman"/>
                <w:color w:val="000000"/>
                <w:szCs w:val="22"/>
                <w:lang w:val="pt-PT"/>
              </w:rPr>
              <w:t>etilprednisolona 40 mg intratecal, dia 1</w:t>
            </w:r>
          </w:p>
        </w:tc>
      </w:tr>
      <w:tr w:rsidR="00906898" w:rsidRPr="00263DB9" w14:paraId="375EB220" w14:textId="77777777" w:rsidTr="003970DC">
        <w:trPr>
          <w:cantSplit/>
        </w:trPr>
        <w:tc>
          <w:tcPr>
            <w:tcW w:w="4800" w:type="dxa"/>
            <w:gridSpan w:val="2"/>
            <w:tcBorders>
              <w:top w:val="single" w:sz="4" w:space="0" w:color="auto"/>
              <w:bottom w:val="single" w:sz="4" w:space="0" w:color="auto"/>
            </w:tcBorders>
          </w:tcPr>
          <w:p w14:paraId="375EB21C" w14:textId="77777777" w:rsidR="00906898" w:rsidRPr="00263DB9" w:rsidRDefault="00906898" w:rsidP="003970DC">
            <w:pPr>
              <w:pStyle w:val="Table"/>
              <w:keepLines w:val="0"/>
              <w:widowControl w:val="0"/>
              <w:spacing w:before="0" w:after="0"/>
              <w:rPr>
                <w:rFonts w:ascii="Times New Roman" w:hAnsi="Times New Roman"/>
                <w:b/>
                <w:color w:val="000000"/>
                <w:szCs w:val="22"/>
              </w:rPr>
            </w:pPr>
            <w:r w:rsidRPr="00263DB9">
              <w:rPr>
                <w:rFonts w:ascii="Times New Roman" w:hAnsi="Times New Roman"/>
                <w:b/>
                <w:color w:val="000000"/>
                <w:szCs w:val="22"/>
              </w:rPr>
              <w:t>Estudo ADE04</w:t>
            </w:r>
          </w:p>
        </w:tc>
        <w:tc>
          <w:tcPr>
            <w:tcW w:w="1080" w:type="dxa"/>
            <w:tcBorders>
              <w:top w:val="single" w:sz="4" w:space="0" w:color="auto"/>
              <w:bottom w:val="single" w:sz="4" w:space="0" w:color="auto"/>
            </w:tcBorders>
          </w:tcPr>
          <w:p w14:paraId="375EB21D" w14:textId="77777777" w:rsidR="00906898" w:rsidRPr="00263DB9" w:rsidRDefault="00906898" w:rsidP="003970DC">
            <w:pPr>
              <w:pStyle w:val="Table"/>
              <w:keepLines w:val="0"/>
              <w:widowControl w:val="0"/>
              <w:spacing w:before="0" w:after="0"/>
              <w:rPr>
                <w:rFonts w:ascii="Times New Roman" w:hAnsi="Times New Roman"/>
                <w:color w:val="000000"/>
                <w:szCs w:val="22"/>
              </w:rPr>
            </w:pPr>
          </w:p>
        </w:tc>
        <w:tc>
          <w:tcPr>
            <w:tcW w:w="1380" w:type="dxa"/>
            <w:tcBorders>
              <w:top w:val="single" w:sz="4" w:space="0" w:color="auto"/>
              <w:bottom w:val="single" w:sz="4" w:space="0" w:color="auto"/>
            </w:tcBorders>
          </w:tcPr>
          <w:p w14:paraId="375EB21E" w14:textId="77777777" w:rsidR="00906898" w:rsidRPr="00263DB9" w:rsidRDefault="00906898" w:rsidP="003970DC">
            <w:pPr>
              <w:pStyle w:val="Table"/>
              <w:keepLines w:val="0"/>
              <w:widowControl w:val="0"/>
              <w:spacing w:before="0" w:after="0"/>
              <w:rPr>
                <w:rFonts w:ascii="Times New Roman" w:hAnsi="Times New Roman"/>
                <w:color w:val="000000"/>
                <w:szCs w:val="22"/>
              </w:rPr>
            </w:pPr>
          </w:p>
        </w:tc>
        <w:tc>
          <w:tcPr>
            <w:tcW w:w="1620" w:type="dxa"/>
            <w:tcBorders>
              <w:top w:val="single" w:sz="4" w:space="0" w:color="auto"/>
              <w:bottom w:val="single" w:sz="4" w:space="0" w:color="auto"/>
            </w:tcBorders>
          </w:tcPr>
          <w:p w14:paraId="375EB21F" w14:textId="77777777" w:rsidR="00906898" w:rsidRPr="00263DB9" w:rsidRDefault="00906898" w:rsidP="003970DC">
            <w:pPr>
              <w:pStyle w:val="Table"/>
              <w:keepLines w:val="0"/>
              <w:widowControl w:val="0"/>
              <w:spacing w:before="0" w:after="0"/>
              <w:rPr>
                <w:rFonts w:ascii="Times New Roman" w:hAnsi="Times New Roman"/>
                <w:color w:val="000000"/>
                <w:szCs w:val="22"/>
              </w:rPr>
            </w:pPr>
          </w:p>
        </w:tc>
      </w:tr>
      <w:tr w:rsidR="00906898" w:rsidRPr="00263DB9" w14:paraId="375EB225" w14:textId="77777777" w:rsidTr="003970DC">
        <w:trPr>
          <w:cantSplit/>
        </w:trPr>
        <w:tc>
          <w:tcPr>
            <w:tcW w:w="2148" w:type="dxa"/>
            <w:tcBorders>
              <w:top w:val="single" w:sz="4" w:space="0" w:color="auto"/>
              <w:bottom w:val="single" w:sz="4" w:space="0" w:color="auto"/>
            </w:tcBorders>
          </w:tcPr>
          <w:p w14:paraId="375EB221" w14:textId="77777777" w:rsidR="00906898" w:rsidRPr="00263DB9" w:rsidRDefault="00906898" w:rsidP="003970DC">
            <w:pPr>
              <w:pStyle w:val="Table"/>
              <w:keepLines w:val="0"/>
              <w:widowControl w:val="0"/>
              <w:spacing w:before="0" w:after="0"/>
              <w:rPr>
                <w:rFonts w:ascii="Times New Roman" w:hAnsi="Times New Roman"/>
                <w:color w:val="000000"/>
                <w:szCs w:val="22"/>
              </w:rPr>
            </w:pPr>
            <w:r w:rsidRPr="00263DB9">
              <w:rPr>
                <w:rFonts w:ascii="Times New Roman" w:hAnsi="Times New Roman"/>
                <w:color w:val="000000"/>
                <w:szCs w:val="22"/>
              </w:rPr>
              <w:t>Pré-fase</w:t>
            </w:r>
          </w:p>
        </w:tc>
        <w:tc>
          <w:tcPr>
            <w:tcW w:w="6732" w:type="dxa"/>
            <w:gridSpan w:val="4"/>
            <w:tcBorders>
              <w:top w:val="single" w:sz="4" w:space="0" w:color="auto"/>
              <w:bottom w:val="single" w:sz="4" w:space="0" w:color="auto"/>
            </w:tcBorders>
          </w:tcPr>
          <w:p w14:paraId="375EB222"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DEX 10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1-5;</w:t>
            </w:r>
          </w:p>
          <w:p w14:paraId="375EB223"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CP 200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dias 3-5;</w:t>
            </w:r>
          </w:p>
          <w:p w14:paraId="375EB224"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MTX 15 mg intratecal, dia 1</w:t>
            </w:r>
          </w:p>
        </w:tc>
      </w:tr>
      <w:tr w:rsidR="00906898" w:rsidRPr="00263DB9" w14:paraId="375EB22A" w14:textId="77777777" w:rsidTr="003970DC">
        <w:trPr>
          <w:cantSplit/>
        </w:trPr>
        <w:tc>
          <w:tcPr>
            <w:tcW w:w="2148" w:type="dxa"/>
            <w:tcBorders>
              <w:top w:val="single" w:sz="4" w:space="0" w:color="auto"/>
              <w:bottom w:val="single" w:sz="4" w:space="0" w:color="auto"/>
            </w:tcBorders>
          </w:tcPr>
          <w:p w14:paraId="375EB226"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Tratamento de indução I</w:t>
            </w:r>
          </w:p>
        </w:tc>
        <w:tc>
          <w:tcPr>
            <w:tcW w:w="6732" w:type="dxa"/>
            <w:gridSpan w:val="4"/>
            <w:tcBorders>
              <w:top w:val="single" w:sz="4" w:space="0" w:color="auto"/>
              <w:bottom w:val="single" w:sz="4" w:space="0" w:color="auto"/>
            </w:tcBorders>
          </w:tcPr>
          <w:p w14:paraId="375EB227"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DEX 10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1-5;</w:t>
            </w:r>
          </w:p>
          <w:p w14:paraId="375EB228"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VCR 2 mg i.v., dias 6, 13, 20;</w:t>
            </w:r>
          </w:p>
          <w:p w14:paraId="375EB229" w14:textId="77777777" w:rsidR="00906898" w:rsidRPr="00263DB9" w:rsidRDefault="00E726DC"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w:t>
            </w:r>
            <w:r w:rsidR="00906898" w:rsidRPr="00263DB9">
              <w:rPr>
                <w:rFonts w:ascii="Times New Roman" w:hAnsi="Times New Roman"/>
                <w:color w:val="000000"/>
                <w:szCs w:val="22"/>
                <w:lang w:val="pt-PT"/>
              </w:rPr>
              <w:t>aunorrubicina 45 mg/m</w:t>
            </w:r>
            <w:r w:rsidR="00906898" w:rsidRPr="00263DB9">
              <w:rPr>
                <w:rFonts w:ascii="Times New Roman" w:hAnsi="Times New Roman"/>
                <w:color w:val="000000"/>
                <w:szCs w:val="22"/>
                <w:vertAlign w:val="superscript"/>
                <w:lang w:val="pt-PT"/>
              </w:rPr>
              <w:t>2</w:t>
            </w:r>
            <w:r w:rsidR="00906898" w:rsidRPr="00263DB9">
              <w:rPr>
                <w:rFonts w:ascii="Times New Roman" w:hAnsi="Times New Roman"/>
                <w:color w:val="000000"/>
                <w:szCs w:val="22"/>
                <w:lang w:val="pt-PT"/>
              </w:rPr>
              <w:t xml:space="preserve"> i.v., dias 6-7, 13-14</w:t>
            </w:r>
          </w:p>
        </w:tc>
      </w:tr>
      <w:tr w:rsidR="00906898" w:rsidRPr="00263DB9" w14:paraId="375EB22F" w14:textId="77777777" w:rsidTr="003970DC">
        <w:trPr>
          <w:cantSplit/>
        </w:trPr>
        <w:tc>
          <w:tcPr>
            <w:tcW w:w="2148" w:type="dxa"/>
            <w:tcBorders>
              <w:top w:val="single" w:sz="4" w:space="0" w:color="auto"/>
              <w:bottom w:val="single" w:sz="4" w:space="0" w:color="auto"/>
            </w:tcBorders>
          </w:tcPr>
          <w:p w14:paraId="375EB22B"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Tratamento de indução II</w:t>
            </w:r>
          </w:p>
        </w:tc>
        <w:tc>
          <w:tcPr>
            <w:tcW w:w="6732" w:type="dxa"/>
            <w:gridSpan w:val="4"/>
            <w:tcBorders>
              <w:top w:val="single" w:sz="4" w:space="0" w:color="auto"/>
              <w:bottom w:val="single" w:sz="4" w:space="0" w:color="auto"/>
            </w:tcBorders>
          </w:tcPr>
          <w:p w14:paraId="375EB22C"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CP 1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(1 h), dias 26, 46;</w:t>
            </w:r>
          </w:p>
          <w:p w14:paraId="375EB22D"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Ara-C 75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(1 h), dias 28-31, 35-38, 42-45;</w:t>
            </w:r>
          </w:p>
          <w:p w14:paraId="375EB22E" w14:textId="77777777" w:rsidR="00906898" w:rsidRPr="00263DB9" w:rsidRDefault="00906898" w:rsidP="003970DC">
            <w:pPr>
              <w:pStyle w:val="Table"/>
              <w:keepLines w:val="0"/>
              <w:widowControl w:val="0"/>
              <w:spacing w:before="0" w:after="0"/>
              <w:rPr>
                <w:rFonts w:ascii="Times New Roman" w:hAnsi="Times New Roman"/>
                <w:color w:val="000000"/>
                <w:szCs w:val="22"/>
                <w:lang w:val="pl-PL"/>
              </w:rPr>
            </w:pPr>
            <w:r w:rsidRPr="00263DB9">
              <w:rPr>
                <w:rFonts w:ascii="Times New Roman" w:hAnsi="Times New Roman"/>
                <w:color w:val="000000"/>
                <w:szCs w:val="22"/>
                <w:lang w:val="pt-PT"/>
              </w:rPr>
              <w:t>6-MP 60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26-46</w:t>
            </w:r>
          </w:p>
        </w:tc>
      </w:tr>
      <w:tr w:rsidR="00906898" w:rsidRPr="00263DB9" w14:paraId="375EB236" w14:textId="77777777" w:rsidTr="003970DC">
        <w:trPr>
          <w:cantSplit/>
        </w:trPr>
        <w:tc>
          <w:tcPr>
            <w:tcW w:w="2148" w:type="dxa"/>
            <w:tcBorders>
              <w:top w:val="nil"/>
              <w:bottom w:val="single" w:sz="4" w:space="0" w:color="auto"/>
            </w:tcBorders>
          </w:tcPr>
          <w:p w14:paraId="375EB230" w14:textId="77777777" w:rsidR="00906898" w:rsidRPr="00263DB9" w:rsidRDefault="00906898" w:rsidP="003970DC">
            <w:pPr>
              <w:pStyle w:val="Table"/>
              <w:keepNext w:val="0"/>
              <w:keepLines w:val="0"/>
              <w:widowControl w:val="0"/>
              <w:spacing w:before="0" w:after="0"/>
              <w:rPr>
                <w:rFonts w:ascii="Times New Roman" w:hAnsi="Times New Roman"/>
                <w:color w:val="000000"/>
                <w:szCs w:val="22"/>
              </w:rPr>
            </w:pPr>
            <w:r w:rsidRPr="00263DB9">
              <w:rPr>
                <w:rFonts w:ascii="Times New Roman" w:hAnsi="Times New Roman"/>
                <w:color w:val="000000"/>
                <w:szCs w:val="22"/>
              </w:rPr>
              <w:t xml:space="preserve">Tratamento de consolidação </w:t>
            </w:r>
          </w:p>
        </w:tc>
        <w:tc>
          <w:tcPr>
            <w:tcW w:w="6732" w:type="dxa"/>
            <w:gridSpan w:val="4"/>
            <w:tcBorders>
              <w:top w:val="nil"/>
              <w:bottom w:val="single" w:sz="4" w:space="0" w:color="auto"/>
            </w:tcBorders>
          </w:tcPr>
          <w:p w14:paraId="375EB231" w14:textId="77777777" w:rsidR="00E726DC" w:rsidRPr="00263DB9" w:rsidRDefault="00906898" w:rsidP="003970DC">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DEX 10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1-5;</w:t>
            </w:r>
          </w:p>
          <w:p w14:paraId="375EB232" w14:textId="77777777" w:rsidR="00E726DC" w:rsidRPr="00263DB9" w:rsidRDefault="00E726DC" w:rsidP="003970DC">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w:t>
            </w:r>
            <w:r w:rsidR="00906898" w:rsidRPr="00263DB9">
              <w:rPr>
                <w:rFonts w:ascii="Times New Roman" w:hAnsi="Times New Roman"/>
                <w:color w:val="000000"/>
                <w:szCs w:val="22"/>
                <w:lang w:val="pt-PT"/>
              </w:rPr>
              <w:t>indesina 3 mg/m</w:t>
            </w:r>
            <w:r w:rsidR="00906898" w:rsidRPr="00263DB9">
              <w:rPr>
                <w:rFonts w:ascii="Times New Roman" w:hAnsi="Times New Roman"/>
                <w:color w:val="000000"/>
                <w:szCs w:val="22"/>
                <w:vertAlign w:val="superscript"/>
                <w:lang w:val="pt-PT"/>
              </w:rPr>
              <w:t>2</w:t>
            </w:r>
            <w:r w:rsidR="00906898" w:rsidRPr="00263DB9">
              <w:rPr>
                <w:rFonts w:ascii="Times New Roman" w:hAnsi="Times New Roman"/>
                <w:color w:val="000000"/>
                <w:szCs w:val="22"/>
                <w:lang w:val="pt-PT"/>
              </w:rPr>
              <w:t xml:space="preserve"> i.v., dia 1;</w:t>
            </w:r>
          </w:p>
          <w:p w14:paraId="375EB233" w14:textId="77777777" w:rsidR="00E726DC" w:rsidRPr="00263DB9" w:rsidRDefault="00906898" w:rsidP="003970DC">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MTX 1,5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(24 h), dia 1;</w:t>
            </w:r>
          </w:p>
          <w:p w14:paraId="375EB234" w14:textId="77777777" w:rsidR="00E726DC" w:rsidRPr="00263DB9" w:rsidRDefault="00E726DC" w:rsidP="003970DC">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E</w:t>
            </w:r>
            <w:r w:rsidR="00906898" w:rsidRPr="00263DB9">
              <w:rPr>
                <w:rFonts w:ascii="Times New Roman" w:hAnsi="Times New Roman"/>
                <w:color w:val="000000"/>
                <w:szCs w:val="22"/>
                <w:lang w:val="pt-PT"/>
              </w:rPr>
              <w:t>etoposido 250 mg/m</w:t>
            </w:r>
            <w:r w:rsidR="00906898" w:rsidRPr="00263DB9">
              <w:rPr>
                <w:rFonts w:ascii="Times New Roman" w:hAnsi="Times New Roman"/>
                <w:color w:val="000000"/>
                <w:szCs w:val="22"/>
                <w:vertAlign w:val="superscript"/>
                <w:lang w:val="pt-PT"/>
              </w:rPr>
              <w:t>2</w:t>
            </w:r>
            <w:r w:rsidR="00906898" w:rsidRPr="00263DB9">
              <w:rPr>
                <w:rFonts w:ascii="Times New Roman" w:hAnsi="Times New Roman"/>
                <w:color w:val="000000"/>
                <w:szCs w:val="22"/>
                <w:lang w:val="pt-PT"/>
              </w:rPr>
              <w:t xml:space="preserve"> i.v. (1 h) dias 4-5;</w:t>
            </w:r>
          </w:p>
          <w:p w14:paraId="375EB235" w14:textId="77777777" w:rsidR="00906898" w:rsidRPr="00263DB9" w:rsidRDefault="00906898" w:rsidP="003970DC">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Ara-C 2x 2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(3 h, q 12 h), dia 5</w:t>
            </w:r>
          </w:p>
        </w:tc>
      </w:tr>
      <w:tr w:rsidR="00906898" w:rsidRPr="00263DB9" w14:paraId="375EB23C" w14:textId="77777777" w:rsidTr="003970DC">
        <w:trPr>
          <w:cantSplit/>
        </w:trPr>
        <w:tc>
          <w:tcPr>
            <w:tcW w:w="2148" w:type="dxa"/>
            <w:tcBorders>
              <w:top w:val="nil"/>
              <w:bottom w:val="single" w:sz="4" w:space="0" w:color="auto"/>
            </w:tcBorders>
          </w:tcPr>
          <w:p w14:paraId="375EB237" w14:textId="77777777" w:rsidR="00906898" w:rsidRPr="00263DB9" w:rsidRDefault="00906898" w:rsidP="003970DC">
            <w:pPr>
              <w:pStyle w:val="Table"/>
              <w:keepLines w:val="0"/>
              <w:widowControl w:val="0"/>
              <w:spacing w:before="0" w:after="0"/>
              <w:rPr>
                <w:rFonts w:ascii="Times New Roman" w:hAnsi="Times New Roman"/>
                <w:b/>
                <w:color w:val="000000"/>
                <w:szCs w:val="22"/>
              </w:rPr>
            </w:pPr>
            <w:r w:rsidRPr="00263DB9">
              <w:rPr>
                <w:rFonts w:ascii="Times New Roman" w:hAnsi="Times New Roman"/>
                <w:b/>
                <w:color w:val="000000"/>
                <w:szCs w:val="22"/>
              </w:rPr>
              <w:t>Estudo AJP01</w:t>
            </w:r>
          </w:p>
        </w:tc>
        <w:tc>
          <w:tcPr>
            <w:tcW w:w="2652" w:type="dxa"/>
            <w:tcBorders>
              <w:top w:val="nil"/>
              <w:bottom w:val="single" w:sz="4" w:space="0" w:color="auto"/>
            </w:tcBorders>
          </w:tcPr>
          <w:p w14:paraId="375EB238" w14:textId="77777777" w:rsidR="00906898" w:rsidRPr="00263DB9" w:rsidRDefault="00906898" w:rsidP="003970DC">
            <w:pPr>
              <w:pStyle w:val="Table"/>
              <w:keepLines w:val="0"/>
              <w:widowControl w:val="0"/>
              <w:spacing w:before="0" w:after="0"/>
              <w:rPr>
                <w:rFonts w:ascii="Times New Roman" w:hAnsi="Times New Roman"/>
                <w:color w:val="000000"/>
                <w:szCs w:val="22"/>
              </w:rPr>
            </w:pPr>
          </w:p>
        </w:tc>
        <w:tc>
          <w:tcPr>
            <w:tcW w:w="1080" w:type="dxa"/>
            <w:tcBorders>
              <w:top w:val="nil"/>
              <w:bottom w:val="single" w:sz="4" w:space="0" w:color="auto"/>
            </w:tcBorders>
          </w:tcPr>
          <w:p w14:paraId="375EB239" w14:textId="77777777" w:rsidR="00906898" w:rsidRPr="00263DB9" w:rsidRDefault="00906898" w:rsidP="003970DC">
            <w:pPr>
              <w:pStyle w:val="Table"/>
              <w:keepLines w:val="0"/>
              <w:widowControl w:val="0"/>
              <w:spacing w:before="0" w:after="0"/>
              <w:rPr>
                <w:rFonts w:ascii="Times New Roman" w:hAnsi="Times New Roman"/>
                <w:color w:val="000000"/>
                <w:szCs w:val="22"/>
              </w:rPr>
            </w:pPr>
          </w:p>
        </w:tc>
        <w:tc>
          <w:tcPr>
            <w:tcW w:w="1380" w:type="dxa"/>
            <w:tcBorders>
              <w:top w:val="nil"/>
              <w:bottom w:val="single" w:sz="4" w:space="0" w:color="auto"/>
            </w:tcBorders>
          </w:tcPr>
          <w:p w14:paraId="375EB23A" w14:textId="77777777" w:rsidR="00906898" w:rsidRPr="00263DB9" w:rsidRDefault="00906898" w:rsidP="003970DC">
            <w:pPr>
              <w:pStyle w:val="Table"/>
              <w:keepLines w:val="0"/>
              <w:widowControl w:val="0"/>
              <w:spacing w:before="0" w:after="0"/>
              <w:rPr>
                <w:rFonts w:ascii="Times New Roman" w:hAnsi="Times New Roman"/>
                <w:color w:val="000000"/>
                <w:szCs w:val="22"/>
              </w:rPr>
            </w:pPr>
          </w:p>
        </w:tc>
        <w:tc>
          <w:tcPr>
            <w:tcW w:w="1620" w:type="dxa"/>
            <w:tcBorders>
              <w:top w:val="nil"/>
              <w:bottom w:val="single" w:sz="4" w:space="0" w:color="auto"/>
            </w:tcBorders>
          </w:tcPr>
          <w:p w14:paraId="375EB23B" w14:textId="77777777" w:rsidR="00906898" w:rsidRPr="00263DB9" w:rsidRDefault="00906898" w:rsidP="003970DC">
            <w:pPr>
              <w:pStyle w:val="Table"/>
              <w:keepLines w:val="0"/>
              <w:widowControl w:val="0"/>
              <w:spacing w:before="0" w:after="0"/>
              <w:rPr>
                <w:rFonts w:ascii="Times New Roman" w:hAnsi="Times New Roman"/>
                <w:color w:val="000000"/>
                <w:szCs w:val="22"/>
              </w:rPr>
            </w:pPr>
          </w:p>
        </w:tc>
      </w:tr>
      <w:tr w:rsidR="00906898" w:rsidRPr="00263DB9" w14:paraId="375EB242" w14:textId="77777777" w:rsidTr="003970DC">
        <w:trPr>
          <w:cantSplit/>
        </w:trPr>
        <w:tc>
          <w:tcPr>
            <w:tcW w:w="2148" w:type="dxa"/>
            <w:tcBorders>
              <w:top w:val="nil"/>
              <w:bottom w:val="single" w:sz="4" w:space="0" w:color="auto"/>
            </w:tcBorders>
          </w:tcPr>
          <w:p w14:paraId="375EB23D" w14:textId="77777777" w:rsidR="00906898" w:rsidRPr="00263DB9" w:rsidRDefault="00906898" w:rsidP="003970DC">
            <w:pPr>
              <w:pStyle w:val="Table"/>
              <w:keepLines w:val="0"/>
              <w:widowControl w:val="0"/>
              <w:spacing w:before="0" w:after="0"/>
              <w:rPr>
                <w:rFonts w:ascii="Times New Roman" w:hAnsi="Times New Roman"/>
                <w:color w:val="000000"/>
                <w:szCs w:val="22"/>
              </w:rPr>
            </w:pPr>
            <w:r w:rsidRPr="00263DB9">
              <w:rPr>
                <w:rFonts w:ascii="Times New Roman" w:hAnsi="Times New Roman"/>
                <w:color w:val="000000"/>
                <w:szCs w:val="22"/>
              </w:rPr>
              <w:t>Tratamento de indução</w:t>
            </w:r>
          </w:p>
        </w:tc>
        <w:tc>
          <w:tcPr>
            <w:tcW w:w="6732" w:type="dxa"/>
            <w:gridSpan w:val="4"/>
            <w:tcBorders>
              <w:top w:val="nil"/>
              <w:bottom w:val="single" w:sz="4" w:space="0" w:color="auto"/>
            </w:tcBorders>
          </w:tcPr>
          <w:p w14:paraId="375EB23E"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CP 1,2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(3 h), dia 1;</w:t>
            </w:r>
          </w:p>
          <w:p w14:paraId="375EB23F" w14:textId="77777777" w:rsidR="00E726DC" w:rsidRPr="00263DB9" w:rsidRDefault="00E726DC"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w:t>
            </w:r>
            <w:r w:rsidR="00906898" w:rsidRPr="00263DB9">
              <w:rPr>
                <w:rFonts w:ascii="Times New Roman" w:hAnsi="Times New Roman"/>
                <w:color w:val="000000"/>
                <w:szCs w:val="22"/>
                <w:lang w:val="pt-PT"/>
              </w:rPr>
              <w:t>aunorubicina 60 mg/m</w:t>
            </w:r>
            <w:r w:rsidR="00906898" w:rsidRPr="00263DB9">
              <w:rPr>
                <w:rFonts w:ascii="Times New Roman" w:hAnsi="Times New Roman"/>
                <w:color w:val="000000"/>
                <w:szCs w:val="22"/>
                <w:vertAlign w:val="superscript"/>
                <w:lang w:val="pt-PT"/>
              </w:rPr>
              <w:t>2</w:t>
            </w:r>
            <w:r w:rsidR="00906898" w:rsidRPr="00263DB9">
              <w:rPr>
                <w:rFonts w:ascii="Times New Roman" w:hAnsi="Times New Roman"/>
                <w:color w:val="000000"/>
                <w:szCs w:val="22"/>
                <w:lang w:val="pt-PT"/>
              </w:rPr>
              <w:t xml:space="preserve"> i.v. (1 h), dias 1-3;</w:t>
            </w:r>
          </w:p>
          <w:p w14:paraId="375EB240" w14:textId="77777777" w:rsidR="00E726DC" w:rsidRPr="00263DB9" w:rsidRDefault="00E726DC"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w:t>
            </w:r>
            <w:r w:rsidR="00906898" w:rsidRPr="00263DB9">
              <w:rPr>
                <w:rFonts w:ascii="Times New Roman" w:hAnsi="Times New Roman"/>
                <w:color w:val="000000"/>
                <w:szCs w:val="22"/>
                <w:lang w:val="pt-PT"/>
              </w:rPr>
              <w:t>incristina 1,3 mg/m</w:t>
            </w:r>
            <w:r w:rsidR="00906898" w:rsidRPr="00263DB9">
              <w:rPr>
                <w:rFonts w:ascii="Times New Roman" w:hAnsi="Times New Roman"/>
                <w:color w:val="000000"/>
                <w:szCs w:val="22"/>
                <w:vertAlign w:val="superscript"/>
                <w:lang w:val="pt-PT"/>
              </w:rPr>
              <w:t>2</w:t>
            </w:r>
            <w:r w:rsidR="00906898" w:rsidRPr="00263DB9">
              <w:rPr>
                <w:rFonts w:ascii="Times New Roman" w:hAnsi="Times New Roman"/>
                <w:color w:val="000000"/>
                <w:szCs w:val="22"/>
                <w:lang w:val="pt-PT"/>
              </w:rPr>
              <w:t xml:space="preserve"> i.v., dias 1, 8, 15, 21;</w:t>
            </w:r>
          </w:p>
          <w:p w14:paraId="375EB241" w14:textId="77777777" w:rsidR="00906898" w:rsidRPr="00263DB9" w:rsidRDefault="00E726DC"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P</w:t>
            </w:r>
            <w:r w:rsidR="00906898" w:rsidRPr="00263DB9">
              <w:rPr>
                <w:rFonts w:ascii="Times New Roman" w:hAnsi="Times New Roman"/>
                <w:color w:val="000000"/>
                <w:szCs w:val="22"/>
                <w:lang w:val="pt-PT"/>
              </w:rPr>
              <w:t>rednisolona 60 mg/m</w:t>
            </w:r>
            <w:r w:rsidR="00906898" w:rsidRPr="00263DB9">
              <w:rPr>
                <w:rFonts w:ascii="Times New Roman" w:hAnsi="Times New Roman"/>
                <w:color w:val="000000"/>
                <w:szCs w:val="22"/>
                <w:vertAlign w:val="superscript"/>
                <w:lang w:val="pt-PT"/>
              </w:rPr>
              <w:t>2</w:t>
            </w:r>
            <w:r w:rsidR="00906898" w:rsidRPr="00263DB9">
              <w:rPr>
                <w:rFonts w:ascii="Times New Roman" w:hAnsi="Times New Roman"/>
                <w:color w:val="000000"/>
                <w:szCs w:val="22"/>
                <w:lang w:val="pt-PT"/>
              </w:rPr>
              <w:t>/dia oral</w:t>
            </w:r>
          </w:p>
        </w:tc>
      </w:tr>
      <w:tr w:rsidR="00906898" w:rsidRPr="00263DB9" w14:paraId="375EB245" w14:textId="77777777" w:rsidTr="003970DC">
        <w:trPr>
          <w:cantSplit/>
        </w:trPr>
        <w:tc>
          <w:tcPr>
            <w:tcW w:w="2148" w:type="dxa"/>
            <w:tcBorders>
              <w:top w:val="single" w:sz="4" w:space="0" w:color="auto"/>
              <w:bottom w:val="single" w:sz="4" w:space="0" w:color="auto"/>
            </w:tcBorders>
          </w:tcPr>
          <w:p w14:paraId="375EB243" w14:textId="77777777" w:rsidR="00906898" w:rsidRPr="00263DB9" w:rsidRDefault="00906898" w:rsidP="003970DC">
            <w:pPr>
              <w:pStyle w:val="Table"/>
              <w:keepLines w:val="0"/>
              <w:widowControl w:val="0"/>
              <w:tabs>
                <w:tab w:val="left" w:pos="0"/>
              </w:tabs>
              <w:spacing w:before="0" w:after="0"/>
              <w:rPr>
                <w:rFonts w:ascii="Times New Roman" w:hAnsi="Times New Roman"/>
                <w:color w:val="000000"/>
                <w:szCs w:val="22"/>
                <w:lang w:val="pt-PT"/>
              </w:rPr>
            </w:pPr>
            <w:r w:rsidRPr="00263DB9">
              <w:rPr>
                <w:rFonts w:ascii="Times New Roman" w:hAnsi="Times New Roman"/>
                <w:color w:val="000000"/>
                <w:szCs w:val="22"/>
                <w:lang w:val="pt-PT"/>
              </w:rPr>
              <w:t>Tratamento de consolidação</w:t>
            </w:r>
          </w:p>
        </w:tc>
        <w:tc>
          <w:tcPr>
            <w:tcW w:w="6732" w:type="dxa"/>
            <w:gridSpan w:val="4"/>
            <w:tcBorders>
              <w:top w:val="single" w:sz="4" w:space="0" w:color="auto"/>
              <w:bottom w:val="single" w:sz="4" w:space="0" w:color="auto"/>
            </w:tcBorders>
          </w:tcPr>
          <w:p w14:paraId="375EB244"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Sequência alternante de quimioterapia: quimioterapia de regimes de alta dose com MTX 1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(24 h), dia 1, e Ara-C 2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(q 12 h), dias 2-3, para 4 ciclos</w:t>
            </w:r>
          </w:p>
        </w:tc>
      </w:tr>
      <w:tr w:rsidR="00906898" w:rsidRPr="00263DB9" w14:paraId="375EB249" w14:textId="77777777" w:rsidTr="003970DC">
        <w:trPr>
          <w:cantSplit/>
        </w:trPr>
        <w:tc>
          <w:tcPr>
            <w:tcW w:w="2148" w:type="dxa"/>
            <w:tcBorders>
              <w:top w:val="single" w:sz="4" w:space="0" w:color="auto"/>
              <w:bottom w:val="single" w:sz="4" w:space="0" w:color="auto"/>
            </w:tcBorders>
          </w:tcPr>
          <w:p w14:paraId="375EB246" w14:textId="77777777" w:rsidR="00906898" w:rsidRPr="00263DB9" w:rsidRDefault="00906898" w:rsidP="003970DC">
            <w:pPr>
              <w:pStyle w:val="Table"/>
              <w:keepNext w:val="0"/>
              <w:keepLines w:val="0"/>
              <w:widowControl w:val="0"/>
              <w:tabs>
                <w:tab w:val="left" w:pos="0"/>
              </w:tabs>
              <w:spacing w:before="0" w:after="0"/>
              <w:rPr>
                <w:rFonts w:ascii="Times New Roman" w:hAnsi="Times New Roman"/>
                <w:color w:val="000000"/>
                <w:szCs w:val="22"/>
              </w:rPr>
            </w:pPr>
            <w:r w:rsidRPr="00263DB9">
              <w:rPr>
                <w:rFonts w:ascii="Times New Roman" w:hAnsi="Times New Roman"/>
                <w:color w:val="000000"/>
                <w:szCs w:val="22"/>
              </w:rPr>
              <w:t>Manutenção</w:t>
            </w:r>
          </w:p>
        </w:tc>
        <w:tc>
          <w:tcPr>
            <w:tcW w:w="6732" w:type="dxa"/>
            <w:gridSpan w:val="4"/>
            <w:tcBorders>
              <w:top w:val="single" w:sz="4" w:space="0" w:color="auto"/>
              <w:bottom w:val="single" w:sz="4" w:space="0" w:color="auto"/>
            </w:tcBorders>
          </w:tcPr>
          <w:p w14:paraId="375EB247" w14:textId="77777777" w:rsidR="00E726DC" w:rsidRPr="00263DB9" w:rsidRDefault="00906898" w:rsidP="003970DC">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VCR 1,3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 1;</w:t>
            </w:r>
          </w:p>
          <w:p w14:paraId="375EB248" w14:textId="77777777" w:rsidR="00906898" w:rsidRPr="00263DB9" w:rsidRDefault="00E726DC" w:rsidP="003970DC">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P</w:t>
            </w:r>
            <w:r w:rsidR="00906898" w:rsidRPr="00263DB9">
              <w:rPr>
                <w:rFonts w:ascii="Times New Roman" w:hAnsi="Times New Roman"/>
                <w:color w:val="000000"/>
                <w:szCs w:val="22"/>
                <w:lang w:val="pt-PT"/>
              </w:rPr>
              <w:t>rednisolona 60 mg/m</w:t>
            </w:r>
            <w:r w:rsidR="00906898" w:rsidRPr="00263DB9">
              <w:rPr>
                <w:rFonts w:ascii="Times New Roman" w:hAnsi="Times New Roman"/>
                <w:color w:val="000000"/>
                <w:szCs w:val="22"/>
                <w:vertAlign w:val="superscript"/>
                <w:lang w:val="pt-PT"/>
              </w:rPr>
              <w:t>2</w:t>
            </w:r>
            <w:r w:rsidR="00906898" w:rsidRPr="00263DB9">
              <w:rPr>
                <w:rFonts w:ascii="Times New Roman" w:hAnsi="Times New Roman"/>
                <w:color w:val="000000"/>
                <w:szCs w:val="22"/>
                <w:lang w:val="pt-PT"/>
              </w:rPr>
              <w:t xml:space="preserve"> oral, dias 1-5</w:t>
            </w:r>
          </w:p>
        </w:tc>
      </w:tr>
      <w:tr w:rsidR="00906898" w:rsidRPr="00263DB9" w14:paraId="375EB24E" w14:textId="77777777" w:rsidTr="003970DC">
        <w:trPr>
          <w:cantSplit/>
        </w:trPr>
        <w:tc>
          <w:tcPr>
            <w:tcW w:w="4800" w:type="dxa"/>
            <w:gridSpan w:val="2"/>
            <w:tcBorders>
              <w:top w:val="single" w:sz="4" w:space="0" w:color="auto"/>
              <w:bottom w:val="single" w:sz="4" w:space="0" w:color="auto"/>
            </w:tcBorders>
          </w:tcPr>
          <w:p w14:paraId="375EB24A"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b/>
                <w:color w:val="000000"/>
                <w:szCs w:val="22"/>
                <w:lang w:val="pt-PT"/>
              </w:rPr>
              <w:lastRenderedPageBreak/>
              <w:t>Estudo AUS01</w:t>
            </w:r>
          </w:p>
        </w:tc>
        <w:tc>
          <w:tcPr>
            <w:tcW w:w="1080" w:type="dxa"/>
            <w:tcBorders>
              <w:top w:val="single" w:sz="4" w:space="0" w:color="auto"/>
              <w:bottom w:val="single" w:sz="4" w:space="0" w:color="auto"/>
            </w:tcBorders>
          </w:tcPr>
          <w:p w14:paraId="375EB24B"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p>
        </w:tc>
        <w:tc>
          <w:tcPr>
            <w:tcW w:w="1380" w:type="dxa"/>
            <w:tcBorders>
              <w:top w:val="single" w:sz="4" w:space="0" w:color="auto"/>
              <w:bottom w:val="single" w:sz="4" w:space="0" w:color="auto"/>
            </w:tcBorders>
          </w:tcPr>
          <w:p w14:paraId="375EB24C"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p>
        </w:tc>
        <w:tc>
          <w:tcPr>
            <w:tcW w:w="1620" w:type="dxa"/>
            <w:tcBorders>
              <w:top w:val="single" w:sz="4" w:space="0" w:color="auto"/>
              <w:bottom w:val="single" w:sz="4" w:space="0" w:color="auto"/>
            </w:tcBorders>
          </w:tcPr>
          <w:p w14:paraId="375EB24D"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p>
        </w:tc>
      </w:tr>
      <w:tr w:rsidR="00906898" w:rsidRPr="00263DB9" w14:paraId="375EB254" w14:textId="77777777" w:rsidTr="003970DC">
        <w:trPr>
          <w:cantSplit/>
        </w:trPr>
        <w:tc>
          <w:tcPr>
            <w:tcW w:w="2148" w:type="dxa"/>
            <w:tcBorders>
              <w:top w:val="single" w:sz="4" w:space="0" w:color="auto"/>
              <w:bottom w:val="single" w:sz="4" w:space="0" w:color="auto"/>
            </w:tcBorders>
          </w:tcPr>
          <w:p w14:paraId="375EB24F"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Tratamento de indução-consolidação</w:t>
            </w:r>
          </w:p>
        </w:tc>
        <w:tc>
          <w:tcPr>
            <w:tcW w:w="6732" w:type="dxa"/>
            <w:gridSpan w:val="4"/>
            <w:tcBorders>
              <w:top w:val="single" w:sz="4" w:space="0" w:color="auto"/>
              <w:bottom w:val="single" w:sz="4" w:space="0" w:color="auto"/>
            </w:tcBorders>
          </w:tcPr>
          <w:p w14:paraId="375EB250"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Regime hiper-CVAD: CP 300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(3 h, q 12 h), dias 1-3;</w:t>
            </w:r>
          </w:p>
          <w:p w14:paraId="375EB251" w14:textId="77777777" w:rsidR="00E726DC" w:rsidRPr="00263DB9" w:rsidRDefault="00E726DC"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w:t>
            </w:r>
            <w:r w:rsidR="00906898" w:rsidRPr="00263DB9">
              <w:rPr>
                <w:rFonts w:ascii="Times New Roman" w:hAnsi="Times New Roman"/>
                <w:color w:val="000000"/>
                <w:szCs w:val="22"/>
                <w:lang w:val="pt-PT"/>
              </w:rPr>
              <w:t>incristina 2 mg i.v., dias 4, 11;</w:t>
            </w:r>
          </w:p>
          <w:p w14:paraId="375EB252" w14:textId="77777777" w:rsidR="00E726DC" w:rsidRPr="00263DB9" w:rsidRDefault="00E726DC"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w:t>
            </w:r>
            <w:r w:rsidR="00906898" w:rsidRPr="00263DB9">
              <w:rPr>
                <w:rFonts w:ascii="Times New Roman" w:hAnsi="Times New Roman"/>
                <w:color w:val="000000"/>
                <w:szCs w:val="22"/>
                <w:lang w:val="pt-PT"/>
              </w:rPr>
              <w:t>oxorrubicina 50 mg/m</w:t>
            </w:r>
            <w:r w:rsidR="00906898" w:rsidRPr="00263DB9">
              <w:rPr>
                <w:rFonts w:ascii="Times New Roman" w:hAnsi="Times New Roman"/>
                <w:color w:val="000000"/>
                <w:szCs w:val="22"/>
                <w:vertAlign w:val="superscript"/>
                <w:lang w:val="pt-PT"/>
              </w:rPr>
              <w:t>2</w:t>
            </w:r>
            <w:r w:rsidR="00906898" w:rsidRPr="00263DB9">
              <w:rPr>
                <w:rFonts w:ascii="Times New Roman" w:hAnsi="Times New Roman"/>
                <w:color w:val="000000"/>
                <w:szCs w:val="22"/>
                <w:lang w:val="pt-PT"/>
              </w:rPr>
              <w:t xml:space="preserve"> i.v. (24 h), dia 4;</w:t>
            </w:r>
          </w:p>
          <w:p w14:paraId="375EB253"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DEX 40 mg/dia em dias 1-4 e 11-14, alternado com MTX 1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(24 h), dia 1, Ara-C 1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(2 h, q 12 h), dias 2-3 (total de 8 sequências)</w:t>
            </w:r>
          </w:p>
        </w:tc>
      </w:tr>
      <w:tr w:rsidR="00906898" w:rsidRPr="00263DB9" w14:paraId="375EB258" w14:textId="77777777" w:rsidTr="003970DC">
        <w:trPr>
          <w:cantSplit/>
        </w:trPr>
        <w:tc>
          <w:tcPr>
            <w:tcW w:w="2148" w:type="dxa"/>
            <w:tcBorders>
              <w:top w:val="single" w:sz="4" w:space="0" w:color="auto"/>
              <w:bottom w:val="single" w:sz="4" w:space="0" w:color="auto"/>
            </w:tcBorders>
          </w:tcPr>
          <w:p w14:paraId="375EB255"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 xml:space="preserve">Manutenção </w:t>
            </w:r>
          </w:p>
        </w:tc>
        <w:tc>
          <w:tcPr>
            <w:tcW w:w="6732" w:type="dxa"/>
            <w:gridSpan w:val="4"/>
            <w:tcBorders>
              <w:top w:val="single" w:sz="4" w:space="0" w:color="auto"/>
              <w:bottom w:val="single" w:sz="4" w:space="0" w:color="auto"/>
            </w:tcBorders>
          </w:tcPr>
          <w:p w14:paraId="375EB256" w14:textId="77777777" w:rsidR="00E726DC"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VCR 2 mg i.v. mensalmente durante 13 meses;</w:t>
            </w:r>
          </w:p>
          <w:p w14:paraId="375EB257" w14:textId="77777777" w:rsidR="00906898" w:rsidRPr="00263DB9" w:rsidRDefault="00E726DC"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P</w:t>
            </w:r>
            <w:r w:rsidR="00906898" w:rsidRPr="00263DB9">
              <w:rPr>
                <w:rFonts w:ascii="Times New Roman" w:hAnsi="Times New Roman"/>
                <w:color w:val="000000"/>
                <w:szCs w:val="22"/>
                <w:lang w:val="pt-PT"/>
              </w:rPr>
              <w:t>rednisolona 200 mg oral, 5 dias em cada mês durante 13 meses</w:t>
            </w:r>
          </w:p>
        </w:tc>
      </w:tr>
      <w:tr w:rsidR="00906898" w:rsidRPr="00263DB9" w14:paraId="375EB25A" w14:textId="77777777" w:rsidTr="003970DC">
        <w:trPr>
          <w:cantSplit/>
        </w:trPr>
        <w:tc>
          <w:tcPr>
            <w:tcW w:w="8880" w:type="dxa"/>
            <w:gridSpan w:val="5"/>
            <w:tcBorders>
              <w:top w:val="single" w:sz="4" w:space="0" w:color="auto"/>
              <w:bottom w:val="single" w:sz="4" w:space="0" w:color="auto"/>
            </w:tcBorders>
          </w:tcPr>
          <w:p w14:paraId="375EB259"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Todos os regimes de tratamento incluem a administração de esteroides para profilaxia do SNC.</w:t>
            </w:r>
          </w:p>
        </w:tc>
      </w:tr>
      <w:tr w:rsidR="00906898" w:rsidRPr="00263DB9" w14:paraId="375EB25C" w14:textId="77777777" w:rsidTr="003970DC">
        <w:trPr>
          <w:cantSplit/>
        </w:trPr>
        <w:tc>
          <w:tcPr>
            <w:tcW w:w="8880" w:type="dxa"/>
            <w:gridSpan w:val="5"/>
            <w:tcBorders>
              <w:top w:val="single" w:sz="4" w:space="0" w:color="auto"/>
              <w:bottom w:val="single" w:sz="4" w:space="0" w:color="auto"/>
            </w:tcBorders>
          </w:tcPr>
          <w:p w14:paraId="375EB25B"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Ara-C: citosina arabinósido; CP: ciclofosfamida; DEX: dexametasona; MTX: metotrexato; 6-MP: 6-mercaptopurina; VM26: teniposido; VCR: vincristina; IDA: idarrubicina; i.v.: via intravenosa</w:t>
            </w:r>
          </w:p>
        </w:tc>
      </w:tr>
    </w:tbl>
    <w:p w14:paraId="375EB25D" w14:textId="77777777" w:rsidR="00906898" w:rsidRPr="00263DB9" w:rsidRDefault="00906898" w:rsidP="00E51817">
      <w:pPr>
        <w:widowControl w:val="0"/>
        <w:suppressAutoHyphens/>
        <w:rPr>
          <w:color w:val="000000"/>
          <w:szCs w:val="22"/>
        </w:rPr>
      </w:pPr>
    </w:p>
    <w:p w14:paraId="375EB25E" w14:textId="77777777" w:rsidR="001441D3" w:rsidRPr="00263DB9" w:rsidRDefault="001441D3" w:rsidP="00E51817">
      <w:pPr>
        <w:widowControl w:val="0"/>
        <w:suppressAutoHyphens/>
        <w:rPr>
          <w:color w:val="000000"/>
        </w:rPr>
      </w:pPr>
      <w:r w:rsidRPr="00263DB9">
        <w:rPr>
          <w:i/>
          <w:color w:val="000000"/>
          <w:szCs w:val="22"/>
        </w:rPr>
        <w:t>Doentes pediátricos</w:t>
      </w:r>
      <w:r w:rsidRPr="00263DB9">
        <w:rPr>
          <w:color w:val="000000"/>
          <w:szCs w:val="22"/>
        </w:rPr>
        <w:t xml:space="preserve">: No estudo I2301 de fase III, aberto, multicêntrico, de cohort sequencial, não aleatorizado, foram </w:t>
      </w:r>
      <w:r w:rsidR="00AB3A2F" w:rsidRPr="00263DB9">
        <w:rPr>
          <w:color w:val="000000"/>
          <w:szCs w:val="22"/>
        </w:rPr>
        <w:t>incluídos</w:t>
      </w:r>
      <w:r w:rsidRPr="00263DB9">
        <w:rPr>
          <w:color w:val="000000"/>
          <w:szCs w:val="22"/>
        </w:rPr>
        <w:t xml:space="preserve"> um total de 93</w:t>
      </w:r>
      <w:r w:rsidR="00AF074F" w:rsidRPr="00263DB9">
        <w:rPr>
          <w:color w:val="000000"/>
          <w:szCs w:val="22"/>
        </w:rPr>
        <w:t> </w:t>
      </w:r>
      <w:r w:rsidRPr="00263DB9">
        <w:rPr>
          <w:color w:val="000000"/>
          <w:szCs w:val="22"/>
        </w:rPr>
        <w:t>doentes pediátricos, adolescentes e jovens adultos (de 1 a 22</w:t>
      </w:r>
      <w:r w:rsidR="00AF074F" w:rsidRPr="00263DB9">
        <w:rPr>
          <w:color w:val="000000"/>
          <w:szCs w:val="22"/>
        </w:rPr>
        <w:t> </w:t>
      </w:r>
      <w:r w:rsidRPr="00263DB9">
        <w:rPr>
          <w:color w:val="000000"/>
          <w:szCs w:val="22"/>
        </w:rPr>
        <w:t>anos de idade) com LLA Ph+</w:t>
      </w:r>
      <w:r w:rsidR="002579AD" w:rsidRPr="00263DB9">
        <w:rPr>
          <w:color w:val="000000"/>
          <w:szCs w:val="22"/>
        </w:rPr>
        <w:t xml:space="preserve"> </w:t>
      </w:r>
      <w:r w:rsidRPr="00263DB9">
        <w:rPr>
          <w:color w:val="000000"/>
          <w:szCs w:val="22"/>
        </w:rPr>
        <w:t>tratados com Glivec (340 mg/m</w:t>
      </w:r>
      <w:r w:rsidRPr="00263DB9">
        <w:rPr>
          <w:color w:val="000000"/>
          <w:szCs w:val="22"/>
          <w:vertAlign w:val="superscript"/>
        </w:rPr>
        <w:t>2</w:t>
      </w:r>
      <w:r w:rsidRPr="00263DB9">
        <w:rPr>
          <w:color w:val="000000"/>
          <w:szCs w:val="22"/>
        </w:rPr>
        <w:t xml:space="preserve">/dia) em associação com quimioterapia intensiva após tratamento de indução. Glivec foi administrado intermitentemente </w:t>
      </w:r>
      <w:r w:rsidR="00AB3A2F" w:rsidRPr="00263DB9">
        <w:rPr>
          <w:color w:val="000000"/>
          <w:szCs w:val="22"/>
        </w:rPr>
        <w:t>nos</w:t>
      </w:r>
      <w:r w:rsidRPr="00263DB9">
        <w:rPr>
          <w:color w:val="000000"/>
          <w:szCs w:val="22"/>
        </w:rPr>
        <w:t xml:space="preserve"> cohorts</w:t>
      </w:r>
      <w:r w:rsidRPr="00263DB9">
        <w:rPr>
          <w:color w:val="000000"/>
          <w:szCs w:val="22"/>
          <w:u w:val="single"/>
        </w:rPr>
        <w:t xml:space="preserve"> </w:t>
      </w:r>
      <w:r w:rsidRPr="00263DB9">
        <w:rPr>
          <w:color w:val="000000"/>
        </w:rPr>
        <w:t>1</w:t>
      </w:r>
      <w:r w:rsidRPr="00263DB9">
        <w:rPr>
          <w:color w:val="000000"/>
        </w:rPr>
        <w:noBreakHyphen/>
        <w:t xml:space="preserve">5, com aumento </w:t>
      </w:r>
      <w:r w:rsidR="00AB3A2F" w:rsidRPr="00263DB9">
        <w:rPr>
          <w:color w:val="000000"/>
        </w:rPr>
        <w:t>na</w:t>
      </w:r>
      <w:r w:rsidRPr="00263DB9">
        <w:rPr>
          <w:color w:val="000000"/>
        </w:rPr>
        <w:t xml:space="preserve"> duração e antecipação de início de Glivec de cohort em cohort: cohort 1 recebeu a dose mais baixa e cohort 5 recebeu a dose mais alta de Glivec (duração maior em dias com administração diária contínua de Glivec durante os primeiros </w:t>
      </w:r>
      <w:r w:rsidR="00AB3A2F" w:rsidRPr="00263DB9">
        <w:rPr>
          <w:color w:val="000000"/>
        </w:rPr>
        <w:t>ciclos</w:t>
      </w:r>
      <w:r w:rsidRPr="00263DB9">
        <w:rPr>
          <w:color w:val="000000"/>
        </w:rPr>
        <w:t xml:space="preserve"> de tratamento com quimioterapia)</w:t>
      </w:r>
      <w:r w:rsidR="008B225F" w:rsidRPr="00263DB9">
        <w:rPr>
          <w:color w:val="000000"/>
        </w:rPr>
        <w:t>.</w:t>
      </w:r>
      <w:r w:rsidRPr="00263DB9">
        <w:rPr>
          <w:color w:val="000000"/>
        </w:rPr>
        <w:t xml:space="preserve"> A exposição diária contínua a Glivec no início </w:t>
      </w:r>
      <w:r w:rsidR="00361462" w:rsidRPr="00263DB9">
        <w:rPr>
          <w:color w:val="000000"/>
        </w:rPr>
        <w:t>do regime de</w:t>
      </w:r>
      <w:r w:rsidRPr="00263DB9">
        <w:rPr>
          <w:color w:val="000000"/>
        </w:rPr>
        <w:t xml:space="preserve"> tratamento em associação com quimioterapia </w:t>
      </w:r>
      <w:r w:rsidR="00AB3A2F" w:rsidRPr="00263DB9">
        <w:rPr>
          <w:color w:val="000000"/>
        </w:rPr>
        <w:t>n</w:t>
      </w:r>
      <w:r w:rsidRPr="00263DB9">
        <w:rPr>
          <w:color w:val="000000"/>
        </w:rPr>
        <w:t>os doentes</w:t>
      </w:r>
      <w:r w:rsidR="008B225F" w:rsidRPr="00263DB9">
        <w:t xml:space="preserve"> </w:t>
      </w:r>
      <w:r w:rsidR="00AB3A2F" w:rsidRPr="00263DB9">
        <w:t>d</w:t>
      </w:r>
      <w:r w:rsidR="008B225F" w:rsidRPr="00263DB9">
        <w:rPr>
          <w:color w:val="000000"/>
        </w:rPr>
        <w:t xml:space="preserve">o cohort 5 </w:t>
      </w:r>
      <w:r w:rsidRPr="00263DB9">
        <w:rPr>
          <w:color w:val="000000"/>
        </w:rPr>
        <w:t>(n=50) melhorou a sobrevivência sem eventos (EFS</w:t>
      </w:r>
      <w:r w:rsidR="00AB3A2F" w:rsidRPr="00263DB9">
        <w:rPr>
          <w:color w:val="000000"/>
        </w:rPr>
        <w:t xml:space="preserve">, </w:t>
      </w:r>
      <w:r w:rsidR="00AB3A2F" w:rsidRPr="00263DB9">
        <w:rPr>
          <w:i/>
          <w:color w:val="000000"/>
        </w:rPr>
        <w:t>Event Free Survival</w:t>
      </w:r>
      <w:r w:rsidRPr="00263DB9">
        <w:rPr>
          <w:color w:val="000000"/>
        </w:rPr>
        <w:t xml:space="preserve">) </w:t>
      </w:r>
      <w:r w:rsidR="00AB3A2F" w:rsidRPr="00263DB9">
        <w:rPr>
          <w:color w:val="000000"/>
        </w:rPr>
        <w:t>aos 4</w:t>
      </w:r>
      <w:r w:rsidR="00AF074F" w:rsidRPr="00263DB9">
        <w:rPr>
          <w:color w:val="000000"/>
        </w:rPr>
        <w:t> </w:t>
      </w:r>
      <w:r w:rsidR="00AB3A2F" w:rsidRPr="00263DB9">
        <w:rPr>
          <w:color w:val="000000"/>
        </w:rPr>
        <w:t xml:space="preserve">anos </w:t>
      </w:r>
      <w:r w:rsidRPr="00263DB9">
        <w:rPr>
          <w:color w:val="000000"/>
        </w:rPr>
        <w:t xml:space="preserve">comparativamente com os doentes de controlo anteriores (n=120), que receberam quimioterapia padrão sem Glivec (69,6% </w:t>
      </w:r>
      <w:r w:rsidRPr="00263DB9">
        <w:rPr>
          <w:i/>
          <w:color w:val="000000"/>
        </w:rPr>
        <w:t>vs</w:t>
      </w:r>
      <w:r w:rsidRPr="00263DB9">
        <w:rPr>
          <w:color w:val="000000"/>
        </w:rPr>
        <w:t>. 31</w:t>
      </w:r>
      <w:r w:rsidR="00AF074F" w:rsidRPr="00263DB9">
        <w:rPr>
          <w:color w:val="000000"/>
        </w:rPr>
        <w:t>,</w:t>
      </w:r>
      <w:r w:rsidRPr="00263DB9">
        <w:rPr>
          <w:color w:val="000000"/>
        </w:rPr>
        <w:t xml:space="preserve">6%, respetivamente). A Sobrevivência Global estimada </w:t>
      </w:r>
      <w:r w:rsidR="00AB3A2F" w:rsidRPr="00263DB9">
        <w:rPr>
          <w:color w:val="000000"/>
        </w:rPr>
        <w:t>a 4</w:t>
      </w:r>
      <w:r w:rsidR="00AF074F" w:rsidRPr="00263DB9">
        <w:rPr>
          <w:color w:val="000000"/>
        </w:rPr>
        <w:t> </w:t>
      </w:r>
      <w:r w:rsidR="00AB3A2F" w:rsidRPr="00263DB9">
        <w:rPr>
          <w:color w:val="000000"/>
        </w:rPr>
        <w:t xml:space="preserve">anos </w:t>
      </w:r>
      <w:r w:rsidRPr="00263DB9">
        <w:rPr>
          <w:color w:val="000000"/>
        </w:rPr>
        <w:t xml:space="preserve">nos doentes </w:t>
      </w:r>
      <w:r w:rsidR="00AB3A2F" w:rsidRPr="00263DB9">
        <w:rPr>
          <w:color w:val="000000"/>
        </w:rPr>
        <w:t>d</w:t>
      </w:r>
      <w:r w:rsidRPr="00263DB9">
        <w:rPr>
          <w:color w:val="000000"/>
        </w:rPr>
        <w:t>o cohort 5 foi 83,6% comparativamente com 4</w:t>
      </w:r>
      <w:r w:rsidR="002579AD" w:rsidRPr="00263DB9">
        <w:rPr>
          <w:color w:val="000000"/>
        </w:rPr>
        <w:t>4,8</w:t>
      </w:r>
      <w:r w:rsidRPr="00263DB9">
        <w:rPr>
          <w:color w:val="000000"/>
        </w:rPr>
        <w:t>% nos doentes de controlo anteriores, 20 dos 50 (40%) doentes no cohort 5 receberam transplante de células estaminais.</w:t>
      </w:r>
    </w:p>
    <w:p w14:paraId="375EB25F" w14:textId="77777777" w:rsidR="008943AC" w:rsidRPr="00263DB9" w:rsidRDefault="008943AC" w:rsidP="00E51817">
      <w:pPr>
        <w:widowControl w:val="0"/>
        <w:suppressAutoHyphens/>
        <w:rPr>
          <w:color w:val="000000"/>
        </w:rPr>
      </w:pPr>
    </w:p>
    <w:p w14:paraId="375EB260" w14:textId="77777777" w:rsidR="008943AC" w:rsidRPr="00263DB9" w:rsidRDefault="008943AC" w:rsidP="003970DC">
      <w:pPr>
        <w:pStyle w:val="EndnoteText"/>
        <w:keepNext/>
        <w:tabs>
          <w:tab w:val="clear" w:pos="567"/>
        </w:tabs>
        <w:ind w:left="1134" w:hanging="1134"/>
        <w:rPr>
          <w:b/>
          <w:color w:val="000000"/>
        </w:rPr>
      </w:pPr>
      <w:r w:rsidRPr="00263DB9">
        <w:rPr>
          <w:b/>
          <w:color w:val="000000"/>
        </w:rPr>
        <w:t>Tab</w:t>
      </w:r>
      <w:r w:rsidRPr="00263DB9">
        <w:rPr>
          <w:b/>
          <w:color w:val="000000"/>
          <w:lang w:val="es-ES"/>
        </w:rPr>
        <w:t>ela</w:t>
      </w:r>
      <w:r w:rsidRPr="00263DB9">
        <w:rPr>
          <w:b/>
          <w:color w:val="000000"/>
        </w:rPr>
        <w:t> </w:t>
      </w:r>
      <w:r w:rsidR="00094C01" w:rsidRPr="00263DB9">
        <w:rPr>
          <w:b/>
          <w:color w:val="000000"/>
        </w:rPr>
        <w:t>5</w:t>
      </w:r>
      <w:r w:rsidRPr="00263DB9">
        <w:rPr>
          <w:b/>
          <w:color w:val="000000"/>
        </w:rPr>
        <w:tab/>
      </w:r>
      <w:r w:rsidRPr="00263DB9">
        <w:rPr>
          <w:b/>
          <w:color w:val="000000"/>
          <w:szCs w:val="22"/>
        </w:rPr>
        <w:t>Regimes de quimioterapia utilizados em associação com imatinib no estudo</w:t>
      </w:r>
      <w:r w:rsidRPr="00263DB9">
        <w:rPr>
          <w:b/>
          <w:color w:val="000000"/>
        </w:rPr>
        <w:t xml:space="preserve"> I2301</w:t>
      </w:r>
    </w:p>
    <w:p w14:paraId="375EB261" w14:textId="77777777" w:rsidR="008943AC" w:rsidRPr="00263DB9" w:rsidRDefault="008943AC" w:rsidP="003970DC">
      <w:pPr>
        <w:pStyle w:val="EndnoteText"/>
        <w:keepNext/>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6723"/>
      </w:tblGrid>
      <w:tr w:rsidR="008943AC" w:rsidRPr="00263DB9" w14:paraId="375EB26A" w14:textId="77777777" w:rsidTr="003970DC">
        <w:trPr>
          <w:cantSplit/>
        </w:trPr>
        <w:tc>
          <w:tcPr>
            <w:tcW w:w="2357" w:type="dxa"/>
            <w:shd w:val="clear" w:color="auto" w:fill="auto"/>
          </w:tcPr>
          <w:p w14:paraId="375EB262" w14:textId="77777777" w:rsidR="008943AC" w:rsidRPr="00263DB9" w:rsidRDefault="008943AC" w:rsidP="003970DC">
            <w:pPr>
              <w:pStyle w:val="EndnoteText"/>
              <w:keepNext/>
              <w:rPr>
                <w:color w:val="000000"/>
              </w:rPr>
            </w:pPr>
            <w:r w:rsidRPr="00263DB9">
              <w:rPr>
                <w:color w:val="000000"/>
              </w:rPr>
              <w:t>Bloco de consolidação 1</w:t>
            </w:r>
          </w:p>
          <w:p w14:paraId="375EB263" w14:textId="77777777" w:rsidR="008943AC" w:rsidRPr="00263DB9" w:rsidRDefault="008943AC" w:rsidP="003970DC">
            <w:pPr>
              <w:pStyle w:val="EndnoteText"/>
              <w:keepNext/>
              <w:rPr>
                <w:color w:val="000000"/>
              </w:rPr>
            </w:pPr>
            <w:r w:rsidRPr="00263DB9">
              <w:rPr>
                <w:color w:val="000000"/>
              </w:rPr>
              <w:t>(3 semanas)</w:t>
            </w:r>
          </w:p>
        </w:tc>
        <w:tc>
          <w:tcPr>
            <w:tcW w:w="6919" w:type="dxa"/>
            <w:shd w:val="clear" w:color="auto" w:fill="auto"/>
          </w:tcPr>
          <w:p w14:paraId="375EB264" w14:textId="77777777" w:rsidR="008943AC" w:rsidRPr="00263DB9" w:rsidRDefault="008943AC" w:rsidP="003970DC">
            <w:pPr>
              <w:pStyle w:val="EndnoteText"/>
              <w:keepNext/>
              <w:rPr>
                <w:color w:val="000000"/>
              </w:rPr>
            </w:pPr>
            <w:r w:rsidRPr="00263DB9">
              <w:rPr>
                <w:color w:val="000000"/>
              </w:rPr>
              <w:t>VP-16 (100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IV): </w:t>
            </w:r>
            <w:r w:rsidR="00A5238D" w:rsidRPr="00263DB9">
              <w:rPr>
                <w:color w:val="000000"/>
              </w:rPr>
              <w:t>dias</w:t>
            </w:r>
            <w:r w:rsidRPr="00263DB9">
              <w:rPr>
                <w:color w:val="000000"/>
              </w:rPr>
              <w:t> 1</w:t>
            </w:r>
            <w:r w:rsidRPr="00263DB9">
              <w:rPr>
                <w:color w:val="000000"/>
              </w:rPr>
              <w:noBreakHyphen/>
              <w:t>5</w:t>
            </w:r>
          </w:p>
          <w:p w14:paraId="375EB265" w14:textId="77777777" w:rsidR="008943AC" w:rsidRPr="00263DB9" w:rsidRDefault="001B2699" w:rsidP="003970DC">
            <w:pPr>
              <w:pStyle w:val="EndnoteText"/>
              <w:keepNext/>
              <w:rPr>
                <w:color w:val="000000"/>
              </w:rPr>
            </w:pPr>
            <w:r w:rsidRPr="00263DB9">
              <w:rPr>
                <w:color w:val="000000"/>
              </w:rPr>
              <w:t>Ifosfamido</w:t>
            </w:r>
            <w:r w:rsidR="008943AC" w:rsidRPr="00263DB9">
              <w:rPr>
                <w:color w:val="000000"/>
              </w:rPr>
              <w:t xml:space="preserve"> (1</w:t>
            </w:r>
            <w:r w:rsidR="00A5238D" w:rsidRPr="00263DB9">
              <w:rPr>
                <w:color w:val="000000"/>
              </w:rPr>
              <w:t>,</w:t>
            </w:r>
            <w:r w:rsidR="008943AC" w:rsidRPr="00263DB9">
              <w:rPr>
                <w:color w:val="000000"/>
              </w:rPr>
              <w:t>8 g/m</w:t>
            </w:r>
            <w:r w:rsidR="008943AC" w:rsidRPr="00263DB9">
              <w:rPr>
                <w:color w:val="000000"/>
                <w:vertAlign w:val="superscript"/>
              </w:rPr>
              <w:t>2</w:t>
            </w:r>
            <w:r w:rsidR="008943AC" w:rsidRPr="00263DB9">
              <w:rPr>
                <w:color w:val="000000"/>
              </w:rPr>
              <w:t>/</w:t>
            </w:r>
            <w:r w:rsidR="00A5238D" w:rsidRPr="00263DB9">
              <w:rPr>
                <w:color w:val="000000"/>
              </w:rPr>
              <w:t>dia</w:t>
            </w:r>
            <w:r w:rsidR="008943AC" w:rsidRPr="00263DB9">
              <w:rPr>
                <w:color w:val="000000"/>
              </w:rPr>
              <w:t xml:space="preserve">, IV): </w:t>
            </w:r>
            <w:r w:rsidR="00A5238D" w:rsidRPr="00263DB9">
              <w:rPr>
                <w:color w:val="000000"/>
              </w:rPr>
              <w:t>dias</w:t>
            </w:r>
            <w:r w:rsidR="008943AC" w:rsidRPr="00263DB9">
              <w:rPr>
                <w:color w:val="000000"/>
              </w:rPr>
              <w:t> 1</w:t>
            </w:r>
            <w:r w:rsidR="008943AC" w:rsidRPr="00263DB9">
              <w:rPr>
                <w:color w:val="000000"/>
              </w:rPr>
              <w:noBreakHyphen/>
              <w:t>5</w:t>
            </w:r>
          </w:p>
          <w:p w14:paraId="375EB266" w14:textId="77777777" w:rsidR="008943AC" w:rsidRPr="00263DB9" w:rsidRDefault="008943AC" w:rsidP="003970DC">
            <w:pPr>
              <w:pStyle w:val="EndnoteText"/>
              <w:keepNext/>
              <w:rPr>
                <w:color w:val="000000"/>
              </w:rPr>
            </w:pPr>
            <w:r w:rsidRPr="00263DB9">
              <w:rPr>
                <w:color w:val="000000"/>
              </w:rPr>
              <w:t>MESNA (360 mg/m</w:t>
            </w:r>
            <w:r w:rsidRPr="00263DB9">
              <w:rPr>
                <w:color w:val="000000"/>
                <w:vertAlign w:val="superscript"/>
              </w:rPr>
              <w:t>2</w:t>
            </w:r>
            <w:r w:rsidRPr="00263DB9">
              <w:rPr>
                <w:color w:val="000000"/>
              </w:rPr>
              <w:t>/dose q3h, x 8 doses/</w:t>
            </w:r>
            <w:r w:rsidR="00A5238D" w:rsidRPr="00263DB9">
              <w:rPr>
                <w:color w:val="000000"/>
              </w:rPr>
              <w:t>dia</w:t>
            </w:r>
            <w:r w:rsidRPr="00263DB9">
              <w:rPr>
                <w:color w:val="000000"/>
              </w:rPr>
              <w:t xml:space="preserve">, IV): </w:t>
            </w:r>
            <w:r w:rsidR="00A5238D" w:rsidRPr="00263DB9">
              <w:rPr>
                <w:color w:val="000000"/>
              </w:rPr>
              <w:t>dias</w:t>
            </w:r>
            <w:r w:rsidRPr="00263DB9">
              <w:rPr>
                <w:color w:val="000000"/>
              </w:rPr>
              <w:t> 1</w:t>
            </w:r>
            <w:r w:rsidRPr="00263DB9">
              <w:rPr>
                <w:color w:val="000000"/>
              </w:rPr>
              <w:noBreakHyphen/>
              <w:t>5</w:t>
            </w:r>
          </w:p>
          <w:p w14:paraId="375EB267" w14:textId="77777777" w:rsidR="008943AC" w:rsidRPr="00263DB9" w:rsidRDefault="008943AC" w:rsidP="003970DC">
            <w:pPr>
              <w:pStyle w:val="EndnoteText"/>
              <w:keepNext/>
              <w:rPr>
                <w:color w:val="000000"/>
              </w:rPr>
            </w:pPr>
            <w:r w:rsidRPr="00263DB9">
              <w:rPr>
                <w:color w:val="000000"/>
              </w:rPr>
              <w:t xml:space="preserve">G-CSF (5 μg/kg, SC): </w:t>
            </w:r>
            <w:r w:rsidR="00A5238D" w:rsidRPr="00263DB9">
              <w:rPr>
                <w:color w:val="000000"/>
              </w:rPr>
              <w:t>dias</w:t>
            </w:r>
            <w:r w:rsidRPr="00263DB9">
              <w:rPr>
                <w:color w:val="000000"/>
              </w:rPr>
              <w:t> 6</w:t>
            </w:r>
            <w:r w:rsidRPr="00263DB9">
              <w:rPr>
                <w:color w:val="000000"/>
              </w:rPr>
              <w:noBreakHyphen/>
              <w:t>15 o</w:t>
            </w:r>
            <w:r w:rsidR="001B2699" w:rsidRPr="00263DB9">
              <w:rPr>
                <w:color w:val="000000"/>
              </w:rPr>
              <w:t>u</w:t>
            </w:r>
            <w:r w:rsidRPr="00263DB9">
              <w:rPr>
                <w:color w:val="000000"/>
              </w:rPr>
              <w:t xml:space="preserve"> </w:t>
            </w:r>
            <w:r w:rsidR="001B2699" w:rsidRPr="00263DB9">
              <w:rPr>
                <w:color w:val="000000"/>
              </w:rPr>
              <w:t>até ANC &gt; 1500 pós</w:t>
            </w:r>
            <w:r w:rsidRPr="00263DB9">
              <w:rPr>
                <w:color w:val="000000"/>
              </w:rPr>
              <w:t xml:space="preserve"> nadir</w:t>
            </w:r>
          </w:p>
          <w:p w14:paraId="375EB268" w14:textId="77777777" w:rsidR="008943AC" w:rsidRPr="00263DB9" w:rsidRDefault="008943AC" w:rsidP="003970DC">
            <w:pPr>
              <w:pStyle w:val="EndnoteText"/>
              <w:keepNext/>
              <w:rPr>
                <w:color w:val="000000"/>
              </w:rPr>
            </w:pPr>
            <w:r w:rsidRPr="00263DB9">
              <w:rPr>
                <w:color w:val="000000"/>
              </w:rPr>
              <w:t xml:space="preserve">IT </w:t>
            </w:r>
            <w:r w:rsidR="001B2699" w:rsidRPr="00263DB9">
              <w:rPr>
                <w:color w:val="000000"/>
              </w:rPr>
              <w:t>Metotrexato</w:t>
            </w:r>
            <w:r w:rsidRPr="00263DB9">
              <w:rPr>
                <w:color w:val="000000"/>
              </w:rPr>
              <w:t xml:space="preserve"> (</w:t>
            </w:r>
            <w:r w:rsidR="001B2699" w:rsidRPr="00263DB9">
              <w:rPr>
                <w:color w:val="000000"/>
              </w:rPr>
              <w:t>ajustado à idade</w:t>
            </w:r>
            <w:r w:rsidRPr="00263DB9">
              <w:rPr>
                <w:color w:val="000000"/>
              </w:rPr>
              <w:t xml:space="preserve">): </w:t>
            </w:r>
            <w:r w:rsidR="00A5238D" w:rsidRPr="00263DB9">
              <w:rPr>
                <w:color w:val="000000"/>
              </w:rPr>
              <w:t>dia</w:t>
            </w:r>
            <w:r w:rsidRPr="00263DB9">
              <w:rPr>
                <w:color w:val="000000"/>
              </w:rPr>
              <w:t xml:space="preserve"> 1 </w:t>
            </w:r>
            <w:r w:rsidR="00AB3A2F" w:rsidRPr="00263DB9">
              <w:rPr>
                <w:color w:val="000000"/>
              </w:rPr>
              <w:t>APENAS</w:t>
            </w:r>
          </w:p>
          <w:p w14:paraId="375EB269" w14:textId="77777777" w:rsidR="008943AC" w:rsidRPr="00263DB9" w:rsidRDefault="006F49BD" w:rsidP="003970DC">
            <w:pPr>
              <w:pStyle w:val="EndnoteText"/>
              <w:keepNext/>
              <w:rPr>
                <w:color w:val="000000"/>
              </w:rPr>
            </w:pPr>
            <w:r w:rsidRPr="00263DB9">
              <w:rPr>
                <w:color w:val="000000"/>
              </w:rPr>
              <w:t>Terapêutica tripla</w:t>
            </w:r>
            <w:r w:rsidR="008943AC" w:rsidRPr="00263DB9">
              <w:rPr>
                <w:color w:val="000000"/>
              </w:rPr>
              <w:t xml:space="preserve"> IT (</w:t>
            </w:r>
            <w:r w:rsidR="00D13D05" w:rsidRPr="00263DB9">
              <w:rPr>
                <w:color w:val="000000"/>
              </w:rPr>
              <w:t>ajustada</w:t>
            </w:r>
            <w:r w:rsidR="001B2699" w:rsidRPr="00263DB9">
              <w:rPr>
                <w:color w:val="000000"/>
              </w:rPr>
              <w:t xml:space="preserve"> à idade</w:t>
            </w:r>
            <w:r w:rsidR="008943AC" w:rsidRPr="00263DB9">
              <w:rPr>
                <w:color w:val="000000"/>
              </w:rPr>
              <w:t xml:space="preserve">): </w:t>
            </w:r>
            <w:r w:rsidR="00A5238D" w:rsidRPr="00263DB9">
              <w:rPr>
                <w:color w:val="000000"/>
              </w:rPr>
              <w:t>dia</w:t>
            </w:r>
            <w:r w:rsidR="008943AC" w:rsidRPr="00263DB9">
              <w:rPr>
                <w:color w:val="000000"/>
              </w:rPr>
              <w:t> 8, 15</w:t>
            </w:r>
          </w:p>
        </w:tc>
      </w:tr>
      <w:tr w:rsidR="008943AC" w:rsidRPr="00263DB9" w14:paraId="375EB272" w14:textId="77777777" w:rsidTr="003970DC">
        <w:trPr>
          <w:cantSplit/>
        </w:trPr>
        <w:tc>
          <w:tcPr>
            <w:tcW w:w="2357" w:type="dxa"/>
            <w:shd w:val="clear" w:color="auto" w:fill="auto"/>
          </w:tcPr>
          <w:p w14:paraId="375EB26B" w14:textId="77777777" w:rsidR="008943AC" w:rsidRPr="00263DB9" w:rsidRDefault="008943AC" w:rsidP="00E51817">
            <w:pPr>
              <w:pStyle w:val="EndnoteText"/>
              <w:rPr>
                <w:color w:val="000000"/>
              </w:rPr>
            </w:pPr>
            <w:r w:rsidRPr="00263DB9">
              <w:rPr>
                <w:color w:val="000000"/>
              </w:rPr>
              <w:t>Bloco de consolidação 2</w:t>
            </w:r>
          </w:p>
          <w:p w14:paraId="375EB26C" w14:textId="77777777" w:rsidR="008943AC" w:rsidRPr="00263DB9" w:rsidRDefault="008943AC" w:rsidP="00E51817">
            <w:pPr>
              <w:pStyle w:val="EndnoteText"/>
              <w:rPr>
                <w:color w:val="000000"/>
              </w:rPr>
            </w:pPr>
            <w:r w:rsidRPr="00263DB9">
              <w:rPr>
                <w:color w:val="000000"/>
              </w:rPr>
              <w:t>(3 semanas)</w:t>
            </w:r>
          </w:p>
        </w:tc>
        <w:tc>
          <w:tcPr>
            <w:tcW w:w="6919" w:type="dxa"/>
            <w:shd w:val="clear" w:color="auto" w:fill="auto"/>
          </w:tcPr>
          <w:p w14:paraId="375EB26D" w14:textId="77777777" w:rsidR="008943AC" w:rsidRPr="00263DB9" w:rsidRDefault="001B2699" w:rsidP="00E51817">
            <w:pPr>
              <w:pStyle w:val="EndnoteText"/>
              <w:rPr>
                <w:color w:val="000000"/>
              </w:rPr>
            </w:pPr>
            <w:r w:rsidRPr="00263DB9">
              <w:rPr>
                <w:color w:val="000000"/>
              </w:rPr>
              <w:t>Metotrexato</w:t>
            </w:r>
            <w:r w:rsidR="008943AC" w:rsidRPr="00263DB9">
              <w:rPr>
                <w:color w:val="000000"/>
              </w:rPr>
              <w:t xml:space="preserve"> (5 g/m</w:t>
            </w:r>
            <w:r w:rsidR="008943AC" w:rsidRPr="00263DB9">
              <w:rPr>
                <w:color w:val="000000"/>
                <w:vertAlign w:val="superscript"/>
              </w:rPr>
              <w:t>2</w:t>
            </w:r>
            <w:r w:rsidR="008943AC" w:rsidRPr="00263DB9">
              <w:rPr>
                <w:color w:val="000000"/>
              </w:rPr>
              <w:t xml:space="preserve"> </w:t>
            </w:r>
            <w:r w:rsidR="00AB3A2F" w:rsidRPr="00263DB9">
              <w:rPr>
                <w:color w:val="000000"/>
              </w:rPr>
              <w:t>durante</w:t>
            </w:r>
            <w:r w:rsidR="008943AC" w:rsidRPr="00263DB9">
              <w:rPr>
                <w:color w:val="000000"/>
              </w:rPr>
              <w:t xml:space="preserve"> 24 </w:t>
            </w:r>
            <w:r w:rsidRPr="00263DB9">
              <w:rPr>
                <w:color w:val="000000"/>
              </w:rPr>
              <w:t>horas</w:t>
            </w:r>
            <w:r w:rsidR="008943AC" w:rsidRPr="00263DB9">
              <w:rPr>
                <w:color w:val="000000"/>
              </w:rPr>
              <w:t xml:space="preserve">, IV): </w:t>
            </w:r>
            <w:r w:rsidR="00A5238D" w:rsidRPr="00263DB9">
              <w:rPr>
                <w:color w:val="000000"/>
              </w:rPr>
              <w:t>dia</w:t>
            </w:r>
            <w:r w:rsidR="008943AC" w:rsidRPr="00263DB9">
              <w:rPr>
                <w:color w:val="000000"/>
              </w:rPr>
              <w:t> 1</w:t>
            </w:r>
          </w:p>
          <w:p w14:paraId="375EB26E" w14:textId="77777777" w:rsidR="008943AC" w:rsidRPr="00263DB9" w:rsidRDefault="008943AC" w:rsidP="00E51817">
            <w:pPr>
              <w:pStyle w:val="EndnoteText"/>
              <w:rPr>
                <w:color w:val="000000"/>
              </w:rPr>
            </w:pPr>
            <w:r w:rsidRPr="00263DB9">
              <w:rPr>
                <w:color w:val="000000"/>
              </w:rPr>
              <w:t>Leucovorin</w:t>
            </w:r>
            <w:r w:rsidR="006F49BD" w:rsidRPr="00263DB9">
              <w:rPr>
                <w:color w:val="000000"/>
              </w:rPr>
              <w:t>a</w:t>
            </w:r>
            <w:r w:rsidRPr="00263DB9">
              <w:rPr>
                <w:color w:val="000000"/>
              </w:rPr>
              <w:t xml:space="preserve"> (75 mg/m</w:t>
            </w:r>
            <w:r w:rsidRPr="00263DB9">
              <w:rPr>
                <w:color w:val="000000"/>
                <w:vertAlign w:val="superscript"/>
              </w:rPr>
              <w:t>2</w:t>
            </w:r>
            <w:r w:rsidRPr="00263DB9">
              <w:rPr>
                <w:color w:val="000000"/>
              </w:rPr>
              <w:t xml:space="preserve"> a</w:t>
            </w:r>
            <w:r w:rsidR="006F49BD" w:rsidRPr="00263DB9">
              <w:rPr>
                <w:color w:val="000000"/>
              </w:rPr>
              <w:t xml:space="preserve"> </w:t>
            </w:r>
            <w:r w:rsidRPr="00263DB9">
              <w:rPr>
                <w:color w:val="000000"/>
              </w:rPr>
              <w:t> 36</w:t>
            </w:r>
            <w:r w:rsidR="006F49BD" w:rsidRPr="00263DB9">
              <w:rPr>
                <w:color w:val="000000"/>
              </w:rPr>
              <w:t> hora</w:t>
            </w:r>
            <w:r w:rsidRPr="00263DB9">
              <w:rPr>
                <w:color w:val="000000"/>
              </w:rPr>
              <w:t>, IV; 15 mg/m</w:t>
            </w:r>
            <w:r w:rsidRPr="00263DB9">
              <w:rPr>
                <w:color w:val="000000"/>
                <w:vertAlign w:val="superscript"/>
              </w:rPr>
              <w:t>2</w:t>
            </w:r>
            <w:r w:rsidRPr="00263DB9">
              <w:rPr>
                <w:color w:val="000000"/>
              </w:rPr>
              <w:t xml:space="preserve"> IV o</w:t>
            </w:r>
            <w:r w:rsidR="00A5238D" w:rsidRPr="00263DB9">
              <w:rPr>
                <w:color w:val="000000"/>
              </w:rPr>
              <w:t>u</w:t>
            </w:r>
            <w:r w:rsidRPr="00263DB9">
              <w:rPr>
                <w:color w:val="000000"/>
              </w:rPr>
              <w:t xml:space="preserve"> PO q6h x 6 doses)iii: </w:t>
            </w:r>
            <w:r w:rsidR="00A5238D" w:rsidRPr="00263DB9">
              <w:rPr>
                <w:color w:val="000000"/>
              </w:rPr>
              <w:t>Dias</w:t>
            </w:r>
            <w:r w:rsidRPr="00263DB9">
              <w:rPr>
                <w:color w:val="000000"/>
              </w:rPr>
              <w:t xml:space="preserve"> 2 </w:t>
            </w:r>
            <w:r w:rsidR="00A5238D" w:rsidRPr="00263DB9">
              <w:rPr>
                <w:color w:val="000000"/>
              </w:rPr>
              <w:t>e</w:t>
            </w:r>
            <w:r w:rsidRPr="00263DB9">
              <w:rPr>
                <w:color w:val="000000"/>
              </w:rPr>
              <w:t xml:space="preserve"> 3</w:t>
            </w:r>
          </w:p>
          <w:p w14:paraId="375EB26F" w14:textId="77777777" w:rsidR="008943AC" w:rsidRPr="00263DB9" w:rsidRDefault="006F49BD" w:rsidP="00E51817">
            <w:pPr>
              <w:pStyle w:val="EndnoteText"/>
              <w:rPr>
                <w:color w:val="000000"/>
              </w:rPr>
            </w:pPr>
            <w:r w:rsidRPr="00263DB9">
              <w:rPr>
                <w:color w:val="000000"/>
              </w:rPr>
              <w:t>Terapêutica tripla</w:t>
            </w:r>
            <w:r w:rsidR="008943AC" w:rsidRPr="00263DB9">
              <w:rPr>
                <w:color w:val="000000"/>
              </w:rPr>
              <w:t xml:space="preserve"> IT (</w:t>
            </w:r>
            <w:r w:rsidR="001B2699" w:rsidRPr="00263DB9">
              <w:rPr>
                <w:color w:val="000000"/>
              </w:rPr>
              <w:t>ajustado à idade</w:t>
            </w:r>
            <w:r w:rsidR="008943AC" w:rsidRPr="00263DB9">
              <w:rPr>
                <w:color w:val="000000"/>
              </w:rPr>
              <w:t xml:space="preserve">): </w:t>
            </w:r>
            <w:r w:rsidR="00A5238D" w:rsidRPr="00263DB9">
              <w:rPr>
                <w:color w:val="000000"/>
              </w:rPr>
              <w:t>dia</w:t>
            </w:r>
            <w:r w:rsidR="008943AC" w:rsidRPr="00263DB9">
              <w:rPr>
                <w:color w:val="000000"/>
              </w:rPr>
              <w:t> 1</w:t>
            </w:r>
          </w:p>
          <w:p w14:paraId="375EB270" w14:textId="77777777" w:rsidR="008943AC" w:rsidRPr="00263DB9" w:rsidRDefault="008943AC" w:rsidP="00E51817">
            <w:pPr>
              <w:pStyle w:val="EndnoteText"/>
              <w:rPr>
                <w:color w:val="000000"/>
              </w:rPr>
            </w:pPr>
            <w:r w:rsidRPr="00263DB9">
              <w:rPr>
                <w:color w:val="000000"/>
              </w:rPr>
              <w:t>ARA-C (3 g/m</w:t>
            </w:r>
            <w:r w:rsidRPr="00263DB9">
              <w:rPr>
                <w:color w:val="000000"/>
                <w:vertAlign w:val="superscript"/>
              </w:rPr>
              <w:t>2</w:t>
            </w:r>
            <w:r w:rsidRPr="00263DB9">
              <w:rPr>
                <w:color w:val="000000"/>
              </w:rPr>
              <w:t xml:space="preserve">/dose q 12 h x 4, IV): </w:t>
            </w:r>
            <w:r w:rsidR="00A5238D" w:rsidRPr="00263DB9">
              <w:rPr>
                <w:color w:val="000000"/>
              </w:rPr>
              <w:t>dias</w:t>
            </w:r>
            <w:r w:rsidRPr="00263DB9">
              <w:rPr>
                <w:color w:val="000000"/>
              </w:rPr>
              <w:t xml:space="preserve"> 2 </w:t>
            </w:r>
            <w:r w:rsidR="00A5238D" w:rsidRPr="00263DB9">
              <w:rPr>
                <w:color w:val="000000"/>
              </w:rPr>
              <w:t>e</w:t>
            </w:r>
            <w:r w:rsidRPr="00263DB9">
              <w:rPr>
                <w:color w:val="000000"/>
              </w:rPr>
              <w:t xml:space="preserve"> 3</w:t>
            </w:r>
          </w:p>
          <w:p w14:paraId="375EB271" w14:textId="77777777" w:rsidR="008943AC" w:rsidRPr="00263DB9" w:rsidRDefault="008943AC" w:rsidP="00E51817">
            <w:pPr>
              <w:pStyle w:val="EndnoteText"/>
              <w:rPr>
                <w:color w:val="000000"/>
              </w:rPr>
            </w:pPr>
            <w:r w:rsidRPr="00263DB9">
              <w:rPr>
                <w:color w:val="000000"/>
              </w:rPr>
              <w:t xml:space="preserve">G-CSF (5 μg/kg, SC): </w:t>
            </w:r>
            <w:r w:rsidR="00A5238D" w:rsidRPr="00263DB9">
              <w:rPr>
                <w:color w:val="000000"/>
              </w:rPr>
              <w:t>dias</w:t>
            </w:r>
            <w:r w:rsidRPr="00263DB9">
              <w:rPr>
                <w:color w:val="000000"/>
              </w:rPr>
              <w:t xml:space="preserve"> 4-13 </w:t>
            </w:r>
            <w:r w:rsidR="001B2699" w:rsidRPr="00263DB9">
              <w:rPr>
                <w:color w:val="000000"/>
              </w:rPr>
              <w:t>ou</w:t>
            </w:r>
            <w:r w:rsidRPr="00263DB9">
              <w:rPr>
                <w:color w:val="000000"/>
              </w:rPr>
              <w:t xml:space="preserve"> </w:t>
            </w:r>
            <w:r w:rsidR="001B2699" w:rsidRPr="00263DB9">
              <w:rPr>
                <w:color w:val="000000"/>
              </w:rPr>
              <w:t>até</w:t>
            </w:r>
            <w:r w:rsidRPr="00263DB9">
              <w:rPr>
                <w:color w:val="000000"/>
              </w:rPr>
              <w:t xml:space="preserve"> ANC &gt; 1500 </w:t>
            </w:r>
            <w:r w:rsidR="001B2699" w:rsidRPr="00263DB9">
              <w:rPr>
                <w:color w:val="000000"/>
              </w:rPr>
              <w:t>pós</w:t>
            </w:r>
            <w:r w:rsidRPr="00263DB9">
              <w:rPr>
                <w:color w:val="000000"/>
              </w:rPr>
              <w:t xml:space="preserve"> nadir</w:t>
            </w:r>
          </w:p>
        </w:tc>
      </w:tr>
      <w:tr w:rsidR="008943AC" w:rsidRPr="00263DB9" w14:paraId="375EB27C" w14:textId="77777777" w:rsidTr="003970DC">
        <w:trPr>
          <w:cantSplit/>
        </w:trPr>
        <w:tc>
          <w:tcPr>
            <w:tcW w:w="2357" w:type="dxa"/>
            <w:shd w:val="clear" w:color="auto" w:fill="auto"/>
          </w:tcPr>
          <w:p w14:paraId="375EB273" w14:textId="77777777" w:rsidR="008943AC" w:rsidRPr="00263DB9" w:rsidRDefault="008943AC" w:rsidP="00E51817">
            <w:pPr>
              <w:pStyle w:val="EndnoteText"/>
              <w:rPr>
                <w:color w:val="000000"/>
              </w:rPr>
            </w:pPr>
            <w:r w:rsidRPr="00263DB9">
              <w:rPr>
                <w:color w:val="000000"/>
              </w:rPr>
              <w:t>Bloco de reindução 1</w:t>
            </w:r>
          </w:p>
          <w:p w14:paraId="375EB274" w14:textId="77777777" w:rsidR="008943AC" w:rsidRPr="00263DB9" w:rsidRDefault="008943AC" w:rsidP="00E51817">
            <w:pPr>
              <w:pStyle w:val="EndnoteText"/>
              <w:rPr>
                <w:color w:val="000000"/>
              </w:rPr>
            </w:pPr>
            <w:r w:rsidRPr="00263DB9">
              <w:rPr>
                <w:color w:val="000000"/>
              </w:rPr>
              <w:t>(3 semanas)</w:t>
            </w:r>
          </w:p>
        </w:tc>
        <w:tc>
          <w:tcPr>
            <w:tcW w:w="6919" w:type="dxa"/>
            <w:shd w:val="clear" w:color="auto" w:fill="auto"/>
          </w:tcPr>
          <w:p w14:paraId="375EB275" w14:textId="77777777" w:rsidR="008943AC" w:rsidRPr="00263DB9" w:rsidRDefault="00A5238D" w:rsidP="00E51817">
            <w:pPr>
              <w:pStyle w:val="EndnoteText"/>
              <w:rPr>
                <w:color w:val="000000"/>
              </w:rPr>
            </w:pPr>
            <w:r w:rsidRPr="00263DB9">
              <w:rPr>
                <w:color w:val="000000"/>
              </w:rPr>
              <w:t>VCR (1,</w:t>
            </w:r>
            <w:r w:rsidR="008943AC" w:rsidRPr="00263DB9">
              <w:rPr>
                <w:color w:val="000000"/>
              </w:rPr>
              <w:t>5 mg/m</w:t>
            </w:r>
            <w:r w:rsidR="008943AC" w:rsidRPr="00263DB9">
              <w:rPr>
                <w:color w:val="000000"/>
                <w:vertAlign w:val="superscript"/>
              </w:rPr>
              <w:t>2</w:t>
            </w:r>
            <w:r w:rsidR="008943AC" w:rsidRPr="00263DB9">
              <w:rPr>
                <w:color w:val="000000"/>
              </w:rPr>
              <w:t>/</w:t>
            </w:r>
            <w:r w:rsidRPr="00263DB9">
              <w:rPr>
                <w:color w:val="000000"/>
              </w:rPr>
              <w:t>dia</w:t>
            </w:r>
            <w:r w:rsidR="008943AC" w:rsidRPr="00263DB9">
              <w:rPr>
                <w:color w:val="000000"/>
              </w:rPr>
              <w:t xml:space="preserve">, IV): </w:t>
            </w:r>
            <w:r w:rsidRPr="00263DB9">
              <w:rPr>
                <w:color w:val="000000"/>
              </w:rPr>
              <w:t>dias</w:t>
            </w:r>
            <w:r w:rsidR="008943AC" w:rsidRPr="00263DB9">
              <w:rPr>
                <w:color w:val="000000"/>
              </w:rPr>
              <w:t xml:space="preserve"> 1, 8, </w:t>
            </w:r>
            <w:r w:rsidRPr="00263DB9">
              <w:rPr>
                <w:color w:val="000000"/>
              </w:rPr>
              <w:t>e</w:t>
            </w:r>
            <w:r w:rsidR="008943AC" w:rsidRPr="00263DB9">
              <w:rPr>
                <w:color w:val="000000"/>
              </w:rPr>
              <w:t xml:space="preserve"> 15</w:t>
            </w:r>
          </w:p>
          <w:p w14:paraId="375EB276" w14:textId="77777777" w:rsidR="008943AC" w:rsidRPr="00263DB9" w:rsidRDefault="008943AC" w:rsidP="00E51817">
            <w:pPr>
              <w:pStyle w:val="EndnoteText"/>
              <w:rPr>
                <w:color w:val="000000"/>
              </w:rPr>
            </w:pPr>
            <w:r w:rsidRPr="00263DB9">
              <w:rPr>
                <w:color w:val="000000"/>
              </w:rPr>
              <w:t>DAUN (45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w:t>
            </w:r>
            <w:r w:rsidR="00AB3A2F" w:rsidRPr="00263DB9">
              <w:rPr>
                <w:color w:val="000000"/>
              </w:rPr>
              <w:t>em bólus</w:t>
            </w:r>
            <w:r w:rsidRPr="00263DB9">
              <w:rPr>
                <w:color w:val="000000"/>
              </w:rPr>
              <w:t xml:space="preserve">, IV): </w:t>
            </w:r>
            <w:r w:rsidR="00A5238D" w:rsidRPr="00263DB9">
              <w:rPr>
                <w:color w:val="000000"/>
              </w:rPr>
              <w:t>dias</w:t>
            </w:r>
            <w:r w:rsidRPr="00263DB9">
              <w:rPr>
                <w:color w:val="000000"/>
              </w:rPr>
              <w:t xml:space="preserve"> 1 </w:t>
            </w:r>
            <w:r w:rsidR="00A5238D" w:rsidRPr="00263DB9">
              <w:rPr>
                <w:color w:val="000000"/>
              </w:rPr>
              <w:t>e</w:t>
            </w:r>
            <w:r w:rsidRPr="00263DB9">
              <w:rPr>
                <w:color w:val="000000"/>
              </w:rPr>
              <w:t xml:space="preserve"> 2</w:t>
            </w:r>
          </w:p>
          <w:p w14:paraId="375EB277" w14:textId="77777777" w:rsidR="008943AC" w:rsidRPr="00263DB9" w:rsidRDefault="008943AC" w:rsidP="00E51817">
            <w:pPr>
              <w:pStyle w:val="EndnoteText"/>
              <w:rPr>
                <w:color w:val="000000"/>
              </w:rPr>
            </w:pPr>
            <w:r w:rsidRPr="00263DB9">
              <w:rPr>
                <w:color w:val="000000"/>
              </w:rPr>
              <w:t>CPM (250 mg/m</w:t>
            </w:r>
            <w:r w:rsidRPr="00263DB9">
              <w:rPr>
                <w:color w:val="000000"/>
                <w:vertAlign w:val="superscript"/>
              </w:rPr>
              <w:t>2</w:t>
            </w:r>
            <w:r w:rsidRPr="00263DB9">
              <w:rPr>
                <w:color w:val="000000"/>
              </w:rPr>
              <w:t xml:space="preserve">/dose q12h x 4 doses, IV): </w:t>
            </w:r>
            <w:r w:rsidR="00A5238D" w:rsidRPr="00263DB9">
              <w:rPr>
                <w:color w:val="000000"/>
              </w:rPr>
              <w:t>dias</w:t>
            </w:r>
            <w:r w:rsidRPr="00263DB9">
              <w:rPr>
                <w:color w:val="000000"/>
              </w:rPr>
              <w:t xml:space="preserve"> 3 </w:t>
            </w:r>
            <w:r w:rsidR="00A5238D" w:rsidRPr="00263DB9">
              <w:rPr>
                <w:color w:val="000000"/>
              </w:rPr>
              <w:t>e</w:t>
            </w:r>
            <w:r w:rsidRPr="00263DB9">
              <w:rPr>
                <w:color w:val="000000"/>
              </w:rPr>
              <w:t xml:space="preserve"> 4</w:t>
            </w:r>
          </w:p>
          <w:p w14:paraId="375EB278" w14:textId="77777777" w:rsidR="008943AC" w:rsidRPr="00263DB9" w:rsidRDefault="008943AC" w:rsidP="00E51817">
            <w:pPr>
              <w:pStyle w:val="EndnoteText"/>
              <w:rPr>
                <w:color w:val="000000"/>
                <w:lang w:val="de-DE"/>
              </w:rPr>
            </w:pPr>
            <w:r w:rsidRPr="00263DB9">
              <w:rPr>
                <w:color w:val="000000"/>
                <w:lang w:val="de-DE"/>
              </w:rPr>
              <w:t>PEG-ASP (2500 </w:t>
            </w:r>
            <w:r w:rsidR="006F49BD" w:rsidRPr="00263DB9">
              <w:rPr>
                <w:color w:val="000000"/>
                <w:lang w:val="de-DE"/>
              </w:rPr>
              <w:t>UI</w:t>
            </w:r>
            <w:r w:rsidRPr="00263DB9">
              <w:rPr>
                <w:color w:val="000000"/>
                <w:lang w:val="de-DE"/>
              </w:rPr>
              <w:t>/m</w:t>
            </w:r>
            <w:r w:rsidRPr="00263DB9">
              <w:rPr>
                <w:color w:val="000000"/>
                <w:vertAlign w:val="superscript"/>
                <w:lang w:val="de-DE"/>
              </w:rPr>
              <w:t>2</w:t>
            </w:r>
            <w:r w:rsidRPr="00263DB9">
              <w:rPr>
                <w:color w:val="000000"/>
                <w:lang w:val="de-DE"/>
              </w:rPr>
              <w:t xml:space="preserve">, IM): </w:t>
            </w:r>
            <w:r w:rsidR="00A5238D" w:rsidRPr="00263DB9">
              <w:rPr>
                <w:color w:val="000000"/>
                <w:lang w:val="de-DE"/>
              </w:rPr>
              <w:t>dia</w:t>
            </w:r>
            <w:r w:rsidRPr="00263DB9">
              <w:rPr>
                <w:color w:val="000000"/>
                <w:lang w:val="de-DE"/>
              </w:rPr>
              <w:t> 4</w:t>
            </w:r>
          </w:p>
          <w:p w14:paraId="375EB279" w14:textId="77777777" w:rsidR="008943AC" w:rsidRPr="00263DB9" w:rsidRDefault="008943AC" w:rsidP="00E51817">
            <w:pPr>
              <w:pStyle w:val="EndnoteText"/>
              <w:rPr>
                <w:color w:val="000000"/>
              </w:rPr>
            </w:pPr>
            <w:r w:rsidRPr="00263DB9">
              <w:rPr>
                <w:color w:val="000000"/>
              </w:rPr>
              <w:t xml:space="preserve">G-CSF (5 μg/kg, SC): </w:t>
            </w:r>
            <w:r w:rsidR="00A5238D" w:rsidRPr="00263DB9">
              <w:rPr>
                <w:color w:val="000000"/>
              </w:rPr>
              <w:t>dias</w:t>
            </w:r>
            <w:r w:rsidRPr="00263DB9">
              <w:rPr>
                <w:color w:val="000000"/>
              </w:rPr>
              <w:t> 5</w:t>
            </w:r>
            <w:r w:rsidRPr="00263DB9">
              <w:rPr>
                <w:color w:val="000000"/>
              </w:rPr>
              <w:noBreakHyphen/>
              <w:t xml:space="preserve">14 </w:t>
            </w:r>
            <w:r w:rsidR="001B2699" w:rsidRPr="00263DB9">
              <w:rPr>
                <w:color w:val="000000"/>
              </w:rPr>
              <w:t>ou</w:t>
            </w:r>
            <w:r w:rsidRPr="00263DB9">
              <w:rPr>
                <w:color w:val="000000"/>
              </w:rPr>
              <w:t xml:space="preserve"> </w:t>
            </w:r>
            <w:r w:rsidR="001B2699" w:rsidRPr="00263DB9">
              <w:rPr>
                <w:color w:val="000000"/>
              </w:rPr>
              <w:t>até</w:t>
            </w:r>
            <w:r w:rsidRPr="00263DB9">
              <w:rPr>
                <w:color w:val="000000"/>
              </w:rPr>
              <w:t xml:space="preserve"> ANC &gt; 1500 </w:t>
            </w:r>
            <w:r w:rsidR="001B2699" w:rsidRPr="00263DB9">
              <w:rPr>
                <w:color w:val="000000"/>
              </w:rPr>
              <w:t>pós</w:t>
            </w:r>
            <w:r w:rsidRPr="00263DB9">
              <w:rPr>
                <w:color w:val="000000"/>
              </w:rPr>
              <w:t xml:space="preserve"> nadir</w:t>
            </w:r>
          </w:p>
          <w:p w14:paraId="375EB27A" w14:textId="77777777" w:rsidR="008943AC" w:rsidRPr="00263DB9" w:rsidRDefault="008943AC" w:rsidP="00E51817">
            <w:pPr>
              <w:pStyle w:val="EndnoteText"/>
              <w:rPr>
                <w:color w:val="000000"/>
              </w:rPr>
            </w:pPr>
            <w:r w:rsidRPr="00263DB9">
              <w:rPr>
                <w:color w:val="000000"/>
              </w:rPr>
              <w:t>T</w:t>
            </w:r>
            <w:r w:rsidR="006F49BD" w:rsidRPr="00263DB9">
              <w:rPr>
                <w:color w:val="000000"/>
              </w:rPr>
              <w:t xml:space="preserve">erapêutica tripla </w:t>
            </w:r>
            <w:r w:rsidRPr="00263DB9">
              <w:rPr>
                <w:color w:val="000000"/>
              </w:rPr>
              <w:t>IT (</w:t>
            </w:r>
            <w:r w:rsidR="00D13D05" w:rsidRPr="00263DB9">
              <w:rPr>
                <w:color w:val="000000"/>
              </w:rPr>
              <w:t>ajustada</w:t>
            </w:r>
            <w:r w:rsidR="001B2699" w:rsidRPr="00263DB9">
              <w:rPr>
                <w:color w:val="000000"/>
              </w:rPr>
              <w:t xml:space="preserve"> à idade</w:t>
            </w:r>
            <w:r w:rsidRPr="00263DB9">
              <w:rPr>
                <w:color w:val="000000"/>
              </w:rPr>
              <w:t xml:space="preserve">): </w:t>
            </w:r>
            <w:r w:rsidR="00A5238D" w:rsidRPr="00263DB9">
              <w:rPr>
                <w:color w:val="000000"/>
              </w:rPr>
              <w:t>dias</w:t>
            </w:r>
            <w:r w:rsidRPr="00263DB9">
              <w:rPr>
                <w:color w:val="000000"/>
              </w:rPr>
              <w:t xml:space="preserve"> 1 </w:t>
            </w:r>
            <w:r w:rsidR="00A5238D" w:rsidRPr="00263DB9">
              <w:rPr>
                <w:color w:val="000000"/>
              </w:rPr>
              <w:t>e</w:t>
            </w:r>
            <w:r w:rsidRPr="00263DB9">
              <w:rPr>
                <w:color w:val="000000"/>
              </w:rPr>
              <w:t xml:space="preserve"> 15</w:t>
            </w:r>
          </w:p>
          <w:p w14:paraId="375EB27B" w14:textId="77777777" w:rsidR="008943AC" w:rsidRPr="00263DB9" w:rsidRDefault="008943AC" w:rsidP="00E51817">
            <w:pPr>
              <w:pStyle w:val="EndnoteText"/>
              <w:rPr>
                <w:color w:val="000000"/>
              </w:rPr>
            </w:pPr>
            <w:r w:rsidRPr="00263DB9">
              <w:rPr>
                <w:color w:val="000000"/>
              </w:rPr>
              <w:t>DEX (6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PO): </w:t>
            </w:r>
            <w:r w:rsidR="00A5238D" w:rsidRPr="00263DB9">
              <w:rPr>
                <w:color w:val="000000"/>
              </w:rPr>
              <w:t>dias</w:t>
            </w:r>
            <w:r w:rsidRPr="00263DB9">
              <w:rPr>
                <w:color w:val="000000"/>
              </w:rPr>
              <w:t> 1</w:t>
            </w:r>
            <w:r w:rsidRPr="00263DB9">
              <w:rPr>
                <w:color w:val="000000"/>
              </w:rPr>
              <w:noBreakHyphen/>
              <w:t xml:space="preserve">7 </w:t>
            </w:r>
            <w:r w:rsidR="00A5238D" w:rsidRPr="00263DB9">
              <w:rPr>
                <w:color w:val="000000"/>
              </w:rPr>
              <w:t>e</w:t>
            </w:r>
            <w:r w:rsidRPr="00263DB9">
              <w:rPr>
                <w:color w:val="000000"/>
              </w:rPr>
              <w:t xml:space="preserve"> 15</w:t>
            </w:r>
            <w:r w:rsidRPr="00263DB9">
              <w:rPr>
                <w:color w:val="000000"/>
              </w:rPr>
              <w:noBreakHyphen/>
              <w:t>21</w:t>
            </w:r>
          </w:p>
        </w:tc>
      </w:tr>
      <w:tr w:rsidR="008943AC" w:rsidRPr="00263DB9" w14:paraId="375EB288" w14:textId="77777777" w:rsidTr="003970DC">
        <w:trPr>
          <w:cantSplit/>
        </w:trPr>
        <w:tc>
          <w:tcPr>
            <w:tcW w:w="2357" w:type="dxa"/>
            <w:shd w:val="clear" w:color="auto" w:fill="auto"/>
          </w:tcPr>
          <w:p w14:paraId="375EB27D" w14:textId="77777777" w:rsidR="008943AC" w:rsidRPr="00263DB9" w:rsidRDefault="00A5238D" w:rsidP="00E51817">
            <w:pPr>
              <w:pStyle w:val="EndnoteText"/>
              <w:rPr>
                <w:color w:val="000000"/>
              </w:rPr>
            </w:pPr>
            <w:r w:rsidRPr="00263DB9">
              <w:rPr>
                <w:color w:val="000000"/>
              </w:rPr>
              <w:lastRenderedPageBreak/>
              <w:t>Bloco de intensificação</w:t>
            </w:r>
            <w:r w:rsidR="008943AC" w:rsidRPr="00263DB9">
              <w:rPr>
                <w:color w:val="000000"/>
              </w:rPr>
              <w:t> 1</w:t>
            </w:r>
          </w:p>
          <w:p w14:paraId="375EB27E" w14:textId="77777777" w:rsidR="008943AC" w:rsidRPr="00263DB9" w:rsidRDefault="008943AC" w:rsidP="00E51817">
            <w:pPr>
              <w:pStyle w:val="EndnoteText"/>
              <w:rPr>
                <w:color w:val="000000"/>
              </w:rPr>
            </w:pPr>
            <w:r w:rsidRPr="00263DB9">
              <w:rPr>
                <w:color w:val="000000"/>
              </w:rPr>
              <w:t>(9 semanas)</w:t>
            </w:r>
          </w:p>
        </w:tc>
        <w:tc>
          <w:tcPr>
            <w:tcW w:w="6919" w:type="dxa"/>
            <w:shd w:val="clear" w:color="auto" w:fill="auto"/>
          </w:tcPr>
          <w:p w14:paraId="375EB27F" w14:textId="77777777" w:rsidR="008943AC" w:rsidRPr="00263DB9" w:rsidRDefault="001B2699" w:rsidP="00E51817">
            <w:pPr>
              <w:pStyle w:val="EndnoteText"/>
              <w:rPr>
                <w:color w:val="000000"/>
              </w:rPr>
            </w:pPr>
            <w:r w:rsidRPr="00263DB9">
              <w:rPr>
                <w:color w:val="000000"/>
              </w:rPr>
              <w:t>Metotrexato</w:t>
            </w:r>
            <w:r w:rsidR="008943AC" w:rsidRPr="00263DB9">
              <w:rPr>
                <w:color w:val="000000"/>
              </w:rPr>
              <w:t xml:space="preserve"> (5 g/m</w:t>
            </w:r>
            <w:r w:rsidR="008943AC" w:rsidRPr="00263DB9">
              <w:rPr>
                <w:color w:val="000000"/>
                <w:vertAlign w:val="superscript"/>
              </w:rPr>
              <w:t>2</w:t>
            </w:r>
            <w:r w:rsidR="008943AC" w:rsidRPr="00263DB9">
              <w:rPr>
                <w:color w:val="000000"/>
              </w:rPr>
              <w:t xml:space="preserve"> </w:t>
            </w:r>
            <w:r w:rsidR="00AB3A2F" w:rsidRPr="00263DB9">
              <w:rPr>
                <w:color w:val="000000"/>
              </w:rPr>
              <w:t>durante</w:t>
            </w:r>
            <w:r w:rsidR="008943AC" w:rsidRPr="00263DB9">
              <w:rPr>
                <w:color w:val="000000"/>
              </w:rPr>
              <w:t xml:space="preserve"> 24 </w:t>
            </w:r>
            <w:r w:rsidRPr="00263DB9">
              <w:rPr>
                <w:color w:val="000000"/>
              </w:rPr>
              <w:t>horas</w:t>
            </w:r>
            <w:r w:rsidR="008943AC" w:rsidRPr="00263DB9">
              <w:rPr>
                <w:color w:val="000000"/>
              </w:rPr>
              <w:t xml:space="preserve">, IV): </w:t>
            </w:r>
            <w:r w:rsidR="00A5238D" w:rsidRPr="00263DB9">
              <w:rPr>
                <w:color w:val="000000"/>
              </w:rPr>
              <w:t>dias</w:t>
            </w:r>
            <w:r w:rsidR="008943AC" w:rsidRPr="00263DB9">
              <w:rPr>
                <w:color w:val="000000"/>
              </w:rPr>
              <w:t xml:space="preserve"> 1 </w:t>
            </w:r>
            <w:r w:rsidR="00A5238D" w:rsidRPr="00263DB9">
              <w:rPr>
                <w:color w:val="000000"/>
              </w:rPr>
              <w:t>e</w:t>
            </w:r>
            <w:r w:rsidR="008943AC" w:rsidRPr="00263DB9">
              <w:rPr>
                <w:color w:val="000000"/>
              </w:rPr>
              <w:t xml:space="preserve"> 15</w:t>
            </w:r>
          </w:p>
          <w:p w14:paraId="375EB280" w14:textId="77777777" w:rsidR="008943AC" w:rsidRPr="00263DB9" w:rsidRDefault="008943AC" w:rsidP="00E51817">
            <w:pPr>
              <w:pStyle w:val="EndnoteText"/>
              <w:rPr>
                <w:color w:val="000000"/>
              </w:rPr>
            </w:pPr>
            <w:r w:rsidRPr="00263DB9">
              <w:rPr>
                <w:color w:val="000000"/>
              </w:rPr>
              <w:t>Leucovorin</w:t>
            </w:r>
            <w:r w:rsidR="006F49BD" w:rsidRPr="00263DB9">
              <w:rPr>
                <w:color w:val="000000"/>
              </w:rPr>
              <w:t>a</w:t>
            </w:r>
            <w:r w:rsidRPr="00263DB9">
              <w:rPr>
                <w:color w:val="000000"/>
              </w:rPr>
              <w:t xml:space="preserve"> (75 mg/m</w:t>
            </w:r>
            <w:r w:rsidRPr="00263DB9">
              <w:rPr>
                <w:color w:val="000000"/>
                <w:vertAlign w:val="superscript"/>
              </w:rPr>
              <w:t>2</w:t>
            </w:r>
            <w:r w:rsidRPr="00263DB9">
              <w:rPr>
                <w:color w:val="000000"/>
              </w:rPr>
              <w:t xml:space="preserve"> a 36</w:t>
            </w:r>
            <w:r w:rsidR="006F49BD" w:rsidRPr="00263DB9">
              <w:rPr>
                <w:color w:val="000000"/>
              </w:rPr>
              <w:t> hora</w:t>
            </w:r>
            <w:r w:rsidRPr="00263DB9">
              <w:rPr>
                <w:color w:val="000000"/>
              </w:rPr>
              <w:t>, IV; 15 mg/m</w:t>
            </w:r>
            <w:r w:rsidRPr="00263DB9">
              <w:rPr>
                <w:color w:val="000000"/>
                <w:vertAlign w:val="superscript"/>
              </w:rPr>
              <w:t>2</w:t>
            </w:r>
            <w:r w:rsidRPr="00263DB9">
              <w:rPr>
                <w:color w:val="000000"/>
              </w:rPr>
              <w:t xml:space="preserve"> IV </w:t>
            </w:r>
            <w:r w:rsidR="001B2699" w:rsidRPr="00263DB9">
              <w:rPr>
                <w:color w:val="000000"/>
              </w:rPr>
              <w:t>ou</w:t>
            </w:r>
            <w:r w:rsidRPr="00263DB9">
              <w:rPr>
                <w:color w:val="000000"/>
              </w:rPr>
              <w:t xml:space="preserve"> PO q6h x 6 doses)iii: </w:t>
            </w:r>
            <w:r w:rsidR="00A5238D" w:rsidRPr="00263DB9">
              <w:rPr>
                <w:color w:val="000000"/>
              </w:rPr>
              <w:t>Dias</w:t>
            </w:r>
            <w:r w:rsidRPr="00263DB9">
              <w:rPr>
                <w:color w:val="000000"/>
              </w:rPr>
              <w:t xml:space="preserve"> 2, 3, 16, </w:t>
            </w:r>
            <w:r w:rsidR="00A5238D" w:rsidRPr="00263DB9">
              <w:rPr>
                <w:color w:val="000000"/>
              </w:rPr>
              <w:t>e</w:t>
            </w:r>
            <w:r w:rsidRPr="00263DB9">
              <w:rPr>
                <w:color w:val="000000"/>
              </w:rPr>
              <w:t xml:space="preserve"> 17</w:t>
            </w:r>
          </w:p>
          <w:p w14:paraId="375EB281" w14:textId="77777777" w:rsidR="008943AC" w:rsidRPr="00263DB9" w:rsidRDefault="008943AC" w:rsidP="00E51817">
            <w:pPr>
              <w:pStyle w:val="EndnoteText"/>
              <w:rPr>
                <w:color w:val="000000"/>
              </w:rPr>
            </w:pPr>
            <w:r w:rsidRPr="00263DB9">
              <w:rPr>
                <w:color w:val="000000"/>
              </w:rPr>
              <w:t>T</w:t>
            </w:r>
            <w:r w:rsidR="006F49BD" w:rsidRPr="00263DB9">
              <w:rPr>
                <w:color w:val="000000"/>
              </w:rPr>
              <w:t>erapêutica tripla</w:t>
            </w:r>
            <w:r w:rsidRPr="00263DB9">
              <w:rPr>
                <w:color w:val="000000"/>
              </w:rPr>
              <w:t xml:space="preserve"> IT</w:t>
            </w:r>
            <w:r w:rsidR="006F49BD" w:rsidRPr="00263DB9">
              <w:rPr>
                <w:color w:val="000000"/>
              </w:rPr>
              <w:t xml:space="preserve"> </w:t>
            </w:r>
            <w:r w:rsidRPr="00263DB9">
              <w:rPr>
                <w:color w:val="000000"/>
              </w:rPr>
              <w:t>(</w:t>
            </w:r>
            <w:r w:rsidR="00D13D05" w:rsidRPr="00263DB9">
              <w:rPr>
                <w:color w:val="000000"/>
              </w:rPr>
              <w:t>ajustada</w:t>
            </w:r>
            <w:r w:rsidR="001B2699" w:rsidRPr="00263DB9">
              <w:rPr>
                <w:color w:val="000000"/>
              </w:rPr>
              <w:t xml:space="preserve"> à idade</w:t>
            </w:r>
            <w:r w:rsidRPr="00263DB9">
              <w:rPr>
                <w:color w:val="000000"/>
              </w:rPr>
              <w:t xml:space="preserve">): </w:t>
            </w:r>
            <w:r w:rsidR="00A5238D" w:rsidRPr="00263DB9">
              <w:rPr>
                <w:color w:val="000000"/>
              </w:rPr>
              <w:t>dias</w:t>
            </w:r>
            <w:r w:rsidRPr="00263DB9">
              <w:rPr>
                <w:color w:val="000000"/>
              </w:rPr>
              <w:t xml:space="preserve"> 1 </w:t>
            </w:r>
            <w:r w:rsidR="00A5238D" w:rsidRPr="00263DB9">
              <w:rPr>
                <w:color w:val="000000"/>
              </w:rPr>
              <w:t>e</w:t>
            </w:r>
            <w:r w:rsidRPr="00263DB9">
              <w:rPr>
                <w:color w:val="000000"/>
              </w:rPr>
              <w:t xml:space="preserve"> 22</w:t>
            </w:r>
          </w:p>
          <w:p w14:paraId="375EB282" w14:textId="77777777" w:rsidR="008943AC" w:rsidRPr="00263DB9" w:rsidRDefault="008943AC" w:rsidP="00E51817">
            <w:pPr>
              <w:pStyle w:val="EndnoteText"/>
              <w:rPr>
                <w:color w:val="000000"/>
              </w:rPr>
            </w:pPr>
            <w:r w:rsidRPr="00263DB9">
              <w:rPr>
                <w:color w:val="000000"/>
              </w:rPr>
              <w:t>VP-16 (100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IV): </w:t>
            </w:r>
            <w:r w:rsidR="00A5238D" w:rsidRPr="00263DB9">
              <w:rPr>
                <w:color w:val="000000"/>
              </w:rPr>
              <w:t>dias</w:t>
            </w:r>
            <w:r w:rsidRPr="00263DB9">
              <w:rPr>
                <w:color w:val="000000"/>
              </w:rPr>
              <w:t> 22</w:t>
            </w:r>
            <w:r w:rsidRPr="00263DB9">
              <w:rPr>
                <w:color w:val="000000"/>
              </w:rPr>
              <w:noBreakHyphen/>
              <w:t>26</w:t>
            </w:r>
          </w:p>
          <w:p w14:paraId="375EB283" w14:textId="77777777" w:rsidR="008943AC" w:rsidRPr="00263DB9" w:rsidRDefault="008943AC" w:rsidP="00E51817">
            <w:pPr>
              <w:pStyle w:val="EndnoteText"/>
              <w:rPr>
                <w:color w:val="000000"/>
              </w:rPr>
            </w:pPr>
            <w:r w:rsidRPr="00263DB9">
              <w:rPr>
                <w:color w:val="000000"/>
              </w:rPr>
              <w:t>CPM (300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IV): </w:t>
            </w:r>
            <w:r w:rsidR="00A5238D" w:rsidRPr="00263DB9">
              <w:rPr>
                <w:color w:val="000000"/>
              </w:rPr>
              <w:t>dias</w:t>
            </w:r>
            <w:r w:rsidRPr="00263DB9">
              <w:rPr>
                <w:color w:val="000000"/>
              </w:rPr>
              <w:t> 22</w:t>
            </w:r>
            <w:r w:rsidRPr="00263DB9">
              <w:rPr>
                <w:color w:val="000000"/>
              </w:rPr>
              <w:noBreakHyphen/>
              <w:t>26</w:t>
            </w:r>
          </w:p>
          <w:p w14:paraId="375EB284" w14:textId="77777777" w:rsidR="008943AC" w:rsidRPr="00263DB9" w:rsidRDefault="008943AC" w:rsidP="00E51817">
            <w:pPr>
              <w:pStyle w:val="EndnoteText"/>
              <w:rPr>
                <w:color w:val="000000"/>
              </w:rPr>
            </w:pPr>
            <w:r w:rsidRPr="00263DB9">
              <w:rPr>
                <w:color w:val="000000"/>
              </w:rPr>
              <w:t>MESNA (150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IV): </w:t>
            </w:r>
            <w:r w:rsidR="00A5238D" w:rsidRPr="00263DB9">
              <w:rPr>
                <w:color w:val="000000"/>
              </w:rPr>
              <w:t>dias</w:t>
            </w:r>
            <w:r w:rsidRPr="00263DB9">
              <w:rPr>
                <w:color w:val="000000"/>
              </w:rPr>
              <w:t> 22</w:t>
            </w:r>
            <w:r w:rsidRPr="00263DB9">
              <w:rPr>
                <w:color w:val="000000"/>
              </w:rPr>
              <w:noBreakHyphen/>
              <w:t>26</w:t>
            </w:r>
          </w:p>
          <w:p w14:paraId="375EB285" w14:textId="77777777" w:rsidR="008943AC" w:rsidRPr="00263DB9" w:rsidRDefault="008943AC" w:rsidP="00E51817">
            <w:pPr>
              <w:pStyle w:val="EndnoteText"/>
              <w:rPr>
                <w:color w:val="000000"/>
              </w:rPr>
            </w:pPr>
            <w:r w:rsidRPr="00263DB9">
              <w:rPr>
                <w:color w:val="000000"/>
              </w:rPr>
              <w:t xml:space="preserve">G-CSF (5 μg/kg, SC): </w:t>
            </w:r>
            <w:r w:rsidR="00A5238D" w:rsidRPr="00263DB9">
              <w:rPr>
                <w:color w:val="000000"/>
              </w:rPr>
              <w:t>dias</w:t>
            </w:r>
            <w:r w:rsidRPr="00263DB9">
              <w:rPr>
                <w:color w:val="000000"/>
              </w:rPr>
              <w:t> 27</w:t>
            </w:r>
            <w:r w:rsidR="00AF074F" w:rsidRPr="00263DB9">
              <w:rPr>
                <w:color w:val="000000"/>
              </w:rPr>
              <w:noBreakHyphen/>
            </w:r>
            <w:r w:rsidRPr="00263DB9">
              <w:rPr>
                <w:color w:val="000000"/>
              </w:rPr>
              <w:t>36 o</w:t>
            </w:r>
            <w:r w:rsidR="00A5238D" w:rsidRPr="00263DB9">
              <w:rPr>
                <w:color w:val="000000"/>
              </w:rPr>
              <w:t>u</w:t>
            </w:r>
            <w:r w:rsidRPr="00263DB9">
              <w:rPr>
                <w:color w:val="000000"/>
              </w:rPr>
              <w:t xml:space="preserve"> </w:t>
            </w:r>
            <w:r w:rsidR="001B2699" w:rsidRPr="00263DB9">
              <w:rPr>
                <w:color w:val="000000"/>
              </w:rPr>
              <w:t>até</w:t>
            </w:r>
            <w:r w:rsidRPr="00263DB9">
              <w:rPr>
                <w:color w:val="000000"/>
              </w:rPr>
              <w:t xml:space="preserve"> ANC &gt; 1500 </w:t>
            </w:r>
            <w:r w:rsidR="001B2699" w:rsidRPr="00263DB9">
              <w:rPr>
                <w:color w:val="000000"/>
              </w:rPr>
              <w:t>pós</w:t>
            </w:r>
            <w:r w:rsidRPr="00263DB9">
              <w:rPr>
                <w:color w:val="000000"/>
              </w:rPr>
              <w:t xml:space="preserve"> nadir</w:t>
            </w:r>
          </w:p>
          <w:p w14:paraId="375EB286" w14:textId="77777777" w:rsidR="008943AC" w:rsidRPr="00263DB9" w:rsidRDefault="008943AC" w:rsidP="00E51817">
            <w:pPr>
              <w:pStyle w:val="EndnoteText"/>
              <w:rPr>
                <w:color w:val="000000"/>
              </w:rPr>
            </w:pPr>
            <w:r w:rsidRPr="00263DB9">
              <w:rPr>
                <w:color w:val="000000"/>
              </w:rPr>
              <w:t>ARA-C (3 g/m</w:t>
            </w:r>
            <w:r w:rsidRPr="00263DB9">
              <w:rPr>
                <w:color w:val="000000"/>
                <w:vertAlign w:val="superscript"/>
              </w:rPr>
              <w:t>2</w:t>
            </w:r>
            <w:r w:rsidRPr="00263DB9">
              <w:rPr>
                <w:color w:val="000000"/>
              </w:rPr>
              <w:t xml:space="preserve">, q12h, IV): </w:t>
            </w:r>
            <w:r w:rsidR="00A5238D" w:rsidRPr="00263DB9">
              <w:rPr>
                <w:color w:val="000000"/>
              </w:rPr>
              <w:t>dias</w:t>
            </w:r>
            <w:r w:rsidRPr="00263DB9">
              <w:rPr>
                <w:color w:val="000000"/>
              </w:rPr>
              <w:t> 43, 44</w:t>
            </w:r>
          </w:p>
          <w:p w14:paraId="375EB287" w14:textId="77777777" w:rsidR="008943AC" w:rsidRPr="00263DB9" w:rsidRDefault="008943AC" w:rsidP="00E51817">
            <w:pPr>
              <w:pStyle w:val="EndnoteText"/>
              <w:rPr>
                <w:color w:val="000000"/>
                <w:lang w:val="de-DE"/>
              </w:rPr>
            </w:pPr>
            <w:r w:rsidRPr="00263DB9">
              <w:rPr>
                <w:color w:val="000000"/>
                <w:lang w:val="de-DE"/>
              </w:rPr>
              <w:t>L-ASP (6000 </w:t>
            </w:r>
            <w:r w:rsidR="006F49BD" w:rsidRPr="00263DB9">
              <w:rPr>
                <w:color w:val="000000"/>
                <w:lang w:val="de-DE"/>
              </w:rPr>
              <w:t>UI</w:t>
            </w:r>
            <w:r w:rsidRPr="00263DB9">
              <w:rPr>
                <w:color w:val="000000"/>
                <w:lang w:val="de-DE"/>
              </w:rPr>
              <w:t>/m</w:t>
            </w:r>
            <w:r w:rsidRPr="00263DB9">
              <w:rPr>
                <w:color w:val="000000"/>
                <w:vertAlign w:val="superscript"/>
                <w:lang w:val="de-DE"/>
              </w:rPr>
              <w:t>2</w:t>
            </w:r>
            <w:r w:rsidRPr="00263DB9">
              <w:rPr>
                <w:color w:val="000000"/>
                <w:lang w:val="de-DE"/>
              </w:rPr>
              <w:t xml:space="preserve">, IM): </w:t>
            </w:r>
            <w:r w:rsidR="00A5238D" w:rsidRPr="00263DB9">
              <w:rPr>
                <w:color w:val="000000"/>
                <w:lang w:val="de-DE"/>
              </w:rPr>
              <w:t>dia</w:t>
            </w:r>
            <w:r w:rsidRPr="00263DB9">
              <w:rPr>
                <w:color w:val="000000"/>
                <w:lang w:val="de-DE"/>
              </w:rPr>
              <w:t> 44</w:t>
            </w:r>
          </w:p>
        </w:tc>
      </w:tr>
      <w:tr w:rsidR="008943AC" w:rsidRPr="00263DB9" w14:paraId="375EB292" w14:textId="77777777" w:rsidTr="003970DC">
        <w:trPr>
          <w:cantSplit/>
        </w:trPr>
        <w:tc>
          <w:tcPr>
            <w:tcW w:w="2357" w:type="dxa"/>
            <w:shd w:val="clear" w:color="auto" w:fill="auto"/>
          </w:tcPr>
          <w:p w14:paraId="375EB289" w14:textId="77777777" w:rsidR="008943AC" w:rsidRPr="00263DB9" w:rsidRDefault="00A5238D" w:rsidP="00E51817">
            <w:pPr>
              <w:pStyle w:val="EndnoteText"/>
              <w:rPr>
                <w:color w:val="000000"/>
              </w:rPr>
            </w:pPr>
            <w:r w:rsidRPr="00263DB9">
              <w:rPr>
                <w:color w:val="000000"/>
              </w:rPr>
              <w:t>Bloco de reindução</w:t>
            </w:r>
            <w:r w:rsidR="008943AC" w:rsidRPr="00263DB9">
              <w:rPr>
                <w:color w:val="000000"/>
              </w:rPr>
              <w:t> 2</w:t>
            </w:r>
          </w:p>
          <w:p w14:paraId="375EB28A" w14:textId="77777777" w:rsidR="008943AC" w:rsidRPr="00263DB9" w:rsidRDefault="008943AC" w:rsidP="00E51817">
            <w:pPr>
              <w:pStyle w:val="EndnoteText"/>
              <w:rPr>
                <w:color w:val="000000"/>
              </w:rPr>
            </w:pPr>
            <w:r w:rsidRPr="00263DB9">
              <w:rPr>
                <w:color w:val="000000"/>
              </w:rPr>
              <w:t>(3 semanas)</w:t>
            </w:r>
          </w:p>
        </w:tc>
        <w:tc>
          <w:tcPr>
            <w:tcW w:w="6919" w:type="dxa"/>
            <w:shd w:val="clear" w:color="auto" w:fill="auto"/>
          </w:tcPr>
          <w:p w14:paraId="375EB28B" w14:textId="77777777" w:rsidR="008943AC" w:rsidRPr="00263DB9" w:rsidRDefault="008943AC" w:rsidP="00E51817">
            <w:pPr>
              <w:pStyle w:val="EndnoteText"/>
              <w:rPr>
                <w:color w:val="000000"/>
              </w:rPr>
            </w:pPr>
            <w:r w:rsidRPr="00263DB9">
              <w:rPr>
                <w:color w:val="000000"/>
              </w:rPr>
              <w:t>VCR (1.5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IV): </w:t>
            </w:r>
            <w:r w:rsidR="00A5238D" w:rsidRPr="00263DB9">
              <w:rPr>
                <w:color w:val="000000"/>
              </w:rPr>
              <w:t>dias</w:t>
            </w:r>
            <w:r w:rsidRPr="00263DB9">
              <w:rPr>
                <w:color w:val="000000"/>
              </w:rPr>
              <w:t xml:space="preserve"> 1, 8 </w:t>
            </w:r>
            <w:r w:rsidR="00A5238D" w:rsidRPr="00263DB9">
              <w:rPr>
                <w:color w:val="000000"/>
              </w:rPr>
              <w:t>e</w:t>
            </w:r>
            <w:r w:rsidRPr="00263DB9">
              <w:rPr>
                <w:color w:val="000000"/>
              </w:rPr>
              <w:t xml:space="preserve"> 15</w:t>
            </w:r>
          </w:p>
          <w:p w14:paraId="375EB28C" w14:textId="77777777" w:rsidR="008943AC" w:rsidRPr="00263DB9" w:rsidRDefault="008943AC" w:rsidP="00E51817">
            <w:pPr>
              <w:pStyle w:val="EndnoteText"/>
              <w:rPr>
                <w:color w:val="000000"/>
              </w:rPr>
            </w:pPr>
            <w:r w:rsidRPr="00263DB9">
              <w:rPr>
                <w:color w:val="000000"/>
              </w:rPr>
              <w:t>DAUN (45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w:t>
            </w:r>
            <w:r w:rsidR="00AB3A2F" w:rsidRPr="00263DB9">
              <w:rPr>
                <w:color w:val="000000"/>
              </w:rPr>
              <w:t>em bólus</w:t>
            </w:r>
            <w:r w:rsidRPr="00263DB9">
              <w:rPr>
                <w:color w:val="000000"/>
              </w:rPr>
              <w:t xml:space="preserve">, IV): </w:t>
            </w:r>
            <w:r w:rsidR="00A5238D" w:rsidRPr="00263DB9">
              <w:rPr>
                <w:color w:val="000000"/>
              </w:rPr>
              <w:t>dias</w:t>
            </w:r>
            <w:r w:rsidRPr="00263DB9">
              <w:rPr>
                <w:color w:val="000000"/>
              </w:rPr>
              <w:t xml:space="preserve"> 1 </w:t>
            </w:r>
            <w:r w:rsidR="00A5238D" w:rsidRPr="00263DB9">
              <w:rPr>
                <w:color w:val="000000"/>
              </w:rPr>
              <w:t>e</w:t>
            </w:r>
            <w:r w:rsidRPr="00263DB9">
              <w:rPr>
                <w:color w:val="000000"/>
              </w:rPr>
              <w:t xml:space="preserve"> 2</w:t>
            </w:r>
          </w:p>
          <w:p w14:paraId="375EB28D" w14:textId="77777777" w:rsidR="008943AC" w:rsidRPr="00263DB9" w:rsidRDefault="008943AC" w:rsidP="00E51817">
            <w:pPr>
              <w:pStyle w:val="EndnoteText"/>
              <w:rPr>
                <w:color w:val="000000"/>
              </w:rPr>
            </w:pPr>
            <w:r w:rsidRPr="00263DB9">
              <w:rPr>
                <w:color w:val="000000"/>
              </w:rPr>
              <w:t>CPM (250 mg/m</w:t>
            </w:r>
            <w:r w:rsidRPr="00263DB9">
              <w:rPr>
                <w:color w:val="000000"/>
                <w:vertAlign w:val="superscript"/>
              </w:rPr>
              <w:t>2</w:t>
            </w:r>
            <w:r w:rsidRPr="00263DB9">
              <w:rPr>
                <w:color w:val="000000"/>
              </w:rPr>
              <w:t>/dose q12h x 4</w:t>
            </w:r>
            <w:r w:rsidR="00AF074F" w:rsidRPr="00263DB9">
              <w:rPr>
                <w:color w:val="000000"/>
              </w:rPr>
              <w:t> </w:t>
            </w:r>
            <w:r w:rsidRPr="00263DB9">
              <w:rPr>
                <w:color w:val="000000"/>
              </w:rPr>
              <w:t xml:space="preserve">doses, iv): </w:t>
            </w:r>
            <w:r w:rsidR="00A5238D" w:rsidRPr="00263DB9">
              <w:rPr>
                <w:color w:val="000000"/>
              </w:rPr>
              <w:t>Dias</w:t>
            </w:r>
            <w:r w:rsidRPr="00263DB9">
              <w:rPr>
                <w:color w:val="000000"/>
              </w:rPr>
              <w:t xml:space="preserve"> 3 </w:t>
            </w:r>
            <w:r w:rsidR="00A5238D" w:rsidRPr="00263DB9">
              <w:rPr>
                <w:color w:val="000000"/>
              </w:rPr>
              <w:t>e</w:t>
            </w:r>
            <w:r w:rsidRPr="00263DB9">
              <w:rPr>
                <w:color w:val="000000"/>
              </w:rPr>
              <w:t xml:space="preserve"> 4</w:t>
            </w:r>
          </w:p>
          <w:p w14:paraId="375EB28E" w14:textId="77777777" w:rsidR="008943AC" w:rsidRPr="00263DB9" w:rsidRDefault="008943AC" w:rsidP="00E51817">
            <w:pPr>
              <w:pStyle w:val="EndnoteText"/>
              <w:rPr>
                <w:color w:val="000000"/>
                <w:lang w:val="de-DE"/>
              </w:rPr>
            </w:pPr>
            <w:r w:rsidRPr="00263DB9">
              <w:rPr>
                <w:color w:val="000000"/>
                <w:lang w:val="de-DE"/>
              </w:rPr>
              <w:t>PEG-ASP (2500 </w:t>
            </w:r>
            <w:r w:rsidR="006F49BD" w:rsidRPr="00263DB9">
              <w:rPr>
                <w:color w:val="000000"/>
                <w:lang w:val="de-DE"/>
              </w:rPr>
              <w:t>UI</w:t>
            </w:r>
            <w:r w:rsidRPr="00263DB9">
              <w:rPr>
                <w:color w:val="000000"/>
                <w:lang w:val="de-DE"/>
              </w:rPr>
              <w:t>/m</w:t>
            </w:r>
            <w:r w:rsidRPr="00263DB9">
              <w:rPr>
                <w:color w:val="000000"/>
                <w:vertAlign w:val="superscript"/>
                <w:lang w:val="de-DE"/>
              </w:rPr>
              <w:t>2</w:t>
            </w:r>
            <w:r w:rsidRPr="00263DB9">
              <w:rPr>
                <w:color w:val="000000"/>
                <w:lang w:val="de-DE"/>
              </w:rPr>
              <w:t xml:space="preserve">, IM): </w:t>
            </w:r>
            <w:r w:rsidR="00A5238D" w:rsidRPr="00263DB9">
              <w:rPr>
                <w:color w:val="000000"/>
                <w:lang w:val="de-DE"/>
              </w:rPr>
              <w:t>dia</w:t>
            </w:r>
            <w:r w:rsidRPr="00263DB9">
              <w:rPr>
                <w:color w:val="000000"/>
                <w:lang w:val="de-DE"/>
              </w:rPr>
              <w:t> 4</w:t>
            </w:r>
          </w:p>
          <w:p w14:paraId="375EB28F" w14:textId="77777777" w:rsidR="008943AC" w:rsidRPr="00263DB9" w:rsidRDefault="008943AC" w:rsidP="00E51817">
            <w:pPr>
              <w:pStyle w:val="EndnoteText"/>
              <w:rPr>
                <w:color w:val="000000"/>
              </w:rPr>
            </w:pPr>
            <w:r w:rsidRPr="00263DB9">
              <w:rPr>
                <w:color w:val="000000"/>
              </w:rPr>
              <w:t xml:space="preserve">G-CSF (5 μg/kg, SC): </w:t>
            </w:r>
            <w:r w:rsidR="00A5238D" w:rsidRPr="00263DB9">
              <w:rPr>
                <w:color w:val="000000"/>
              </w:rPr>
              <w:t>dias</w:t>
            </w:r>
            <w:r w:rsidRPr="00263DB9">
              <w:rPr>
                <w:color w:val="000000"/>
              </w:rPr>
              <w:t xml:space="preserve"> 5-14 </w:t>
            </w:r>
            <w:r w:rsidR="001B2699" w:rsidRPr="00263DB9">
              <w:rPr>
                <w:color w:val="000000"/>
              </w:rPr>
              <w:t>ou</w:t>
            </w:r>
            <w:r w:rsidRPr="00263DB9">
              <w:rPr>
                <w:color w:val="000000"/>
              </w:rPr>
              <w:t xml:space="preserve"> </w:t>
            </w:r>
            <w:r w:rsidR="001B2699" w:rsidRPr="00263DB9">
              <w:rPr>
                <w:color w:val="000000"/>
              </w:rPr>
              <w:t>até</w:t>
            </w:r>
            <w:r w:rsidRPr="00263DB9">
              <w:rPr>
                <w:color w:val="000000"/>
              </w:rPr>
              <w:t xml:space="preserve"> ANC &gt; 1500 </w:t>
            </w:r>
            <w:r w:rsidR="001B2699" w:rsidRPr="00263DB9">
              <w:rPr>
                <w:color w:val="000000"/>
              </w:rPr>
              <w:t>pós</w:t>
            </w:r>
            <w:r w:rsidRPr="00263DB9">
              <w:rPr>
                <w:color w:val="000000"/>
              </w:rPr>
              <w:t xml:space="preserve"> nadir</w:t>
            </w:r>
          </w:p>
          <w:p w14:paraId="375EB290" w14:textId="77777777" w:rsidR="008943AC" w:rsidRPr="00263DB9" w:rsidRDefault="008943AC" w:rsidP="00E51817">
            <w:pPr>
              <w:pStyle w:val="EndnoteText"/>
              <w:rPr>
                <w:color w:val="000000"/>
              </w:rPr>
            </w:pPr>
            <w:r w:rsidRPr="00263DB9">
              <w:rPr>
                <w:color w:val="000000"/>
              </w:rPr>
              <w:t>T</w:t>
            </w:r>
            <w:r w:rsidR="006F49BD" w:rsidRPr="00263DB9">
              <w:rPr>
                <w:color w:val="000000"/>
              </w:rPr>
              <w:t>erapêutica tripla</w:t>
            </w:r>
            <w:r w:rsidRPr="00263DB9">
              <w:rPr>
                <w:color w:val="000000"/>
              </w:rPr>
              <w:t xml:space="preserve"> IT (</w:t>
            </w:r>
            <w:r w:rsidR="00D13D05" w:rsidRPr="00263DB9">
              <w:rPr>
                <w:color w:val="000000"/>
              </w:rPr>
              <w:t>ajustada</w:t>
            </w:r>
            <w:r w:rsidR="001B2699" w:rsidRPr="00263DB9">
              <w:rPr>
                <w:color w:val="000000"/>
              </w:rPr>
              <w:t xml:space="preserve"> à idade</w:t>
            </w:r>
            <w:r w:rsidRPr="00263DB9">
              <w:rPr>
                <w:color w:val="000000"/>
              </w:rPr>
              <w:t xml:space="preserve">): </w:t>
            </w:r>
            <w:r w:rsidR="00A5238D" w:rsidRPr="00263DB9">
              <w:rPr>
                <w:color w:val="000000"/>
              </w:rPr>
              <w:t>dias</w:t>
            </w:r>
            <w:r w:rsidRPr="00263DB9">
              <w:rPr>
                <w:color w:val="000000"/>
              </w:rPr>
              <w:t xml:space="preserve"> 1 </w:t>
            </w:r>
            <w:r w:rsidR="00A5238D" w:rsidRPr="00263DB9">
              <w:rPr>
                <w:color w:val="000000"/>
              </w:rPr>
              <w:t>e</w:t>
            </w:r>
            <w:r w:rsidRPr="00263DB9">
              <w:rPr>
                <w:color w:val="000000"/>
              </w:rPr>
              <w:t xml:space="preserve"> 15</w:t>
            </w:r>
          </w:p>
          <w:p w14:paraId="375EB291" w14:textId="77777777" w:rsidR="008943AC" w:rsidRPr="00263DB9" w:rsidRDefault="008943AC" w:rsidP="00E51817">
            <w:pPr>
              <w:pStyle w:val="EndnoteText"/>
              <w:rPr>
                <w:color w:val="000000"/>
              </w:rPr>
            </w:pPr>
            <w:r w:rsidRPr="00263DB9">
              <w:rPr>
                <w:color w:val="000000"/>
              </w:rPr>
              <w:t>DEX (6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PO): </w:t>
            </w:r>
            <w:r w:rsidR="00A5238D" w:rsidRPr="00263DB9">
              <w:rPr>
                <w:color w:val="000000"/>
              </w:rPr>
              <w:t>dias</w:t>
            </w:r>
            <w:r w:rsidRPr="00263DB9">
              <w:rPr>
                <w:color w:val="000000"/>
              </w:rPr>
              <w:t> 1</w:t>
            </w:r>
            <w:r w:rsidRPr="00263DB9">
              <w:rPr>
                <w:color w:val="000000"/>
              </w:rPr>
              <w:noBreakHyphen/>
              <w:t xml:space="preserve">7 </w:t>
            </w:r>
            <w:r w:rsidR="00A5238D" w:rsidRPr="00263DB9">
              <w:rPr>
                <w:color w:val="000000"/>
              </w:rPr>
              <w:t>e</w:t>
            </w:r>
            <w:r w:rsidRPr="00263DB9">
              <w:rPr>
                <w:color w:val="000000"/>
              </w:rPr>
              <w:t xml:space="preserve"> 15</w:t>
            </w:r>
            <w:r w:rsidRPr="00263DB9">
              <w:rPr>
                <w:color w:val="000000"/>
              </w:rPr>
              <w:noBreakHyphen/>
              <w:t>21</w:t>
            </w:r>
          </w:p>
        </w:tc>
      </w:tr>
      <w:tr w:rsidR="008943AC" w:rsidRPr="00263DB9" w14:paraId="375EB29E" w14:textId="77777777" w:rsidTr="003970DC">
        <w:trPr>
          <w:cantSplit/>
        </w:trPr>
        <w:tc>
          <w:tcPr>
            <w:tcW w:w="2357" w:type="dxa"/>
            <w:shd w:val="clear" w:color="auto" w:fill="auto"/>
          </w:tcPr>
          <w:p w14:paraId="375EB293" w14:textId="77777777" w:rsidR="008943AC" w:rsidRPr="00263DB9" w:rsidRDefault="00A5238D" w:rsidP="00E51817">
            <w:pPr>
              <w:pStyle w:val="EndnoteText"/>
              <w:rPr>
                <w:color w:val="000000"/>
              </w:rPr>
            </w:pPr>
            <w:r w:rsidRPr="00263DB9">
              <w:rPr>
                <w:color w:val="000000"/>
              </w:rPr>
              <w:t>Bloco de intensificação</w:t>
            </w:r>
            <w:r w:rsidR="008943AC" w:rsidRPr="00263DB9">
              <w:rPr>
                <w:color w:val="000000"/>
              </w:rPr>
              <w:t> 2</w:t>
            </w:r>
          </w:p>
          <w:p w14:paraId="375EB294" w14:textId="77777777" w:rsidR="008943AC" w:rsidRPr="00263DB9" w:rsidRDefault="008943AC" w:rsidP="00E51817">
            <w:pPr>
              <w:pStyle w:val="EndnoteText"/>
              <w:rPr>
                <w:color w:val="000000"/>
              </w:rPr>
            </w:pPr>
            <w:r w:rsidRPr="00263DB9">
              <w:rPr>
                <w:color w:val="000000"/>
              </w:rPr>
              <w:t>(9 semanas)</w:t>
            </w:r>
          </w:p>
        </w:tc>
        <w:tc>
          <w:tcPr>
            <w:tcW w:w="6919" w:type="dxa"/>
            <w:shd w:val="clear" w:color="auto" w:fill="auto"/>
          </w:tcPr>
          <w:p w14:paraId="375EB295" w14:textId="77777777" w:rsidR="008943AC" w:rsidRPr="00263DB9" w:rsidRDefault="001B2699" w:rsidP="00E51817">
            <w:pPr>
              <w:pStyle w:val="EndnoteText"/>
              <w:rPr>
                <w:color w:val="000000"/>
              </w:rPr>
            </w:pPr>
            <w:r w:rsidRPr="00263DB9">
              <w:rPr>
                <w:color w:val="000000"/>
              </w:rPr>
              <w:t>Metotrexato</w:t>
            </w:r>
            <w:r w:rsidR="008943AC" w:rsidRPr="00263DB9">
              <w:rPr>
                <w:color w:val="000000"/>
              </w:rPr>
              <w:t xml:space="preserve"> (5 g/m</w:t>
            </w:r>
            <w:r w:rsidR="008943AC" w:rsidRPr="00263DB9">
              <w:rPr>
                <w:color w:val="000000"/>
                <w:vertAlign w:val="superscript"/>
              </w:rPr>
              <w:t>2</w:t>
            </w:r>
            <w:r w:rsidR="008943AC" w:rsidRPr="00263DB9">
              <w:rPr>
                <w:color w:val="000000"/>
              </w:rPr>
              <w:t xml:space="preserve"> </w:t>
            </w:r>
            <w:r w:rsidR="00AB3A2F" w:rsidRPr="00263DB9">
              <w:rPr>
                <w:color w:val="000000"/>
              </w:rPr>
              <w:t>durante</w:t>
            </w:r>
            <w:r w:rsidR="008943AC" w:rsidRPr="00263DB9">
              <w:rPr>
                <w:color w:val="000000"/>
              </w:rPr>
              <w:t xml:space="preserve"> 24 </w:t>
            </w:r>
            <w:r w:rsidRPr="00263DB9">
              <w:rPr>
                <w:color w:val="000000"/>
              </w:rPr>
              <w:t>horas</w:t>
            </w:r>
            <w:r w:rsidR="008943AC" w:rsidRPr="00263DB9">
              <w:rPr>
                <w:color w:val="000000"/>
              </w:rPr>
              <w:t xml:space="preserve">, IV): </w:t>
            </w:r>
            <w:r w:rsidR="00A5238D" w:rsidRPr="00263DB9">
              <w:rPr>
                <w:color w:val="000000"/>
              </w:rPr>
              <w:t>dias</w:t>
            </w:r>
            <w:r w:rsidR="008943AC" w:rsidRPr="00263DB9">
              <w:rPr>
                <w:color w:val="000000"/>
              </w:rPr>
              <w:t xml:space="preserve"> 1 </w:t>
            </w:r>
            <w:r w:rsidR="00A5238D" w:rsidRPr="00263DB9">
              <w:rPr>
                <w:color w:val="000000"/>
              </w:rPr>
              <w:t>e</w:t>
            </w:r>
            <w:r w:rsidR="008943AC" w:rsidRPr="00263DB9">
              <w:rPr>
                <w:color w:val="000000"/>
              </w:rPr>
              <w:t xml:space="preserve"> 15</w:t>
            </w:r>
          </w:p>
          <w:p w14:paraId="375EB296" w14:textId="77777777" w:rsidR="008943AC" w:rsidRPr="00263DB9" w:rsidRDefault="008943AC" w:rsidP="00E51817">
            <w:pPr>
              <w:pStyle w:val="EndnoteText"/>
              <w:rPr>
                <w:color w:val="000000"/>
              </w:rPr>
            </w:pPr>
            <w:r w:rsidRPr="00263DB9">
              <w:rPr>
                <w:color w:val="000000"/>
              </w:rPr>
              <w:t>Leucovorin</w:t>
            </w:r>
            <w:r w:rsidR="006F49BD" w:rsidRPr="00263DB9">
              <w:rPr>
                <w:color w:val="000000"/>
              </w:rPr>
              <w:t>a</w:t>
            </w:r>
            <w:r w:rsidRPr="00263DB9">
              <w:rPr>
                <w:color w:val="000000"/>
              </w:rPr>
              <w:t xml:space="preserve"> (75 mg/m</w:t>
            </w:r>
            <w:r w:rsidRPr="00263DB9">
              <w:rPr>
                <w:color w:val="000000"/>
                <w:vertAlign w:val="superscript"/>
              </w:rPr>
              <w:t>2</w:t>
            </w:r>
            <w:r w:rsidR="00AB3A2F" w:rsidRPr="00263DB9">
              <w:rPr>
                <w:color w:val="000000"/>
              </w:rPr>
              <w:t xml:space="preserve"> à</w:t>
            </w:r>
            <w:r w:rsidR="006F49BD" w:rsidRPr="00263DB9">
              <w:rPr>
                <w:color w:val="000000"/>
              </w:rPr>
              <w:t xml:space="preserve"> </w:t>
            </w:r>
            <w:r w:rsidRPr="00263DB9">
              <w:rPr>
                <w:color w:val="000000"/>
              </w:rPr>
              <w:t>36</w:t>
            </w:r>
            <w:r w:rsidR="006F49BD" w:rsidRPr="00263DB9">
              <w:rPr>
                <w:color w:val="000000"/>
              </w:rPr>
              <w:t> hora</w:t>
            </w:r>
            <w:r w:rsidRPr="00263DB9">
              <w:rPr>
                <w:color w:val="000000"/>
              </w:rPr>
              <w:t>, IV; 15 mg/m</w:t>
            </w:r>
            <w:r w:rsidRPr="00263DB9">
              <w:rPr>
                <w:color w:val="000000"/>
                <w:vertAlign w:val="superscript"/>
              </w:rPr>
              <w:t>2</w:t>
            </w:r>
            <w:r w:rsidRPr="00263DB9">
              <w:rPr>
                <w:color w:val="000000"/>
              </w:rPr>
              <w:t xml:space="preserve"> IV </w:t>
            </w:r>
            <w:r w:rsidR="001B2699" w:rsidRPr="00263DB9">
              <w:rPr>
                <w:color w:val="000000"/>
              </w:rPr>
              <w:t>ou</w:t>
            </w:r>
            <w:r w:rsidRPr="00263DB9">
              <w:rPr>
                <w:color w:val="000000"/>
              </w:rPr>
              <w:t xml:space="preserve"> PO q6h x 6 doses)iii: </w:t>
            </w:r>
            <w:r w:rsidR="00A5238D" w:rsidRPr="00263DB9">
              <w:rPr>
                <w:color w:val="000000"/>
              </w:rPr>
              <w:t>dias</w:t>
            </w:r>
            <w:r w:rsidRPr="00263DB9">
              <w:rPr>
                <w:color w:val="000000"/>
              </w:rPr>
              <w:t xml:space="preserve"> 2, 3, 16, </w:t>
            </w:r>
            <w:r w:rsidR="00A5238D" w:rsidRPr="00263DB9">
              <w:rPr>
                <w:color w:val="000000"/>
              </w:rPr>
              <w:t>e</w:t>
            </w:r>
            <w:r w:rsidRPr="00263DB9">
              <w:rPr>
                <w:color w:val="000000"/>
              </w:rPr>
              <w:t xml:space="preserve"> 17</w:t>
            </w:r>
          </w:p>
          <w:p w14:paraId="375EB297" w14:textId="77777777" w:rsidR="008943AC" w:rsidRPr="00263DB9" w:rsidRDefault="008943AC" w:rsidP="00E51817">
            <w:pPr>
              <w:pStyle w:val="EndnoteText"/>
              <w:rPr>
                <w:color w:val="000000"/>
              </w:rPr>
            </w:pPr>
            <w:r w:rsidRPr="00263DB9">
              <w:rPr>
                <w:color w:val="000000"/>
              </w:rPr>
              <w:t>T</w:t>
            </w:r>
            <w:r w:rsidR="006F49BD" w:rsidRPr="00263DB9">
              <w:rPr>
                <w:color w:val="000000"/>
              </w:rPr>
              <w:t>erapêutica tripla</w:t>
            </w:r>
            <w:r w:rsidRPr="00263DB9">
              <w:rPr>
                <w:color w:val="000000"/>
              </w:rPr>
              <w:t xml:space="preserve"> IT (</w:t>
            </w:r>
            <w:r w:rsidR="00D13D05" w:rsidRPr="00263DB9">
              <w:rPr>
                <w:color w:val="000000"/>
              </w:rPr>
              <w:t>ajustada</w:t>
            </w:r>
            <w:r w:rsidR="001B2699" w:rsidRPr="00263DB9">
              <w:rPr>
                <w:color w:val="000000"/>
              </w:rPr>
              <w:t xml:space="preserve"> à idade</w:t>
            </w:r>
            <w:r w:rsidRPr="00263DB9">
              <w:rPr>
                <w:color w:val="000000"/>
              </w:rPr>
              <w:t xml:space="preserve">): </w:t>
            </w:r>
            <w:r w:rsidR="00A5238D" w:rsidRPr="00263DB9">
              <w:rPr>
                <w:color w:val="000000"/>
              </w:rPr>
              <w:t>dias</w:t>
            </w:r>
            <w:r w:rsidRPr="00263DB9">
              <w:rPr>
                <w:color w:val="000000"/>
              </w:rPr>
              <w:t xml:space="preserve"> 1 </w:t>
            </w:r>
            <w:r w:rsidR="00A5238D" w:rsidRPr="00263DB9">
              <w:rPr>
                <w:color w:val="000000"/>
              </w:rPr>
              <w:t>e</w:t>
            </w:r>
            <w:r w:rsidRPr="00263DB9">
              <w:rPr>
                <w:color w:val="000000"/>
              </w:rPr>
              <w:t xml:space="preserve"> 22</w:t>
            </w:r>
          </w:p>
          <w:p w14:paraId="375EB298" w14:textId="77777777" w:rsidR="008943AC" w:rsidRPr="00263DB9" w:rsidRDefault="008943AC" w:rsidP="00E51817">
            <w:pPr>
              <w:pStyle w:val="EndnoteText"/>
              <w:rPr>
                <w:color w:val="000000"/>
              </w:rPr>
            </w:pPr>
            <w:r w:rsidRPr="00263DB9">
              <w:rPr>
                <w:color w:val="000000"/>
              </w:rPr>
              <w:t>VP-16 (100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IV): </w:t>
            </w:r>
            <w:r w:rsidR="00A5238D" w:rsidRPr="00263DB9">
              <w:rPr>
                <w:color w:val="000000"/>
              </w:rPr>
              <w:t>dias</w:t>
            </w:r>
            <w:r w:rsidRPr="00263DB9">
              <w:rPr>
                <w:color w:val="000000"/>
              </w:rPr>
              <w:t> 22</w:t>
            </w:r>
            <w:r w:rsidRPr="00263DB9">
              <w:rPr>
                <w:color w:val="000000"/>
              </w:rPr>
              <w:noBreakHyphen/>
              <w:t>26</w:t>
            </w:r>
          </w:p>
          <w:p w14:paraId="375EB299" w14:textId="77777777" w:rsidR="008943AC" w:rsidRPr="00263DB9" w:rsidRDefault="008943AC" w:rsidP="00E51817">
            <w:pPr>
              <w:pStyle w:val="EndnoteText"/>
              <w:rPr>
                <w:color w:val="000000"/>
              </w:rPr>
            </w:pPr>
            <w:r w:rsidRPr="00263DB9">
              <w:rPr>
                <w:color w:val="000000"/>
              </w:rPr>
              <w:t>CPM (300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IV): </w:t>
            </w:r>
            <w:r w:rsidR="00A5238D" w:rsidRPr="00263DB9">
              <w:rPr>
                <w:color w:val="000000"/>
              </w:rPr>
              <w:t>dias</w:t>
            </w:r>
            <w:r w:rsidRPr="00263DB9">
              <w:rPr>
                <w:color w:val="000000"/>
              </w:rPr>
              <w:t> 22</w:t>
            </w:r>
            <w:r w:rsidRPr="00263DB9">
              <w:rPr>
                <w:color w:val="000000"/>
              </w:rPr>
              <w:noBreakHyphen/>
              <w:t>26</w:t>
            </w:r>
          </w:p>
          <w:p w14:paraId="375EB29A" w14:textId="77777777" w:rsidR="008943AC" w:rsidRPr="00263DB9" w:rsidRDefault="008943AC" w:rsidP="00E51817">
            <w:pPr>
              <w:pStyle w:val="EndnoteText"/>
              <w:rPr>
                <w:color w:val="000000"/>
              </w:rPr>
            </w:pPr>
            <w:r w:rsidRPr="00263DB9">
              <w:rPr>
                <w:color w:val="000000"/>
              </w:rPr>
              <w:t>MESNA (150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IV): </w:t>
            </w:r>
            <w:r w:rsidR="00A5238D" w:rsidRPr="00263DB9">
              <w:rPr>
                <w:color w:val="000000"/>
              </w:rPr>
              <w:t>dias</w:t>
            </w:r>
            <w:r w:rsidRPr="00263DB9">
              <w:rPr>
                <w:color w:val="000000"/>
              </w:rPr>
              <w:t> 22</w:t>
            </w:r>
            <w:r w:rsidRPr="00263DB9">
              <w:rPr>
                <w:color w:val="000000"/>
              </w:rPr>
              <w:noBreakHyphen/>
              <w:t>26</w:t>
            </w:r>
          </w:p>
          <w:p w14:paraId="375EB29B" w14:textId="77777777" w:rsidR="008943AC" w:rsidRPr="00263DB9" w:rsidRDefault="008943AC" w:rsidP="00E51817">
            <w:pPr>
              <w:pStyle w:val="EndnoteText"/>
              <w:rPr>
                <w:color w:val="000000"/>
              </w:rPr>
            </w:pPr>
            <w:r w:rsidRPr="00263DB9">
              <w:rPr>
                <w:color w:val="000000"/>
              </w:rPr>
              <w:t xml:space="preserve">G-CSF (5 μg/kg, SC): </w:t>
            </w:r>
            <w:r w:rsidR="00A5238D" w:rsidRPr="00263DB9">
              <w:rPr>
                <w:color w:val="000000"/>
              </w:rPr>
              <w:t>dias</w:t>
            </w:r>
            <w:r w:rsidRPr="00263DB9">
              <w:rPr>
                <w:color w:val="000000"/>
              </w:rPr>
              <w:t> 27</w:t>
            </w:r>
            <w:r w:rsidRPr="00263DB9">
              <w:rPr>
                <w:color w:val="000000"/>
              </w:rPr>
              <w:noBreakHyphen/>
              <w:t xml:space="preserve">36 </w:t>
            </w:r>
            <w:r w:rsidR="001B2699" w:rsidRPr="00263DB9">
              <w:rPr>
                <w:color w:val="000000"/>
              </w:rPr>
              <w:t>ou</w:t>
            </w:r>
            <w:r w:rsidRPr="00263DB9">
              <w:rPr>
                <w:color w:val="000000"/>
              </w:rPr>
              <w:t xml:space="preserve"> </w:t>
            </w:r>
            <w:r w:rsidR="001B2699" w:rsidRPr="00263DB9">
              <w:rPr>
                <w:color w:val="000000"/>
              </w:rPr>
              <w:t>até</w:t>
            </w:r>
            <w:r w:rsidRPr="00263DB9">
              <w:rPr>
                <w:color w:val="000000"/>
              </w:rPr>
              <w:t xml:space="preserve"> ANC &gt; 1500 </w:t>
            </w:r>
            <w:r w:rsidR="001B2699" w:rsidRPr="00263DB9">
              <w:rPr>
                <w:color w:val="000000"/>
              </w:rPr>
              <w:t>pós</w:t>
            </w:r>
            <w:r w:rsidRPr="00263DB9">
              <w:rPr>
                <w:color w:val="000000"/>
              </w:rPr>
              <w:t xml:space="preserve"> nadir</w:t>
            </w:r>
          </w:p>
          <w:p w14:paraId="375EB29C" w14:textId="77777777" w:rsidR="008943AC" w:rsidRPr="00263DB9" w:rsidRDefault="008943AC" w:rsidP="00E51817">
            <w:pPr>
              <w:pStyle w:val="EndnoteText"/>
              <w:rPr>
                <w:color w:val="000000"/>
              </w:rPr>
            </w:pPr>
            <w:r w:rsidRPr="00263DB9">
              <w:rPr>
                <w:color w:val="000000"/>
              </w:rPr>
              <w:t>ARA-C (3 g/m</w:t>
            </w:r>
            <w:r w:rsidRPr="00263DB9">
              <w:rPr>
                <w:color w:val="000000"/>
                <w:vertAlign w:val="superscript"/>
              </w:rPr>
              <w:t>2</w:t>
            </w:r>
            <w:r w:rsidRPr="00263DB9">
              <w:rPr>
                <w:color w:val="000000"/>
              </w:rPr>
              <w:t xml:space="preserve">, q12h, IV): </w:t>
            </w:r>
            <w:r w:rsidR="00A5238D" w:rsidRPr="00263DB9">
              <w:rPr>
                <w:color w:val="000000"/>
              </w:rPr>
              <w:t>dias</w:t>
            </w:r>
            <w:r w:rsidRPr="00263DB9">
              <w:rPr>
                <w:color w:val="000000"/>
              </w:rPr>
              <w:t> 43, 44</w:t>
            </w:r>
          </w:p>
          <w:p w14:paraId="375EB29D" w14:textId="77777777" w:rsidR="008943AC" w:rsidRPr="00263DB9" w:rsidRDefault="008943AC" w:rsidP="00E51817">
            <w:pPr>
              <w:pStyle w:val="EndnoteText"/>
              <w:rPr>
                <w:color w:val="000000"/>
                <w:lang w:val="de-DE"/>
              </w:rPr>
            </w:pPr>
            <w:r w:rsidRPr="00263DB9">
              <w:rPr>
                <w:color w:val="000000"/>
                <w:lang w:val="de-DE"/>
              </w:rPr>
              <w:t>L-ASP (6000 </w:t>
            </w:r>
            <w:r w:rsidR="006F49BD" w:rsidRPr="00263DB9">
              <w:rPr>
                <w:color w:val="000000"/>
                <w:lang w:val="de-DE"/>
              </w:rPr>
              <w:t>UI</w:t>
            </w:r>
            <w:r w:rsidRPr="00263DB9">
              <w:rPr>
                <w:color w:val="000000"/>
                <w:lang w:val="de-DE"/>
              </w:rPr>
              <w:t>/m</w:t>
            </w:r>
            <w:r w:rsidRPr="00263DB9">
              <w:rPr>
                <w:color w:val="000000"/>
                <w:vertAlign w:val="superscript"/>
                <w:lang w:val="de-DE"/>
              </w:rPr>
              <w:t>2</w:t>
            </w:r>
            <w:r w:rsidRPr="00263DB9">
              <w:rPr>
                <w:color w:val="000000"/>
                <w:lang w:val="de-DE"/>
              </w:rPr>
              <w:t xml:space="preserve">, IM): </w:t>
            </w:r>
            <w:r w:rsidR="00A5238D" w:rsidRPr="00263DB9">
              <w:rPr>
                <w:color w:val="000000"/>
                <w:lang w:val="de-DE"/>
              </w:rPr>
              <w:t>dia</w:t>
            </w:r>
            <w:r w:rsidRPr="00263DB9">
              <w:rPr>
                <w:color w:val="000000"/>
                <w:lang w:val="de-DE"/>
              </w:rPr>
              <w:t> 44</w:t>
            </w:r>
          </w:p>
        </w:tc>
      </w:tr>
      <w:tr w:rsidR="008943AC" w:rsidRPr="00263DB9" w14:paraId="375EB2AD" w14:textId="77777777" w:rsidTr="003970DC">
        <w:trPr>
          <w:cantSplit/>
        </w:trPr>
        <w:tc>
          <w:tcPr>
            <w:tcW w:w="2357" w:type="dxa"/>
            <w:shd w:val="clear" w:color="auto" w:fill="auto"/>
          </w:tcPr>
          <w:p w14:paraId="375EB29F" w14:textId="77777777" w:rsidR="008943AC" w:rsidRPr="00263DB9" w:rsidRDefault="00A5238D" w:rsidP="00E51817">
            <w:pPr>
              <w:pStyle w:val="EndnoteText"/>
              <w:rPr>
                <w:color w:val="000000"/>
              </w:rPr>
            </w:pPr>
            <w:r w:rsidRPr="00263DB9">
              <w:rPr>
                <w:color w:val="000000"/>
              </w:rPr>
              <w:t>Manutenção</w:t>
            </w:r>
          </w:p>
          <w:p w14:paraId="375EB2A0" w14:textId="77777777" w:rsidR="008943AC" w:rsidRPr="00263DB9" w:rsidRDefault="008943AC" w:rsidP="00E51817">
            <w:pPr>
              <w:pStyle w:val="EndnoteText"/>
              <w:rPr>
                <w:color w:val="000000"/>
              </w:rPr>
            </w:pPr>
            <w:r w:rsidRPr="00263DB9">
              <w:rPr>
                <w:color w:val="000000"/>
              </w:rPr>
              <w:t>(</w:t>
            </w:r>
            <w:r w:rsidR="00A5238D" w:rsidRPr="00263DB9">
              <w:rPr>
                <w:color w:val="000000"/>
              </w:rPr>
              <w:t>Ciclos de 8-semanas</w:t>
            </w:r>
            <w:r w:rsidRPr="00263DB9">
              <w:rPr>
                <w:color w:val="000000"/>
              </w:rPr>
              <w:t>)</w:t>
            </w:r>
          </w:p>
          <w:p w14:paraId="375EB2A1" w14:textId="77777777" w:rsidR="008943AC" w:rsidRPr="00263DB9" w:rsidRDefault="008943AC" w:rsidP="00E51817">
            <w:pPr>
              <w:pStyle w:val="EndnoteText"/>
              <w:rPr>
                <w:color w:val="000000"/>
              </w:rPr>
            </w:pPr>
            <w:r w:rsidRPr="00263DB9">
              <w:rPr>
                <w:color w:val="000000"/>
              </w:rPr>
              <w:t>C</w:t>
            </w:r>
            <w:r w:rsidR="00A5238D" w:rsidRPr="00263DB9">
              <w:rPr>
                <w:color w:val="000000"/>
              </w:rPr>
              <w:t>iclo</w:t>
            </w:r>
            <w:r w:rsidRPr="00263DB9">
              <w:rPr>
                <w:color w:val="000000"/>
              </w:rPr>
              <w:t>s 1–4</w:t>
            </w:r>
          </w:p>
        </w:tc>
        <w:tc>
          <w:tcPr>
            <w:tcW w:w="6919" w:type="dxa"/>
            <w:shd w:val="clear" w:color="auto" w:fill="auto"/>
          </w:tcPr>
          <w:p w14:paraId="375EB2A2" w14:textId="77777777" w:rsidR="008943AC" w:rsidRPr="00263DB9" w:rsidRDefault="008943AC" w:rsidP="00E51817">
            <w:pPr>
              <w:pStyle w:val="EndnoteText"/>
              <w:rPr>
                <w:color w:val="000000"/>
              </w:rPr>
            </w:pPr>
            <w:r w:rsidRPr="00263DB9">
              <w:rPr>
                <w:color w:val="000000"/>
              </w:rPr>
              <w:t>MTX (5 g/m</w:t>
            </w:r>
            <w:r w:rsidRPr="00263DB9">
              <w:rPr>
                <w:color w:val="000000"/>
                <w:vertAlign w:val="superscript"/>
              </w:rPr>
              <w:t>2</w:t>
            </w:r>
            <w:r w:rsidRPr="00263DB9">
              <w:rPr>
                <w:color w:val="000000"/>
              </w:rPr>
              <w:t xml:space="preserve"> </w:t>
            </w:r>
            <w:r w:rsidR="006F49BD" w:rsidRPr="00263DB9">
              <w:rPr>
                <w:color w:val="000000"/>
              </w:rPr>
              <w:t>durante</w:t>
            </w:r>
            <w:r w:rsidRPr="00263DB9">
              <w:rPr>
                <w:color w:val="000000"/>
              </w:rPr>
              <w:t xml:space="preserve"> 24 </w:t>
            </w:r>
            <w:r w:rsidR="001B2699" w:rsidRPr="00263DB9">
              <w:rPr>
                <w:color w:val="000000"/>
              </w:rPr>
              <w:t>horas</w:t>
            </w:r>
            <w:r w:rsidRPr="00263DB9">
              <w:rPr>
                <w:color w:val="000000"/>
              </w:rPr>
              <w:t xml:space="preserve">, IV): </w:t>
            </w:r>
            <w:r w:rsidR="00A5238D" w:rsidRPr="00263DB9">
              <w:rPr>
                <w:color w:val="000000"/>
              </w:rPr>
              <w:t>dia</w:t>
            </w:r>
            <w:r w:rsidRPr="00263DB9">
              <w:rPr>
                <w:color w:val="000000"/>
              </w:rPr>
              <w:t> 1</w:t>
            </w:r>
          </w:p>
          <w:p w14:paraId="375EB2A3" w14:textId="77777777" w:rsidR="008943AC" w:rsidRPr="00263DB9" w:rsidRDefault="008943AC" w:rsidP="00E51817">
            <w:pPr>
              <w:pStyle w:val="EndnoteText"/>
              <w:rPr>
                <w:color w:val="000000"/>
              </w:rPr>
            </w:pPr>
            <w:r w:rsidRPr="00263DB9">
              <w:rPr>
                <w:color w:val="000000"/>
              </w:rPr>
              <w:t>Leucovorin</w:t>
            </w:r>
            <w:r w:rsidR="006F49BD" w:rsidRPr="00263DB9">
              <w:rPr>
                <w:color w:val="000000"/>
              </w:rPr>
              <w:t>a</w:t>
            </w:r>
            <w:r w:rsidRPr="00263DB9">
              <w:rPr>
                <w:color w:val="000000"/>
              </w:rPr>
              <w:t xml:space="preserve"> (75 mg/m</w:t>
            </w:r>
            <w:r w:rsidRPr="00263DB9">
              <w:rPr>
                <w:color w:val="000000"/>
                <w:vertAlign w:val="superscript"/>
              </w:rPr>
              <w:t>2</w:t>
            </w:r>
            <w:r w:rsidR="00FB1245" w:rsidRPr="00263DB9">
              <w:rPr>
                <w:color w:val="000000"/>
              </w:rPr>
              <w:t xml:space="preserve"> à</w:t>
            </w:r>
            <w:r w:rsidR="006F49BD" w:rsidRPr="00263DB9">
              <w:rPr>
                <w:color w:val="000000"/>
              </w:rPr>
              <w:t xml:space="preserve"> </w:t>
            </w:r>
            <w:r w:rsidRPr="00263DB9">
              <w:rPr>
                <w:color w:val="000000"/>
              </w:rPr>
              <w:t>36</w:t>
            </w:r>
            <w:r w:rsidR="006F49BD" w:rsidRPr="00263DB9">
              <w:rPr>
                <w:color w:val="000000"/>
              </w:rPr>
              <w:t> hora</w:t>
            </w:r>
            <w:r w:rsidRPr="00263DB9">
              <w:rPr>
                <w:color w:val="000000"/>
              </w:rPr>
              <w:t>, IV; 15 mg/m</w:t>
            </w:r>
            <w:r w:rsidRPr="00263DB9">
              <w:rPr>
                <w:color w:val="000000"/>
                <w:vertAlign w:val="superscript"/>
              </w:rPr>
              <w:t>2</w:t>
            </w:r>
            <w:r w:rsidRPr="00263DB9">
              <w:rPr>
                <w:color w:val="000000"/>
              </w:rPr>
              <w:t xml:space="preserve"> IV </w:t>
            </w:r>
            <w:r w:rsidR="001B2699" w:rsidRPr="00263DB9">
              <w:rPr>
                <w:color w:val="000000"/>
              </w:rPr>
              <w:t>ou</w:t>
            </w:r>
            <w:r w:rsidRPr="00263DB9">
              <w:rPr>
                <w:color w:val="000000"/>
              </w:rPr>
              <w:t xml:space="preserve"> PO q6h x 6</w:t>
            </w:r>
            <w:r w:rsidR="00AF074F" w:rsidRPr="00263DB9">
              <w:rPr>
                <w:color w:val="000000"/>
              </w:rPr>
              <w:t> </w:t>
            </w:r>
            <w:r w:rsidRPr="00263DB9">
              <w:rPr>
                <w:color w:val="000000"/>
              </w:rPr>
              <w:t xml:space="preserve">doses)iii: </w:t>
            </w:r>
            <w:r w:rsidR="00A5238D" w:rsidRPr="00263DB9">
              <w:rPr>
                <w:color w:val="000000"/>
              </w:rPr>
              <w:t>dias</w:t>
            </w:r>
            <w:r w:rsidRPr="00263DB9">
              <w:rPr>
                <w:color w:val="000000"/>
              </w:rPr>
              <w:t xml:space="preserve"> 2 </w:t>
            </w:r>
            <w:r w:rsidR="00A5238D" w:rsidRPr="00263DB9">
              <w:rPr>
                <w:color w:val="000000"/>
              </w:rPr>
              <w:t>e</w:t>
            </w:r>
            <w:r w:rsidRPr="00263DB9">
              <w:rPr>
                <w:color w:val="000000"/>
              </w:rPr>
              <w:t xml:space="preserve"> 3</w:t>
            </w:r>
          </w:p>
          <w:p w14:paraId="375EB2A4" w14:textId="77777777" w:rsidR="008943AC" w:rsidRPr="00263DB9" w:rsidRDefault="008943AC" w:rsidP="00E51817">
            <w:pPr>
              <w:pStyle w:val="EndnoteText"/>
              <w:rPr>
                <w:color w:val="000000"/>
              </w:rPr>
            </w:pPr>
            <w:r w:rsidRPr="00263DB9">
              <w:rPr>
                <w:color w:val="000000"/>
              </w:rPr>
              <w:t>T</w:t>
            </w:r>
            <w:r w:rsidR="006F49BD" w:rsidRPr="00263DB9">
              <w:rPr>
                <w:color w:val="000000"/>
              </w:rPr>
              <w:t>erapêutica tripla</w:t>
            </w:r>
            <w:r w:rsidRPr="00263DB9">
              <w:rPr>
                <w:color w:val="000000"/>
              </w:rPr>
              <w:t xml:space="preserve"> IT</w:t>
            </w:r>
            <w:r w:rsidR="006F49BD" w:rsidRPr="00263DB9">
              <w:rPr>
                <w:color w:val="000000"/>
              </w:rPr>
              <w:t xml:space="preserve"> </w:t>
            </w:r>
            <w:r w:rsidR="00D13D05" w:rsidRPr="00263DB9">
              <w:rPr>
                <w:color w:val="000000"/>
              </w:rPr>
              <w:t>(ajustada à idade</w:t>
            </w:r>
            <w:r w:rsidRPr="00263DB9">
              <w:rPr>
                <w:color w:val="000000"/>
              </w:rPr>
              <w:t xml:space="preserve">): </w:t>
            </w:r>
            <w:r w:rsidR="00A5238D" w:rsidRPr="00263DB9">
              <w:rPr>
                <w:color w:val="000000"/>
              </w:rPr>
              <w:t>dias</w:t>
            </w:r>
            <w:r w:rsidRPr="00263DB9">
              <w:rPr>
                <w:color w:val="000000"/>
              </w:rPr>
              <w:t> 1, 29</w:t>
            </w:r>
          </w:p>
          <w:p w14:paraId="375EB2A5" w14:textId="77777777" w:rsidR="008943AC" w:rsidRPr="00263DB9" w:rsidRDefault="00A5238D" w:rsidP="00E51817">
            <w:pPr>
              <w:pStyle w:val="EndnoteText"/>
              <w:rPr>
                <w:color w:val="000000"/>
              </w:rPr>
            </w:pPr>
            <w:r w:rsidRPr="00263DB9">
              <w:rPr>
                <w:color w:val="000000"/>
              </w:rPr>
              <w:t>VCR (1,</w:t>
            </w:r>
            <w:r w:rsidR="008943AC" w:rsidRPr="00263DB9">
              <w:rPr>
                <w:color w:val="000000"/>
              </w:rPr>
              <w:t>5 mg/m</w:t>
            </w:r>
            <w:r w:rsidR="008943AC" w:rsidRPr="00263DB9">
              <w:rPr>
                <w:color w:val="000000"/>
                <w:vertAlign w:val="superscript"/>
              </w:rPr>
              <w:t>2</w:t>
            </w:r>
            <w:r w:rsidR="008943AC" w:rsidRPr="00263DB9">
              <w:rPr>
                <w:color w:val="000000"/>
              </w:rPr>
              <w:t xml:space="preserve">, IV): </w:t>
            </w:r>
            <w:r w:rsidRPr="00263DB9">
              <w:rPr>
                <w:color w:val="000000"/>
              </w:rPr>
              <w:t>dias</w:t>
            </w:r>
            <w:r w:rsidR="008943AC" w:rsidRPr="00263DB9">
              <w:rPr>
                <w:color w:val="000000"/>
              </w:rPr>
              <w:t> 1, 29</w:t>
            </w:r>
          </w:p>
          <w:p w14:paraId="375EB2A6" w14:textId="77777777" w:rsidR="008943AC" w:rsidRPr="00263DB9" w:rsidRDefault="008943AC" w:rsidP="00E51817">
            <w:pPr>
              <w:pStyle w:val="EndnoteText"/>
              <w:rPr>
                <w:color w:val="000000"/>
              </w:rPr>
            </w:pPr>
            <w:r w:rsidRPr="00263DB9">
              <w:rPr>
                <w:color w:val="000000"/>
              </w:rPr>
              <w:t>DEX (6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PO): </w:t>
            </w:r>
            <w:r w:rsidR="00A5238D" w:rsidRPr="00263DB9">
              <w:rPr>
                <w:color w:val="000000"/>
              </w:rPr>
              <w:t>dias</w:t>
            </w:r>
            <w:r w:rsidRPr="00263DB9">
              <w:rPr>
                <w:color w:val="000000"/>
              </w:rPr>
              <w:t> 1</w:t>
            </w:r>
            <w:r w:rsidRPr="00263DB9">
              <w:rPr>
                <w:color w:val="000000"/>
              </w:rPr>
              <w:noBreakHyphen/>
              <w:t>5; 29</w:t>
            </w:r>
            <w:r w:rsidRPr="00263DB9">
              <w:rPr>
                <w:color w:val="000000"/>
              </w:rPr>
              <w:noBreakHyphen/>
              <w:t>33</w:t>
            </w:r>
          </w:p>
          <w:p w14:paraId="375EB2A7" w14:textId="77777777" w:rsidR="008943AC" w:rsidRPr="00263DB9" w:rsidRDefault="008943AC" w:rsidP="00E51817">
            <w:pPr>
              <w:pStyle w:val="EndnoteText"/>
              <w:rPr>
                <w:color w:val="000000"/>
              </w:rPr>
            </w:pPr>
            <w:r w:rsidRPr="00263DB9">
              <w:rPr>
                <w:color w:val="000000"/>
              </w:rPr>
              <w:t>6-MP (75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PO): </w:t>
            </w:r>
            <w:r w:rsidR="00A5238D" w:rsidRPr="00263DB9">
              <w:rPr>
                <w:color w:val="000000"/>
              </w:rPr>
              <w:t>dias</w:t>
            </w:r>
            <w:r w:rsidRPr="00263DB9">
              <w:rPr>
                <w:color w:val="000000"/>
              </w:rPr>
              <w:t> 8</w:t>
            </w:r>
            <w:r w:rsidR="00AF074F" w:rsidRPr="00263DB9">
              <w:rPr>
                <w:color w:val="000000"/>
              </w:rPr>
              <w:noBreakHyphen/>
            </w:r>
            <w:r w:rsidRPr="00263DB9">
              <w:rPr>
                <w:color w:val="000000"/>
              </w:rPr>
              <w:t>28</w:t>
            </w:r>
          </w:p>
          <w:p w14:paraId="375EB2A8" w14:textId="77777777" w:rsidR="008943AC" w:rsidRPr="00263DB9" w:rsidRDefault="001B2699" w:rsidP="00E51817">
            <w:pPr>
              <w:pStyle w:val="EndnoteText"/>
              <w:rPr>
                <w:color w:val="000000"/>
                <w:lang w:val="it-IT"/>
              </w:rPr>
            </w:pPr>
            <w:r w:rsidRPr="00263DB9">
              <w:rPr>
                <w:color w:val="000000"/>
                <w:lang w:val="it-IT"/>
              </w:rPr>
              <w:t>Metotrexato</w:t>
            </w:r>
            <w:r w:rsidR="008943AC" w:rsidRPr="00263DB9">
              <w:rPr>
                <w:color w:val="000000"/>
                <w:lang w:val="it-IT"/>
              </w:rPr>
              <w:t xml:space="preserve"> (20 mg/m</w:t>
            </w:r>
            <w:r w:rsidR="008943AC" w:rsidRPr="00263DB9">
              <w:rPr>
                <w:color w:val="000000"/>
                <w:vertAlign w:val="superscript"/>
                <w:lang w:val="it-IT"/>
              </w:rPr>
              <w:t>2</w:t>
            </w:r>
            <w:r w:rsidR="008943AC" w:rsidRPr="00263DB9">
              <w:rPr>
                <w:color w:val="000000"/>
                <w:lang w:val="it-IT"/>
              </w:rPr>
              <w:t>/</w:t>
            </w:r>
            <w:r w:rsidRPr="00263DB9">
              <w:rPr>
                <w:color w:val="000000"/>
                <w:lang w:val="it-IT"/>
              </w:rPr>
              <w:t>semana</w:t>
            </w:r>
            <w:r w:rsidR="008943AC" w:rsidRPr="00263DB9">
              <w:rPr>
                <w:color w:val="000000"/>
                <w:lang w:val="it-IT"/>
              </w:rPr>
              <w:t xml:space="preserve">, PO): </w:t>
            </w:r>
            <w:r w:rsidR="00A5238D" w:rsidRPr="00263DB9">
              <w:rPr>
                <w:color w:val="000000"/>
                <w:lang w:val="it-IT"/>
              </w:rPr>
              <w:t>dias</w:t>
            </w:r>
            <w:r w:rsidR="008943AC" w:rsidRPr="00263DB9">
              <w:rPr>
                <w:color w:val="000000"/>
                <w:lang w:val="it-IT"/>
              </w:rPr>
              <w:t> 8, 15, 22</w:t>
            </w:r>
          </w:p>
          <w:p w14:paraId="375EB2A9" w14:textId="77777777" w:rsidR="008943AC" w:rsidRPr="00263DB9" w:rsidRDefault="008943AC" w:rsidP="00E51817">
            <w:pPr>
              <w:pStyle w:val="EndnoteText"/>
              <w:rPr>
                <w:color w:val="000000"/>
              </w:rPr>
            </w:pPr>
            <w:r w:rsidRPr="00263DB9">
              <w:rPr>
                <w:color w:val="000000"/>
              </w:rPr>
              <w:t>VP-16 (100 mg/m</w:t>
            </w:r>
            <w:r w:rsidRPr="00263DB9">
              <w:rPr>
                <w:color w:val="000000"/>
                <w:vertAlign w:val="superscript"/>
              </w:rPr>
              <w:t>2</w:t>
            </w:r>
            <w:r w:rsidRPr="00263DB9">
              <w:rPr>
                <w:color w:val="000000"/>
              </w:rPr>
              <w:t xml:space="preserve">, IV): </w:t>
            </w:r>
            <w:r w:rsidR="00A5238D" w:rsidRPr="00263DB9">
              <w:rPr>
                <w:color w:val="000000"/>
              </w:rPr>
              <w:t>dias</w:t>
            </w:r>
            <w:r w:rsidRPr="00263DB9">
              <w:rPr>
                <w:color w:val="000000"/>
              </w:rPr>
              <w:t> 29</w:t>
            </w:r>
            <w:r w:rsidRPr="00263DB9">
              <w:rPr>
                <w:color w:val="000000"/>
              </w:rPr>
              <w:noBreakHyphen/>
              <w:t>33</w:t>
            </w:r>
          </w:p>
          <w:p w14:paraId="375EB2AA" w14:textId="77777777" w:rsidR="008943AC" w:rsidRPr="00263DB9" w:rsidRDefault="008943AC" w:rsidP="00E51817">
            <w:pPr>
              <w:pStyle w:val="EndnoteText"/>
              <w:rPr>
                <w:color w:val="000000"/>
              </w:rPr>
            </w:pPr>
            <w:r w:rsidRPr="00263DB9">
              <w:rPr>
                <w:color w:val="000000"/>
              </w:rPr>
              <w:t>CPM (300 mg/m</w:t>
            </w:r>
            <w:r w:rsidRPr="00263DB9">
              <w:rPr>
                <w:color w:val="000000"/>
                <w:vertAlign w:val="superscript"/>
              </w:rPr>
              <w:t>2</w:t>
            </w:r>
            <w:r w:rsidRPr="00263DB9">
              <w:rPr>
                <w:color w:val="000000"/>
              </w:rPr>
              <w:t xml:space="preserve">, IV): </w:t>
            </w:r>
            <w:r w:rsidR="00A5238D" w:rsidRPr="00263DB9">
              <w:rPr>
                <w:color w:val="000000"/>
              </w:rPr>
              <w:t>dias</w:t>
            </w:r>
            <w:r w:rsidRPr="00263DB9">
              <w:rPr>
                <w:color w:val="000000"/>
              </w:rPr>
              <w:t> 29</w:t>
            </w:r>
            <w:r w:rsidRPr="00263DB9">
              <w:rPr>
                <w:color w:val="000000"/>
              </w:rPr>
              <w:noBreakHyphen/>
              <w:t>33</w:t>
            </w:r>
          </w:p>
          <w:p w14:paraId="375EB2AB" w14:textId="77777777" w:rsidR="008943AC" w:rsidRPr="00263DB9" w:rsidRDefault="008943AC" w:rsidP="00E51817">
            <w:pPr>
              <w:pStyle w:val="EndnoteText"/>
              <w:rPr>
                <w:color w:val="000000"/>
              </w:rPr>
            </w:pPr>
            <w:r w:rsidRPr="00263DB9">
              <w:rPr>
                <w:color w:val="000000"/>
              </w:rPr>
              <w:t>M</w:t>
            </w:r>
            <w:r w:rsidR="00DE1263" w:rsidRPr="00263DB9">
              <w:rPr>
                <w:color w:val="000000"/>
              </w:rPr>
              <w:t>ESNA</w:t>
            </w:r>
            <w:r w:rsidRPr="00263DB9">
              <w:rPr>
                <w:color w:val="000000"/>
              </w:rPr>
              <w:t xml:space="preserve"> IV </w:t>
            </w:r>
            <w:r w:rsidR="00A5238D" w:rsidRPr="00263DB9">
              <w:rPr>
                <w:color w:val="000000"/>
              </w:rPr>
              <w:t>dias</w:t>
            </w:r>
            <w:r w:rsidRPr="00263DB9">
              <w:rPr>
                <w:color w:val="000000"/>
              </w:rPr>
              <w:t> 29</w:t>
            </w:r>
            <w:r w:rsidRPr="00263DB9">
              <w:rPr>
                <w:color w:val="000000"/>
              </w:rPr>
              <w:noBreakHyphen/>
              <w:t>33</w:t>
            </w:r>
          </w:p>
          <w:p w14:paraId="375EB2AC" w14:textId="77777777" w:rsidR="008943AC" w:rsidRPr="00263DB9" w:rsidRDefault="008943AC" w:rsidP="00E51817">
            <w:pPr>
              <w:pStyle w:val="EndnoteText"/>
              <w:rPr>
                <w:color w:val="000000"/>
              </w:rPr>
            </w:pPr>
            <w:r w:rsidRPr="00263DB9">
              <w:rPr>
                <w:color w:val="000000"/>
              </w:rPr>
              <w:t xml:space="preserve">G-CSF (5 μg/kg, SC): </w:t>
            </w:r>
            <w:r w:rsidR="00A5238D" w:rsidRPr="00263DB9">
              <w:rPr>
                <w:color w:val="000000"/>
              </w:rPr>
              <w:t>dias</w:t>
            </w:r>
            <w:r w:rsidRPr="00263DB9">
              <w:rPr>
                <w:color w:val="000000"/>
              </w:rPr>
              <w:t> 34</w:t>
            </w:r>
            <w:r w:rsidRPr="00263DB9">
              <w:rPr>
                <w:color w:val="000000"/>
              </w:rPr>
              <w:noBreakHyphen/>
              <w:t>43</w:t>
            </w:r>
          </w:p>
        </w:tc>
      </w:tr>
      <w:tr w:rsidR="008943AC" w:rsidRPr="00263DB9" w14:paraId="375EB2B8" w14:textId="77777777" w:rsidTr="003970DC">
        <w:trPr>
          <w:cantSplit/>
        </w:trPr>
        <w:tc>
          <w:tcPr>
            <w:tcW w:w="2357" w:type="dxa"/>
            <w:shd w:val="clear" w:color="auto" w:fill="auto"/>
          </w:tcPr>
          <w:p w14:paraId="375EB2AE" w14:textId="77777777" w:rsidR="008943AC" w:rsidRPr="00263DB9" w:rsidRDefault="00A5238D" w:rsidP="00E51817">
            <w:pPr>
              <w:pStyle w:val="EndnoteText"/>
              <w:rPr>
                <w:color w:val="000000"/>
              </w:rPr>
            </w:pPr>
            <w:r w:rsidRPr="00263DB9">
              <w:rPr>
                <w:color w:val="000000"/>
              </w:rPr>
              <w:t>Manutenção</w:t>
            </w:r>
          </w:p>
          <w:p w14:paraId="375EB2AF" w14:textId="77777777" w:rsidR="008943AC" w:rsidRPr="00263DB9" w:rsidRDefault="008943AC" w:rsidP="00E51817">
            <w:pPr>
              <w:pStyle w:val="EndnoteText"/>
              <w:rPr>
                <w:color w:val="000000"/>
              </w:rPr>
            </w:pPr>
            <w:r w:rsidRPr="00263DB9">
              <w:rPr>
                <w:color w:val="000000"/>
              </w:rPr>
              <w:t>(</w:t>
            </w:r>
            <w:r w:rsidR="00A5238D" w:rsidRPr="00263DB9">
              <w:rPr>
                <w:color w:val="000000"/>
              </w:rPr>
              <w:t xml:space="preserve">Ciclos de </w:t>
            </w:r>
            <w:r w:rsidRPr="00263DB9">
              <w:rPr>
                <w:color w:val="000000"/>
              </w:rPr>
              <w:t>8-</w:t>
            </w:r>
            <w:r w:rsidR="00A5238D" w:rsidRPr="00263DB9">
              <w:rPr>
                <w:color w:val="000000"/>
              </w:rPr>
              <w:t>semanas</w:t>
            </w:r>
            <w:r w:rsidRPr="00263DB9">
              <w:rPr>
                <w:color w:val="000000"/>
              </w:rPr>
              <w:t>)</w:t>
            </w:r>
          </w:p>
          <w:p w14:paraId="375EB2B0" w14:textId="77777777" w:rsidR="008943AC" w:rsidRPr="00263DB9" w:rsidRDefault="00A5238D" w:rsidP="00E51817">
            <w:pPr>
              <w:pStyle w:val="EndnoteText"/>
              <w:rPr>
                <w:color w:val="000000"/>
              </w:rPr>
            </w:pPr>
            <w:r w:rsidRPr="00263DB9">
              <w:rPr>
                <w:color w:val="000000"/>
              </w:rPr>
              <w:t>Ciclo</w:t>
            </w:r>
            <w:r w:rsidR="008943AC" w:rsidRPr="00263DB9">
              <w:rPr>
                <w:color w:val="000000"/>
              </w:rPr>
              <w:t> 5</w:t>
            </w:r>
          </w:p>
        </w:tc>
        <w:tc>
          <w:tcPr>
            <w:tcW w:w="6919" w:type="dxa"/>
            <w:shd w:val="clear" w:color="auto" w:fill="auto"/>
          </w:tcPr>
          <w:p w14:paraId="375EB2B1" w14:textId="77777777" w:rsidR="008943AC" w:rsidRPr="00263DB9" w:rsidRDefault="00F43573" w:rsidP="00E51817">
            <w:pPr>
              <w:pStyle w:val="EndnoteText"/>
              <w:rPr>
                <w:color w:val="000000"/>
                <w:lang w:val="es-ES"/>
              </w:rPr>
            </w:pPr>
            <w:r w:rsidRPr="00263DB9">
              <w:rPr>
                <w:color w:val="000000"/>
                <w:lang w:val="es-ES"/>
              </w:rPr>
              <w:t>Irr</w:t>
            </w:r>
            <w:r w:rsidR="00D13D05" w:rsidRPr="00263DB9">
              <w:rPr>
                <w:color w:val="000000"/>
                <w:lang w:val="es-ES"/>
              </w:rPr>
              <w:t>adiação craniana (Apenas bloco</w:t>
            </w:r>
            <w:r w:rsidR="008943AC" w:rsidRPr="00263DB9">
              <w:rPr>
                <w:color w:val="000000"/>
                <w:lang w:val="es-ES"/>
              </w:rPr>
              <w:t> 5)</w:t>
            </w:r>
          </w:p>
          <w:p w14:paraId="375EB2B2" w14:textId="77777777" w:rsidR="008943AC" w:rsidRPr="00263DB9" w:rsidRDefault="008943AC" w:rsidP="00E51817">
            <w:pPr>
              <w:pStyle w:val="EndnoteText"/>
              <w:rPr>
                <w:color w:val="000000"/>
              </w:rPr>
            </w:pPr>
            <w:r w:rsidRPr="00263DB9">
              <w:rPr>
                <w:color w:val="000000"/>
              </w:rPr>
              <w:t xml:space="preserve">12 Gy </w:t>
            </w:r>
            <w:r w:rsidR="00D13D05" w:rsidRPr="00263DB9">
              <w:rPr>
                <w:color w:val="000000"/>
              </w:rPr>
              <w:t>em 8 frações para todos os doentes que são</w:t>
            </w:r>
            <w:r w:rsidRPr="00263DB9">
              <w:rPr>
                <w:color w:val="000000"/>
              </w:rPr>
              <w:t xml:space="preserve"> CNS1 </w:t>
            </w:r>
            <w:r w:rsidR="00A5238D" w:rsidRPr="00263DB9">
              <w:rPr>
                <w:color w:val="000000"/>
              </w:rPr>
              <w:t>e</w:t>
            </w:r>
            <w:r w:rsidR="00D13D05" w:rsidRPr="00263DB9">
              <w:rPr>
                <w:color w:val="000000"/>
              </w:rPr>
              <w:t xml:space="preserve"> CNS2 </w:t>
            </w:r>
            <w:r w:rsidR="00FB1245" w:rsidRPr="00263DB9">
              <w:rPr>
                <w:color w:val="000000"/>
              </w:rPr>
              <w:t>a</w:t>
            </w:r>
            <w:r w:rsidR="00D13D05" w:rsidRPr="00263DB9">
              <w:rPr>
                <w:color w:val="000000"/>
              </w:rPr>
              <w:t>o diagnóstico</w:t>
            </w:r>
          </w:p>
          <w:p w14:paraId="375EB2B3" w14:textId="77777777" w:rsidR="008943AC" w:rsidRPr="00263DB9" w:rsidRDefault="00D13D05" w:rsidP="00E51817">
            <w:pPr>
              <w:pStyle w:val="EndnoteText"/>
              <w:rPr>
                <w:color w:val="000000"/>
              </w:rPr>
            </w:pPr>
            <w:r w:rsidRPr="00263DB9">
              <w:rPr>
                <w:color w:val="000000"/>
              </w:rPr>
              <w:t>18 Gy em</w:t>
            </w:r>
            <w:r w:rsidR="008943AC" w:rsidRPr="00263DB9">
              <w:rPr>
                <w:color w:val="000000"/>
              </w:rPr>
              <w:t xml:space="preserve"> 10 f</w:t>
            </w:r>
            <w:r w:rsidRPr="00263DB9">
              <w:rPr>
                <w:color w:val="000000"/>
              </w:rPr>
              <w:t xml:space="preserve">rações para doentes que são CNS3 </w:t>
            </w:r>
            <w:r w:rsidR="00FB1245" w:rsidRPr="00263DB9">
              <w:rPr>
                <w:color w:val="000000"/>
              </w:rPr>
              <w:t>a</w:t>
            </w:r>
            <w:r w:rsidRPr="00263DB9">
              <w:rPr>
                <w:color w:val="000000"/>
              </w:rPr>
              <w:t>o diagnóstico</w:t>
            </w:r>
          </w:p>
          <w:p w14:paraId="375EB2B4" w14:textId="77777777" w:rsidR="008943AC" w:rsidRPr="00263DB9" w:rsidRDefault="00A5238D" w:rsidP="00E51817">
            <w:pPr>
              <w:pStyle w:val="EndnoteText"/>
              <w:rPr>
                <w:color w:val="000000"/>
              </w:rPr>
            </w:pPr>
            <w:r w:rsidRPr="00263DB9">
              <w:rPr>
                <w:color w:val="000000"/>
              </w:rPr>
              <w:t>VCR (1,</w:t>
            </w:r>
            <w:r w:rsidR="008943AC" w:rsidRPr="00263DB9">
              <w:rPr>
                <w:color w:val="000000"/>
              </w:rPr>
              <w:t>5 mg/m</w:t>
            </w:r>
            <w:r w:rsidR="008943AC" w:rsidRPr="00263DB9">
              <w:rPr>
                <w:color w:val="000000"/>
                <w:vertAlign w:val="superscript"/>
              </w:rPr>
              <w:t>2</w:t>
            </w:r>
            <w:r w:rsidR="008943AC" w:rsidRPr="00263DB9">
              <w:rPr>
                <w:color w:val="000000"/>
              </w:rPr>
              <w:t>/</w:t>
            </w:r>
            <w:r w:rsidRPr="00263DB9">
              <w:rPr>
                <w:color w:val="000000"/>
              </w:rPr>
              <w:t>dia</w:t>
            </w:r>
            <w:r w:rsidR="008943AC" w:rsidRPr="00263DB9">
              <w:rPr>
                <w:color w:val="000000"/>
              </w:rPr>
              <w:t xml:space="preserve">, IV): </w:t>
            </w:r>
            <w:r w:rsidRPr="00263DB9">
              <w:rPr>
                <w:color w:val="000000"/>
              </w:rPr>
              <w:t>dias</w:t>
            </w:r>
            <w:r w:rsidR="008943AC" w:rsidRPr="00263DB9">
              <w:rPr>
                <w:color w:val="000000"/>
              </w:rPr>
              <w:t> 1, 29</w:t>
            </w:r>
          </w:p>
          <w:p w14:paraId="375EB2B5" w14:textId="77777777" w:rsidR="008943AC" w:rsidRPr="00263DB9" w:rsidRDefault="008943AC" w:rsidP="00E51817">
            <w:pPr>
              <w:pStyle w:val="EndnoteText"/>
              <w:rPr>
                <w:color w:val="000000"/>
              </w:rPr>
            </w:pPr>
            <w:r w:rsidRPr="00263DB9">
              <w:rPr>
                <w:color w:val="000000"/>
              </w:rPr>
              <w:t>DEX (6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PO): </w:t>
            </w:r>
            <w:r w:rsidR="00A5238D" w:rsidRPr="00263DB9">
              <w:rPr>
                <w:color w:val="000000"/>
              </w:rPr>
              <w:t>dias</w:t>
            </w:r>
            <w:r w:rsidRPr="00263DB9">
              <w:rPr>
                <w:color w:val="000000"/>
              </w:rPr>
              <w:t> 1</w:t>
            </w:r>
            <w:r w:rsidRPr="00263DB9">
              <w:rPr>
                <w:color w:val="000000"/>
              </w:rPr>
              <w:noBreakHyphen/>
              <w:t>5; 29</w:t>
            </w:r>
            <w:r w:rsidRPr="00263DB9">
              <w:rPr>
                <w:color w:val="000000"/>
              </w:rPr>
              <w:noBreakHyphen/>
              <w:t>33</w:t>
            </w:r>
          </w:p>
          <w:p w14:paraId="375EB2B6" w14:textId="77777777" w:rsidR="008943AC" w:rsidRPr="00263DB9" w:rsidRDefault="008943AC" w:rsidP="00E51817">
            <w:pPr>
              <w:pStyle w:val="EndnoteText"/>
              <w:rPr>
                <w:color w:val="000000"/>
              </w:rPr>
            </w:pPr>
            <w:r w:rsidRPr="00263DB9">
              <w:rPr>
                <w:color w:val="000000"/>
              </w:rPr>
              <w:t>6-MP (75 mg/m</w:t>
            </w:r>
            <w:r w:rsidRPr="00263DB9">
              <w:rPr>
                <w:color w:val="000000"/>
                <w:vertAlign w:val="superscript"/>
              </w:rPr>
              <w:t>2</w:t>
            </w:r>
            <w:r w:rsidRPr="00263DB9">
              <w:rPr>
                <w:color w:val="000000"/>
              </w:rPr>
              <w:t>/</w:t>
            </w:r>
            <w:r w:rsidR="00A5238D" w:rsidRPr="00263DB9">
              <w:rPr>
                <w:color w:val="000000"/>
              </w:rPr>
              <w:t>dia</w:t>
            </w:r>
            <w:r w:rsidRPr="00263DB9">
              <w:rPr>
                <w:color w:val="000000"/>
              </w:rPr>
              <w:t xml:space="preserve">, PO): </w:t>
            </w:r>
            <w:r w:rsidR="00A5238D" w:rsidRPr="00263DB9">
              <w:rPr>
                <w:color w:val="000000"/>
              </w:rPr>
              <w:t>dias</w:t>
            </w:r>
            <w:r w:rsidRPr="00263DB9">
              <w:rPr>
                <w:color w:val="000000"/>
              </w:rPr>
              <w:t> 11</w:t>
            </w:r>
            <w:r w:rsidRPr="00263DB9">
              <w:rPr>
                <w:color w:val="000000"/>
              </w:rPr>
              <w:noBreakHyphen/>
              <w:t>56 (</w:t>
            </w:r>
            <w:r w:rsidR="00D13D05" w:rsidRPr="00263DB9">
              <w:rPr>
                <w:color w:val="000000"/>
              </w:rPr>
              <w:t>Suspender</w:t>
            </w:r>
            <w:r w:rsidRPr="00263DB9">
              <w:rPr>
                <w:color w:val="000000"/>
              </w:rPr>
              <w:t xml:space="preserve"> 6-MP dur</w:t>
            </w:r>
            <w:r w:rsidR="00D13D05" w:rsidRPr="00263DB9">
              <w:rPr>
                <w:color w:val="000000"/>
              </w:rPr>
              <w:t>ante os</w:t>
            </w:r>
            <w:r w:rsidRPr="00263DB9">
              <w:rPr>
                <w:color w:val="000000"/>
              </w:rPr>
              <w:t xml:space="preserve"> 6</w:t>
            </w:r>
            <w:r w:rsidRPr="00263DB9">
              <w:rPr>
                <w:color w:val="000000"/>
              </w:rPr>
              <w:noBreakHyphen/>
              <w:t>10 </w:t>
            </w:r>
            <w:r w:rsidR="00A5238D" w:rsidRPr="00263DB9">
              <w:rPr>
                <w:color w:val="000000"/>
              </w:rPr>
              <w:t>dias</w:t>
            </w:r>
            <w:r w:rsidRPr="00263DB9">
              <w:rPr>
                <w:color w:val="000000"/>
              </w:rPr>
              <w:t xml:space="preserve"> </w:t>
            </w:r>
            <w:r w:rsidR="00D13D05" w:rsidRPr="00263DB9">
              <w:rPr>
                <w:color w:val="000000"/>
              </w:rPr>
              <w:t>de irradiação craniana no</w:t>
            </w:r>
            <w:r w:rsidRPr="00263DB9">
              <w:rPr>
                <w:color w:val="000000"/>
              </w:rPr>
              <w:t xml:space="preserve"> </w:t>
            </w:r>
            <w:r w:rsidR="00A5238D" w:rsidRPr="00263DB9">
              <w:rPr>
                <w:color w:val="000000"/>
              </w:rPr>
              <w:t>dia</w:t>
            </w:r>
            <w:r w:rsidR="00D13D05" w:rsidRPr="00263DB9">
              <w:rPr>
                <w:color w:val="000000"/>
              </w:rPr>
              <w:t> 1 do Ci</w:t>
            </w:r>
            <w:r w:rsidRPr="00263DB9">
              <w:rPr>
                <w:color w:val="000000"/>
              </w:rPr>
              <w:t>cl</w:t>
            </w:r>
            <w:r w:rsidR="00D13D05" w:rsidRPr="00263DB9">
              <w:rPr>
                <w:color w:val="000000"/>
              </w:rPr>
              <w:t>o</w:t>
            </w:r>
            <w:r w:rsidRPr="00263DB9">
              <w:rPr>
                <w:color w:val="000000"/>
              </w:rPr>
              <w:t xml:space="preserve"> 5. </w:t>
            </w:r>
            <w:r w:rsidR="00D13D05" w:rsidRPr="00263DB9">
              <w:rPr>
                <w:color w:val="000000"/>
              </w:rPr>
              <w:t>Iniciar</w:t>
            </w:r>
            <w:r w:rsidRPr="00263DB9">
              <w:rPr>
                <w:color w:val="000000"/>
              </w:rPr>
              <w:t xml:space="preserve"> 6-MP </w:t>
            </w:r>
            <w:r w:rsidR="00D13D05" w:rsidRPr="00263DB9">
              <w:rPr>
                <w:color w:val="000000"/>
              </w:rPr>
              <w:t>no</w:t>
            </w:r>
            <w:r w:rsidRPr="00263DB9">
              <w:rPr>
                <w:color w:val="000000"/>
              </w:rPr>
              <w:t xml:space="preserve"> 1</w:t>
            </w:r>
            <w:r w:rsidR="00D13D05" w:rsidRPr="00263DB9">
              <w:rPr>
                <w:color w:val="000000"/>
              </w:rPr>
              <w:t>º</w:t>
            </w:r>
            <w:r w:rsidRPr="00263DB9">
              <w:rPr>
                <w:color w:val="000000"/>
              </w:rPr>
              <w:t xml:space="preserve"> </w:t>
            </w:r>
            <w:r w:rsidR="00A5238D" w:rsidRPr="00263DB9">
              <w:rPr>
                <w:color w:val="000000"/>
              </w:rPr>
              <w:t>dia</w:t>
            </w:r>
            <w:r w:rsidRPr="00263DB9">
              <w:rPr>
                <w:color w:val="000000"/>
              </w:rPr>
              <w:t xml:space="preserve"> </w:t>
            </w:r>
            <w:r w:rsidR="00D13D05" w:rsidRPr="00263DB9">
              <w:rPr>
                <w:color w:val="000000"/>
              </w:rPr>
              <w:t>após finalização da irradiação craniana</w:t>
            </w:r>
            <w:r w:rsidRPr="00263DB9">
              <w:rPr>
                <w:color w:val="000000"/>
              </w:rPr>
              <w:t>.)</w:t>
            </w:r>
          </w:p>
          <w:p w14:paraId="375EB2B7" w14:textId="77777777" w:rsidR="008943AC" w:rsidRPr="00263DB9" w:rsidRDefault="001B2699" w:rsidP="00E51817">
            <w:pPr>
              <w:pStyle w:val="EndnoteText"/>
              <w:rPr>
                <w:color w:val="000000"/>
              </w:rPr>
            </w:pPr>
            <w:r w:rsidRPr="00263DB9">
              <w:rPr>
                <w:color w:val="000000"/>
              </w:rPr>
              <w:t>Metotrexato</w:t>
            </w:r>
            <w:r w:rsidR="008943AC" w:rsidRPr="00263DB9">
              <w:rPr>
                <w:color w:val="000000"/>
              </w:rPr>
              <w:t xml:space="preserve"> (20 mg/m</w:t>
            </w:r>
            <w:r w:rsidR="008943AC" w:rsidRPr="00263DB9">
              <w:rPr>
                <w:color w:val="000000"/>
                <w:vertAlign w:val="superscript"/>
              </w:rPr>
              <w:t>2</w:t>
            </w:r>
            <w:r w:rsidR="008943AC" w:rsidRPr="00263DB9">
              <w:rPr>
                <w:color w:val="000000"/>
              </w:rPr>
              <w:t>/</w:t>
            </w:r>
            <w:r w:rsidRPr="00263DB9">
              <w:rPr>
                <w:color w:val="000000"/>
              </w:rPr>
              <w:t>semana</w:t>
            </w:r>
            <w:r w:rsidR="008943AC" w:rsidRPr="00263DB9">
              <w:rPr>
                <w:color w:val="000000"/>
              </w:rPr>
              <w:t xml:space="preserve">, PO): </w:t>
            </w:r>
            <w:r w:rsidR="00A5238D" w:rsidRPr="00263DB9">
              <w:rPr>
                <w:color w:val="000000"/>
              </w:rPr>
              <w:t>dias</w:t>
            </w:r>
            <w:r w:rsidR="008943AC" w:rsidRPr="00263DB9">
              <w:rPr>
                <w:color w:val="000000"/>
              </w:rPr>
              <w:t> 8, 15, 22, 29, 36, 43, 50</w:t>
            </w:r>
          </w:p>
        </w:tc>
      </w:tr>
      <w:tr w:rsidR="008943AC" w:rsidRPr="00263DB9" w14:paraId="375EB2C0" w14:textId="77777777" w:rsidTr="003970DC">
        <w:trPr>
          <w:cantSplit/>
        </w:trPr>
        <w:tc>
          <w:tcPr>
            <w:tcW w:w="2357" w:type="dxa"/>
            <w:shd w:val="clear" w:color="auto" w:fill="auto"/>
          </w:tcPr>
          <w:p w14:paraId="375EB2B9" w14:textId="77777777" w:rsidR="008943AC" w:rsidRPr="00263DB9" w:rsidRDefault="00A5238D" w:rsidP="003970DC">
            <w:pPr>
              <w:pStyle w:val="EndnoteText"/>
              <w:keepNext/>
              <w:keepLines/>
              <w:rPr>
                <w:color w:val="000000"/>
              </w:rPr>
            </w:pPr>
            <w:r w:rsidRPr="00263DB9">
              <w:rPr>
                <w:color w:val="000000"/>
              </w:rPr>
              <w:lastRenderedPageBreak/>
              <w:t>Manutenção</w:t>
            </w:r>
          </w:p>
          <w:p w14:paraId="375EB2BA" w14:textId="77777777" w:rsidR="008943AC" w:rsidRPr="00263DB9" w:rsidRDefault="008943AC" w:rsidP="003970DC">
            <w:pPr>
              <w:pStyle w:val="EndnoteText"/>
              <w:keepNext/>
              <w:keepLines/>
              <w:rPr>
                <w:color w:val="000000"/>
              </w:rPr>
            </w:pPr>
            <w:r w:rsidRPr="00263DB9">
              <w:rPr>
                <w:color w:val="000000"/>
              </w:rPr>
              <w:t>(</w:t>
            </w:r>
            <w:r w:rsidR="00A5238D" w:rsidRPr="00263DB9">
              <w:rPr>
                <w:color w:val="000000"/>
              </w:rPr>
              <w:t>Ciclos de 8-semanas</w:t>
            </w:r>
            <w:r w:rsidRPr="00263DB9">
              <w:rPr>
                <w:color w:val="000000"/>
              </w:rPr>
              <w:t>)</w:t>
            </w:r>
          </w:p>
          <w:p w14:paraId="375EB2BB" w14:textId="77777777" w:rsidR="008943AC" w:rsidRPr="00263DB9" w:rsidRDefault="008943AC" w:rsidP="003970DC">
            <w:pPr>
              <w:pStyle w:val="EndnoteText"/>
              <w:keepNext/>
              <w:keepLines/>
              <w:rPr>
                <w:color w:val="000000"/>
              </w:rPr>
            </w:pPr>
            <w:r w:rsidRPr="00263DB9">
              <w:rPr>
                <w:color w:val="000000"/>
              </w:rPr>
              <w:t>C</w:t>
            </w:r>
            <w:r w:rsidR="00A5238D" w:rsidRPr="00263DB9">
              <w:rPr>
                <w:color w:val="000000"/>
              </w:rPr>
              <w:t>iclo</w:t>
            </w:r>
            <w:r w:rsidRPr="00263DB9">
              <w:rPr>
                <w:color w:val="000000"/>
              </w:rPr>
              <w:t>s 6</w:t>
            </w:r>
            <w:r w:rsidRPr="00263DB9">
              <w:rPr>
                <w:color w:val="000000"/>
              </w:rPr>
              <w:noBreakHyphen/>
              <w:t>12</w:t>
            </w:r>
          </w:p>
        </w:tc>
        <w:tc>
          <w:tcPr>
            <w:tcW w:w="6919" w:type="dxa"/>
            <w:shd w:val="clear" w:color="auto" w:fill="auto"/>
          </w:tcPr>
          <w:p w14:paraId="375EB2BC" w14:textId="77777777" w:rsidR="008943AC" w:rsidRPr="00263DB9" w:rsidRDefault="008943AC" w:rsidP="003970DC">
            <w:pPr>
              <w:pStyle w:val="EndnoteText"/>
              <w:keepNext/>
              <w:keepLines/>
              <w:rPr>
                <w:color w:val="000000"/>
              </w:rPr>
            </w:pPr>
            <w:r w:rsidRPr="00263DB9">
              <w:rPr>
                <w:color w:val="000000"/>
              </w:rPr>
              <w:t>VCR (1</w:t>
            </w:r>
            <w:r w:rsidR="00A5238D" w:rsidRPr="00263DB9">
              <w:rPr>
                <w:color w:val="000000"/>
              </w:rPr>
              <w:t>,</w:t>
            </w:r>
            <w:r w:rsidRPr="00263DB9">
              <w:rPr>
                <w:color w:val="000000"/>
              </w:rPr>
              <w:t>5 mg/m2/</w:t>
            </w:r>
            <w:r w:rsidR="00A5238D" w:rsidRPr="00263DB9">
              <w:rPr>
                <w:color w:val="000000"/>
              </w:rPr>
              <w:t>dia</w:t>
            </w:r>
            <w:r w:rsidRPr="00263DB9">
              <w:rPr>
                <w:color w:val="000000"/>
              </w:rPr>
              <w:t xml:space="preserve">, IV): </w:t>
            </w:r>
            <w:r w:rsidR="00A5238D" w:rsidRPr="00263DB9">
              <w:rPr>
                <w:color w:val="000000"/>
              </w:rPr>
              <w:t>dias</w:t>
            </w:r>
            <w:r w:rsidRPr="00263DB9">
              <w:rPr>
                <w:color w:val="000000"/>
              </w:rPr>
              <w:t> 1, 29</w:t>
            </w:r>
          </w:p>
          <w:p w14:paraId="375EB2BD" w14:textId="77777777" w:rsidR="008943AC" w:rsidRPr="00263DB9" w:rsidRDefault="008943AC" w:rsidP="003970DC">
            <w:pPr>
              <w:pStyle w:val="EndnoteText"/>
              <w:keepNext/>
              <w:keepLines/>
              <w:rPr>
                <w:color w:val="000000"/>
              </w:rPr>
            </w:pPr>
            <w:r w:rsidRPr="00263DB9">
              <w:rPr>
                <w:color w:val="000000"/>
              </w:rPr>
              <w:t>DEX (6 mg/m2/</w:t>
            </w:r>
            <w:r w:rsidR="00A5238D" w:rsidRPr="00263DB9">
              <w:rPr>
                <w:color w:val="000000"/>
              </w:rPr>
              <w:t>dia</w:t>
            </w:r>
            <w:r w:rsidRPr="00263DB9">
              <w:rPr>
                <w:color w:val="000000"/>
              </w:rPr>
              <w:t xml:space="preserve">, PO): </w:t>
            </w:r>
            <w:r w:rsidR="00A5238D" w:rsidRPr="00263DB9">
              <w:rPr>
                <w:color w:val="000000"/>
              </w:rPr>
              <w:t>dias</w:t>
            </w:r>
            <w:r w:rsidRPr="00263DB9">
              <w:rPr>
                <w:color w:val="000000"/>
              </w:rPr>
              <w:t> 1</w:t>
            </w:r>
            <w:r w:rsidRPr="00263DB9">
              <w:rPr>
                <w:color w:val="000000"/>
              </w:rPr>
              <w:noBreakHyphen/>
              <w:t>5; 29</w:t>
            </w:r>
            <w:r w:rsidRPr="00263DB9">
              <w:rPr>
                <w:color w:val="000000"/>
              </w:rPr>
              <w:noBreakHyphen/>
              <w:t>33</w:t>
            </w:r>
          </w:p>
          <w:p w14:paraId="375EB2BE" w14:textId="77777777" w:rsidR="008943AC" w:rsidRPr="00263DB9" w:rsidRDefault="008943AC" w:rsidP="003970DC">
            <w:pPr>
              <w:pStyle w:val="EndnoteText"/>
              <w:keepNext/>
              <w:keepLines/>
              <w:rPr>
                <w:color w:val="000000"/>
              </w:rPr>
            </w:pPr>
            <w:r w:rsidRPr="00263DB9">
              <w:rPr>
                <w:color w:val="000000"/>
              </w:rPr>
              <w:t>6-MP (75 mg/m2/</w:t>
            </w:r>
            <w:r w:rsidR="00A5238D" w:rsidRPr="00263DB9">
              <w:rPr>
                <w:color w:val="000000"/>
              </w:rPr>
              <w:t>dia</w:t>
            </w:r>
            <w:r w:rsidRPr="00263DB9">
              <w:rPr>
                <w:color w:val="000000"/>
              </w:rPr>
              <w:t xml:space="preserve">, PO): </w:t>
            </w:r>
            <w:r w:rsidR="00A5238D" w:rsidRPr="00263DB9">
              <w:rPr>
                <w:color w:val="000000"/>
              </w:rPr>
              <w:t>dias</w:t>
            </w:r>
            <w:r w:rsidRPr="00263DB9">
              <w:rPr>
                <w:color w:val="000000"/>
              </w:rPr>
              <w:t> 1</w:t>
            </w:r>
            <w:r w:rsidRPr="00263DB9">
              <w:rPr>
                <w:color w:val="000000"/>
              </w:rPr>
              <w:noBreakHyphen/>
              <w:t>56</w:t>
            </w:r>
          </w:p>
          <w:p w14:paraId="375EB2BF" w14:textId="77777777" w:rsidR="008943AC" w:rsidRPr="00263DB9" w:rsidRDefault="001B2699" w:rsidP="003970DC">
            <w:pPr>
              <w:pStyle w:val="EndnoteText"/>
              <w:keepNext/>
              <w:keepLines/>
              <w:rPr>
                <w:color w:val="000000"/>
                <w:lang w:val="it-IT"/>
              </w:rPr>
            </w:pPr>
            <w:r w:rsidRPr="00263DB9">
              <w:rPr>
                <w:color w:val="000000"/>
                <w:lang w:val="it-IT"/>
              </w:rPr>
              <w:t>Metotrexato</w:t>
            </w:r>
            <w:r w:rsidR="008943AC" w:rsidRPr="00263DB9">
              <w:rPr>
                <w:color w:val="000000"/>
                <w:lang w:val="it-IT"/>
              </w:rPr>
              <w:t xml:space="preserve"> (20 mg/m2/</w:t>
            </w:r>
            <w:r w:rsidRPr="00263DB9">
              <w:rPr>
                <w:color w:val="000000"/>
                <w:lang w:val="it-IT"/>
              </w:rPr>
              <w:t>semana</w:t>
            </w:r>
            <w:r w:rsidR="008943AC" w:rsidRPr="00263DB9">
              <w:rPr>
                <w:color w:val="000000"/>
                <w:lang w:val="it-IT"/>
              </w:rPr>
              <w:t xml:space="preserve">, PO): </w:t>
            </w:r>
            <w:r w:rsidR="00A5238D" w:rsidRPr="00263DB9">
              <w:rPr>
                <w:color w:val="000000"/>
                <w:lang w:val="it-IT"/>
              </w:rPr>
              <w:t>dias</w:t>
            </w:r>
            <w:r w:rsidR="008943AC" w:rsidRPr="00263DB9">
              <w:rPr>
                <w:color w:val="000000"/>
                <w:lang w:val="it-IT"/>
              </w:rPr>
              <w:t> 1, 8, 15, 22, 29, 36, 43, 50</w:t>
            </w:r>
          </w:p>
        </w:tc>
      </w:tr>
    </w:tbl>
    <w:p w14:paraId="375EB2C1" w14:textId="77777777" w:rsidR="00D13D05" w:rsidRPr="00263DB9" w:rsidRDefault="00D13D05" w:rsidP="003970DC">
      <w:pPr>
        <w:pStyle w:val="EndnoteText"/>
        <w:keepNext/>
        <w:keepLines/>
        <w:rPr>
          <w:color w:val="000000"/>
          <w:szCs w:val="22"/>
          <w:lang w:val="it-IT"/>
        </w:rPr>
      </w:pPr>
      <w:r w:rsidRPr="00263DB9">
        <w:rPr>
          <w:color w:val="000000"/>
          <w:szCs w:val="22"/>
          <w:lang w:val="it-IT"/>
        </w:rPr>
        <w:t xml:space="preserve">G-CSF = </w:t>
      </w:r>
      <w:r w:rsidR="00910119" w:rsidRPr="00263DB9">
        <w:rPr>
          <w:color w:val="000000"/>
          <w:szCs w:val="22"/>
          <w:lang w:val="it-IT"/>
        </w:rPr>
        <w:t xml:space="preserve">factor de estimulação da colónia </w:t>
      </w:r>
      <w:r w:rsidR="00FB1245" w:rsidRPr="00263DB9">
        <w:rPr>
          <w:color w:val="000000"/>
          <w:szCs w:val="22"/>
          <w:lang w:val="it-IT"/>
        </w:rPr>
        <w:t>granulocitária</w:t>
      </w:r>
      <w:r w:rsidR="00910119" w:rsidRPr="00263DB9">
        <w:rPr>
          <w:color w:val="000000"/>
          <w:szCs w:val="22"/>
          <w:lang w:val="it-IT"/>
        </w:rPr>
        <w:t>, VP-16 = etoposido</w:t>
      </w:r>
      <w:r w:rsidRPr="00263DB9">
        <w:rPr>
          <w:color w:val="000000"/>
          <w:szCs w:val="22"/>
          <w:lang w:val="it-IT"/>
        </w:rPr>
        <w:t>, MTX = metotrexat</w:t>
      </w:r>
      <w:r w:rsidR="00910119" w:rsidRPr="00263DB9">
        <w:rPr>
          <w:color w:val="000000"/>
          <w:szCs w:val="22"/>
          <w:lang w:val="it-IT"/>
        </w:rPr>
        <w:t>o, IV = intravenoso</w:t>
      </w:r>
      <w:r w:rsidRPr="00263DB9">
        <w:rPr>
          <w:color w:val="000000"/>
          <w:szCs w:val="22"/>
          <w:lang w:val="it-IT"/>
        </w:rPr>
        <w:t>,</w:t>
      </w:r>
      <w:r w:rsidR="00910119" w:rsidRPr="00263DB9">
        <w:rPr>
          <w:color w:val="000000"/>
          <w:szCs w:val="22"/>
          <w:lang w:val="it-IT"/>
        </w:rPr>
        <w:t xml:space="preserve"> SC = subcutâneo, IT = intrat</w:t>
      </w:r>
      <w:r w:rsidRPr="00263DB9">
        <w:rPr>
          <w:color w:val="000000"/>
          <w:szCs w:val="22"/>
          <w:lang w:val="it-IT"/>
        </w:rPr>
        <w:t>ecal, PO = oral, IM = int</w:t>
      </w:r>
      <w:r w:rsidR="00910119" w:rsidRPr="00263DB9">
        <w:rPr>
          <w:color w:val="000000"/>
          <w:szCs w:val="22"/>
          <w:lang w:val="it-IT"/>
        </w:rPr>
        <w:t>ramuscular, ARA-C = citarabina, CPM = ciclofosf</w:t>
      </w:r>
      <w:r w:rsidRPr="00263DB9">
        <w:rPr>
          <w:color w:val="000000"/>
          <w:szCs w:val="22"/>
          <w:lang w:val="it-IT"/>
        </w:rPr>
        <w:t>amid</w:t>
      </w:r>
      <w:r w:rsidR="00910119" w:rsidRPr="00263DB9">
        <w:rPr>
          <w:color w:val="000000"/>
          <w:szCs w:val="22"/>
          <w:lang w:val="it-IT"/>
        </w:rPr>
        <w:t>o</w:t>
      </w:r>
      <w:r w:rsidRPr="00263DB9">
        <w:rPr>
          <w:color w:val="000000"/>
          <w:szCs w:val="22"/>
          <w:lang w:val="it-IT"/>
        </w:rPr>
        <w:t>, VCR = vincristin</w:t>
      </w:r>
      <w:r w:rsidR="00910119" w:rsidRPr="00263DB9">
        <w:rPr>
          <w:color w:val="000000"/>
          <w:szCs w:val="22"/>
          <w:lang w:val="it-IT"/>
        </w:rPr>
        <w:t>a, DEX = dexametasona</w:t>
      </w:r>
      <w:r w:rsidRPr="00263DB9">
        <w:rPr>
          <w:color w:val="000000"/>
          <w:szCs w:val="22"/>
          <w:lang w:val="it-IT"/>
        </w:rPr>
        <w:t>, DAUN = daunorubicin</w:t>
      </w:r>
      <w:r w:rsidR="00910119" w:rsidRPr="00263DB9">
        <w:rPr>
          <w:color w:val="000000"/>
          <w:szCs w:val="22"/>
          <w:lang w:val="it-IT"/>
        </w:rPr>
        <w:t>a</w:t>
      </w:r>
      <w:r w:rsidRPr="00263DB9">
        <w:rPr>
          <w:color w:val="000000"/>
          <w:szCs w:val="22"/>
          <w:lang w:val="it-IT"/>
        </w:rPr>
        <w:t>, 6-MP = 6-mercaptopurin</w:t>
      </w:r>
      <w:r w:rsidR="00910119" w:rsidRPr="00263DB9">
        <w:rPr>
          <w:color w:val="000000"/>
          <w:szCs w:val="22"/>
          <w:lang w:val="it-IT"/>
        </w:rPr>
        <w:t>a</w:t>
      </w:r>
      <w:r w:rsidRPr="00263DB9">
        <w:rPr>
          <w:color w:val="000000"/>
          <w:szCs w:val="22"/>
          <w:lang w:val="it-IT"/>
        </w:rPr>
        <w:t>, E.Coli L-ASP = L-asparaginase, PEG-ASP = PEG asparaginase, MESNA= 2-mercaptoetan</w:t>
      </w:r>
      <w:r w:rsidR="00910119" w:rsidRPr="00263DB9">
        <w:rPr>
          <w:color w:val="000000"/>
          <w:szCs w:val="22"/>
          <w:lang w:val="it-IT"/>
        </w:rPr>
        <w:t xml:space="preserve">o sulfonato </w:t>
      </w:r>
      <w:r w:rsidR="00F43573" w:rsidRPr="00263DB9">
        <w:rPr>
          <w:color w:val="000000"/>
          <w:szCs w:val="22"/>
          <w:lang w:val="it-IT"/>
        </w:rPr>
        <w:t xml:space="preserve">de </w:t>
      </w:r>
      <w:r w:rsidR="00910119" w:rsidRPr="00263DB9">
        <w:rPr>
          <w:color w:val="000000"/>
          <w:szCs w:val="22"/>
          <w:lang w:val="it-IT"/>
        </w:rPr>
        <w:t>sódio, iii= ou até nível MTX é</w:t>
      </w:r>
      <w:r w:rsidRPr="00263DB9">
        <w:rPr>
          <w:color w:val="000000"/>
          <w:szCs w:val="22"/>
          <w:lang w:val="it-IT"/>
        </w:rPr>
        <w:t xml:space="preserve"> &lt; 0</w:t>
      </w:r>
      <w:r w:rsidR="00910119" w:rsidRPr="00263DB9">
        <w:rPr>
          <w:color w:val="000000"/>
          <w:szCs w:val="22"/>
          <w:lang w:val="it-IT"/>
        </w:rPr>
        <w:t>,</w:t>
      </w:r>
      <w:r w:rsidRPr="00263DB9">
        <w:rPr>
          <w:color w:val="000000"/>
          <w:szCs w:val="22"/>
          <w:lang w:val="it-IT"/>
        </w:rPr>
        <w:t xml:space="preserve">1 µM, q6h = </w:t>
      </w:r>
      <w:r w:rsidR="00910119" w:rsidRPr="00263DB9">
        <w:rPr>
          <w:color w:val="000000"/>
          <w:szCs w:val="22"/>
          <w:lang w:val="it-IT"/>
        </w:rPr>
        <w:t>de</w:t>
      </w:r>
      <w:r w:rsidRPr="00263DB9">
        <w:rPr>
          <w:color w:val="000000"/>
          <w:szCs w:val="22"/>
          <w:lang w:val="it-IT"/>
        </w:rPr>
        <w:t xml:space="preserve"> 6 </w:t>
      </w:r>
      <w:r w:rsidR="00910119" w:rsidRPr="00263DB9">
        <w:rPr>
          <w:color w:val="000000"/>
          <w:szCs w:val="22"/>
          <w:lang w:val="it-IT"/>
        </w:rPr>
        <w:t>em 6 horas</w:t>
      </w:r>
      <w:r w:rsidRPr="00263DB9">
        <w:rPr>
          <w:color w:val="000000"/>
          <w:szCs w:val="22"/>
          <w:lang w:val="it-IT"/>
        </w:rPr>
        <w:t>, Gy= Gray</w:t>
      </w:r>
    </w:p>
    <w:p w14:paraId="375EB2C2" w14:textId="77777777" w:rsidR="008943AC" w:rsidRPr="00263DB9" w:rsidRDefault="008943AC" w:rsidP="00E51817">
      <w:pPr>
        <w:widowControl w:val="0"/>
        <w:suppressAutoHyphens/>
        <w:rPr>
          <w:color w:val="000000"/>
          <w:szCs w:val="22"/>
          <w:lang w:val="it-IT"/>
        </w:rPr>
      </w:pPr>
    </w:p>
    <w:p w14:paraId="375EB2C3" w14:textId="77777777" w:rsidR="00F43573" w:rsidRPr="00263DB9" w:rsidRDefault="00F43573" w:rsidP="00E51817">
      <w:pPr>
        <w:widowControl w:val="0"/>
        <w:suppressAutoHyphens/>
        <w:rPr>
          <w:color w:val="000000"/>
          <w:szCs w:val="22"/>
          <w:u w:val="single"/>
        </w:rPr>
      </w:pPr>
      <w:r w:rsidRPr="00263DB9">
        <w:rPr>
          <w:color w:val="000000"/>
          <w:szCs w:val="22"/>
        </w:rPr>
        <w:t>O estudo AIT07 foi um estudo multic</w:t>
      </w:r>
      <w:r w:rsidR="00FB1245" w:rsidRPr="00263DB9">
        <w:rPr>
          <w:color w:val="000000"/>
          <w:szCs w:val="22"/>
        </w:rPr>
        <w:t>ê</w:t>
      </w:r>
      <w:r w:rsidRPr="00263DB9">
        <w:rPr>
          <w:color w:val="000000"/>
          <w:szCs w:val="22"/>
        </w:rPr>
        <w:t>ntr</w:t>
      </w:r>
      <w:r w:rsidR="00FB1245" w:rsidRPr="00263DB9">
        <w:rPr>
          <w:color w:val="000000"/>
          <w:szCs w:val="22"/>
        </w:rPr>
        <w:t>ic</w:t>
      </w:r>
      <w:r w:rsidRPr="00263DB9">
        <w:rPr>
          <w:color w:val="000000"/>
          <w:szCs w:val="22"/>
        </w:rPr>
        <w:t xml:space="preserve">o, aberto, aleatorizado de fase II/III que incluiu 128 doentes (1 a &lt; 18 anos) tratados com imatinib em associação com quimioterapia. Os dados de segurança deste estudo </w:t>
      </w:r>
      <w:r w:rsidR="006F3102" w:rsidRPr="00263DB9">
        <w:rPr>
          <w:color w:val="000000"/>
          <w:szCs w:val="22"/>
        </w:rPr>
        <w:t xml:space="preserve">parecem estar em linha com </w:t>
      </w:r>
      <w:r w:rsidRPr="00263DB9">
        <w:rPr>
          <w:color w:val="000000"/>
          <w:szCs w:val="22"/>
        </w:rPr>
        <w:t xml:space="preserve">o perfil de segurança de imatinib em doentes </w:t>
      </w:r>
      <w:r w:rsidR="00C61815" w:rsidRPr="00263DB9">
        <w:rPr>
          <w:color w:val="000000"/>
          <w:szCs w:val="22"/>
        </w:rPr>
        <w:t>com</w:t>
      </w:r>
      <w:r w:rsidR="00C61815" w:rsidRPr="00263DB9">
        <w:rPr>
          <w:color w:val="000000"/>
          <w:szCs w:val="22"/>
          <w:u w:val="single"/>
        </w:rPr>
        <w:t xml:space="preserve"> </w:t>
      </w:r>
      <w:r w:rsidR="00C61815" w:rsidRPr="00263DB9">
        <w:rPr>
          <w:color w:val="000000"/>
          <w:szCs w:val="22"/>
        </w:rPr>
        <w:t>LLA Ph+.</w:t>
      </w:r>
    </w:p>
    <w:p w14:paraId="375EB2C4" w14:textId="77777777" w:rsidR="00A12489" w:rsidRPr="00263DB9" w:rsidRDefault="00A12489" w:rsidP="00E51817">
      <w:pPr>
        <w:widowControl w:val="0"/>
        <w:suppressAutoHyphens/>
        <w:rPr>
          <w:color w:val="000000"/>
          <w:szCs w:val="22"/>
        </w:rPr>
      </w:pPr>
    </w:p>
    <w:p w14:paraId="375EB2C5" w14:textId="77777777" w:rsidR="00906898" w:rsidRPr="00263DB9" w:rsidRDefault="00906898" w:rsidP="00E51817">
      <w:pPr>
        <w:widowControl w:val="0"/>
        <w:suppressAutoHyphens/>
        <w:rPr>
          <w:color w:val="000000"/>
          <w:szCs w:val="22"/>
        </w:rPr>
      </w:pPr>
      <w:r w:rsidRPr="00263DB9">
        <w:rPr>
          <w:i/>
          <w:color w:val="000000"/>
          <w:szCs w:val="22"/>
        </w:rPr>
        <w:t>LLA Ph+ Recorrentes/refratários</w:t>
      </w:r>
      <w:r w:rsidRPr="00263DB9">
        <w:rPr>
          <w:color w:val="000000"/>
          <w:szCs w:val="22"/>
        </w:rPr>
        <w:t xml:space="preserve">: Quando imatinib foi usado em monoterapia em doentes com LLA Ph+ recorrentes/refratários, originou, em 53 de 411 doentes avaliados relativamente a resposta, uma taxa de resposta hematológica de 30% (9% completos) e uma taxa de resposta citogenética </w:t>
      </w:r>
      <w:r w:rsidRPr="00263DB9">
        <w:rPr>
          <w:i/>
          <w:iCs/>
          <w:color w:val="000000"/>
          <w:szCs w:val="22"/>
        </w:rPr>
        <w:t>major</w:t>
      </w:r>
      <w:r w:rsidRPr="00263DB9">
        <w:rPr>
          <w:color w:val="000000"/>
          <w:szCs w:val="22"/>
        </w:rPr>
        <w:t xml:space="preserve"> de 23%. (De notar, dos 411 doentes, 353 foram tratados num programa de acesso expandido sem a recolha de dados de resposta primária). A mediana do tempo de progressão na população total de 411 doentes com LLA Ph+ recorrentes/refratários variou entre 2,6 a 3,1 meses, e a mediana da </w:t>
      </w:r>
      <w:r w:rsidR="00600EF5" w:rsidRPr="00263DB9">
        <w:rPr>
          <w:color w:val="000000"/>
          <w:szCs w:val="22"/>
        </w:rPr>
        <w:t xml:space="preserve">sobrevivência </w:t>
      </w:r>
      <w:r w:rsidRPr="00263DB9">
        <w:rPr>
          <w:color w:val="000000"/>
          <w:szCs w:val="22"/>
        </w:rPr>
        <w:t>global nos 401 doentes avaliados variou entre 4,9 a 9 meses. A informação foi similar quando foi efetuada uma re-análise para incluir só os doentes com 55 anos ou mais.</w:t>
      </w:r>
    </w:p>
    <w:p w14:paraId="375EB2C6" w14:textId="77777777" w:rsidR="00906898" w:rsidRPr="00263DB9" w:rsidRDefault="00906898" w:rsidP="00E51817">
      <w:pPr>
        <w:widowControl w:val="0"/>
        <w:suppressAutoHyphens/>
        <w:rPr>
          <w:color w:val="000000"/>
          <w:szCs w:val="22"/>
        </w:rPr>
      </w:pPr>
    </w:p>
    <w:p w14:paraId="375EB2C7" w14:textId="77777777" w:rsidR="00906898" w:rsidRPr="00263DB9" w:rsidRDefault="00906898" w:rsidP="003970DC">
      <w:pPr>
        <w:keepNext/>
        <w:widowControl w:val="0"/>
        <w:suppressAutoHyphens/>
        <w:rPr>
          <w:color w:val="000000"/>
          <w:szCs w:val="22"/>
          <w:u w:val="single"/>
        </w:rPr>
      </w:pPr>
      <w:r w:rsidRPr="00263DB9">
        <w:rPr>
          <w:color w:val="000000"/>
          <w:szCs w:val="22"/>
          <w:u w:val="single"/>
        </w:rPr>
        <w:t>Ensaios Clínicos em MSD/MPD</w:t>
      </w:r>
    </w:p>
    <w:p w14:paraId="375EB2C8" w14:textId="77777777" w:rsidR="00966548" w:rsidRPr="00263DB9" w:rsidRDefault="00906898" w:rsidP="00E51817">
      <w:pPr>
        <w:pStyle w:val="EndnoteText"/>
        <w:tabs>
          <w:tab w:val="clear" w:pos="567"/>
        </w:tabs>
        <w:rPr>
          <w:color w:val="000000"/>
          <w:szCs w:val="22"/>
          <w:lang w:eastAsia="ja-JP"/>
        </w:rPr>
      </w:pPr>
      <w:r w:rsidRPr="00263DB9">
        <w:rPr>
          <w:color w:val="000000"/>
          <w:szCs w:val="22"/>
        </w:rPr>
        <w:t xml:space="preserve">A experiência com Glivec nesta indicação é muito limitadae é baseada em taxas de resposta hematológica e citogenética. Não existem ensaios controlados demonstrando um benefício clínico ou aumento da </w:t>
      </w:r>
      <w:r w:rsidR="00600EF5" w:rsidRPr="00263DB9">
        <w:rPr>
          <w:color w:val="000000"/>
          <w:szCs w:val="22"/>
        </w:rPr>
        <w:t>sobrevivência</w:t>
      </w:r>
      <w:r w:rsidRPr="00263DB9">
        <w:rPr>
          <w:color w:val="000000"/>
          <w:szCs w:val="22"/>
        </w:rPr>
        <w:t>. Foi efetuado um ensaio clínico aberto, multicêntrico, de Fase II (estudo B2225) com Glivec em várias populações de doentes sofrendo de doenças que põem a risco a vida associadas com a Abl, Kit ou</w:t>
      </w:r>
      <w:r w:rsidRPr="00263DB9">
        <w:rPr>
          <w:color w:val="000000"/>
          <w:szCs w:val="22"/>
          <w:lang w:eastAsia="ja-JP"/>
        </w:rPr>
        <w:t xml:space="preserve"> PDGFR proteína tirosina cinases</w:t>
      </w:r>
      <w:r w:rsidRPr="00263DB9">
        <w:rPr>
          <w:color w:val="000000"/>
          <w:szCs w:val="22"/>
        </w:rPr>
        <w:t xml:space="preserve">. Este estudo incluiu 7 doentes com MDS/MPD que foram tratados com Glivec 400 mg por dia. Três doentes apresentaram uma resposta hematológica completa (CHR) e um doente teve uma resposta hematológica parcial (PHR). Na análise original, três dos quatro doentes com re-arranjos do gene PDGFR detectados desenvolveram resposta hematológica (2 CHR e 1 PHR). A idade destes doentes variou entre </w:t>
      </w:r>
      <w:r w:rsidRPr="00263DB9">
        <w:rPr>
          <w:color w:val="000000"/>
          <w:szCs w:val="22"/>
          <w:lang w:eastAsia="ja-JP"/>
        </w:rPr>
        <w:t>20 a 72 anos.</w:t>
      </w:r>
    </w:p>
    <w:p w14:paraId="375EB2C9" w14:textId="77777777" w:rsidR="00966548" w:rsidRPr="00263DB9" w:rsidRDefault="00966548" w:rsidP="00E51817">
      <w:pPr>
        <w:pStyle w:val="EndnoteText"/>
        <w:tabs>
          <w:tab w:val="clear" w:pos="567"/>
        </w:tabs>
        <w:rPr>
          <w:color w:val="000000"/>
          <w:szCs w:val="22"/>
          <w:lang w:eastAsia="ja-JP"/>
        </w:rPr>
      </w:pPr>
    </w:p>
    <w:p w14:paraId="375EB2CA" w14:textId="77777777" w:rsidR="00966548" w:rsidRPr="00263DB9" w:rsidRDefault="00966548" w:rsidP="00E51817">
      <w:pPr>
        <w:pStyle w:val="EndnoteText"/>
        <w:tabs>
          <w:tab w:val="clear" w:pos="567"/>
        </w:tabs>
        <w:rPr>
          <w:color w:val="000000"/>
          <w:szCs w:val="22"/>
          <w:lang w:eastAsia="ja-JP"/>
        </w:rPr>
      </w:pPr>
      <w:r w:rsidRPr="00263DB9">
        <w:rPr>
          <w:color w:val="000000"/>
          <w:szCs w:val="22"/>
        </w:rPr>
        <w:t>Foi realizado um registo observacional (estudo L2401) para recolher dados de segurança de longa duração e de eficácia em doentes com neoplasias mieloproliferativas</w:t>
      </w:r>
      <w:r w:rsidR="00354991" w:rsidRPr="00263DB9">
        <w:rPr>
          <w:color w:val="000000"/>
          <w:szCs w:val="22"/>
        </w:rPr>
        <w:t xml:space="preserve"> com</w:t>
      </w:r>
      <w:r w:rsidRPr="00263DB9">
        <w:rPr>
          <w:rFonts w:eastAsia="TimesNewRoman"/>
          <w:szCs w:val="22"/>
        </w:rPr>
        <w:t xml:space="preserve"> </w:t>
      </w:r>
      <w:r w:rsidR="00354991" w:rsidRPr="00263DB9">
        <w:rPr>
          <w:rFonts w:eastAsia="TimesNewRoman"/>
          <w:szCs w:val="22"/>
        </w:rPr>
        <w:t xml:space="preserve">re-arranjos do gene </w:t>
      </w:r>
      <w:r w:rsidRPr="00263DB9">
        <w:rPr>
          <w:rFonts w:eastAsia="TimesNewRoman"/>
          <w:szCs w:val="22"/>
        </w:rPr>
        <w:t xml:space="preserve">PDGFR- </w:t>
      </w:r>
      <w:r w:rsidRPr="00263DB9">
        <w:rPr>
          <w:rFonts w:eastAsia="TimesNewRoman"/>
          <w:szCs w:val="22"/>
          <w:lang w:val="en-US"/>
        </w:rPr>
        <w:t>β</w:t>
      </w:r>
      <w:r w:rsidRPr="00263DB9">
        <w:rPr>
          <w:rFonts w:eastAsia="TimesNewRoman"/>
          <w:szCs w:val="22"/>
        </w:rPr>
        <w:t xml:space="preserve"> </w:t>
      </w:r>
      <w:r w:rsidR="00354991" w:rsidRPr="00263DB9">
        <w:rPr>
          <w:rFonts w:eastAsia="TimesNewRoman"/>
          <w:szCs w:val="22"/>
        </w:rPr>
        <w:t>e que foram tratados com</w:t>
      </w:r>
      <w:r w:rsidRPr="00263DB9">
        <w:rPr>
          <w:rFonts w:eastAsia="TimesNewRoman"/>
          <w:szCs w:val="22"/>
        </w:rPr>
        <w:t xml:space="preserve"> Glivec.</w:t>
      </w:r>
      <w:r w:rsidRPr="00263DB9">
        <w:rPr>
          <w:color w:val="000000"/>
          <w:szCs w:val="22"/>
        </w:rPr>
        <w:t xml:space="preserve"> </w:t>
      </w:r>
      <w:r w:rsidR="00354991" w:rsidRPr="00263DB9">
        <w:rPr>
          <w:color w:val="000000"/>
          <w:szCs w:val="22"/>
        </w:rPr>
        <w:t xml:space="preserve">Os 23 doentes envolvidos neste registo receberam </w:t>
      </w:r>
      <w:r w:rsidRPr="00263DB9">
        <w:rPr>
          <w:color w:val="000000"/>
          <w:szCs w:val="22"/>
        </w:rPr>
        <w:t xml:space="preserve">Glivec </w:t>
      </w:r>
      <w:r w:rsidR="00354991" w:rsidRPr="00263DB9">
        <w:rPr>
          <w:color w:val="000000"/>
          <w:szCs w:val="22"/>
        </w:rPr>
        <w:t>numa dose mediana diária de 264 mg (intervalo: 100 a</w:t>
      </w:r>
      <w:r w:rsidRPr="00263DB9">
        <w:rPr>
          <w:color w:val="000000"/>
          <w:szCs w:val="22"/>
        </w:rPr>
        <w:t xml:space="preserve"> 400 mg) </w:t>
      </w:r>
      <w:r w:rsidR="00354991" w:rsidRPr="00263DB9">
        <w:rPr>
          <w:color w:val="000000"/>
          <w:szCs w:val="22"/>
        </w:rPr>
        <w:t>para uma mediana de duração de 7,2 anos (intervalo 0,1 a 12,7 anos</w:t>
      </w:r>
      <w:r w:rsidRPr="00263DB9">
        <w:rPr>
          <w:color w:val="000000"/>
          <w:szCs w:val="22"/>
        </w:rPr>
        <w:t xml:space="preserve">). </w:t>
      </w:r>
      <w:r w:rsidRPr="00263DB9">
        <w:rPr>
          <w:rFonts w:eastAsia="TimesNewRoman"/>
          <w:szCs w:val="22"/>
        </w:rPr>
        <w:t>D</w:t>
      </w:r>
      <w:r w:rsidR="00354991" w:rsidRPr="00263DB9">
        <w:rPr>
          <w:rFonts w:eastAsia="TimesNewRoman"/>
          <w:szCs w:val="22"/>
        </w:rPr>
        <w:t>evido à natureza observacional deste registo</w:t>
      </w:r>
      <w:r w:rsidRPr="00263DB9">
        <w:rPr>
          <w:rFonts w:eastAsia="TimesNewRoman"/>
          <w:szCs w:val="22"/>
        </w:rPr>
        <w:t xml:space="preserve">, </w:t>
      </w:r>
      <w:r w:rsidR="00354991" w:rsidRPr="00263DB9">
        <w:rPr>
          <w:rFonts w:eastAsia="TimesNewRoman"/>
          <w:szCs w:val="22"/>
        </w:rPr>
        <w:t>os dados hematológicos, citogené</w:t>
      </w:r>
      <w:r w:rsidRPr="00263DB9">
        <w:rPr>
          <w:rFonts w:eastAsia="TimesNewRoman"/>
          <w:szCs w:val="22"/>
        </w:rPr>
        <w:t>tic</w:t>
      </w:r>
      <w:r w:rsidR="00354991" w:rsidRPr="00263DB9">
        <w:rPr>
          <w:rFonts w:eastAsia="TimesNewRoman"/>
          <w:szCs w:val="22"/>
        </w:rPr>
        <w:t>os</w:t>
      </w:r>
      <w:r w:rsidRPr="00263DB9">
        <w:rPr>
          <w:rFonts w:eastAsia="TimesNewRoman"/>
          <w:szCs w:val="22"/>
        </w:rPr>
        <w:t xml:space="preserve"> </w:t>
      </w:r>
      <w:r w:rsidR="00354991" w:rsidRPr="00263DB9">
        <w:rPr>
          <w:rFonts w:eastAsia="TimesNewRoman"/>
          <w:szCs w:val="22"/>
        </w:rPr>
        <w:t xml:space="preserve">e dados de avaliação molecular foram disponibilizados para </w:t>
      </w:r>
      <w:r w:rsidRPr="00263DB9">
        <w:rPr>
          <w:color w:val="000000"/>
          <w:szCs w:val="22"/>
        </w:rPr>
        <w:t xml:space="preserve">22, 9 </w:t>
      </w:r>
      <w:r w:rsidR="00354991" w:rsidRPr="00263DB9">
        <w:rPr>
          <w:color w:val="000000"/>
          <w:szCs w:val="22"/>
        </w:rPr>
        <w:t>e 17 dos</w:t>
      </w:r>
      <w:r w:rsidRPr="00263DB9">
        <w:rPr>
          <w:color w:val="000000"/>
          <w:szCs w:val="22"/>
        </w:rPr>
        <w:t xml:space="preserve"> 23 </w:t>
      </w:r>
      <w:r w:rsidR="00354991" w:rsidRPr="00263DB9">
        <w:rPr>
          <w:color w:val="000000"/>
          <w:szCs w:val="22"/>
        </w:rPr>
        <w:t>doentes envolvidos, respetivamente</w:t>
      </w:r>
      <w:r w:rsidRPr="00263DB9">
        <w:rPr>
          <w:color w:val="000000"/>
          <w:szCs w:val="22"/>
        </w:rPr>
        <w:t xml:space="preserve">. </w:t>
      </w:r>
      <w:r w:rsidR="00354991" w:rsidRPr="00263DB9">
        <w:rPr>
          <w:color w:val="000000"/>
          <w:szCs w:val="22"/>
        </w:rPr>
        <w:t>Assumindo,</w:t>
      </w:r>
      <w:r w:rsidRPr="00263DB9">
        <w:rPr>
          <w:color w:val="000000"/>
          <w:szCs w:val="22"/>
        </w:rPr>
        <w:t xml:space="preserve"> </w:t>
      </w:r>
      <w:r w:rsidR="00354991" w:rsidRPr="00263DB9">
        <w:rPr>
          <w:color w:val="000000"/>
          <w:szCs w:val="22"/>
        </w:rPr>
        <w:t xml:space="preserve">de forma conservadora, que os doentes </w:t>
      </w:r>
      <w:r w:rsidR="00CB3E6F" w:rsidRPr="00263DB9">
        <w:rPr>
          <w:color w:val="000000"/>
          <w:szCs w:val="22"/>
        </w:rPr>
        <w:t>com dados inexis</w:t>
      </w:r>
      <w:r w:rsidR="00354991" w:rsidRPr="00263DB9">
        <w:rPr>
          <w:color w:val="000000"/>
          <w:szCs w:val="22"/>
        </w:rPr>
        <w:t>tentes eram n</w:t>
      </w:r>
      <w:r w:rsidR="00CB3E6F" w:rsidRPr="00263DB9">
        <w:rPr>
          <w:color w:val="000000"/>
          <w:szCs w:val="22"/>
        </w:rPr>
        <w:t>ão respondedo</w:t>
      </w:r>
      <w:r w:rsidR="00354991" w:rsidRPr="00263DB9">
        <w:rPr>
          <w:color w:val="000000"/>
          <w:szCs w:val="22"/>
        </w:rPr>
        <w:t>res</w:t>
      </w:r>
      <w:r w:rsidRPr="00263DB9">
        <w:rPr>
          <w:color w:val="000000"/>
          <w:szCs w:val="22"/>
        </w:rPr>
        <w:t xml:space="preserve">, </w:t>
      </w:r>
      <w:r w:rsidR="00CB3E6F" w:rsidRPr="00263DB9">
        <w:rPr>
          <w:color w:val="000000"/>
          <w:szCs w:val="22"/>
        </w:rPr>
        <w:t xml:space="preserve">observou-se </w:t>
      </w:r>
      <w:r w:rsidRPr="00263DB9">
        <w:rPr>
          <w:color w:val="000000"/>
          <w:szCs w:val="22"/>
        </w:rPr>
        <w:t xml:space="preserve">CHR </w:t>
      </w:r>
      <w:r w:rsidR="00CB3E6F" w:rsidRPr="00263DB9">
        <w:rPr>
          <w:color w:val="000000"/>
          <w:szCs w:val="22"/>
        </w:rPr>
        <w:t>em</w:t>
      </w:r>
      <w:r w:rsidRPr="00263DB9">
        <w:rPr>
          <w:color w:val="000000"/>
          <w:szCs w:val="22"/>
        </w:rPr>
        <w:t xml:space="preserve"> 20/23 (87%) </w:t>
      </w:r>
      <w:r w:rsidR="00CB3E6F" w:rsidRPr="00263DB9">
        <w:rPr>
          <w:color w:val="000000"/>
          <w:szCs w:val="22"/>
        </w:rPr>
        <w:t>doentes</w:t>
      </w:r>
      <w:r w:rsidRPr="00263DB9">
        <w:rPr>
          <w:color w:val="000000"/>
          <w:szCs w:val="22"/>
        </w:rPr>
        <w:t xml:space="preserve">, CCyR </w:t>
      </w:r>
      <w:r w:rsidR="00CB3E6F" w:rsidRPr="00263DB9">
        <w:rPr>
          <w:color w:val="000000"/>
          <w:szCs w:val="22"/>
        </w:rPr>
        <w:t>em</w:t>
      </w:r>
      <w:r w:rsidRPr="00263DB9">
        <w:rPr>
          <w:color w:val="000000"/>
          <w:szCs w:val="22"/>
        </w:rPr>
        <w:t xml:space="preserve"> 9/23</w:t>
      </w:r>
      <w:r w:rsidR="00CB3E6F" w:rsidRPr="00263DB9">
        <w:rPr>
          <w:color w:val="000000"/>
          <w:szCs w:val="22"/>
        </w:rPr>
        <w:t xml:space="preserve"> (39,</w:t>
      </w:r>
      <w:r w:rsidRPr="00263DB9">
        <w:rPr>
          <w:color w:val="000000"/>
          <w:szCs w:val="22"/>
        </w:rPr>
        <w:t>1%)</w:t>
      </w:r>
      <w:r w:rsidR="00CB3E6F" w:rsidRPr="00263DB9">
        <w:rPr>
          <w:color w:val="000000"/>
          <w:szCs w:val="22"/>
        </w:rPr>
        <w:t xml:space="preserve"> doentes e MR em</w:t>
      </w:r>
      <w:r w:rsidRPr="00263DB9">
        <w:rPr>
          <w:color w:val="000000"/>
          <w:szCs w:val="22"/>
        </w:rPr>
        <w:t xml:space="preserve"> 11/23 </w:t>
      </w:r>
      <w:r w:rsidR="00CB3E6F" w:rsidRPr="00263DB9">
        <w:rPr>
          <w:color w:val="000000"/>
          <w:szCs w:val="22"/>
        </w:rPr>
        <w:t>(47,</w:t>
      </w:r>
      <w:r w:rsidRPr="00263DB9">
        <w:rPr>
          <w:color w:val="000000"/>
          <w:szCs w:val="22"/>
        </w:rPr>
        <w:t>8%)</w:t>
      </w:r>
      <w:r w:rsidR="00CB3E6F" w:rsidRPr="00263DB9">
        <w:rPr>
          <w:color w:val="000000"/>
          <w:szCs w:val="22"/>
        </w:rPr>
        <w:t xml:space="preserve"> doentes, respetivamente</w:t>
      </w:r>
      <w:r w:rsidRPr="00263DB9">
        <w:rPr>
          <w:color w:val="000000"/>
          <w:szCs w:val="22"/>
        </w:rPr>
        <w:t xml:space="preserve">. </w:t>
      </w:r>
      <w:r w:rsidR="00CB3E6F" w:rsidRPr="00263DB9">
        <w:rPr>
          <w:color w:val="000000"/>
          <w:szCs w:val="22"/>
        </w:rPr>
        <w:t>Quando a taxa de resposta é calculada com doentes com pelo menos uma avaliação válida</w:t>
      </w:r>
      <w:r w:rsidRPr="00263DB9">
        <w:rPr>
          <w:color w:val="000000"/>
          <w:szCs w:val="22"/>
        </w:rPr>
        <w:t xml:space="preserve">, </w:t>
      </w:r>
      <w:r w:rsidR="00CB3E6F" w:rsidRPr="00263DB9">
        <w:rPr>
          <w:color w:val="000000"/>
          <w:szCs w:val="22"/>
        </w:rPr>
        <w:t>a taxa de resposta para CHR, CCyR e MR foi</w:t>
      </w:r>
      <w:r w:rsidRPr="00263DB9">
        <w:rPr>
          <w:color w:val="000000"/>
          <w:szCs w:val="22"/>
        </w:rPr>
        <w:t xml:space="preserve"> </w:t>
      </w:r>
      <w:r w:rsidR="004A3CFB" w:rsidRPr="00263DB9">
        <w:rPr>
          <w:color w:val="000000"/>
          <w:szCs w:val="22"/>
        </w:rPr>
        <w:t>20</w:t>
      </w:r>
      <w:r w:rsidRPr="00263DB9">
        <w:rPr>
          <w:color w:val="000000"/>
          <w:szCs w:val="22"/>
        </w:rPr>
        <w:t>/22 (</w:t>
      </w:r>
      <w:r w:rsidR="00CB3E6F" w:rsidRPr="00263DB9">
        <w:rPr>
          <w:color w:val="000000"/>
          <w:szCs w:val="22"/>
        </w:rPr>
        <w:t>90,</w:t>
      </w:r>
      <w:r w:rsidRPr="00263DB9">
        <w:rPr>
          <w:color w:val="000000"/>
          <w:szCs w:val="22"/>
        </w:rPr>
        <w:t>9%), 9/9 (100%)</w:t>
      </w:r>
      <w:r w:rsidR="00CB3E6F" w:rsidRPr="00263DB9">
        <w:rPr>
          <w:color w:val="000000"/>
          <w:szCs w:val="22"/>
        </w:rPr>
        <w:t xml:space="preserve"> e</w:t>
      </w:r>
      <w:r w:rsidRPr="00263DB9">
        <w:rPr>
          <w:color w:val="000000"/>
          <w:szCs w:val="22"/>
        </w:rPr>
        <w:t xml:space="preserve"> 11/17 (</w:t>
      </w:r>
      <w:r w:rsidR="00CB3E6F" w:rsidRPr="00263DB9">
        <w:rPr>
          <w:color w:val="000000"/>
          <w:szCs w:val="22"/>
        </w:rPr>
        <w:t>64,</w:t>
      </w:r>
      <w:r w:rsidRPr="00263DB9">
        <w:rPr>
          <w:color w:val="000000"/>
          <w:szCs w:val="22"/>
        </w:rPr>
        <w:t>7%)</w:t>
      </w:r>
      <w:r w:rsidR="00CB3E6F" w:rsidRPr="00263DB9">
        <w:rPr>
          <w:color w:val="000000"/>
          <w:szCs w:val="22"/>
        </w:rPr>
        <w:t>, respetivamente</w:t>
      </w:r>
      <w:r w:rsidRPr="00263DB9">
        <w:rPr>
          <w:color w:val="000000"/>
          <w:szCs w:val="22"/>
        </w:rPr>
        <w:t>.</w:t>
      </w:r>
    </w:p>
    <w:p w14:paraId="375EB2CB" w14:textId="77777777" w:rsidR="00966548" w:rsidRPr="00263DB9" w:rsidRDefault="00966548" w:rsidP="00E51817">
      <w:pPr>
        <w:pStyle w:val="EndnoteText"/>
        <w:tabs>
          <w:tab w:val="clear" w:pos="567"/>
        </w:tabs>
        <w:rPr>
          <w:color w:val="000000"/>
          <w:szCs w:val="22"/>
          <w:lang w:eastAsia="ja-JP"/>
        </w:rPr>
      </w:pPr>
    </w:p>
    <w:p w14:paraId="375EB2CC" w14:textId="77777777" w:rsidR="00906898" w:rsidRPr="00263DB9" w:rsidRDefault="00906898" w:rsidP="00E51817">
      <w:pPr>
        <w:pStyle w:val="EndnoteText"/>
        <w:tabs>
          <w:tab w:val="clear" w:pos="567"/>
        </w:tabs>
        <w:rPr>
          <w:color w:val="000000"/>
          <w:szCs w:val="22"/>
        </w:rPr>
      </w:pPr>
      <w:r w:rsidRPr="00263DB9">
        <w:rPr>
          <w:color w:val="000000"/>
          <w:szCs w:val="22"/>
          <w:lang w:eastAsia="ja-JP"/>
        </w:rPr>
        <w:t xml:space="preserve">Para além disso, foram notificados outros </w:t>
      </w:r>
      <w:r w:rsidRPr="00263DB9">
        <w:rPr>
          <w:color w:val="000000"/>
          <w:szCs w:val="22"/>
        </w:rPr>
        <w:t>24 doentes com MDS/MPD em 13 publicações. 21 doentes foram tratados com Glivec 400 mg por dia, enquanto os outros 3 doentes receberam doses inferiores. Em onze doentes foi detetado re-arranjo do gene PDGFR, 9 dos quais atingiram CHR e 1 PHR. A idade destes doentes variou entre 2 a 79 anos. Numa publicação recente, informação atualizada sobre 6 destes 11 doentes revelou que todos estes doentes se mantinham em remissão citogenética (intervalo 32</w:t>
      </w:r>
      <w:r w:rsidRPr="00263DB9">
        <w:rPr>
          <w:color w:val="000000"/>
          <w:szCs w:val="22"/>
        </w:rPr>
        <w:noBreakHyphen/>
        <w:t xml:space="preserve">38 meses). A mesma publicação relatou dados de seguimento de longa duração de 12 doentes com MDS/MPD com re-arranjo do gene PDGFR (5 doentes do estudo B2225). Estes doentes receberam Glivec durante um período médio de 47 meses (intervalo 24 dias – 60 meses). Em 6 destes doentes, o seguimento excede agora os 4 anos. Onze doentes atingiram rapidamente CHR; dez tiveram resolução </w:t>
      </w:r>
      <w:r w:rsidRPr="00263DB9">
        <w:rPr>
          <w:color w:val="000000"/>
          <w:szCs w:val="22"/>
        </w:rPr>
        <w:lastRenderedPageBreak/>
        <w:t>completa das anomalias genéticas e uma diminuição ou desaparecimento de fusão transcriptase, medida por RT-PCR. As respostas hematológicas e citogenéticas foram mantidas por um período médio de 49 meses (intervalo 19</w:t>
      </w:r>
      <w:r w:rsidRPr="00263DB9">
        <w:rPr>
          <w:color w:val="000000"/>
          <w:szCs w:val="22"/>
        </w:rPr>
        <w:noBreakHyphen/>
        <w:t>60) e 47 meses (intervalo 16</w:t>
      </w:r>
      <w:r w:rsidRPr="00263DB9">
        <w:rPr>
          <w:color w:val="000000"/>
          <w:szCs w:val="22"/>
        </w:rPr>
        <w:noBreakHyphen/>
        <w:t xml:space="preserve">59), respetivamente. A </w:t>
      </w:r>
      <w:r w:rsidR="00600EF5" w:rsidRPr="00263DB9">
        <w:rPr>
          <w:color w:val="000000"/>
          <w:szCs w:val="22"/>
        </w:rPr>
        <w:t xml:space="preserve">sobrevivência </w:t>
      </w:r>
      <w:r w:rsidRPr="00263DB9">
        <w:rPr>
          <w:color w:val="000000"/>
          <w:szCs w:val="22"/>
        </w:rPr>
        <w:t>global é de 65 meses desde o diagnóstico (intervalo 25</w:t>
      </w:r>
      <w:r w:rsidRPr="00263DB9">
        <w:rPr>
          <w:color w:val="000000"/>
          <w:szCs w:val="22"/>
        </w:rPr>
        <w:noBreakHyphen/>
        <w:t>234). A administração de Glivec a doentes a doentes sem translocação genética não resulta geralmente em melhoria.</w:t>
      </w:r>
    </w:p>
    <w:p w14:paraId="375EB2CD" w14:textId="77777777" w:rsidR="00906898" w:rsidRPr="00263DB9" w:rsidRDefault="00906898" w:rsidP="00E51817">
      <w:pPr>
        <w:pStyle w:val="EndnoteText"/>
        <w:tabs>
          <w:tab w:val="clear" w:pos="567"/>
        </w:tabs>
        <w:rPr>
          <w:color w:val="000000"/>
          <w:szCs w:val="22"/>
        </w:rPr>
      </w:pPr>
    </w:p>
    <w:p w14:paraId="375EB2CE" w14:textId="77777777" w:rsidR="00620874" w:rsidRPr="00263DB9" w:rsidRDefault="00620874" w:rsidP="00E51817">
      <w:pPr>
        <w:pStyle w:val="EndnoteText"/>
        <w:tabs>
          <w:tab w:val="clear" w:pos="567"/>
        </w:tabs>
        <w:rPr>
          <w:color w:val="000000"/>
          <w:szCs w:val="22"/>
        </w:rPr>
      </w:pPr>
      <w:r w:rsidRPr="00263DB9">
        <w:rPr>
          <w:color w:val="000000"/>
          <w:szCs w:val="22"/>
        </w:rPr>
        <w:t xml:space="preserve">Não existem ensaios controlados em doentes pediátricos com MDS/MPD. </w:t>
      </w:r>
      <w:r w:rsidR="000B020E" w:rsidRPr="00263DB9">
        <w:rPr>
          <w:color w:val="000000"/>
          <w:szCs w:val="22"/>
        </w:rPr>
        <w:t>Cinco</w:t>
      </w:r>
      <w:r w:rsidR="00A42B1F" w:rsidRPr="00263DB9">
        <w:rPr>
          <w:color w:val="000000"/>
          <w:szCs w:val="22"/>
        </w:rPr>
        <w:t xml:space="preserve"> </w:t>
      </w:r>
      <w:r w:rsidR="00287B98" w:rsidRPr="00263DB9">
        <w:rPr>
          <w:color w:val="000000"/>
          <w:szCs w:val="22"/>
        </w:rPr>
        <w:t>(5) </w:t>
      </w:r>
      <w:r w:rsidRPr="00263DB9">
        <w:rPr>
          <w:color w:val="000000"/>
          <w:szCs w:val="22"/>
        </w:rPr>
        <w:t>doentes com MDS/MPD associado com re-arranjo</w:t>
      </w:r>
      <w:r w:rsidR="000B020E" w:rsidRPr="00263DB9">
        <w:rPr>
          <w:color w:val="000000"/>
          <w:szCs w:val="22"/>
        </w:rPr>
        <w:t>s</w:t>
      </w:r>
      <w:r w:rsidRPr="00263DB9">
        <w:rPr>
          <w:color w:val="000000"/>
          <w:szCs w:val="22"/>
        </w:rPr>
        <w:t xml:space="preserve"> do gene PDGFR foram </w:t>
      </w:r>
      <w:r w:rsidR="000B020E" w:rsidRPr="00263DB9">
        <w:rPr>
          <w:color w:val="000000"/>
          <w:szCs w:val="22"/>
        </w:rPr>
        <w:t>descritos</w:t>
      </w:r>
      <w:r w:rsidRPr="00263DB9">
        <w:rPr>
          <w:color w:val="000000"/>
          <w:szCs w:val="22"/>
        </w:rPr>
        <w:t xml:space="preserve"> em 4 publicações. </w:t>
      </w:r>
      <w:r w:rsidR="000B020E" w:rsidRPr="00263DB9">
        <w:rPr>
          <w:color w:val="000000"/>
          <w:szCs w:val="22"/>
        </w:rPr>
        <w:t>Estes</w:t>
      </w:r>
      <w:r w:rsidRPr="00263DB9">
        <w:rPr>
          <w:color w:val="000000"/>
          <w:szCs w:val="22"/>
        </w:rPr>
        <w:t xml:space="preserve"> doentes </w:t>
      </w:r>
      <w:r w:rsidR="000B020E" w:rsidRPr="00263DB9">
        <w:rPr>
          <w:color w:val="000000"/>
          <w:szCs w:val="22"/>
        </w:rPr>
        <w:t>apresentavam</w:t>
      </w:r>
      <w:r w:rsidRPr="00263DB9">
        <w:rPr>
          <w:color w:val="000000"/>
          <w:szCs w:val="22"/>
        </w:rPr>
        <w:t xml:space="preserve"> idades </w:t>
      </w:r>
      <w:r w:rsidR="000B020E" w:rsidRPr="00263DB9">
        <w:rPr>
          <w:color w:val="000000"/>
          <w:szCs w:val="22"/>
        </w:rPr>
        <w:t>entre os</w:t>
      </w:r>
      <w:r w:rsidRPr="00263DB9">
        <w:rPr>
          <w:color w:val="000000"/>
          <w:szCs w:val="22"/>
        </w:rPr>
        <w:t xml:space="preserve"> 3 meses </w:t>
      </w:r>
      <w:r w:rsidR="000B020E" w:rsidRPr="00263DB9">
        <w:rPr>
          <w:color w:val="000000"/>
          <w:szCs w:val="22"/>
        </w:rPr>
        <w:t xml:space="preserve">e </w:t>
      </w:r>
      <w:r w:rsidRPr="00263DB9">
        <w:rPr>
          <w:color w:val="000000"/>
          <w:szCs w:val="22"/>
        </w:rPr>
        <w:t xml:space="preserve">os 4 anos e o imatinib foi administrado </w:t>
      </w:r>
      <w:r w:rsidR="00287B98" w:rsidRPr="00263DB9">
        <w:rPr>
          <w:color w:val="000000"/>
          <w:szCs w:val="22"/>
        </w:rPr>
        <w:t xml:space="preserve">na dose de 50 mg por dia ou </w:t>
      </w:r>
      <w:r w:rsidRPr="00263DB9">
        <w:rPr>
          <w:color w:val="000000"/>
          <w:szCs w:val="22"/>
        </w:rPr>
        <w:t>em doses de 92,5 a 340 mg/m</w:t>
      </w:r>
      <w:r w:rsidRPr="00263DB9">
        <w:rPr>
          <w:color w:val="000000"/>
          <w:szCs w:val="22"/>
          <w:vertAlign w:val="superscript"/>
        </w:rPr>
        <w:t xml:space="preserve">2 </w:t>
      </w:r>
      <w:r w:rsidRPr="00263DB9">
        <w:rPr>
          <w:color w:val="000000"/>
          <w:szCs w:val="22"/>
        </w:rPr>
        <w:t>por dia. Todos os doentes atingiram resposta hematológica completa, resposta citogénica e/ou resposta clínica.</w:t>
      </w:r>
    </w:p>
    <w:p w14:paraId="375EB2CF" w14:textId="77777777" w:rsidR="00620874" w:rsidRPr="00263DB9" w:rsidRDefault="00620874" w:rsidP="00E51817">
      <w:pPr>
        <w:pStyle w:val="EndnoteText"/>
        <w:tabs>
          <w:tab w:val="clear" w:pos="567"/>
        </w:tabs>
        <w:rPr>
          <w:color w:val="000000"/>
          <w:szCs w:val="22"/>
        </w:rPr>
      </w:pPr>
    </w:p>
    <w:p w14:paraId="375EB2D0" w14:textId="77777777" w:rsidR="00906898" w:rsidRPr="00263DB9" w:rsidRDefault="00906898" w:rsidP="003970DC">
      <w:pPr>
        <w:pStyle w:val="EndnoteText"/>
        <w:keepNext/>
        <w:tabs>
          <w:tab w:val="clear" w:pos="567"/>
        </w:tabs>
        <w:rPr>
          <w:color w:val="000000"/>
          <w:szCs w:val="22"/>
          <w:u w:val="single"/>
        </w:rPr>
      </w:pPr>
      <w:r w:rsidRPr="00263DB9">
        <w:rPr>
          <w:color w:val="000000"/>
          <w:szCs w:val="22"/>
          <w:u w:val="single"/>
        </w:rPr>
        <w:t>Ensaios clínicos na síndrome hipereosinofílica avançada/leucemia eosinofílica crónica</w:t>
      </w:r>
    </w:p>
    <w:p w14:paraId="375EB2D1" w14:textId="77777777" w:rsidR="00906898" w:rsidRPr="00263DB9" w:rsidRDefault="00906898" w:rsidP="00E51817">
      <w:pPr>
        <w:pStyle w:val="Text"/>
        <w:widowControl w:val="0"/>
        <w:spacing w:before="0"/>
        <w:jc w:val="left"/>
        <w:rPr>
          <w:color w:val="000000"/>
          <w:sz w:val="22"/>
          <w:szCs w:val="22"/>
          <w:lang w:val="pt-PT"/>
        </w:rPr>
      </w:pPr>
      <w:r w:rsidRPr="00263DB9">
        <w:rPr>
          <w:color w:val="000000"/>
          <w:sz w:val="22"/>
          <w:szCs w:val="22"/>
          <w:lang w:val="pt-PT" w:eastAsia="ja-JP"/>
        </w:rPr>
        <w:t xml:space="preserve">Foi efetuado um ensaio clínico aberto, multicêntrico,de Fase II (estudo B2225) </w:t>
      </w:r>
      <w:r w:rsidRPr="00263DB9">
        <w:rPr>
          <w:color w:val="000000"/>
          <w:sz w:val="22"/>
          <w:szCs w:val="22"/>
          <w:lang w:val="pt-PT"/>
        </w:rPr>
        <w:t>com Glivec em várias populações de doentes sofrendo de doenças que põem a risco a vida associadas com a Abl, Kit ou</w:t>
      </w:r>
      <w:r w:rsidRPr="00263DB9">
        <w:rPr>
          <w:color w:val="000000"/>
          <w:sz w:val="22"/>
          <w:szCs w:val="22"/>
          <w:lang w:val="pt-PT" w:eastAsia="ja-JP"/>
        </w:rPr>
        <w:t xml:space="preserve"> PDGFR proteína tirosina cinases. Neste estudo, 14 doentes com síndrome hipereosinofílica avançada/leucemia eosinofílica crónica foram tratados com 100 mg a 1.000 mg de Glivec por dia. Outros 162 doentes com síndrome hipereosinofílica avançada/leucemia eosinofílica crónica, notificados em </w:t>
      </w:r>
      <w:r w:rsidRPr="00263DB9">
        <w:rPr>
          <w:color w:val="000000"/>
          <w:sz w:val="22"/>
          <w:szCs w:val="22"/>
          <w:lang w:val="pt-PT"/>
        </w:rPr>
        <w:t>35 relatos de casos publicados e séries de casos receberam Glivec em doses desde 75 mg a 800 mg por dia. As anomalias citogenéticas foram avaliadas em 117 doentes de uma população total de 176 doentes. Em 61 destes 117 doentes foi identificada FIP1L1-PDGFR</w:t>
      </w:r>
      <w:r w:rsidRPr="00263DB9">
        <w:rPr>
          <w:color w:val="000000"/>
          <w:sz w:val="22"/>
          <w:szCs w:val="22"/>
          <w:lang w:val="en-GB"/>
        </w:rPr>
        <w:t>α</w:t>
      </w:r>
      <w:r w:rsidRPr="00263DB9">
        <w:rPr>
          <w:color w:val="000000"/>
          <w:sz w:val="22"/>
          <w:szCs w:val="22"/>
          <w:lang w:val="pt-PT"/>
        </w:rPr>
        <w:t xml:space="preserve"> fusão cinase. Verificou-se que outros quatro doentes adicionais com síndrome hipereosinofílica eram FIP1L1-PDGFR</w:t>
      </w:r>
      <w:r w:rsidRPr="00263DB9">
        <w:rPr>
          <w:color w:val="000000"/>
          <w:sz w:val="22"/>
          <w:szCs w:val="22"/>
          <w:lang w:val="en-GB"/>
        </w:rPr>
        <w:t>α</w:t>
      </w:r>
      <w:r w:rsidRPr="00263DB9">
        <w:rPr>
          <w:color w:val="000000"/>
          <w:sz w:val="22"/>
          <w:szCs w:val="22"/>
          <w:lang w:val="pt-PT"/>
        </w:rPr>
        <w:t>-positivos em outros 3 relatos publicados. Todos os 65 doentes FIP1L1-PDGFR</w:t>
      </w:r>
      <w:r w:rsidRPr="00263DB9">
        <w:rPr>
          <w:color w:val="000000"/>
          <w:sz w:val="22"/>
          <w:szCs w:val="22"/>
          <w:lang w:val="en-GB"/>
        </w:rPr>
        <w:t>α</w:t>
      </w:r>
      <w:r w:rsidRPr="00263DB9">
        <w:rPr>
          <w:color w:val="000000"/>
          <w:sz w:val="22"/>
          <w:szCs w:val="22"/>
          <w:lang w:val="pt-PT"/>
        </w:rPr>
        <w:t xml:space="preserve"> fusão cinase positivos atingiram uma CHR sustentada durante meses (entre 1+ a 44+ meses, censurados na altura do relato). Conforme relatado numa publicação recente, 21 destes 65 doentes também atingiram remissão molecular completa com uma período de seguimento médio de 28 meses (intervalo 13</w:t>
      </w:r>
      <w:r w:rsidRPr="00263DB9">
        <w:rPr>
          <w:color w:val="000000"/>
          <w:sz w:val="22"/>
          <w:szCs w:val="22"/>
          <w:lang w:val="pt-PT"/>
        </w:rPr>
        <w:noBreakHyphen/>
        <w:t>67 meses). A idade destes doentes variou entre 25 a 72 anos. Foram também relatadas melhorias na sintomatologia e outras anomalias orgânicas pelos investigadores nos casos relatatados. Foram relatadas melhorias nos sistemas de órgãos cardíaco, nervoso, pele/tecido subcutâneo, respiratório/torácico/mediastínico, musculoesquelético/tecido conectivo/vascular e gastrointestinal.</w:t>
      </w:r>
    </w:p>
    <w:p w14:paraId="375EB2D2" w14:textId="77777777" w:rsidR="007D568C" w:rsidRPr="00263DB9" w:rsidRDefault="007D568C" w:rsidP="00E51817">
      <w:pPr>
        <w:pStyle w:val="EndnoteText"/>
        <w:tabs>
          <w:tab w:val="clear" w:pos="567"/>
        </w:tabs>
        <w:rPr>
          <w:color w:val="000000"/>
          <w:szCs w:val="22"/>
        </w:rPr>
      </w:pPr>
    </w:p>
    <w:p w14:paraId="375EB2D3" w14:textId="77777777" w:rsidR="00127144" w:rsidRPr="00263DB9" w:rsidRDefault="00127144" w:rsidP="00E51817">
      <w:pPr>
        <w:pStyle w:val="EndnoteText"/>
        <w:tabs>
          <w:tab w:val="clear" w:pos="567"/>
        </w:tabs>
        <w:rPr>
          <w:color w:val="000000"/>
          <w:szCs w:val="22"/>
        </w:rPr>
      </w:pPr>
      <w:r w:rsidRPr="00263DB9">
        <w:rPr>
          <w:color w:val="000000"/>
          <w:szCs w:val="22"/>
        </w:rPr>
        <w:t xml:space="preserve">Não existem ensaios controlados em doentes pediátricos com </w:t>
      </w:r>
      <w:r w:rsidR="00F92DD6" w:rsidRPr="00263DB9">
        <w:rPr>
          <w:color w:val="000000"/>
          <w:szCs w:val="22"/>
        </w:rPr>
        <w:t>síndrome hipereosinofílica avançada/leucemia eosinofílica crónica</w:t>
      </w:r>
      <w:r w:rsidRPr="00263DB9">
        <w:rPr>
          <w:color w:val="000000"/>
          <w:szCs w:val="22"/>
        </w:rPr>
        <w:t xml:space="preserve">. </w:t>
      </w:r>
      <w:r w:rsidR="00560D61" w:rsidRPr="00263DB9">
        <w:rPr>
          <w:color w:val="000000"/>
          <w:szCs w:val="22"/>
        </w:rPr>
        <w:t>Três</w:t>
      </w:r>
      <w:r w:rsidR="00E417B0" w:rsidRPr="00263DB9">
        <w:rPr>
          <w:color w:val="000000"/>
          <w:szCs w:val="22"/>
        </w:rPr>
        <w:t xml:space="preserve"> </w:t>
      </w:r>
      <w:r w:rsidR="0045182A" w:rsidRPr="00263DB9">
        <w:rPr>
          <w:color w:val="000000"/>
          <w:szCs w:val="22"/>
        </w:rPr>
        <w:t xml:space="preserve">(3 ) </w:t>
      </w:r>
      <w:r w:rsidRPr="00263DB9">
        <w:rPr>
          <w:color w:val="000000"/>
          <w:szCs w:val="22"/>
        </w:rPr>
        <w:t xml:space="preserve">doentes com </w:t>
      </w:r>
      <w:r w:rsidR="00F92DD6" w:rsidRPr="00263DB9">
        <w:rPr>
          <w:color w:val="000000"/>
          <w:szCs w:val="22"/>
        </w:rPr>
        <w:t>síndrome hipereosinofílica avançada/leucemia eosinofílica crónica associada</w:t>
      </w:r>
      <w:r w:rsidRPr="00263DB9">
        <w:rPr>
          <w:color w:val="000000"/>
          <w:szCs w:val="22"/>
        </w:rPr>
        <w:t xml:space="preserve"> com re-arranjo</w:t>
      </w:r>
      <w:r w:rsidR="00560D61" w:rsidRPr="00263DB9">
        <w:rPr>
          <w:color w:val="000000"/>
          <w:szCs w:val="22"/>
        </w:rPr>
        <w:t>s</w:t>
      </w:r>
      <w:r w:rsidRPr="00263DB9">
        <w:rPr>
          <w:color w:val="000000"/>
          <w:szCs w:val="22"/>
        </w:rPr>
        <w:t xml:space="preserve"> do gene PDGFR foram </w:t>
      </w:r>
      <w:r w:rsidR="00560D61" w:rsidRPr="00263DB9">
        <w:rPr>
          <w:color w:val="000000"/>
          <w:szCs w:val="22"/>
        </w:rPr>
        <w:t>descritos</w:t>
      </w:r>
      <w:r w:rsidRPr="00263DB9">
        <w:rPr>
          <w:color w:val="000000"/>
          <w:szCs w:val="22"/>
        </w:rPr>
        <w:t xml:space="preserve"> em 3 publicaç</w:t>
      </w:r>
      <w:r w:rsidR="00560D61" w:rsidRPr="00263DB9">
        <w:rPr>
          <w:color w:val="000000"/>
          <w:szCs w:val="22"/>
        </w:rPr>
        <w:t>ões. Este</w:t>
      </w:r>
      <w:r w:rsidRPr="00263DB9">
        <w:rPr>
          <w:color w:val="000000"/>
          <w:szCs w:val="22"/>
        </w:rPr>
        <w:t xml:space="preserve">s doentes </w:t>
      </w:r>
      <w:r w:rsidR="00560D61" w:rsidRPr="00263DB9">
        <w:rPr>
          <w:color w:val="000000"/>
          <w:szCs w:val="22"/>
        </w:rPr>
        <w:t>apresentavam</w:t>
      </w:r>
      <w:r w:rsidRPr="00263DB9">
        <w:rPr>
          <w:color w:val="000000"/>
          <w:szCs w:val="22"/>
        </w:rPr>
        <w:t xml:space="preserve"> idades </w:t>
      </w:r>
      <w:r w:rsidR="00560D61" w:rsidRPr="00263DB9">
        <w:rPr>
          <w:color w:val="000000"/>
          <w:szCs w:val="22"/>
        </w:rPr>
        <w:t>entre os</w:t>
      </w:r>
      <w:r w:rsidRPr="00263DB9">
        <w:rPr>
          <w:color w:val="000000"/>
          <w:szCs w:val="22"/>
        </w:rPr>
        <w:t xml:space="preserve"> 2 </w:t>
      </w:r>
      <w:r w:rsidR="00560D61" w:rsidRPr="00263DB9">
        <w:rPr>
          <w:color w:val="000000"/>
          <w:szCs w:val="22"/>
        </w:rPr>
        <w:t>e os</w:t>
      </w:r>
      <w:r w:rsidRPr="00263DB9">
        <w:rPr>
          <w:color w:val="000000"/>
          <w:szCs w:val="22"/>
        </w:rPr>
        <w:t xml:space="preserve"> 16 anos e o imatinib foi administrado </w:t>
      </w:r>
      <w:r w:rsidR="0045182A" w:rsidRPr="00263DB9">
        <w:rPr>
          <w:color w:val="000000"/>
          <w:szCs w:val="22"/>
        </w:rPr>
        <w:t>em doses de 300 mg/m</w:t>
      </w:r>
      <w:r w:rsidR="0045182A" w:rsidRPr="00263DB9">
        <w:rPr>
          <w:color w:val="000000"/>
          <w:szCs w:val="22"/>
          <w:vertAlign w:val="superscript"/>
        </w:rPr>
        <w:t>2</w:t>
      </w:r>
      <w:r w:rsidR="0045182A" w:rsidRPr="00263DB9">
        <w:rPr>
          <w:color w:val="000000"/>
          <w:szCs w:val="22"/>
        </w:rPr>
        <w:t xml:space="preserve"> por dia ou </w:t>
      </w:r>
      <w:r w:rsidRPr="00263DB9">
        <w:rPr>
          <w:color w:val="000000"/>
          <w:szCs w:val="22"/>
        </w:rPr>
        <w:t xml:space="preserve">em doses de 200 a 400 mg </w:t>
      </w:r>
      <w:r w:rsidRPr="00263DB9">
        <w:rPr>
          <w:color w:val="000000"/>
          <w:szCs w:val="22"/>
          <w:vertAlign w:val="superscript"/>
        </w:rPr>
        <w:t xml:space="preserve"> </w:t>
      </w:r>
      <w:r w:rsidRPr="00263DB9">
        <w:rPr>
          <w:color w:val="000000"/>
          <w:szCs w:val="22"/>
        </w:rPr>
        <w:t>por dia. Todos os doentes atingiram resposta hematológica completa, resposta citogénica completa  e/ou resposta molecular completa.</w:t>
      </w:r>
    </w:p>
    <w:p w14:paraId="375EB2D4" w14:textId="77777777" w:rsidR="00127144" w:rsidRPr="00263DB9" w:rsidRDefault="00127144" w:rsidP="00E51817">
      <w:pPr>
        <w:widowControl w:val="0"/>
        <w:suppressAutoHyphens/>
        <w:rPr>
          <w:color w:val="000000"/>
          <w:szCs w:val="22"/>
          <w:u w:val="single"/>
        </w:rPr>
      </w:pPr>
    </w:p>
    <w:p w14:paraId="375EB2D5" w14:textId="77777777" w:rsidR="00906898" w:rsidRPr="00263DB9" w:rsidRDefault="00906898" w:rsidP="003970DC">
      <w:pPr>
        <w:keepNext/>
        <w:widowControl w:val="0"/>
        <w:suppressAutoHyphens/>
        <w:rPr>
          <w:color w:val="000000"/>
          <w:szCs w:val="22"/>
          <w:u w:val="single"/>
        </w:rPr>
      </w:pPr>
      <w:r w:rsidRPr="00263DB9">
        <w:rPr>
          <w:color w:val="000000"/>
          <w:szCs w:val="22"/>
          <w:u w:val="single"/>
        </w:rPr>
        <w:t>Ensaios clínicos em doentes com GIST metastáticos e/ou irressecáveis</w:t>
      </w:r>
    </w:p>
    <w:p w14:paraId="375EB2D6" w14:textId="77777777" w:rsidR="00906898" w:rsidRPr="00263DB9" w:rsidRDefault="00906898" w:rsidP="00E51817">
      <w:pPr>
        <w:widowControl w:val="0"/>
        <w:suppressAutoHyphens/>
        <w:rPr>
          <w:color w:val="000000"/>
          <w:szCs w:val="22"/>
        </w:rPr>
      </w:pPr>
      <w:r w:rsidRPr="00263DB9">
        <w:rPr>
          <w:color w:val="000000"/>
          <w:szCs w:val="22"/>
        </w:rPr>
        <w:t>Foi efetuado um ensaio multicêntrico de fase II, aberto, aleatorizado e não controlado, em doentes com GIST malignos metastáticos ou irressecáveis. Neste estudo foram incluídos 147 doentes, os quais foram aleatorizados para tratamento com 400 mg ou 600 mg por via oral, uma vez por dia, durante 36 meses. Os doentes tinham entre 18 e 83 anos e diagnóstico patológico de GIST maligno Kit-positivo metastático e/ou irressecável. Foram efetuados testes imunohistoquímicos por rotina com anticorpos para o Kit (A-4502, antisoro policlonal de coelho, 1:100; DAKO Corporation, Carpinteria, CA) e análise após deteção do antigénio pelo método do complexo avidina-biotina-peroxidase.</w:t>
      </w:r>
    </w:p>
    <w:p w14:paraId="375EB2D7" w14:textId="77777777" w:rsidR="00906898" w:rsidRPr="00263DB9" w:rsidRDefault="00906898" w:rsidP="00E51817">
      <w:pPr>
        <w:widowControl w:val="0"/>
        <w:suppressAutoHyphens/>
        <w:rPr>
          <w:color w:val="000000"/>
          <w:szCs w:val="22"/>
        </w:rPr>
      </w:pPr>
    </w:p>
    <w:p w14:paraId="375EB2D8" w14:textId="77777777" w:rsidR="00906898" w:rsidRPr="00263DB9" w:rsidRDefault="00906898" w:rsidP="00E51817">
      <w:pPr>
        <w:widowControl w:val="0"/>
        <w:suppressAutoHyphens/>
        <w:rPr>
          <w:color w:val="000000"/>
          <w:szCs w:val="22"/>
        </w:rPr>
      </w:pPr>
      <w:r w:rsidRPr="00263DB9">
        <w:rPr>
          <w:color w:val="000000"/>
          <w:szCs w:val="22"/>
        </w:rPr>
        <w:t>A evidência primária de eficácia foram as taxas de resposta objetiva. Os tumores deveriam ser mensuráveis em pelo menos uma localização da doença, e a resposta caracterizada com base nos critérios do Southwestern Oncology Group (SWOG). Apresentam-se os resultados na Tabela </w:t>
      </w:r>
      <w:r w:rsidR="00094C01" w:rsidRPr="00263DB9">
        <w:rPr>
          <w:color w:val="000000"/>
          <w:szCs w:val="22"/>
        </w:rPr>
        <w:t>6</w:t>
      </w:r>
    </w:p>
    <w:p w14:paraId="375EB2D9" w14:textId="77777777" w:rsidR="00906898" w:rsidRPr="00263DB9" w:rsidRDefault="00906898" w:rsidP="00E51817">
      <w:pPr>
        <w:widowControl w:val="0"/>
        <w:suppressAutoHyphens/>
        <w:rPr>
          <w:color w:val="000000"/>
          <w:szCs w:val="22"/>
        </w:rPr>
      </w:pPr>
    </w:p>
    <w:p w14:paraId="375EB2DA" w14:textId="77777777" w:rsidR="00906898" w:rsidRPr="00263DB9" w:rsidRDefault="00906898" w:rsidP="003970DC">
      <w:pPr>
        <w:keepNext/>
        <w:keepLines/>
        <w:widowControl w:val="0"/>
        <w:suppressAutoHyphens/>
        <w:rPr>
          <w:b/>
          <w:color w:val="000000"/>
          <w:szCs w:val="22"/>
        </w:rPr>
      </w:pPr>
      <w:r w:rsidRPr="00263DB9">
        <w:rPr>
          <w:b/>
          <w:color w:val="000000"/>
          <w:szCs w:val="22"/>
        </w:rPr>
        <w:lastRenderedPageBreak/>
        <w:t>Tabela </w:t>
      </w:r>
      <w:r w:rsidR="00094C01" w:rsidRPr="00263DB9">
        <w:rPr>
          <w:b/>
          <w:color w:val="000000"/>
          <w:szCs w:val="22"/>
        </w:rPr>
        <w:t>6</w:t>
      </w:r>
      <w:r w:rsidRPr="00263DB9">
        <w:rPr>
          <w:b/>
          <w:color w:val="000000"/>
          <w:szCs w:val="22"/>
        </w:rPr>
        <w:tab/>
        <w:t>Melhor resposta tumoral no ensaio STIB2222 (GIST)</w:t>
      </w:r>
    </w:p>
    <w:p w14:paraId="375EB2DB" w14:textId="77777777" w:rsidR="00906898" w:rsidRPr="00263DB9" w:rsidRDefault="00906898" w:rsidP="003970DC">
      <w:pPr>
        <w:keepNext/>
        <w:keepLines/>
        <w:widowControl w:val="0"/>
        <w:suppressAutoHyphens/>
        <w:rPr>
          <w:color w:val="000000"/>
          <w:szCs w:val="22"/>
        </w:rPr>
      </w:pPr>
    </w:p>
    <w:tbl>
      <w:tblPr>
        <w:tblW w:w="0" w:type="auto"/>
        <w:tblLayout w:type="fixed"/>
        <w:tblLook w:val="0000" w:firstRow="0" w:lastRow="0" w:firstColumn="0" w:lastColumn="0" w:noHBand="0" w:noVBand="0"/>
      </w:tblPr>
      <w:tblGrid>
        <w:gridCol w:w="4638"/>
        <w:gridCol w:w="4638"/>
      </w:tblGrid>
      <w:tr w:rsidR="00906898" w:rsidRPr="00263DB9" w14:paraId="375EB2E4" w14:textId="77777777" w:rsidTr="003970DC">
        <w:trPr>
          <w:cantSplit/>
        </w:trPr>
        <w:tc>
          <w:tcPr>
            <w:tcW w:w="4638" w:type="dxa"/>
            <w:tcBorders>
              <w:top w:val="single" w:sz="4" w:space="0" w:color="auto"/>
              <w:bottom w:val="single" w:sz="4" w:space="0" w:color="auto"/>
            </w:tcBorders>
          </w:tcPr>
          <w:p w14:paraId="375EB2DC" w14:textId="77777777" w:rsidR="00906898" w:rsidRPr="00263DB9" w:rsidRDefault="00906898" w:rsidP="003970DC">
            <w:pPr>
              <w:keepNext/>
              <w:keepLines/>
              <w:widowControl w:val="0"/>
              <w:suppressAutoHyphens/>
              <w:rPr>
                <w:color w:val="000000"/>
                <w:szCs w:val="22"/>
              </w:rPr>
            </w:pPr>
          </w:p>
          <w:p w14:paraId="375EB2DD" w14:textId="77777777" w:rsidR="00906898" w:rsidRPr="00263DB9" w:rsidRDefault="00906898" w:rsidP="003970DC">
            <w:pPr>
              <w:keepNext/>
              <w:keepLines/>
              <w:widowControl w:val="0"/>
              <w:suppressAutoHyphens/>
              <w:rPr>
                <w:color w:val="000000"/>
                <w:szCs w:val="22"/>
              </w:rPr>
            </w:pPr>
          </w:p>
          <w:p w14:paraId="375EB2DE" w14:textId="77777777" w:rsidR="00906898" w:rsidRPr="00263DB9" w:rsidRDefault="00906898" w:rsidP="003970DC">
            <w:pPr>
              <w:keepNext/>
              <w:keepLines/>
              <w:widowControl w:val="0"/>
              <w:suppressAutoHyphens/>
              <w:rPr>
                <w:color w:val="000000"/>
                <w:szCs w:val="22"/>
              </w:rPr>
            </w:pPr>
          </w:p>
          <w:p w14:paraId="375EB2DF" w14:textId="77777777" w:rsidR="00906898" w:rsidRPr="00263DB9" w:rsidRDefault="00906898" w:rsidP="003970DC">
            <w:pPr>
              <w:keepNext/>
              <w:keepLines/>
              <w:widowControl w:val="0"/>
              <w:suppressAutoHyphens/>
              <w:rPr>
                <w:color w:val="000000"/>
                <w:szCs w:val="22"/>
              </w:rPr>
            </w:pPr>
            <w:r w:rsidRPr="00263DB9">
              <w:rPr>
                <w:color w:val="000000"/>
                <w:szCs w:val="22"/>
              </w:rPr>
              <w:t>Melhor resposta</w:t>
            </w:r>
          </w:p>
        </w:tc>
        <w:tc>
          <w:tcPr>
            <w:tcW w:w="4638" w:type="dxa"/>
            <w:tcBorders>
              <w:top w:val="single" w:sz="4" w:space="0" w:color="auto"/>
              <w:bottom w:val="single" w:sz="4" w:space="0" w:color="auto"/>
            </w:tcBorders>
          </w:tcPr>
          <w:p w14:paraId="375EB2E0" w14:textId="77777777" w:rsidR="00906898" w:rsidRPr="00263DB9" w:rsidRDefault="00906898" w:rsidP="003970DC">
            <w:pPr>
              <w:keepNext/>
              <w:keepLines/>
              <w:widowControl w:val="0"/>
              <w:suppressAutoHyphens/>
              <w:jc w:val="center"/>
              <w:rPr>
                <w:color w:val="000000"/>
                <w:szCs w:val="22"/>
              </w:rPr>
            </w:pPr>
            <w:r w:rsidRPr="00263DB9">
              <w:rPr>
                <w:color w:val="000000"/>
                <w:szCs w:val="22"/>
              </w:rPr>
              <w:t>Todas as doses (n=147)</w:t>
            </w:r>
          </w:p>
          <w:p w14:paraId="375EB2E1" w14:textId="77777777" w:rsidR="00906898" w:rsidRPr="00263DB9" w:rsidRDefault="00906898" w:rsidP="003970DC">
            <w:pPr>
              <w:keepNext/>
              <w:keepLines/>
              <w:widowControl w:val="0"/>
              <w:suppressAutoHyphens/>
              <w:jc w:val="center"/>
              <w:rPr>
                <w:color w:val="000000"/>
                <w:szCs w:val="22"/>
              </w:rPr>
            </w:pPr>
            <w:r w:rsidRPr="00263DB9">
              <w:rPr>
                <w:color w:val="000000"/>
                <w:szCs w:val="22"/>
              </w:rPr>
              <w:t>400 mg (n=73)</w:t>
            </w:r>
          </w:p>
          <w:p w14:paraId="375EB2E2" w14:textId="77777777" w:rsidR="00906898" w:rsidRPr="00263DB9" w:rsidRDefault="00906898" w:rsidP="003970DC">
            <w:pPr>
              <w:keepNext/>
              <w:keepLines/>
              <w:widowControl w:val="0"/>
              <w:suppressAutoHyphens/>
              <w:jc w:val="center"/>
              <w:rPr>
                <w:color w:val="000000"/>
                <w:szCs w:val="22"/>
              </w:rPr>
            </w:pPr>
            <w:r w:rsidRPr="00263DB9">
              <w:rPr>
                <w:color w:val="000000"/>
                <w:szCs w:val="22"/>
              </w:rPr>
              <w:t>600 mg (n=74)</w:t>
            </w:r>
          </w:p>
          <w:p w14:paraId="375EB2E3" w14:textId="77777777" w:rsidR="00906898" w:rsidRPr="00263DB9" w:rsidRDefault="00906898" w:rsidP="003970DC">
            <w:pPr>
              <w:keepNext/>
              <w:keepLines/>
              <w:widowControl w:val="0"/>
              <w:suppressAutoHyphens/>
              <w:jc w:val="center"/>
              <w:rPr>
                <w:color w:val="000000"/>
                <w:szCs w:val="22"/>
              </w:rPr>
            </w:pPr>
            <w:r w:rsidRPr="00263DB9">
              <w:rPr>
                <w:color w:val="000000"/>
                <w:szCs w:val="22"/>
              </w:rPr>
              <w:t>n (%)</w:t>
            </w:r>
          </w:p>
        </w:tc>
      </w:tr>
      <w:tr w:rsidR="00906898" w:rsidRPr="00263DB9" w14:paraId="375EB2E7" w14:textId="77777777" w:rsidTr="003970DC">
        <w:trPr>
          <w:cantSplit/>
        </w:trPr>
        <w:tc>
          <w:tcPr>
            <w:tcW w:w="4638" w:type="dxa"/>
          </w:tcPr>
          <w:p w14:paraId="375EB2E5" w14:textId="77777777" w:rsidR="00906898" w:rsidRPr="00263DB9" w:rsidRDefault="00906898" w:rsidP="003970DC">
            <w:pPr>
              <w:keepNext/>
              <w:keepLines/>
              <w:widowControl w:val="0"/>
              <w:suppressAutoHyphens/>
              <w:rPr>
                <w:color w:val="000000"/>
                <w:szCs w:val="22"/>
              </w:rPr>
            </w:pPr>
            <w:r w:rsidRPr="00263DB9">
              <w:rPr>
                <w:color w:val="000000"/>
                <w:szCs w:val="22"/>
              </w:rPr>
              <w:t>Resposta completa</w:t>
            </w:r>
          </w:p>
        </w:tc>
        <w:tc>
          <w:tcPr>
            <w:tcW w:w="4638" w:type="dxa"/>
          </w:tcPr>
          <w:p w14:paraId="375EB2E6" w14:textId="77777777" w:rsidR="00906898" w:rsidRPr="00263DB9" w:rsidRDefault="00906898" w:rsidP="003970DC">
            <w:pPr>
              <w:keepNext/>
              <w:keepLines/>
              <w:widowControl w:val="0"/>
              <w:suppressAutoHyphens/>
              <w:jc w:val="center"/>
              <w:rPr>
                <w:color w:val="000000"/>
                <w:szCs w:val="22"/>
              </w:rPr>
            </w:pPr>
            <w:r w:rsidRPr="00263DB9">
              <w:rPr>
                <w:color w:val="000000"/>
                <w:szCs w:val="22"/>
              </w:rPr>
              <w:t>1 (0,7)</w:t>
            </w:r>
          </w:p>
        </w:tc>
      </w:tr>
      <w:tr w:rsidR="00906898" w:rsidRPr="00263DB9" w14:paraId="375EB2EA" w14:textId="77777777" w:rsidTr="003970DC">
        <w:trPr>
          <w:cantSplit/>
        </w:trPr>
        <w:tc>
          <w:tcPr>
            <w:tcW w:w="4638" w:type="dxa"/>
          </w:tcPr>
          <w:p w14:paraId="375EB2E8" w14:textId="77777777" w:rsidR="00906898" w:rsidRPr="00263DB9" w:rsidRDefault="00906898" w:rsidP="003970DC">
            <w:pPr>
              <w:keepNext/>
              <w:keepLines/>
              <w:widowControl w:val="0"/>
              <w:suppressAutoHyphens/>
              <w:rPr>
                <w:color w:val="000000"/>
                <w:szCs w:val="22"/>
              </w:rPr>
            </w:pPr>
            <w:r w:rsidRPr="00263DB9">
              <w:rPr>
                <w:color w:val="000000"/>
                <w:szCs w:val="22"/>
              </w:rPr>
              <w:t>Resposta parcial</w:t>
            </w:r>
          </w:p>
        </w:tc>
        <w:tc>
          <w:tcPr>
            <w:tcW w:w="4638" w:type="dxa"/>
          </w:tcPr>
          <w:p w14:paraId="375EB2E9" w14:textId="77777777" w:rsidR="00906898" w:rsidRPr="00263DB9" w:rsidRDefault="00906898" w:rsidP="003970DC">
            <w:pPr>
              <w:keepNext/>
              <w:keepLines/>
              <w:widowControl w:val="0"/>
              <w:suppressAutoHyphens/>
              <w:jc w:val="center"/>
              <w:rPr>
                <w:color w:val="000000"/>
                <w:szCs w:val="22"/>
              </w:rPr>
            </w:pPr>
            <w:r w:rsidRPr="00263DB9">
              <w:rPr>
                <w:color w:val="000000"/>
                <w:szCs w:val="22"/>
              </w:rPr>
              <w:t>98 (66,7)</w:t>
            </w:r>
          </w:p>
        </w:tc>
      </w:tr>
      <w:tr w:rsidR="00906898" w:rsidRPr="00263DB9" w14:paraId="375EB2ED" w14:textId="77777777" w:rsidTr="003970DC">
        <w:trPr>
          <w:cantSplit/>
        </w:trPr>
        <w:tc>
          <w:tcPr>
            <w:tcW w:w="4638" w:type="dxa"/>
          </w:tcPr>
          <w:p w14:paraId="375EB2EB" w14:textId="77777777" w:rsidR="00906898" w:rsidRPr="00263DB9" w:rsidRDefault="00906898" w:rsidP="003970DC">
            <w:pPr>
              <w:keepNext/>
              <w:keepLines/>
              <w:widowControl w:val="0"/>
              <w:suppressAutoHyphens/>
              <w:rPr>
                <w:color w:val="000000"/>
                <w:szCs w:val="22"/>
              </w:rPr>
            </w:pPr>
            <w:r w:rsidRPr="00263DB9">
              <w:rPr>
                <w:color w:val="000000"/>
                <w:szCs w:val="22"/>
              </w:rPr>
              <w:t>Doença estabilizada</w:t>
            </w:r>
          </w:p>
        </w:tc>
        <w:tc>
          <w:tcPr>
            <w:tcW w:w="4638" w:type="dxa"/>
          </w:tcPr>
          <w:p w14:paraId="375EB2EC" w14:textId="77777777" w:rsidR="00906898" w:rsidRPr="00263DB9" w:rsidRDefault="00906898" w:rsidP="003970DC">
            <w:pPr>
              <w:keepNext/>
              <w:keepLines/>
              <w:widowControl w:val="0"/>
              <w:suppressAutoHyphens/>
              <w:jc w:val="center"/>
              <w:rPr>
                <w:color w:val="000000"/>
                <w:szCs w:val="22"/>
              </w:rPr>
            </w:pPr>
            <w:r w:rsidRPr="00263DB9">
              <w:rPr>
                <w:color w:val="000000"/>
                <w:szCs w:val="22"/>
              </w:rPr>
              <w:t>23 (15,6)</w:t>
            </w:r>
          </w:p>
        </w:tc>
      </w:tr>
      <w:tr w:rsidR="00906898" w:rsidRPr="00263DB9" w14:paraId="375EB2F0" w14:textId="77777777" w:rsidTr="003970DC">
        <w:trPr>
          <w:cantSplit/>
        </w:trPr>
        <w:tc>
          <w:tcPr>
            <w:tcW w:w="4638" w:type="dxa"/>
          </w:tcPr>
          <w:p w14:paraId="375EB2EE" w14:textId="77777777" w:rsidR="00906898" w:rsidRPr="00263DB9" w:rsidRDefault="00906898" w:rsidP="003970DC">
            <w:pPr>
              <w:keepNext/>
              <w:keepLines/>
              <w:widowControl w:val="0"/>
              <w:suppressAutoHyphens/>
              <w:rPr>
                <w:color w:val="000000"/>
                <w:szCs w:val="22"/>
              </w:rPr>
            </w:pPr>
            <w:r w:rsidRPr="00263DB9">
              <w:rPr>
                <w:color w:val="000000"/>
                <w:szCs w:val="22"/>
              </w:rPr>
              <w:t>Doença progressiva</w:t>
            </w:r>
          </w:p>
        </w:tc>
        <w:tc>
          <w:tcPr>
            <w:tcW w:w="4638" w:type="dxa"/>
          </w:tcPr>
          <w:p w14:paraId="375EB2EF" w14:textId="77777777" w:rsidR="00906898" w:rsidRPr="00263DB9" w:rsidRDefault="00906898" w:rsidP="003970DC">
            <w:pPr>
              <w:keepNext/>
              <w:keepLines/>
              <w:widowControl w:val="0"/>
              <w:suppressAutoHyphens/>
              <w:jc w:val="center"/>
              <w:rPr>
                <w:color w:val="000000"/>
                <w:szCs w:val="22"/>
              </w:rPr>
            </w:pPr>
            <w:r w:rsidRPr="00263DB9">
              <w:rPr>
                <w:color w:val="000000"/>
                <w:szCs w:val="22"/>
              </w:rPr>
              <w:t>18 (12,2)</w:t>
            </w:r>
          </w:p>
        </w:tc>
      </w:tr>
      <w:tr w:rsidR="00906898" w:rsidRPr="00263DB9" w14:paraId="375EB2F3" w14:textId="77777777" w:rsidTr="003970DC">
        <w:trPr>
          <w:cantSplit/>
        </w:trPr>
        <w:tc>
          <w:tcPr>
            <w:tcW w:w="4638" w:type="dxa"/>
          </w:tcPr>
          <w:p w14:paraId="375EB2F1" w14:textId="77777777" w:rsidR="00906898" w:rsidRPr="00263DB9" w:rsidRDefault="00906898" w:rsidP="003970DC">
            <w:pPr>
              <w:keepNext/>
              <w:keepLines/>
              <w:widowControl w:val="0"/>
              <w:suppressAutoHyphens/>
              <w:rPr>
                <w:color w:val="000000"/>
                <w:szCs w:val="22"/>
              </w:rPr>
            </w:pPr>
            <w:r w:rsidRPr="00263DB9">
              <w:rPr>
                <w:color w:val="000000"/>
                <w:szCs w:val="22"/>
              </w:rPr>
              <w:t>Não avaliável</w:t>
            </w:r>
          </w:p>
        </w:tc>
        <w:tc>
          <w:tcPr>
            <w:tcW w:w="4638" w:type="dxa"/>
          </w:tcPr>
          <w:p w14:paraId="375EB2F2" w14:textId="77777777" w:rsidR="00906898" w:rsidRPr="00263DB9" w:rsidRDefault="00906898" w:rsidP="003970DC">
            <w:pPr>
              <w:keepNext/>
              <w:keepLines/>
              <w:widowControl w:val="0"/>
              <w:suppressAutoHyphens/>
              <w:jc w:val="center"/>
              <w:rPr>
                <w:color w:val="000000"/>
                <w:szCs w:val="22"/>
              </w:rPr>
            </w:pPr>
            <w:r w:rsidRPr="00263DB9">
              <w:rPr>
                <w:color w:val="000000"/>
                <w:szCs w:val="22"/>
              </w:rPr>
              <w:t>5 (3,4)</w:t>
            </w:r>
          </w:p>
        </w:tc>
      </w:tr>
      <w:tr w:rsidR="00906898" w:rsidRPr="00263DB9" w14:paraId="375EB2F6" w14:textId="77777777" w:rsidTr="003970DC">
        <w:trPr>
          <w:cantSplit/>
        </w:trPr>
        <w:tc>
          <w:tcPr>
            <w:tcW w:w="4638" w:type="dxa"/>
            <w:tcBorders>
              <w:bottom w:val="single" w:sz="4" w:space="0" w:color="auto"/>
            </w:tcBorders>
          </w:tcPr>
          <w:p w14:paraId="375EB2F4" w14:textId="77777777" w:rsidR="00906898" w:rsidRPr="00263DB9" w:rsidRDefault="00906898" w:rsidP="003970DC">
            <w:pPr>
              <w:keepNext/>
              <w:keepLines/>
              <w:widowControl w:val="0"/>
              <w:suppressAutoHyphens/>
              <w:rPr>
                <w:color w:val="000000"/>
                <w:szCs w:val="22"/>
              </w:rPr>
            </w:pPr>
            <w:r w:rsidRPr="00263DB9">
              <w:rPr>
                <w:color w:val="000000"/>
                <w:szCs w:val="22"/>
              </w:rPr>
              <w:t>Desconhecido</w:t>
            </w:r>
          </w:p>
        </w:tc>
        <w:tc>
          <w:tcPr>
            <w:tcW w:w="4638" w:type="dxa"/>
            <w:tcBorders>
              <w:bottom w:val="single" w:sz="4" w:space="0" w:color="auto"/>
            </w:tcBorders>
          </w:tcPr>
          <w:p w14:paraId="375EB2F5" w14:textId="77777777" w:rsidR="00906898" w:rsidRPr="00263DB9" w:rsidRDefault="00906898" w:rsidP="003970DC">
            <w:pPr>
              <w:keepNext/>
              <w:keepLines/>
              <w:widowControl w:val="0"/>
              <w:suppressAutoHyphens/>
              <w:jc w:val="center"/>
              <w:rPr>
                <w:color w:val="000000"/>
                <w:szCs w:val="22"/>
              </w:rPr>
            </w:pPr>
            <w:r w:rsidRPr="00263DB9">
              <w:rPr>
                <w:color w:val="000000"/>
                <w:szCs w:val="22"/>
              </w:rPr>
              <w:t>2 (1,4)</w:t>
            </w:r>
          </w:p>
        </w:tc>
      </w:tr>
    </w:tbl>
    <w:p w14:paraId="375EB2F7" w14:textId="77777777" w:rsidR="00906898" w:rsidRPr="00263DB9" w:rsidRDefault="00906898" w:rsidP="00E51817">
      <w:pPr>
        <w:widowControl w:val="0"/>
        <w:suppressAutoHyphens/>
        <w:rPr>
          <w:color w:val="000000"/>
          <w:szCs w:val="22"/>
        </w:rPr>
      </w:pPr>
    </w:p>
    <w:p w14:paraId="375EB2F8" w14:textId="77777777" w:rsidR="00906898" w:rsidRPr="00263DB9" w:rsidRDefault="00906898" w:rsidP="00E51817">
      <w:pPr>
        <w:widowControl w:val="0"/>
        <w:suppressAutoHyphens/>
        <w:rPr>
          <w:color w:val="000000"/>
          <w:szCs w:val="22"/>
        </w:rPr>
      </w:pPr>
      <w:r w:rsidRPr="00263DB9">
        <w:rPr>
          <w:color w:val="000000"/>
          <w:szCs w:val="22"/>
        </w:rPr>
        <w:t xml:space="preserve">Não se verificaram diferenças entre as taxas de resposta dos grupos tratados com as duas doses. Um número significativo de doentes que tinha doença estável aquando da análise interina, atingiu resposta parcial com o tratamento prolongado (mediana do período de seguimento de 31 meses). A Mediana do tempo para resposta foi de 13 semanas (IC 95% 12–23). A mediana do tempo para falência do tratamento nos doentes que responderam ao tratamento foi de 122 semanas (IC 95% 106–147), enquanto que na população total do estudo foi de 84 semanas (IC 95% 71–109). Não foi atingida a mediana da </w:t>
      </w:r>
      <w:r w:rsidR="00600EF5" w:rsidRPr="00263DB9">
        <w:rPr>
          <w:color w:val="000000"/>
          <w:szCs w:val="22"/>
        </w:rPr>
        <w:t xml:space="preserve">sobrevivência </w:t>
      </w:r>
      <w:r w:rsidRPr="00263DB9">
        <w:rPr>
          <w:color w:val="000000"/>
          <w:szCs w:val="22"/>
        </w:rPr>
        <w:t xml:space="preserve">global. A estimativa (método Kaplan-Meier) para a </w:t>
      </w:r>
      <w:r w:rsidR="00600EF5" w:rsidRPr="00263DB9">
        <w:rPr>
          <w:color w:val="000000"/>
          <w:szCs w:val="22"/>
        </w:rPr>
        <w:t xml:space="preserve">sobrevivência </w:t>
      </w:r>
      <w:r w:rsidRPr="00263DB9">
        <w:rPr>
          <w:color w:val="000000"/>
          <w:szCs w:val="22"/>
        </w:rPr>
        <w:t>após 36 meses de seguimento é de 68%.</w:t>
      </w:r>
    </w:p>
    <w:p w14:paraId="375EB2F9" w14:textId="77777777" w:rsidR="00906898" w:rsidRPr="00263DB9" w:rsidRDefault="00906898" w:rsidP="00E51817">
      <w:pPr>
        <w:widowControl w:val="0"/>
        <w:suppressAutoHyphens/>
        <w:rPr>
          <w:color w:val="000000"/>
          <w:szCs w:val="22"/>
        </w:rPr>
      </w:pPr>
    </w:p>
    <w:p w14:paraId="375EB2FA" w14:textId="77777777" w:rsidR="00906898" w:rsidRPr="00263DB9" w:rsidRDefault="00906898" w:rsidP="00E51817">
      <w:pPr>
        <w:widowControl w:val="0"/>
        <w:suppressAutoHyphens/>
        <w:rPr>
          <w:color w:val="000000"/>
          <w:szCs w:val="22"/>
        </w:rPr>
      </w:pPr>
      <w:r w:rsidRPr="00263DB9">
        <w:rPr>
          <w:color w:val="000000"/>
          <w:szCs w:val="22"/>
        </w:rPr>
        <w:t>Em dois ensaios clínicos (estudo B2222 e estudo intergrupos S0033) a dose diária de Glivec foi aumentada para 800 mg em doentes com progressão da doença nas doses diárias inferiores de 400 mg ou 600 mg. A dose diária foi aumentada para 800 mg num total de 103 doentes; 6 doentes atingiram resposta parcial e 21 atingiram estabilização da doença após aumento da dose, para um benefício clínico global de 26%. A informação de segurança disponível indica que o aumento da dose para 800 mg por dia, em doentes com doses iniciais de 400 mg ou 600 mg por dia, não parece afetar o perfil de segurança de Glivec.</w:t>
      </w:r>
    </w:p>
    <w:p w14:paraId="375EB2FB" w14:textId="77777777" w:rsidR="00906898" w:rsidRPr="00263DB9" w:rsidRDefault="00906898" w:rsidP="00E51817">
      <w:pPr>
        <w:widowControl w:val="0"/>
        <w:suppressAutoHyphens/>
        <w:rPr>
          <w:color w:val="000000"/>
          <w:szCs w:val="22"/>
          <w:u w:val="single"/>
        </w:rPr>
      </w:pPr>
    </w:p>
    <w:p w14:paraId="375EB2FC" w14:textId="77777777" w:rsidR="00906898" w:rsidRPr="00263DB9" w:rsidRDefault="00906898" w:rsidP="003970DC">
      <w:pPr>
        <w:keepNext/>
        <w:widowControl w:val="0"/>
        <w:suppressAutoHyphens/>
        <w:rPr>
          <w:color w:val="000000"/>
          <w:szCs w:val="22"/>
          <w:u w:val="single"/>
        </w:rPr>
      </w:pPr>
      <w:r w:rsidRPr="00263DB9">
        <w:rPr>
          <w:color w:val="000000"/>
          <w:szCs w:val="22"/>
          <w:u w:val="single"/>
        </w:rPr>
        <w:t>Ensaios clínicos em GIST adjuvante</w:t>
      </w:r>
    </w:p>
    <w:p w14:paraId="375EB2FD" w14:textId="77777777" w:rsidR="00906898" w:rsidRPr="00263DB9" w:rsidRDefault="00906898" w:rsidP="00E51817">
      <w:pPr>
        <w:widowControl w:val="0"/>
        <w:suppressAutoHyphens/>
        <w:rPr>
          <w:color w:val="000000"/>
          <w:szCs w:val="22"/>
        </w:rPr>
      </w:pPr>
      <w:r w:rsidRPr="00263DB9">
        <w:rPr>
          <w:color w:val="000000"/>
          <w:szCs w:val="22"/>
        </w:rPr>
        <w:t>No contexto adjuvante, o Glivec foi investigado num ensaio clínico de fase III (Z9001), multicêntrico, em dupla ocultação, de longo termo, controlado com placebo, envolvendo 773 doentes. A idade dos doentes variou dos 18 aos 91 anos. Foram incluídos doentes com diagnóstico histológico de GIST primário com expressão da proteína Kit por imunohistoquímica e um tamanho ≥ 3 cm na maior dimensão, com ressecção macroscópica completa do GIST primário nos 14</w:t>
      </w:r>
      <w:r w:rsidRPr="00263DB9">
        <w:rPr>
          <w:color w:val="000000"/>
          <w:szCs w:val="22"/>
        </w:rPr>
        <w:noBreakHyphen/>
        <w:t>70 dias anteriores ao registo. Após ressecção do GIST primário, os doentes foram aleatorizados para um de dois braços: Glivec 400 mg/dia ou placebo, durante um ano.</w:t>
      </w:r>
    </w:p>
    <w:p w14:paraId="375EB2FE" w14:textId="77777777" w:rsidR="00906898" w:rsidRPr="00263DB9" w:rsidRDefault="00906898" w:rsidP="00E51817">
      <w:pPr>
        <w:widowControl w:val="0"/>
        <w:suppressAutoHyphens/>
        <w:rPr>
          <w:color w:val="000000"/>
          <w:szCs w:val="22"/>
        </w:rPr>
      </w:pPr>
    </w:p>
    <w:p w14:paraId="375EB2FF" w14:textId="77777777" w:rsidR="00906898" w:rsidRPr="00263DB9" w:rsidRDefault="00906898" w:rsidP="00E51817">
      <w:pPr>
        <w:widowControl w:val="0"/>
        <w:suppressAutoHyphens/>
        <w:rPr>
          <w:color w:val="000000"/>
          <w:szCs w:val="22"/>
        </w:rPr>
      </w:pPr>
      <w:r w:rsidRPr="00263DB9">
        <w:rPr>
          <w:color w:val="000000"/>
          <w:szCs w:val="22"/>
        </w:rPr>
        <w:t xml:space="preserve">O parâmetro de avaliação primário do estudo foi a </w:t>
      </w:r>
      <w:r w:rsidR="00600EF5" w:rsidRPr="00263DB9">
        <w:rPr>
          <w:color w:val="000000"/>
          <w:szCs w:val="22"/>
        </w:rPr>
        <w:t xml:space="preserve">sobrevivência </w:t>
      </w:r>
      <w:r w:rsidRPr="00263DB9">
        <w:rPr>
          <w:color w:val="000000"/>
          <w:szCs w:val="22"/>
        </w:rPr>
        <w:t>livre de recorrência (RFS), definida como o tempo entre a data de aleatorização e a data de recorrência, ou morte por qualquer causa.</w:t>
      </w:r>
    </w:p>
    <w:p w14:paraId="375EB300" w14:textId="77777777" w:rsidR="00906898" w:rsidRPr="00263DB9" w:rsidRDefault="00906898" w:rsidP="00E51817">
      <w:pPr>
        <w:widowControl w:val="0"/>
        <w:suppressAutoHyphens/>
        <w:rPr>
          <w:color w:val="000000"/>
          <w:szCs w:val="22"/>
        </w:rPr>
      </w:pPr>
    </w:p>
    <w:p w14:paraId="375EB301" w14:textId="77777777" w:rsidR="00906898" w:rsidRPr="00263DB9" w:rsidRDefault="00906898" w:rsidP="00E51817">
      <w:pPr>
        <w:widowControl w:val="0"/>
        <w:suppressAutoHyphens/>
        <w:rPr>
          <w:color w:val="000000"/>
          <w:szCs w:val="22"/>
        </w:rPr>
      </w:pPr>
      <w:r w:rsidRPr="00263DB9">
        <w:rPr>
          <w:color w:val="000000"/>
          <w:szCs w:val="22"/>
        </w:rPr>
        <w:t>Glivec prolongou de forma significativa a RFS, com 75% dos doentes livres de recorrência aos 38 meses no grupo de Glivec vs. 20 meses no grupo de placebo (95% ICs, [30 - não</w:t>
      </w:r>
      <w:r w:rsidRPr="00263DB9">
        <w:rPr>
          <w:color w:val="000000"/>
          <w:szCs w:val="22"/>
        </w:rPr>
        <w:noBreakHyphen/>
        <w:t>estimável], [14 - não</w:t>
      </w:r>
      <w:r w:rsidRPr="00263DB9">
        <w:rPr>
          <w:color w:val="000000"/>
          <w:szCs w:val="22"/>
        </w:rPr>
        <w:noBreakHyphen/>
        <w:t>estimável], respetivamente), (taxa de risco = 0,398 [0,259</w:t>
      </w:r>
      <w:r w:rsidRPr="00263DB9">
        <w:rPr>
          <w:color w:val="000000"/>
          <w:szCs w:val="22"/>
        </w:rPr>
        <w:noBreakHyphen/>
        <w:t>0,610], p&lt;0,0001). A um ano, a RFS global foi significantemente melhor para Glivec (97,7%) vs. placebo (82,3%), (p&lt;0,0001). O risco de recorrência foi, por isso, reduzido em aproximadamente 89% quando comparado com placebo (risco relativo = 0,113 [0,049</w:t>
      </w:r>
      <w:r w:rsidRPr="00263DB9">
        <w:rPr>
          <w:color w:val="000000"/>
          <w:szCs w:val="22"/>
        </w:rPr>
        <w:noBreakHyphen/>
        <w:t>0,264]).</w:t>
      </w:r>
    </w:p>
    <w:p w14:paraId="375EB302" w14:textId="77777777" w:rsidR="00906898" w:rsidRPr="00263DB9" w:rsidRDefault="00906898" w:rsidP="00E51817">
      <w:pPr>
        <w:widowControl w:val="0"/>
        <w:suppressAutoHyphens/>
        <w:rPr>
          <w:color w:val="000000"/>
          <w:szCs w:val="22"/>
        </w:rPr>
      </w:pPr>
    </w:p>
    <w:p w14:paraId="375EB303" w14:textId="77777777" w:rsidR="00906898" w:rsidRPr="00263DB9" w:rsidRDefault="00906898" w:rsidP="00E51817">
      <w:pPr>
        <w:widowControl w:val="0"/>
        <w:suppressAutoHyphens/>
        <w:rPr>
          <w:color w:val="000000"/>
          <w:szCs w:val="22"/>
        </w:rPr>
      </w:pPr>
      <w:r w:rsidRPr="00263DB9">
        <w:rPr>
          <w:color w:val="000000"/>
          <w:szCs w:val="22"/>
        </w:rPr>
        <w:t xml:space="preserve">O risco de recorrência em doentes após cirurgia do seu GIST primário foi avaliada retrospetivamente com base nos seguintes fatores de prognóstico: tamanho do tumor, índice mitótico, localização do tumor. Os dados de índice mitótico estavam disponíveis para 556 dos 713 da população intenção-para-tratar (ITT). Os resultados das análises de subgrupo de acordo com as classificações do risco do </w:t>
      </w:r>
      <w:r w:rsidRPr="00263DB9">
        <w:rPr>
          <w:i/>
          <w:iCs/>
          <w:color w:val="000000"/>
          <w:szCs w:val="22"/>
        </w:rPr>
        <w:t>National Institutes of Health</w:t>
      </w:r>
      <w:r w:rsidRPr="00263DB9">
        <w:rPr>
          <w:color w:val="000000"/>
          <w:szCs w:val="22"/>
        </w:rPr>
        <w:t xml:space="preserve"> (NIH) e do </w:t>
      </w:r>
      <w:r w:rsidRPr="00263DB9">
        <w:rPr>
          <w:i/>
          <w:iCs/>
          <w:color w:val="000000"/>
          <w:szCs w:val="22"/>
        </w:rPr>
        <w:t xml:space="preserve">Armed Forces Institute of Pathology </w:t>
      </w:r>
      <w:r w:rsidRPr="00263DB9">
        <w:rPr>
          <w:color w:val="000000"/>
          <w:szCs w:val="22"/>
        </w:rPr>
        <w:t>(AFIP) dos Estados Unidos são apresentados na Tabela </w:t>
      </w:r>
      <w:r w:rsidR="00094C01" w:rsidRPr="00263DB9">
        <w:rPr>
          <w:color w:val="000000"/>
          <w:szCs w:val="22"/>
        </w:rPr>
        <w:t>7</w:t>
      </w:r>
      <w:r w:rsidRPr="00263DB9">
        <w:rPr>
          <w:color w:val="000000"/>
          <w:szCs w:val="22"/>
        </w:rPr>
        <w:t xml:space="preserve">. Não se observou benefício nos grupos de risco baixo e muito baixo. Não se observou benefício na </w:t>
      </w:r>
      <w:r w:rsidR="00600EF5" w:rsidRPr="00263DB9">
        <w:rPr>
          <w:color w:val="000000"/>
          <w:szCs w:val="22"/>
        </w:rPr>
        <w:t xml:space="preserve">sobrevivência </w:t>
      </w:r>
      <w:r w:rsidRPr="00263DB9">
        <w:rPr>
          <w:color w:val="000000"/>
          <w:szCs w:val="22"/>
        </w:rPr>
        <w:t>global.</w:t>
      </w:r>
    </w:p>
    <w:p w14:paraId="375EB304" w14:textId="77777777" w:rsidR="00906898" w:rsidRPr="00263DB9" w:rsidRDefault="00906898" w:rsidP="00E51817">
      <w:pPr>
        <w:widowControl w:val="0"/>
        <w:suppressAutoHyphens/>
        <w:rPr>
          <w:color w:val="000000"/>
          <w:szCs w:val="22"/>
          <w:u w:val="single"/>
        </w:rPr>
      </w:pPr>
    </w:p>
    <w:p w14:paraId="375EB305" w14:textId="77777777" w:rsidR="00906898" w:rsidRPr="00263DB9" w:rsidRDefault="00906898" w:rsidP="003970DC">
      <w:pPr>
        <w:pStyle w:val="Heading6"/>
        <w:keepLines/>
        <w:widowControl w:val="0"/>
        <w:tabs>
          <w:tab w:val="clear" w:pos="567"/>
          <w:tab w:val="clear" w:pos="4536"/>
          <w:tab w:val="left" w:pos="1134"/>
        </w:tabs>
        <w:spacing w:line="240" w:lineRule="auto"/>
        <w:ind w:left="1134" w:hanging="1134"/>
        <w:rPr>
          <w:rFonts w:eastAsia="MS Mincho"/>
          <w:b/>
          <w:i w:val="0"/>
          <w:color w:val="000000"/>
          <w:szCs w:val="22"/>
          <w:lang w:val="pt-PT" w:eastAsia="ja-JP"/>
        </w:rPr>
      </w:pPr>
      <w:r w:rsidRPr="00263DB9">
        <w:rPr>
          <w:rFonts w:eastAsia="MS Mincho"/>
          <w:b/>
          <w:i w:val="0"/>
          <w:color w:val="000000"/>
          <w:szCs w:val="22"/>
          <w:lang w:val="pt-PT" w:eastAsia="ja-JP"/>
        </w:rPr>
        <w:lastRenderedPageBreak/>
        <w:t>Tabela </w:t>
      </w:r>
      <w:r w:rsidR="00094C01" w:rsidRPr="00263DB9">
        <w:rPr>
          <w:rFonts w:eastAsia="MS Mincho"/>
          <w:b/>
          <w:i w:val="0"/>
          <w:color w:val="000000"/>
          <w:szCs w:val="22"/>
          <w:lang w:val="pt-PT" w:eastAsia="ja-JP"/>
        </w:rPr>
        <w:t>7</w:t>
      </w:r>
      <w:r w:rsidRPr="00263DB9">
        <w:rPr>
          <w:rFonts w:eastAsia="MS Mincho"/>
          <w:b/>
          <w:i w:val="0"/>
          <w:color w:val="000000"/>
          <w:szCs w:val="22"/>
          <w:lang w:val="pt-PT" w:eastAsia="ja-JP"/>
        </w:rPr>
        <w:tab/>
        <w:t>Resumo das análises de RFS do estudo Z9001 de acordo com as classificações do risco do NIH e da AFIP</w:t>
      </w:r>
    </w:p>
    <w:p w14:paraId="375EB306" w14:textId="77777777" w:rsidR="00906898" w:rsidRPr="00263DB9" w:rsidRDefault="00906898" w:rsidP="003970DC">
      <w:pPr>
        <w:keepNext/>
        <w:keepLines/>
        <w:widowControl w:val="0"/>
        <w:rPr>
          <w:rFonts w:eastAsia="MS Mincho"/>
          <w:color w:val="000000"/>
          <w:lang w:eastAsia="ja-JP"/>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417"/>
        <w:gridCol w:w="986"/>
        <w:gridCol w:w="2083"/>
        <w:gridCol w:w="1351"/>
        <w:gridCol w:w="1440"/>
        <w:gridCol w:w="1360"/>
      </w:tblGrid>
      <w:tr w:rsidR="00906898" w:rsidRPr="00263DB9" w14:paraId="375EB30E" w14:textId="77777777">
        <w:trPr>
          <w:cantSplit/>
        </w:trPr>
        <w:tc>
          <w:tcPr>
            <w:tcW w:w="1101" w:type="dxa"/>
            <w:vMerge w:val="restart"/>
          </w:tcPr>
          <w:p w14:paraId="375EB307" w14:textId="77777777" w:rsidR="00906898" w:rsidRPr="00263DB9" w:rsidRDefault="00906898" w:rsidP="003970DC">
            <w:pPr>
              <w:keepNext/>
              <w:keepLines/>
              <w:widowControl w:val="0"/>
              <w:tabs>
                <w:tab w:val="left" w:pos="567"/>
              </w:tabs>
              <w:spacing w:before="120" w:line="260" w:lineRule="exact"/>
              <w:jc w:val="center"/>
              <w:rPr>
                <w:b/>
                <w:color w:val="000000"/>
                <w:szCs w:val="22"/>
              </w:rPr>
            </w:pPr>
            <w:r w:rsidRPr="00263DB9">
              <w:rPr>
                <w:b/>
                <w:color w:val="000000"/>
                <w:szCs w:val="22"/>
              </w:rPr>
              <w:t>Critérios de risco</w:t>
            </w:r>
          </w:p>
        </w:tc>
        <w:tc>
          <w:tcPr>
            <w:tcW w:w="1417" w:type="dxa"/>
            <w:vMerge w:val="restart"/>
            <w:tcBorders>
              <w:right w:val="single" w:sz="4" w:space="0" w:color="auto"/>
            </w:tcBorders>
          </w:tcPr>
          <w:p w14:paraId="375EB308" w14:textId="77777777" w:rsidR="00906898" w:rsidRPr="00263DB9" w:rsidRDefault="00906898" w:rsidP="003970DC">
            <w:pPr>
              <w:keepNext/>
              <w:keepLines/>
              <w:widowControl w:val="0"/>
              <w:tabs>
                <w:tab w:val="left" w:pos="567"/>
              </w:tabs>
              <w:spacing w:before="120" w:line="260" w:lineRule="exact"/>
              <w:rPr>
                <w:b/>
                <w:color w:val="000000"/>
                <w:szCs w:val="22"/>
              </w:rPr>
            </w:pPr>
            <w:r w:rsidRPr="00263DB9">
              <w:rPr>
                <w:b/>
                <w:color w:val="000000"/>
                <w:szCs w:val="22"/>
              </w:rPr>
              <w:t>Nível de Risco</w:t>
            </w:r>
          </w:p>
          <w:p w14:paraId="375EB309" w14:textId="77777777" w:rsidR="00906898" w:rsidRPr="00263DB9" w:rsidRDefault="00906898" w:rsidP="003970DC">
            <w:pPr>
              <w:keepNext/>
              <w:keepLines/>
              <w:widowControl w:val="0"/>
              <w:tabs>
                <w:tab w:val="left" w:pos="567"/>
              </w:tabs>
              <w:spacing w:before="120" w:line="260" w:lineRule="exact"/>
              <w:rPr>
                <w:b/>
                <w:color w:val="000000"/>
                <w:szCs w:val="22"/>
              </w:rPr>
            </w:pPr>
          </w:p>
        </w:tc>
        <w:tc>
          <w:tcPr>
            <w:tcW w:w="986" w:type="dxa"/>
            <w:vMerge w:val="restart"/>
            <w:tcBorders>
              <w:left w:val="single" w:sz="4" w:space="0" w:color="auto"/>
              <w:right w:val="single" w:sz="4" w:space="0" w:color="auto"/>
            </w:tcBorders>
          </w:tcPr>
          <w:p w14:paraId="375EB30A" w14:textId="77777777" w:rsidR="00906898" w:rsidRPr="00263DB9" w:rsidRDefault="00906898" w:rsidP="003970DC">
            <w:pPr>
              <w:keepNext/>
              <w:keepLines/>
              <w:widowControl w:val="0"/>
              <w:tabs>
                <w:tab w:val="left" w:pos="567"/>
              </w:tabs>
              <w:spacing w:before="120" w:line="260" w:lineRule="exact"/>
              <w:jc w:val="center"/>
              <w:rPr>
                <w:b/>
                <w:color w:val="000000"/>
                <w:szCs w:val="22"/>
              </w:rPr>
            </w:pPr>
            <w:r w:rsidRPr="00263DB9">
              <w:rPr>
                <w:b/>
                <w:color w:val="000000"/>
                <w:szCs w:val="22"/>
              </w:rPr>
              <w:t>% de doentes</w:t>
            </w:r>
          </w:p>
        </w:tc>
        <w:tc>
          <w:tcPr>
            <w:tcW w:w="2083" w:type="dxa"/>
            <w:vMerge w:val="restart"/>
            <w:tcBorders>
              <w:left w:val="single" w:sz="4" w:space="0" w:color="auto"/>
              <w:right w:val="single" w:sz="4" w:space="0" w:color="auto"/>
            </w:tcBorders>
          </w:tcPr>
          <w:p w14:paraId="375EB30B" w14:textId="77777777" w:rsidR="00906898" w:rsidRPr="00263DB9" w:rsidRDefault="00906898" w:rsidP="003970DC">
            <w:pPr>
              <w:keepNext/>
              <w:keepLines/>
              <w:widowControl w:val="0"/>
              <w:tabs>
                <w:tab w:val="left" w:pos="567"/>
              </w:tabs>
              <w:spacing w:before="120" w:line="260" w:lineRule="exact"/>
              <w:jc w:val="center"/>
              <w:rPr>
                <w:b/>
                <w:color w:val="000000"/>
                <w:szCs w:val="22"/>
              </w:rPr>
            </w:pPr>
            <w:r w:rsidRPr="00263DB9">
              <w:rPr>
                <w:b/>
                <w:color w:val="000000"/>
                <w:szCs w:val="22"/>
              </w:rPr>
              <w:t>N.º de acontecimentos/</w:t>
            </w:r>
            <w:r w:rsidRPr="00263DB9">
              <w:rPr>
                <w:b/>
                <w:color w:val="000000"/>
                <w:szCs w:val="22"/>
              </w:rPr>
              <w:br/>
              <w:t>N.º de doentes</w:t>
            </w:r>
          </w:p>
        </w:tc>
        <w:tc>
          <w:tcPr>
            <w:tcW w:w="1351" w:type="dxa"/>
            <w:vMerge w:val="restart"/>
            <w:tcBorders>
              <w:left w:val="single" w:sz="4" w:space="0" w:color="auto"/>
              <w:right w:val="single" w:sz="4" w:space="0" w:color="auto"/>
            </w:tcBorders>
          </w:tcPr>
          <w:p w14:paraId="375EB30C" w14:textId="77777777" w:rsidR="00906898" w:rsidRPr="00263DB9" w:rsidRDefault="00906898" w:rsidP="003970DC">
            <w:pPr>
              <w:keepNext/>
              <w:keepLines/>
              <w:widowControl w:val="0"/>
              <w:tabs>
                <w:tab w:val="left" w:pos="567"/>
              </w:tabs>
              <w:spacing w:line="260" w:lineRule="exact"/>
              <w:jc w:val="center"/>
              <w:rPr>
                <w:b/>
                <w:color w:val="000000"/>
                <w:szCs w:val="22"/>
              </w:rPr>
            </w:pPr>
            <w:r w:rsidRPr="00263DB9">
              <w:rPr>
                <w:b/>
                <w:color w:val="000000"/>
                <w:szCs w:val="22"/>
              </w:rPr>
              <w:t>Taxa de risco global (95%</w:t>
            </w:r>
            <w:r w:rsidR="00CB698E" w:rsidRPr="00263DB9">
              <w:rPr>
                <w:b/>
                <w:color w:val="000000"/>
                <w:szCs w:val="22"/>
              </w:rPr>
              <w:t>IC</w:t>
            </w:r>
            <w:r w:rsidRPr="00263DB9">
              <w:rPr>
                <w:b/>
                <w:color w:val="000000"/>
                <w:szCs w:val="22"/>
              </w:rPr>
              <w:t>)*</w:t>
            </w:r>
          </w:p>
        </w:tc>
        <w:tc>
          <w:tcPr>
            <w:tcW w:w="2800" w:type="dxa"/>
            <w:gridSpan w:val="2"/>
            <w:tcBorders>
              <w:left w:val="single" w:sz="4" w:space="0" w:color="auto"/>
            </w:tcBorders>
          </w:tcPr>
          <w:p w14:paraId="375EB30D" w14:textId="77777777" w:rsidR="00906898" w:rsidRPr="00263DB9" w:rsidRDefault="00906898" w:rsidP="003970DC">
            <w:pPr>
              <w:keepNext/>
              <w:keepLines/>
              <w:widowControl w:val="0"/>
              <w:tabs>
                <w:tab w:val="left" w:pos="567"/>
              </w:tabs>
              <w:spacing w:line="260" w:lineRule="exact"/>
              <w:jc w:val="center"/>
              <w:rPr>
                <w:b/>
                <w:color w:val="000000"/>
                <w:szCs w:val="22"/>
              </w:rPr>
            </w:pPr>
            <w:r w:rsidRPr="00263DB9">
              <w:rPr>
                <w:b/>
                <w:color w:val="000000"/>
                <w:szCs w:val="22"/>
              </w:rPr>
              <w:t>Taxa de RFS (%)</w:t>
            </w:r>
          </w:p>
        </w:tc>
      </w:tr>
      <w:tr w:rsidR="00906898" w:rsidRPr="00263DB9" w14:paraId="375EB316" w14:textId="77777777">
        <w:trPr>
          <w:cantSplit/>
        </w:trPr>
        <w:tc>
          <w:tcPr>
            <w:tcW w:w="1101" w:type="dxa"/>
            <w:vMerge/>
          </w:tcPr>
          <w:p w14:paraId="375EB30F" w14:textId="77777777" w:rsidR="00906898" w:rsidRPr="00263DB9" w:rsidRDefault="00906898" w:rsidP="003970DC">
            <w:pPr>
              <w:keepNext/>
              <w:keepLines/>
              <w:widowControl w:val="0"/>
              <w:tabs>
                <w:tab w:val="left" w:pos="567"/>
              </w:tabs>
              <w:spacing w:line="260" w:lineRule="exact"/>
              <w:rPr>
                <w:b/>
                <w:color w:val="000000"/>
                <w:szCs w:val="22"/>
              </w:rPr>
            </w:pPr>
          </w:p>
        </w:tc>
        <w:tc>
          <w:tcPr>
            <w:tcW w:w="1417" w:type="dxa"/>
            <w:vMerge/>
            <w:tcBorders>
              <w:right w:val="single" w:sz="4" w:space="0" w:color="auto"/>
            </w:tcBorders>
          </w:tcPr>
          <w:p w14:paraId="375EB310" w14:textId="77777777" w:rsidR="00906898" w:rsidRPr="00263DB9" w:rsidRDefault="00906898" w:rsidP="003970DC">
            <w:pPr>
              <w:keepNext/>
              <w:keepLines/>
              <w:widowControl w:val="0"/>
              <w:tabs>
                <w:tab w:val="left" w:pos="567"/>
              </w:tabs>
              <w:spacing w:line="260" w:lineRule="exact"/>
              <w:rPr>
                <w:b/>
                <w:color w:val="000000"/>
                <w:szCs w:val="22"/>
              </w:rPr>
            </w:pPr>
          </w:p>
        </w:tc>
        <w:tc>
          <w:tcPr>
            <w:tcW w:w="986" w:type="dxa"/>
            <w:vMerge/>
            <w:tcBorders>
              <w:left w:val="single" w:sz="4" w:space="0" w:color="auto"/>
              <w:right w:val="single" w:sz="4" w:space="0" w:color="auto"/>
            </w:tcBorders>
          </w:tcPr>
          <w:p w14:paraId="375EB311" w14:textId="77777777" w:rsidR="00906898" w:rsidRPr="00263DB9" w:rsidRDefault="00906898" w:rsidP="003970DC">
            <w:pPr>
              <w:keepNext/>
              <w:keepLines/>
              <w:widowControl w:val="0"/>
              <w:tabs>
                <w:tab w:val="left" w:pos="567"/>
              </w:tabs>
              <w:spacing w:line="260" w:lineRule="exact"/>
              <w:jc w:val="center"/>
              <w:rPr>
                <w:b/>
                <w:color w:val="000000"/>
                <w:szCs w:val="22"/>
              </w:rPr>
            </w:pPr>
          </w:p>
        </w:tc>
        <w:tc>
          <w:tcPr>
            <w:tcW w:w="2083" w:type="dxa"/>
            <w:vMerge/>
            <w:tcBorders>
              <w:left w:val="single" w:sz="4" w:space="0" w:color="auto"/>
              <w:right w:val="single" w:sz="4" w:space="0" w:color="auto"/>
            </w:tcBorders>
          </w:tcPr>
          <w:p w14:paraId="375EB312" w14:textId="77777777" w:rsidR="00906898" w:rsidRPr="00263DB9" w:rsidRDefault="00906898" w:rsidP="003970DC">
            <w:pPr>
              <w:keepNext/>
              <w:keepLines/>
              <w:widowControl w:val="0"/>
              <w:tabs>
                <w:tab w:val="left" w:pos="567"/>
              </w:tabs>
              <w:spacing w:line="260" w:lineRule="exact"/>
              <w:jc w:val="center"/>
              <w:rPr>
                <w:b/>
                <w:color w:val="000000"/>
                <w:szCs w:val="22"/>
              </w:rPr>
            </w:pPr>
          </w:p>
        </w:tc>
        <w:tc>
          <w:tcPr>
            <w:tcW w:w="1351" w:type="dxa"/>
            <w:vMerge/>
            <w:tcBorders>
              <w:left w:val="single" w:sz="4" w:space="0" w:color="auto"/>
              <w:right w:val="single" w:sz="4" w:space="0" w:color="auto"/>
            </w:tcBorders>
          </w:tcPr>
          <w:p w14:paraId="375EB313" w14:textId="77777777" w:rsidR="00906898" w:rsidRPr="00263DB9" w:rsidRDefault="00906898" w:rsidP="003970DC">
            <w:pPr>
              <w:keepNext/>
              <w:keepLines/>
              <w:widowControl w:val="0"/>
              <w:tabs>
                <w:tab w:val="left" w:pos="567"/>
              </w:tabs>
              <w:spacing w:line="260" w:lineRule="exact"/>
              <w:rPr>
                <w:b/>
                <w:color w:val="000000"/>
                <w:szCs w:val="22"/>
              </w:rPr>
            </w:pPr>
          </w:p>
        </w:tc>
        <w:tc>
          <w:tcPr>
            <w:tcW w:w="1440" w:type="dxa"/>
            <w:tcBorders>
              <w:left w:val="single" w:sz="4" w:space="0" w:color="auto"/>
              <w:right w:val="single" w:sz="4" w:space="0" w:color="auto"/>
            </w:tcBorders>
          </w:tcPr>
          <w:p w14:paraId="375EB314" w14:textId="77777777" w:rsidR="00906898" w:rsidRPr="00263DB9" w:rsidRDefault="00906898" w:rsidP="003970DC">
            <w:pPr>
              <w:keepNext/>
              <w:keepLines/>
              <w:widowControl w:val="0"/>
              <w:tabs>
                <w:tab w:val="left" w:pos="567"/>
              </w:tabs>
              <w:spacing w:line="260" w:lineRule="exact"/>
              <w:jc w:val="center"/>
              <w:rPr>
                <w:b/>
                <w:color w:val="000000"/>
                <w:szCs w:val="22"/>
              </w:rPr>
            </w:pPr>
            <w:r w:rsidRPr="00263DB9">
              <w:rPr>
                <w:b/>
                <w:color w:val="000000"/>
                <w:szCs w:val="22"/>
              </w:rPr>
              <w:t>12 meses</w:t>
            </w:r>
          </w:p>
        </w:tc>
        <w:tc>
          <w:tcPr>
            <w:tcW w:w="1360" w:type="dxa"/>
            <w:tcBorders>
              <w:left w:val="single" w:sz="4" w:space="0" w:color="auto"/>
            </w:tcBorders>
          </w:tcPr>
          <w:p w14:paraId="375EB315" w14:textId="77777777" w:rsidR="00906898" w:rsidRPr="00263DB9" w:rsidRDefault="00906898" w:rsidP="003970DC">
            <w:pPr>
              <w:keepNext/>
              <w:keepLines/>
              <w:widowControl w:val="0"/>
              <w:tabs>
                <w:tab w:val="left" w:pos="567"/>
              </w:tabs>
              <w:spacing w:line="260" w:lineRule="exact"/>
              <w:jc w:val="center"/>
              <w:rPr>
                <w:b/>
                <w:color w:val="000000"/>
                <w:szCs w:val="22"/>
              </w:rPr>
            </w:pPr>
            <w:r w:rsidRPr="00263DB9">
              <w:rPr>
                <w:b/>
                <w:color w:val="000000"/>
                <w:szCs w:val="22"/>
              </w:rPr>
              <w:t>24 meses</w:t>
            </w:r>
          </w:p>
        </w:tc>
      </w:tr>
      <w:tr w:rsidR="00906898" w:rsidRPr="00263DB9" w14:paraId="375EB31E" w14:textId="77777777">
        <w:trPr>
          <w:cantSplit/>
        </w:trPr>
        <w:tc>
          <w:tcPr>
            <w:tcW w:w="1101" w:type="dxa"/>
            <w:vMerge/>
          </w:tcPr>
          <w:p w14:paraId="375EB317" w14:textId="77777777" w:rsidR="00906898" w:rsidRPr="00263DB9" w:rsidRDefault="00906898" w:rsidP="003970DC">
            <w:pPr>
              <w:keepNext/>
              <w:keepLines/>
              <w:widowControl w:val="0"/>
              <w:tabs>
                <w:tab w:val="left" w:pos="567"/>
              </w:tabs>
              <w:spacing w:line="260" w:lineRule="exact"/>
              <w:rPr>
                <w:b/>
                <w:color w:val="000000"/>
                <w:szCs w:val="22"/>
              </w:rPr>
            </w:pPr>
          </w:p>
        </w:tc>
        <w:tc>
          <w:tcPr>
            <w:tcW w:w="1417" w:type="dxa"/>
            <w:vMerge/>
            <w:tcBorders>
              <w:right w:val="single" w:sz="4" w:space="0" w:color="auto"/>
            </w:tcBorders>
          </w:tcPr>
          <w:p w14:paraId="375EB318" w14:textId="77777777" w:rsidR="00906898" w:rsidRPr="00263DB9" w:rsidRDefault="00906898" w:rsidP="003970DC">
            <w:pPr>
              <w:keepNext/>
              <w:keepLines/>
              <w:widowControl w:val="0"/>
              <w:tabs>
                <w:tab w:val="left" w:pos="567"/>
              </w:tabs>
              <w:spacing w:line="260" w:lineRule="exact"/>
              <w:rPr>
                <w:b/>
                <w:color w:val="000000"/>
                <w:szCs w:val="22"/>
              </w:rPr>
            </w:pPr>
          </w:p>
        </w:tc>
        <w:tc>
          <w:tcPr>
            <w:tcW w:w="986" w:type="dxa"/>
            <w:vMerge/>
            <w:tcBorders>
              <w:left w:val="single" w:sz="4" w:space="0" w:color="auto"/>
              <w:right w:val="single" w:sz="4" w:space="0" w:color="auto"/>
            </w:tcBorders>
          </w:tcPr>
          <w:p w14:paraId="375EB319" w14:textId="77777777" w:rsidR="00906898" w:rsidRPr="00263DB9" w:rsidRDefault="00906898" w:rsidP="003970DC">
            <w:pPr>
              <w:keepNext/>
              <w:keepLines/>
              <w:widowControl w:val="0"/>
              <w:tabs>
                <w:tab w:val="left" w:pos="567"/>
              </w:tabs>
              <w:spacing w:line="260" w:lineRule="exact"/>
              <w:jc w:val="center"/>
              <w:rPr>
                <w:b/>
                <w:color w:val="000000"/>
                <w:szCs w:val="22"/>
              </w:rPr>
            </w:pPr>
          </w:p>
        </w:tc>
        <w:tc>
          <w:tcPr>
            <w:tcW w:w="2083" w:type="dxa"/>
            <w:tcBorders>
              <w:left w:val="single" w:sz="4" w:space="0" w:color="auto"/>
              <w:bottom w:val="single" w:sz="4" w:space="0" w:color="auto"/>
              <w:right w:val="single" w:sz="4" w:space="0" w:color="auto"/>
            </w:tcBorders>
          </w:tcPr>
          <w:p w14:paraId="375EB31A" w14:textId="77777777" w:rsidR="00906898" w:rsidRPr="00263DB9" w:rsidRDefault="00906898" w:rsidP="003970DC">
            <w:pPr>
              <w:keepNext/>
              <w:keepLines/>
              <w:widowControl w:val="0"/>
              <w:tabs>
                <w:tab w:val="left" w:pos="567"/>
              </w:tabs>
              <w:spacing w:line="260" w:lineRule="exact"/>
              <w:jc w:val="center"/>
              <w:rPr>
                <w:b/>
                <w:color w:val="000000"/>
                <w:szCs w:val="22"/>
              </w:rPr>
            </w:pPr>
            <w:r w:rsidRPr="00263DB9">
              <w:rPr>
                <w:b/>
                <w:color w:val="000000"/>
                <w:szCs w:val="22"/>
              </w:rPr>
              <w:t>Glivec vs placebo</w:t>
            </w:r>
          </w:p>
        </w:tc>
        <w:tc>
          <w:tcPr>
            <w:tcW w:w="1351" w:type="dxa"/>
            <w:vMerge/>
            <w:tcBorders>
              <w:left w:val="single" w:sz="4" w:space="0" w:color="auto"/>
              <w:bottom w:val="single" w:sz="4" w:space="0" w:color="auto"/>
              <w:right w:val="single" w:sz="4" w:space="0" w:color="auto"/>
            </w:tcBorders>
          </w:tcPr>
          <w:p w14:paraId="375EB31B" w14:textId="77777777" w:rsidR="00906898" w:rsidRPr="00263DB9" w:rsidRDefault="00906898" w:rsidP="003970DC">
            <w:pPr>
              <w:keepNext/>
              <w:keepLines/>
              <w:widowControl w:val="0"/>
              <w:tabs>
                <w:tab w:val="left" w:pos="567"/>
              </w:tabs>
              <w:spacing w:line="260" w:lineRule="exact"/>
              <w:jc w:val="center"/>
              <w:rPr>
                <w:b/>
                <w:color w:val="000000"/>
                <w:szCs w:val="22"/>
              </w:rPr>
            </w:pPr>
          </w:p>
        </w:tc>
        <w:tc>
          <w:tcPr>
            <w:tcW w:w="1440" w:type="dxa"/>
            <w:tcBorders>
              <w:left w:val="single" w:sz="4" w:space="0" w:color="auto"/>
              <w:bottom w:val="single" w:sz="4" w:space="0" w:color="auto"/>
              <w:right w:val="single" w:sz="4" w:space="0" w:color="auto"/>
            </w:tcBorders>
          </w:tcPr>
          <w:p w14:paraId="375EB31C" w14:textId="77777777" w:rsidR="00906898" w:rsidRPr="00263DB9" w:rsidRDefault="00906898" w:rsidP="003970DC">
            <w:pPr>
              <w:keepNext/>
              <w:keepLines/>
              <w:widowControl w:val="0"/>
              <w:tabs>
                <w:tab w:val="left" w:pos="567"/>
              </w:tabs>
              <w:spacing w:line="260" w:lineRule="exact"/>
              <w:jc w:val="center"/>
              <w:rPr>
                <w:b/>
                <w:color w:val="000000"/>
                <w:szCs w:val="22"/>
              </w:rPr>
            </w:pPr>
            <w:r w:rsidRPr="00263DB9">
              <w:rPr>
                <w:b/>
                <w:color w:val="000000"/>
                <w:szCs w:val="22"/>
              </w:rPr>
              <w:t>Glivec vs placebo</w:t>
            </w:r>
          </w:p>
        </w:tc>
        <w:tc>
          <w:tcPr>
            <w:tcW w:w="1360" w:type="dxa"/>
            <w:tcBorders>
              <w:left w:val="single" w:sz="4" w:space="0" w:color="auto"/>
            </w:tcBorders>
          </w:tcPr>
          <w:p w14:paraId="375EB31D" w14:textId="77777777" w:rsidR="00906898" w:rsidRPr="00263DB9" w:rsidRDefault="00906898" w:rsidP="003970DC">
            <w:pPr>
              <w:keepNext/>
              <w:keepLines/>
              <w:widowControl w:val="0"/>
              <w:tabs>
                <w:tab w:val="left" w:pos="567"/>
              </w:tabs>
              <w:spacing w:line="260" w:lineRule="exact"/>
              <w:jc w:val="center"/>
              <w:rPr>
                <w:b/>
                <w:color w:val="000000"/>
                <w:szCs w:val="22"/>
              </w:rPr>
            </w:pPr>
            <w:r w:rsidRPr="00263DB9">
              <w:rPr>
                <w:b/>
                <w:color w:val="000000"/>
                <w:szCs w:val="22"/>
              </w:rPr>
              <w:t>Glivec vs placebo</w:t>
            </w:r>
          </w:p>
        </w:tc>
      </w:tr>
      <w:tr w:rsidR="00906898" w:rsidRPr="00263DB9" w14:paraId="375EB326" w14:textId="77777777">
        <w:trPr>
          <w:cantSplit/>
        </w:trPr>
        <w:tc>
          <w:tcPr>
            <w:tcW w:w="1101" w:type="dxa"/>
            <w:vMerge w:val="restart"/>
            <w:vAlign w:val="center"/>
          </w:tcPr>
          <w:p w14:paraId="375EB31F" w14:textId="77777777" w:rsidR="00906898" w:rsidRPr="00263DB9" w:rsidRDefault="00906898" w:rsidP="003970DC">
            <w:pPr>
              <w:pStyle w:val="Text"/>
              <w:keepNext/>
              <w:keepLines/>
              <w:widowControl w:val="0"/>
              <w:tabs>
                <w:tab w:val="left" w:pos="567"/>
              </w:tabs>
              <w:spacing w:before="40" w:after="20" w:line="260" w:lineRule="exact"/>
              <w:jc w:val="left"/>
              <w:rPr>
                <w:color w:val="000000"/>
                <w:sz w:val="22"/>
                <w:szCs w:val="22"/>
              </w:rPr>
            </w:pPr>
            <w:r w:rsidRPr="00263DB9">
              <w:rPr>
                <w:color w:val="000000"/>
                <w:sz w:val="22"/>
                <w:szCs w:val="22"/>
              </w:rPr>
              <w:t>NIH</w:t>
            </w:r>
          </w:p>
        </w:tc>
        <w:tc>
          <w:tcPr>
            <w:tcW w:w="1417" w:type="dxa"/>
            <w:tcBorders>
              <w:bottom w:val="nil"/>
              <w:right w:val="single" w:sz="4" w:space="0" w:color="auto"/>
            </w:tcBorders>
            <w:vAlign w:val="bottom"/>
          </w:tcPr>
          <w:p w14:paraId="375EB320" w14:textId="77777777" w:rsidR="00906898" w:rsidRPr="00263DB9" w:rsidRDefault="00906898" w:rsidP="003970DC">
            <w:pPr>
              <w:pStyle w:val="Nottoc-headings"/>
              <w:widowControl w:val="0"/>
              <w:tabs>
                <w:tab w:val="left" w:pos="567"/>
              </w:tabs>
              <w:spacing w:before="40" w:after="20" w:line="260" w:lineRule="exact"/>
              <w:ind w:left="57" w:hanging="57"/>
              <w:rPr>
                <w:rFonts w:ascii="Times New Roman" w:hAnsi="Times New Roman"/>
                <w:b w:val="0"/>
                <w:color w:val="000000"/>
                <w:sz w:val="22"/>
                <w:szCs w:val="22"/>
              </w:rPr>
            </w:pPr>
            <w:r w:rsidRPr="00263DB9">
              <w:rPr>
                <w:rFonts w:ascii="Times New Roman" w:hAnsi="Times New Roman"/>
                <w:b w:val="0"/>
                <w:color w:val="000000"/>
                <w:sz w:val="22"/>
                <w:szCs w:val="22"/>
              </w:rPr>
              <w:t>Baixo</w:t>
            </w:r>
          </w:p>
        </w:tc>
        <w:tc>
          <w:tcPr>
            <w:tcW w:w="986" w:type="dxa"/>
            <w:tcBorders>
              <w:left w:val="single" w:sz="4" w:space="0" w:color="auto"/>
              <w:bottom w:val="nil"/>
              <w:right w:val="single" w:sz="4" w:space="0" w:color="auto"/>
            </w:tcBorders>
            <w:vAlign w:val="bottom"/>
          </w:tcPr>
          <w:p w14:paraId="375EB321" w14:textId="77777777" w:rsidR="00906898" w:rsidRPr="00263DB9" w:rsidRDefault="00906898" w:rsidP="003970DC">
            <w:pPr>
              <w:pStyle w:val="Nottoc-headings"/>
              <w:widowControl w:val="0"/>
              <w:tabs>
                <w:tab w:val="left" w:pos="567"/>
              </w:tabs>
              <w:spacing w:before="40" w:after="20" w:line="260" w:lineRule="exact"/>
              <w:ind w:left="57" w:hanging="57"/>
              <w:jc w:val="center"/>
              <w:rPr>
                <w:rFonts w:ascii="Times New Roman" w:hAnsi="Times New Roman"/>
                <w:b w:val="0"/>
                <w:color w:val="000000"/>
                <w:sz w:val="22"/>
                <w:szCs w:val="22"/>
              </w:rPr>
            </w:pPr>
            <w:r w:rsidRPr="00263DB9">
              <w:rPr>
                <w:rFonts w:ascii="Times New Roman" w:hAnsi="Times New Roman"/>
                <w:b w:val="0"/>
                <w:color w:val="000000"/>
                <w:sz w:val="22"/>
                <w:szCs w:val="22"/>
              </w:rPr>
              <w:t>29,5</w:t>
            </w:r>
          </w:p>
        </w:tc>
        <w:tc>
          <w:tcPr>
            <w:tcW w:w="2083" w:type="dxa"/>
            <w:tcBorders>
              <w:left w:val="single" w:sz="4" w:space="0" w:color="auto"/>
              <w:bottom w:val="nil"/>
              <w:right w:val="single" w:sz="4" w:space="0" w:color="auto"/>
            </w:tcBorders>
            <w:vAlign w:val="bottom"/>
          </w:tcPr>
          <w:p w14:paraId="375EB322" w14:textId="77777777" w:rsidR="00906898" w:rsidRPr="00263DB9" w:rsidRDefault="00906898" w:rsidP="003970DC">
            <w:pPr>
              <w:pStyle w:val="Nottoc-headings"/>
              <w:widowControl w:val="0"/>
              <w:tabs>
                <w:tab w:val="left" w:pos="567"/>
              </w:tabs>
              <w:spacing w:before="40" w:after="20" w:line="260" w:lineRule="exact"/>
              <w:ind w:left="57" w:hanging="57"/>
              <w:rPr>
                <w:rFonts w:ascii="Times New Roman" w:hAnsi="Times New Roman"/>
                <w:b w:val="0"/>
                <w:color w:val="000000"/>
                <w:sz w:val="22"/>
                <w:szCs w:val="22"/>
              </w:rPr>
            </w:pPr>
            <w:r w:rsidRPr="00263DB9">
              <w:rPr>
                <w:rFonts w:ascii="Times New Roman" w:hAnsi="Times New Roman"/>
                <w:b w:val="0"/>
                <w:color w:val="000000"/>
                <w:sz w:val="22"/>
                <w:szCs w:val="22"/>
              </w:rPr>
              <w:t>0/86 vs. 2/90</w:t>
            </w:r>
          </w:p>
        </w:tc>
        <w:tc>
          <w:tcPr>
            <w:tcW w:w="1351" w:type="dxa"/>
            <w:tcBorders>
              <w:left w:val="single" w:sz="4" w:space="0" w:color="auto"/>
              <w:bottom w:val="nil"/>
              <w:right w:val="single" w:sz="4" w:space="0" w:color="auto"/>
            </w:tcBorders>
            <w:vAlign w:val="bottom"/>
          </w:tcPr>
          <w:p w14:paraId="375EB323" w14:textId="77777777" w:rsidR="00906898" w:rsidRPr="00263DB9" w:rsidRDefault="00906898" w:rsidP="003970DC">
            <w:pPr>
              <w:pStyle w:val="Nottoc-headings"/>
              <w:widowControl w:val="0"/>
              <w:tabs>
                <w:tab w:val="left" w:pos="567"/>
              </w:tabs>
              <w:spacing w:before="40" w:after="20" w:line="260" w:lineRule="exact"/>
              <w:ind w:left="57" w:hanging="57"/>
              <w:jc w:val="center"/>
              <w:rPr>
                <w:rFonts w:ascii="Times New Roman" w:hAnsi="Times New Roman"/>
                <w:b w:val="0"/>
                <w:color w:val="000000"/>
                <w:sz w:val="22"/>
                <w:szCs w:val="22"/>
              </w:rPr>
            </w:pPr>
            <w:r w:rsidRPr="00263DB9">
              <w:rPr>
                <w:rFonts w:ascii="Times New Roman" w:hAnsi="Times New Roman"/>
                <w:b w:val="0"/>
                <w:color w:val="000000"/>
                <w:sz w:val="22"/>
                <w:szCs w:val="22"/>
              </w:rPr>
              <w:t>N.E.</w:t>
            </w:r>
          </w:p>
        </w:tc>
        <w:tc>
          <w:tcPr>
            <w:tcW w:w="1440" w:type="dxa"/>
            <w:tcBorders>
              <w:left w:val="single" w:sz="4" w:space="0" w:color="auto"/>
              <w:bottom w:val="nil"/>
              <w:right w:val="single" w:sz="4" w:space="0" w:color="auto"/>
            </w:tcBorders>
            <w:vAlign w:val="bottom"/>
          </w:tcPr>
          <w:p w14:paraId="375EB324" w14:textId="77777777" w:rsidR="00906898" w:rsidRPr="00263DB9" w:rsidRDefault="00906898" w:rsidP="003970DC">
            <w:pPr>
              <w:pStyle w:val="Nottoc-headings"/>
              <w:widowControl w:val="0"/>
              <w:tabs>
                <w:tab w:val="left" w:pos="567"/>
              </w:tabs>
              <w:spacing w:before="40" w:after="20" w:line="260" w:lineRule="exact"/>
              <w:ind w:left="57" w:hanging="57"/>
              <w:rPr>
                <w:rFonts w:ascii="Times New Roman" w:hAnsi="Times New Roman"/>
                <w:b w:val="0"/>
                <w:color w:val="000000"/>
                <w:sz w:val="22"/>
                <w:szCs w:val="22"/>
              </w:rPr>
            </w:pPr>
            <w:r w:rsidRPr="00263DB9">
              <w:rPr>
                <w:rFonts w:ascii="Times New Roman" w:hAnsi="Times New Roman"/>
                <w:b w:val="0"/>
                <w:color w:val="000000"/>
                <w:sz w:val="22"/>
                <w:szCs w:val="22"/>
              </w:rPr>
              <w:t>100 vs. 98,7</w:t>
            </w:r>
          </w:p>
        </w:tc>
        <w:tc>
          <w:tcPr>
            <w:tcW w:w="1360" w:type="dxa"/>
            <w:tcBorders>
              <w:left w:val="single" w:sz="4" w:space="0" w:color="auto"/>
              <w:bottom w:val="nil"/>
            </w:tcBorders>
            <w:vAlign w:val="bottom"/>
          </w:tcPr>
          <w:p w14:paraId="375EB325" w14:textId="77777777" w:rsidR="00906898" w:rsidRPr="00263DB9" w:rsidRDefault="00906898" w:rsidP="003970DC">
            <w:pPr>
              <w:pStyle w:val="Nottoc-headings"/>
              <w:widowControl w:val="0"/>
              <w:tabs>
                <w:tab w:val="left" w:pos="567"/>
              </w:tabs>
              <w:spacing w:before="40" w:after="20" w:line="260" w:lineRule="exact"/>
              <w:ind w:left="57" w:hanging="57"/>
              <w:rPr>
                <w:rFonts w:ascii="Times New Roman" w:hAnsi="Times New Roman"/>
                <w:b w:val="0"/>
                <w:color w:val="000000"/>
                <w:sz w:val="22"/>
                <w:szCs w:val="22"/>
              </w:rPr>
            </w:pPr>
            <w:r w:rsidRPr="00263DB9">
              <w:rPr>
                <w:rFonts w:ascii="Times New Roman" w:hAnsi="Times New Roman"/>
                <w:b w:val="0"/>
                <w:color w:val="000000"/>
                <w:sz w:val="22"/>
                <w:szCs w:val="22"/>
              </w:rPr>
              <w:t>100 vs. 95,5</w:t>
            </w:r>
          </w:p>
        </w:tc>
      </w:tr>
      <w:tr w:rsidR="00906898" w:rsidRPr="00263DB9" w14:paraId="375EB32F" w14:textId="77777777">
        <w:trPr>
          <w:cantSplit/>
        </w:trPr>
        <w:tc>
          <w:tcPr>
            <w:tcW w:w="1101" w:type="dxa"/>
            <w:vMerge/>
          </w:tcPr>
          <w:p w14:paraId="375EB327" w14:textId="77777777" w:rsidR="00906898" w:rsidRPr="00263DB9" w:rsidRDefault="00906898" w:rsidP="003970DC">
            <w:pPr>
              <w:pStyle w:val="Nottoc-headings"/>
              <w:widowControl w:val="0"/>
              <w:tabs>
                <w:tab w:val="left" w:pos="567"/>
              </w:tabs>
              <w:spacing w:line="260" w:lineRule="exact"/>
              <w:rPr>
                <w:rFonts w:ascii="Times New Roman" w:hAnsi="Times New Roman"/>
                <w:b w:val="0"/>
                <w:color w:val="000000"/>
                <w:sz w:val="22"/>
                <w:szCs w:val="22"/>
              </w:rPr>
            </w:pPr>
          </w:p>
        </w:tc>
        <w:tc>
          <w:tcPr>
            <w:tcW w:w="1417" w:type="dxa"/>
            <w:tcBorders>
              <w:top w:val="nil"/>
              <w:bottom w:val="nil"/>
              <w:right w:val="single" w:sz="4" w:space="0" w:color="auto"/>
            </w:tcBorders>
            <w:vAlign w:val="bottom"/>
          </w:tcPr>
          <w:p w14:paraId="375EB328"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Intermédio</w:t>
            </w:r>
          </w:p>
        </w:tc>
        <w:tc>
          <w:tcPr>
            <w:tcW w:w="986" w:type="dxa"/>
            <w:tcBorders>
              <w:top w:val="nil"/>
              <w:left w:val="single" w:sz="4" w:space="0" w:color="auto"/>
              <w:bottom w:val="nil"/>
              <w:right w:val="single" w:sz="4" w:space="0" w:color="auto"/>
            </w:tcBorders>
            <w:vAlign w:val="bottom"/>
          </w:tcPr>
          <w:p w14:paraId="375EB329" w14:textId="77777777" w:rsidR="00906898" w:rsidRPr="00263DB9" w:rsidRDefault="00906898" w:rsidP="003970DC">
            <w:pPr>
              <w:keepNext/>
              <w:keepLines/>
              <w:widowControl w:val="0"/>
              <w:tabs>
                <w:tab w:val="left" w:pos="567"/>
              </w:tabs>
              <w:spacing w:line="260" w:lineRule="exact"/>
              <w:jc w:val="center"/>
              <w:rPr>
                <w:color w:val="000000"/>
                <w:szCs w:val="22"/>
              </w:rPr>
            </w:pPr>
            <w:r w:rsidRPr="00263DB9">
              <w:rPr>
                <w:color w:val="000000"/>
                <w:szCs w:val="22"/>
              </w:rPr>
              <w:t>25,7</w:t>
            </w:r>
          </w:p>
        </w:tc>
        <w:tc>
          <w:tcPr>
            <w:tcW w:w="2083" w:type="dxa"/>
            <w:tcBorders>
              <w:top w:val="nil"/>
              <w:left w:val="single" w:sz="4" w:space="0" w:color="auto"/>
              <w:bottom w:val="nil"/>
              <w:right w:val="single" w:sz="4" w:space="0" w:color="auto"/>
            </w:tcBorders>
            <w:vAlign w:val="bottom"/>
          </w:tcPr>
          <w:p w14:paraId="375EB32A"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4/75 vs. 6/78</w:t>
            </w:r>
          </w:p>
        </w:tc>
        <w:tc>
          <w:tcPr>
            <w:tcW w:w="1351" w:type="dxa"/>
            <w:tcBorders>
              <w:top w:val="nil"/>
              <w:left w:val="single" w:sz="4" w:space="0" w:color="auto"/>
              <w:bottom w:val="nil"/>
              <w:right w:val="single" w:sz="4" w:space="0" w:color="auto"/>
            </w:tcBorders>
            <w:vAlign w:val="bottom"/>
          </w:tcPr>
          <w:p w14:paraId="375EB32B" w14:textId="77777777" w:rsidR="00906898" w:rsidRPr="00263DB9" w:rsidRDefault="00906898" w:rsidP="003970DC">
            <w:pPr>
              <w:keepNext/>
              <w:keepLines/>
              <w:widowControl w:val="0"/>
              <w:tabs>
                <w:tab w:val="left" w:pos="567"/>
              </w:tabs>
              <w:spacing w:line="260" w:lineRule="exact"/>
              <w:jc w:val="center"/>
              <w:rPr>
                <w:color w:val="000000"/>
                <w:szCs w:val="22"/>
              </w:rPr>
            </w:pPr>
            <w:r w:rsidRPr="00263DB9">
              <w:rPr>
                <w:color w:val="000000"/>
                <w:szCs w:val="22"/>
              </w:rPr>
              <w:t>0,59</w:t>
            </w:r>
          </w:p>
          <w:p w14:paraId="375EB32C" w14:textId="77777777" w:rsidR="00906898" w:rsidRPr="00263DB9" w:rsidRDefault="00906898" w:rsidP="003970DC">
            <w:pPr>
              <w:keepNext/>
              <w:keepLines/>
              <w:widowControl w:val="0"/>
              <w:tabs>
                <w:tab w:val="left" w:pos="567"/>
              </w:tabs>
              <w:spacing w:line="260" w:lineRule="exact"/>
              <w:jc w:val="center"/>
              <w:rPr>
                <w:color w:val="000000"/>
                <w:szCs w:val="22"/>
              </w:rPr>
            </w:pPr>
            <w:r w:rsidRPr="00263DB9">
              <w:rPr>
                <w:color w:val="000000"/>
                <w:szCs w:val="22"/>
              </w:rPr>
              <w:t>(0,17; 2,10)</w:t>
            </w:r>
          </w:p>
        </w:tc>
        <w:tc>
          <w:tcPr>
            <w:tcW w:w="1440" w:type="dxa"/>
            <w:tcBorders>
              <w:top w:val="nil"/>
              <w:left w:val="single" w:sz="4" w:space="0" w:color="auto"/>
              <w:bottom w:val="nil"/>
              <w:right w:val="single" w:sz="4" w:space="0" w:color="auto"/>
            </w:tcBorders>
            <w:vAlign w:val="bottom"/>
          </w:tcPr>
          <w:p w14:paraId="375EB32D"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100 vs. 94,8</w:t>
            </w:r>
          </w:p>
        </w:tc>
        <w:tc>
          <w:tcPr>
            <w:tcW w:w="1360" w:type="dxa"/>
            <w:tcBorders>
              <w:top w:val="nil"/>
              <w:left w:val="single" w:sz="4" w:space="0" w:color="auto"/>
              <w:bottom w:val="nil"/>
            </w:tcBorders>
            <w:vAlign w:val="bottom"/>
          </w:tcPr>
          <w:p w14:paraId="375EB32E"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97,8 vs. 89,5</w:t>
            </w:r>
          </w:p>
        </w:tc>
      </w:tr>
      <w:tr w:rsidR="00906898" w:rsidRPr="00263DB9" w14:paraId="375EB338" w14:textId="77777777">
        <w:trPr>
          <w:cantSplit/>
          <w:trHeight w:val="216"/>
        </w:trPr>
        <w:tc>
          <w:tcPr>
            <w:tcW w:w="1101" w:type="dxa"/>
            <w:vMerge/>
          </w:tcPr>
          <w:p w14:paraId="375EB330" w14:textId="77777777" w:rsidR="00906898" w:rsidRPr="00263DB9" w:rsidRDefault="00906898" w:rsidP="003970DC">
            <w:pPr>
              <w:keepNext/>
              <w:keepLines/>
              <w:widowControl w:val="0"/>
              <w:tabs>
                <w:tab w:val="left" w:pos="567"/>
              </w:tabs>
              <w:spacing w:line="260" w:lineRule="exact"/>
              <w:rPr>
                <w:color w:val="000000"/>
                <w:szCs w:val="22"/>
              </w:rPr>
            </w:pPr>
          </w:p>
        </w:tc>
        <w:tc>
          <w:tcPr>
            <w:tcW w:w="1417" w:type="dxa"/>
            <w:tcBorders>
              <w:top w:val="nil"/>
              <w:right w:val="single" w:sz="4" w:space="0" w:color="auto"/>
            </w:tcBorders>
            <w:vAlign w:val="bottom"/>
          </w:tcPr>
          <w:p w14:paraId="375EB331"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Alto</w:t>
            </w:r>
          </w:p>
        </w:tc>
        <w:tc>
          <w:tcPr>
            <w:tcW w:w="986" w:type="dxa"/>
            <w:tcBorders>
              <w:top w:val="nil"/>
              <w:left w:val="single" w:sz="4" w:space="0" w:color="auto"/>
              <w:right w:val="single" w:sz="4" w:space="0" w:color="auto"/>
            </w:tcBorders>
            <w:vAlign w:val="bottom"/>
          </w:tcPr>
          <w:p w14:paraId="375EB332" w14:textId="77777777" w:rsidR="00906898" w:rsidRPr="00263DB9" w:rsidRDefault="00906898" w:rsidP="003970DC">
            <w:pPr>
              <w:keepNext/>
              <w:keepLines/>
              <w:widowControl w:val="0"/>
              <w:tabs>
                <w:tab w:val="left" w:pos="567"/>
              </w:tabs>
              <w:spacing w:line="260" w:lineRule="exact"/>
              <w:jc w:val="center"/>
              <w:rPr>
                <w:color w:val="000000"/>
                <w:szCs w:val="22"/>
              </w:rPr>
            </w:pPr>
            <w:r w:rsidRPr="00263DB9">
              <w:rPr>
                <w:color w:val="000000"/>
                <w:szCs w:val="22"/>
              </w:rPr>
              <w:t>44,8</w:t>
            </w:r>
          </w:p>
        </w:tc>
        <w:tc>
          <w:tcPr>
            <w:tcW w:w="2083" w:type="dxa"/>
            <w:tcBorders>
              <w:top w:val="nil"/>
              <w:left w:val="single" w:sz="4" w:space="0" w:color="auto"/>
              <w:right w:val="single" w:sz="4" w:space="0" w:color="auto"/>
            </w:tcBorders>
            <w:vAlign w:val="bottom"/>
          </w:tcPr>
          <w:p w14:paraId="375EB333"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21/140 vs. 51/127</w:t>
            </w:r>
          </w:p>
        </w:tc>
        <w:tc>
          <w:tcPr>
            <w:tcW w:w="1351" w:type="dxa"/>
            <w:tcBorders>
              <w:top w:val="nil"/>
              <w:left w:val="single" w:sz="4" w:space="0" w:color="auto"/>
              <w:right w:val="single" w:sz="4" w:space="0" w:color="auto"/>
            </w:tcBorders>
            <w:vAlign w:val="bottom"/>
          </w:tcPr>
          <w:p w14:paraId="375EB334" w14:textId="77777777" w:rsidR="00906898" w:rsidRPr="00263DB9" w:rsidRDefault="00906898" w:rsidP="003970DC">
            <w:pPr>
              <w:keepNext/>
              <w:keepLines/>
              <w:widowControl w:val="0"/>
              <w:tabs>
                <w:tab w:val="left" w:pos="567"/>
              </w:tabs>
              <w:spacing w:line="260" w:lineRule="exact"/>
              <w:jc w:val="center"/>
              <w:rPr>
                <w:color w:val="000000"/>
                <w:szCs w:val="22"/>
              </w:rPr>
            </w:pPr>
            <w:r w:rsidRPr="00263DB9">
              <w:rPr>
                <w:color w:val="000000"/>
                <w:szCs w:val="22"/>
              </w:rPr>
              <w:t>0,29</w:t>
            </w:r>
          </w:p>
          <w:p w14:paraId="375EB335" w14:textId="77777777" w:rsidR="00906898" w:rsidRPr="00263DB9" w:rsidRDefault="00906898" w:rsidP="003970DC">
            <w:pPr>
              <w:keepNext/>
              <w:keepLines/>
              <w:widowControl w:val="0"/>
              <w:tabs>
                <w:tab w:val="left" w:pos="567"/>
              </w:tabs>
              <w:spacing w:line="260" w:lineRule="exact"/>
              <w:jc w:val="center"/>
              <w:rPr>
                <w:color w:val="000000"/>
                <w:szCs w:val="22"/>
              </w:rPr>
            </w:pPr>
            <w:r w:rsidRPr="00263DB9">
              <w:rPr>
                <w:color w:val="000000"/>
                <w:szCs w:val="22"/>
              </w:rPr>
              <w:t>(0,18; 0,49)</w:t>
            </w:r>
          </w:p>
        </w:tc>
        <w:tc>
          <w:tcPr>
            <w:tcW w:w="1440" w:type="dxa"/>
            <w:tcBorders>
              <w:top w:val="nil"/>
              <w:left w:val="single" w:sz="4" w:space="0" w:color="auto"/>
              <w:right w:val="single" w:sz="4" w:space="0" w:color="auto"/>
            </w:tcBorders>
            <w:vAlign w:val="bottom"/>
          </w:tcPr>
          <w:p w14:paraId="375EB336"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94,8 vs. 64,0</w:t>
            </w:r>
          </w:p>
        </w:tc>
        <w:tc>
          <w:tcPr>
            <w:tcW w:w="1360" w:type="dxa"/>
            <w:tcBorders>
              <w:top w:val="nil"/>
              <w:left w:val="single" w:sz="4" w:space="0" w:color="auto"/>
            </w:tcBorders>
            <w:vAlign w:val="bottom"/>
          </w:tcPr>
          <w:p w14:paraId="375EB337"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80,7 vs. 46,6</w:t>
            </w:r>
          </w:p>
        </w:tc>
      </w:tr>
      <w:tr w:rsidR="00906898" w:rsidRPr="00263DB9" w14:paraId="375EB340" w14:textId="77777777">
        <w:trPr>
          <w:cantSplit/>
        </w:trPr>
        <w:tc>
          <w:tcPr>
            <w:tcW w:w="1101" w:type="dxa"/>
            <w:vMerge w:val="restart"/>
            <w:vAlign w:val="center"/>
          </w:tcPr>
          <w:p w14:paraId="375EB339"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AFIP</w:t>
            </w:r>
          </w:p>
        </w:tc>
        <w:tc>
          <w:tcPr>
            <w:tcW w:w="1417" w:type="dxa"/>
            <w:tcBorders>
              <w:bottom w:val="nil"/>
              <w:right w:val="single" w:sz="4" w:space="0" w:color="auto"/>
            </w:tcBorders>
            <w:vAlign w:val="bottom"/>
          </w:tcPr>
          <w:p w14:paraId="375EB33A"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Muito baixo</w:t>
            </w:r>
          </w:p>
        </w:tc>
        <w:tc>
          <w:tcPr>
            <w:tcW w:w="986" w:type="dxa"/>
            <w:tcBorders>
              <w:left w:val="single" w:sz="4" w:space="0" w:color="auto"/>
              <w:bottom w:val="nil"/>
              <w:right w:val="single" w:sz="4" w:space="0" w:color="auto"/>
            </w:tcBorders>
            <w:vAlign w:val="bottom"/>
          </w:tcPr>
          <w:p w14:paraId="375EB33B" w14:textId="77777777" w:rsidR="00906898" w:rsidRPr="00263DB9" w:rsidRDefault="00906898" w:rsidP="003970DC">
            <w:pPr>
              <w:keepNext/>
              <w:keepLines/>
              <w:widowControl w:val="0"/>
              <w:tabs>
                <w:tab w:val="left" w:pos="567"/>
              </w:tabs>
              <w:spacing w:line="260" w:lineRule="exact"/>
              <w:jc w:val="center"/>
              <w:rPr>
                <w:color w:val="000000"/>
                <w:szCs w:val="22"/>
              </w:rPr>
            </w:pPr>
            <w:r w:rsidRPr="00263DB9">
              <w:rPr>
                <w:color w:val="000000"/>
                <w:szCs w:val="22"/>
              </w:rPr>
              <w:t>20,7</w:t>
            </w:r>
          </w:p>
        </w:tc>
        <w:tc>
          <w:tcPr>
            <w:tcW w:w="2083" w:type="dxa"/>
            <w:tcBorders>
              <w:left w:val="single" w:sz="4" w:space="0" w:color="auto"/>
              <w:bottom w:val="nil"/>
              <w:right w:val="single" w:sz="4" w:space="0" w:color="auto"/>
            </w:tcBorders>
            <w:vAlign w:val="bottom"/>
          </w:tcPr>
          <w:p w14:paraId="375EB33C"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0/52 vs. 2/63</w:t>
            </w:r>
          </w:p>
        </w:tc>
        <w:tc>
          <w:tcPr>
            <w:tcW w:w="1351" w:type="dxa"/>
            <w:tcBorders>
              <w:left w:val="single" w:sz="4" w:space="0" w:color="auto"/>
              <w:bottom w:val="nil"/>
              <w:right w:val="single" w:sz="4" w:space="0" w:color="auto"/>
            </w:tcBorders>
            <w:vAlign w:val="bottom"/>
          </w:tcPr>
          <w:p w14:paraId="375EB33D" w14:textId="77777777" w:rsidR="00906898" w:rsidRPr="00263DB9" w:rsidRDefault="00906898" w:rsidP="003970DC">
            <w:pPr>
              <w:keepNext/>
              <w:keepLines/>
              <w:widowControl w:val="0"/>
              <w:tabs>
                <w:tab w:val="left" w:pos="567"/>
              </w:tabs>
              <w:spacing w:line="260" w:lineRule="exact"/>
              <w:jc w:val="center"/>
              <w:rPr>
                <w:color w:val="000000"/>
                <w:szCs w:val="22"/>
              </w:rPr>
            </w:pPr>
            <w:r w:rsidRPr="00263DB9">
              <w:rPr>
                <w:color w:val="000000"/>
                <w:szCs w:val="22"/>
              </w:rPr>
              <w:t>N.E.</w:t>
            </w:r>
          </w:p>
        </w:tc>
        <w:tc>
          <w:tcPr>
            <w:tcW w:w="1440" w:type="dxa"/>
            <w:tcBorders>
              <w:left w:val="single" w:sz="4" w:space="0" w:color="auto"/>
              <w:bottom w:val="nil"/>
              <w:right w:val="single" w:sz="4" w:space="0" w:color="auto"/>
            </w:tcBorders>
            <w:vAlign w:val="bottom"/>
          </w:tcPr>
          <w:p w14:paraId="375EB33E"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100 vs. 98,1</w:t>
            </w:r>
          </w:p>
        </w:tc>
        <w:tc>
          <w:tcPr>
            <w:tcW w:w="1360" w:type="dxa"/>
            <w:tcBorders>
              <w:left w:val="single" w:sz="4" w:space="0" w:color="auto"/>
              <w:bottom w:val="nil"/>
            </w:tcBorders>
            <w:vAlign w:val="bottom"/>
          </w:tcPr>
          <w:p w14:paraId="375EB33F"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100 vs. 93,0</w:t>
            </w:r>
          </w:p>
        </w:tc>
      </w:tr>
      <w:tr w:rsidR="00906898" w:rsidRPr="00263DB9" w14:paraId="375EB348" w14:textId="77777777">
        <w:trPr>
          <w:cantSplit/>
        </w:trPr>
        <w:tc>
          <w:tcPr>
            <w:tcW w:w="1101" w:type="dxa"/>
            <w:vMerge/>
          </w:tcPr>
          <w:p w14:paraId="375EB341" w14:textId="77777777" w:rsidR="00906898" w:rsidRPr="00263DB9" w:rsidRDefault="00906898" w:rsidP="003970DC">
            <w:pPr>
              <w:keepNext/>
              <w:keepLines/>
              <w:widowControl w:val="0"/>
              <w:tabs>
                <w:tab w:val="left" w:pos="567"/>
              </w:tabs>
              <w:spacing w:line="260" w:lineRule="exact"/>
              <w:rPr>
                <w:color w:val="000000"/>
                <w:szCs w:val="22"/>
              </w:rPr>
            </w:pPr>
          </w:p>
        </w:tc>
        <w:tc>
          <w:tcPr>
            <w:tcW w:w="1417" w:type="dxa"/>
            <w:tcBorders>
              <w:top w:val="nil"/>
              <w:bottom w:val="nil"/>
              <w:right w:val="single" w:sz="4" w:space="0" w:color="auto"/>
            </w:tcBorders>
            <w:vAlign w:val="bottom"/>
          </w:tcPr>
          <w:p w14:paraId="375EB342"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Baixo</w:t>
            </w:r>
          </w:p>
        </w:tc>
        <w:tc>
          <w:tcPr>
            <w:tcW w:w="986" w:type="dxa"/>
            <w:tcBorders>
              <w:top w:val="nil"/>
              <w:left w:val="single" w:sz="4" w:space="0" w:color="auto"/>
              <w:bottom w:val="nil"/>
              <w:right w:val="single" w:sz="4" w:space="0" w:color="auto"/>
            </w:tcBorders>
            <w:vAlign w:val="bottom"/>
          </w:tcPr>
          <w:p w14:paraId="375EB343" w14:textId="77777777" w:rsidR="00906898" w:rsidRPr="00263DB9" w:rsidRDefault="00906898" w:rsidP="003970DC">
            <w:pPr>
              <w:keepNext/>
              <w:keepLines/>
              <w:widowControl w:val="0"/>
              <w:tabs>
                <w:tab w:val="left" w:pos="567"/>
              </w:tabs>
              <w:spacing w:line="260" w:lineRule="exact"/>
              <w:jc w:val="center"/>
              <w:rPr>
                <w:color w:val="000000"/>
                <w:szCs w:val="22"/>
              </w:rPr>
            </w:pPr>
            <w:r w:rsidRPr="00263DB9">
              <w:rPr>
                <w:color w:val="000000"/>
                <w:szCs w:val="22"/>
              </w:rPr>
              <w:t>25,0</w:t>
            </w:r>
          </w:p>
        </w:tc>
        <w:tc>
          <w:tcPr>
            <w:tcW w:w="2083" w:type="dxa"/>
            <w:tcBorders>
              <w:top w:val="nil"/>
              <w:left w:val="single" w:sz="4" w:space="0" w:color="auto"/>
              <w:bottom w:val="nil"/>
              <w:right w:val="single" w:sz="4" w:space="0" w:color="auto"/>
            </w:tcBorders>
            <w:vAlign w:val="bottom"/>
          </w:tcPr>
          <w:p w14:paraId="375EB344"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2/70 vs. 0/69</w:t>
            </w:r>
          </w:p>
        </w:tc>
        <w:tc>
          <w:tcPr>
            <w:tcW w:w="1351" w:type="dxa"/>
            <w:tcBorders>
              <w:top w:val="nil"/>
              <w:left w:val="single" w:sz="4" w:space="0" w:color="auto"/>
              <w:bottom w:val="nil"/>
              <w:right w:val="single" w:sz="4" w:space="0" w:color="auto"/>
            </w:tcBorders>
            <w:vAlign w:val="bottom"/>
          </w:tcPr>
          <w:p w14:paraId="375EB345" w14:textId="77777777" w:rsidR="00906898" w:rsidRPr="00263DB9" w:rsidRDefault="00906898" w:rsidP="003970DC">
            <w:pPr>
              <w:keepNext/>
              <w:keepLines/>
              <w:widowControl w:val="0"/>
              <w:tabs>
                <w:tab w:val="left" w:pos="567"/>
              </w:tabs>
              <w:spacing w:line="260" w:lineRule="exact"/>
              <w:jc w:val="center"/>
              <w:rPr>
                <w:color w:val="000000"/>
                <w:szCs w:val="22"/>
              </w:rPr>
            </w:pPr>
            <w:r w:rsidRPr="00263DB9">
              <w:rPr>
                <w:color w:val="000000"/>
                <w:szCs w:val="22"/>
              </w:rPr>
              <w:t>N.E.</w:t>
            </w:r>
          </w:p>
        </w:tc>
        <w:tc>
          <w:tcPr>
            <w:tcW w:w="1440" w:type="dxa"/>
            <w:tcBorders>
              <w:top w:val="nil"/>
              <w:left w:val="single" w:sz="4" w:space="0" w:color="auto"/>
              <w:bottom w:val="nil"/>
              <w:right w:val="single" w:sz="4" w:space="0" w:color="auto"/>
            </w:tcBorders>
            <w:vAlign w:val="bottom"/>
          </w:tcPr>
          <w:p w14:paraId="375EB346"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100 vs. 100</w:t>
            </w:r>
          </w:p>
        </w:tc>
        <w:tc>
          <w:tcPr>
            <w:tcW w:w="1360" w:type="dxa"/>
            <w:tcBorders>
              <w:top w:val="nil"/>
              <w:left w:val="single" w:sz="4" w:space="0" w:color="auto"/>
              <w:bottom w:val="nil"/>
            </w:tcBorders>
            <w:vAlign w:val="bottom"/>
          </w:tcPr>
          <w:p w14:paraId="375EB347"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97,8 vs. 100</w:t>
            </w:r>
          </w:p>
        </w:tc>
      </w:tr>
      <w:tr w:rsidR="00906898" w:rsidRPr="00263DB9" w14:paraId="375EB351" w14:textId="77777777">
        <w:trPr>
          <w:cantSplit/>
        </w:trPr>
        <w:tc>
          <w:tcPr>
            <w:tcW w:w="1101" w:type="dxa"/>
            <w:vMerge/>
          </w:tcPr>
          <w:p w14:paraId="375EB349" w14:textId="77777777" w:rsidR="00906898" w:rsidRPr="00263DB9" w:rsidRDefault="00906898" w:rsidP="003970DC">
            <w:pPr>
              <w:keepNext/>
              <w:keepLines/>
              <w:widowControl w:val="0"/>
              <w:tabs>
                <w:tab w:val="left" w:pos="567"/>
              </w:tabs>
              <w:spacing w:line="260" w:lineRule="exact"/>
              <w:rPr>
                <w:b/>
                <w:color w:val="000000"/>
                <w:szCs w:val="22"/>
              </w:rPr>
            </w:pPr>
          </w:p>
        </w:tc>
        <w:tc>
          <w:tcPr>
            <w:tcW w:w="1417" w:type="dxa"/>
            <w:tcBorders>
              <w:top w:val="nil"/>
              <w:bottom w:val="nil"/>
              <w:right w:val="single" w:sz="4" w:space="0" w:color="auto"/>
            </w:tcBorders>
            <w:vAlign w:val="bottom"/>
          </w:tcPr>
          <w:p w14:paraId="375EB34A"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Moderado</w:t>
            </w:r>
          </w:p>
        </w:tc>
        <w:tc>
          <w:tcPr>
            <w:tcW w:w="986" w:type="dxa"/>
            <w:tcBorders>
              <w:top w:val="nil"/>
              <w:left w:val="single" w:sz="4" w:space="0" w:color="auto"/>
              <w:bottom w:val="nil"/>
              <w:right w:val="single" w:sz="4" w:space="0" w:color="auto"/>
            </w:tcBorders>
            <w:vAlign w:val="bottom"/>
          </w:tcPr>
          <w:p w14:paraId="375EB34B" w14:textId="77777777" w:rsidR="00906898" w:rsidRPr="00263DB9" w:rsidRDefault="00906898" w:rsidP="003970DC">
            <w:pPr>
              <w:keepNext/>
              <w:keepLines/>
              <w:widowControl w:val="0"/>
              <w:tabs>
                <w:tab w:val="left" w:pos="567"/>
              </w:tabs>
              <w:spacing w:line="260" w:lineRule="exact"/>
              <w:jc w:val="center"/>
              <w:rPr>
                <w:color w:val="000000"/>
                <w:szCs w:val="22"/>
              </w:rPr>
            </w:pPr>
            <w:r w:rsidRPr="00263DB9">
              <w:rPr>
                <w:color w:val="000000"/>
                <w:szCs w:val="22"/>
              </w:rPr>
              <w:t>24,6</w:t>
            </w:r>
          </w:p>
        </w:tc>
        <w:tc>
          <w:tcPr>
            <w:tcW w:w="2083" w:type="dxa"/>
            <w:tcBorders>
              <w:top w:val="nil"/>
              <w:left w:val="single" w:sz="4" w:space="0" w:color="auto"/>
              <w:bottom w:val="nil"/>
              <w:right w:val="single" w:sz="4" w:space="0" w:color="auto"/>
            </w:tcBorders>
            <w:vAlign w:val="bottom"/>
          </w:tcPr>
          <w:p w14:paraId="375EB34C"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2/70 vs. 11/67</w:t>
            </w:r>
          </w:p>
        </w:tc>
        <w:tc>
          <w:tcPr>
            <w:tcW w:w="1351" w:type="dxa"/>
            <w:tcBorders>
              <w:top w:val="nil"/>
              <w:left w:val="single" w:sz="4" w:space="0" w:color="auto"/>
              <w:bottom w:val="nil"/>
              <w:right w:val="single" w:sz="4" w:space="0" w:color="auto"/>
            </w:tcBorders>
            <w:vAlign w:val="bottom"/>
          </w:tcPr>
          <w:p w14:paraId="375EB34D" w14:textId="77777777" w:rsidR="00906898" w:rsidRPr="00263DB9" w:rsidRDefault="00906898" w:rsidP="003970DC">
            <w:pPr>
              <w:keepNext/>
              <w:keepLines/>
              <w:widowControl w:val="0"/>
              <w:tabs>
                <w:tab w:val="left" w:pos="567"/>
              </w:tabs>
              <w:spacing w:line="260" w:lineRule="exact"/>
              <w:jc w:val="center"/>
              <w:rPr>
                <w:color w:val="000000"/>
                <w:szCs w:val="22"/>
              </w:rPr>
            </w:pPr>
            <w:r w:rsidRPr="00263DB9">
              <w:rPr>
                <w:color w:val="000000"/>
                <w:szCs w:val="22"/>
              </w:rPr>
              <w:t>0,16</w:t>
            </w:r>
          </w:p>
          <w:p w14:paraId="375EB34E" w14:textId="77777777" w:rsidR="00906898" w:rsidRPr="00263DB9" w:rsidRDefault="00906898" w:rsidP="003970DC">
            <w:pPr>
              <w:keepNext/>
              <w:keepLines/>
              <w:widowControl w:val="0"/>
              <w:tabs>
                <w:tab w:val="left" w:pos="567"/>
              </w:tabs>
              <w:spacing w:line="260" w:lineRule="exact"/>
              <w:jc w:val="center"/>
              <w:rPr>
                <w:color w:val="000000"/>
                <w:szCs w:val="22"/>
              </w:rPr>
            </w:pPr>
            <w:r w:rsidRPr="00263DB9">
              <w:rPr>
                <w:color w:val="000000"/>
                <w:szCs w:val="22"/>
              </w:rPr>
              <w:t>(0,03; 0,70)</w:t>
            </w:r>
          </w:p>
        </w:tc>
        <w:tc>
          <w:tcPr>
            <w:tcW w:w="1440" w:type="dxa"/>
            <w:tcBorders>
              <w:top w:val="nil"/>
              <w:left w:val="single" w:sz="4" w:space="0" w:color="auto"/>
              <w:bottom w:val="nil"/>
              <w:right w:val="single" w:sz="4" w:space="0" w:color="auto"/>
            </w:tcBorders>
            <w:vAlign w:val="bottom"/>
          </w:tcPr>
          <w:p w14:paraId="375EB34F"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97,9 vs. 90,8</w:t>
            </w:r>
          </w:p>
        </w:tc>
        <w:tc>
          <w:tcPr>
            <w:tcW w:w="1360" w:type="dxa"/>
            <w:tcBorders>
              <w:top w:val="nil"/>
              <w:left w:val="single" w:sz="4" w:space="0" w:color="auto"/>
              <w:bottom w:val="nil"/>
            </w:tcBorders>
            <w:vAlign w:val="bottom"/>
          </w:tcPr>
          <w:p w14:paraId="375EB350"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97,9 vs. 73,3</w:t>
            </w:r>
          </w:p>
        </w:tc>
      </w:tr>
      <w:tr w:rsidR="00906898" w:rsidRPr="00263DB9" w14:paraId="375EB35A" w14:textId="77777777">
        <w:trPr>
          <w:cantSplit/>
        </w:trPr>
        <w:tc>
          <w:tcPr>
            <w:tcW w:w="1101" w:type="dxa"/>
            <w:vMerge/>
            <w:tcBorders>
              <w:bottom w:val="single" w:sz="4" w:space="0" w:color="auto"/>
            </w:tcBorders>
          </w:tcPr>
          <w:p w14:paraId="375EB352" w14:textId="77777777" w:rsidR="00906898" w:rsidRPr="00263DB9" w:rsidRDefault="00906898" w:rsidP="003970DC">
            <w:pPr>
              <w:keepNext/>
              <w:keepLines/>
              <w:widowControl w:val="0"/>
              <w:tabs>
                <w:tab w:val="left" w:pos="567"/>
              </w:tabs>
              <w:spacing w:line="260" w:lineRule="exact"/>
              <w:rPr>
                <w:color w:val="000000"/>
                <w:szCs w:val="22"/>
              </w:rPr>
            </w:pPr>
          </w:p>
        </w:tc>
        <w:tc>
          <w:tcPr>
            <w:tcW w:w="1417" w:type="dxa"/>
            <w:tcBorders>
              <w:top w:val="nil"/>
              <w:bottom w:val="single" w:sz="4" w:space="0" w:color="auto"/>
              <w:right w:val="single" w:sz="4" w:space="0" w:color="auto"/>
            </w:tcBorders>
            <w:vAlign w:val="bottom"/>
          </w:tcPr>
          <w:p w14:paraId="375EB353"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Alto</w:t>
            </w:r>
          </w:p>
        </w:tc>
        <w:tc>
          <w:tcPr>
            <w:tcW w:w="986" w:type="dxa"/>
            <w:tcBorders>
              <w:top w:val="nil"/>
              <w:left w:val="single" w:sz="4" w:space="0" w:color="auto"/>
              <w:bottom w:val="single" w:sz="4" w:space="0" w:color="auto"/>
              <w:right w:val="single" w:sz="4" w:space="0" w:color="auto"/>
            </w:tcBorders>
            <w:vAlign w:val="bottom"/>
          </w:tcPr>
          <w:p w14:paraId="375EB354" w14:textId="77777777" w:rsidR="00906898" w:rsidRPr="00263DB9" w:rsidRDefault="00906898" w:rsidP="003970DC">
            <w:pPr>
              <w:keepNext/>
              <w:keepLines/>
              <w:widowControl w:val="0"/>
              <w:tabs>
                <w:tab w:val="left" w:pos="567"/>
              </w:tabs>
              <w:spacing w:line="260" w:lineRule="exact"/>
              <w:ind w:right="-3"/>
              <w:jc w:val="center"/>
              <w:rPr>
                <w:color w:val="000000"/>
                <w:szCs w:val="22"/>
              </w:rPr>
            </w:pPr>
            <w:r w:rsidRPr="00263DB9">
              <w:rPr>
                <w:color w:val="000000"/>
                <w:szCs w:val="22"/>
              </w:rPr>
              <w:t>29,7</w:t>
            </w:r>
          </w:p>
        </w:tc>
        <w:tc>
          <w:tcPr>
            <w:tcW w:w="2083" w:type="dxa"/>
            <w:tcBorders>
              <w:top w:val="nil"/>
              <w:left w:val="single" w:sz="4" w:space="0" w:color="auto"/>
              <w:bottom w:val="single" w:sz="4" w:space="0" w:color="auto"/>
              <w:right w:val="single" w:sz="4" w:space="0" w:color="auto"/>
            </w:tcBorders>
            <w:vAlign w:val="bottom"/>
          </w:tcPr>
          <w:p w14:paraId="375EB355"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16/84 vs. 39/81</w:t>
            </w:r>
          </w:p>
        </w:tc>
        <w:tc>
          <w:tcPr>
            <w:tcW w:w="1351" w:type="dxa"/>
            <w:tcBorders>
              <w:top w:val="nil"/>
              <w:left w:val="single" w:sz="4" w:space="0" w:color="auto"/>
              <w:bottom w:val="single" w:sz="4" w:space="0" w:color="auto"/>
              <w:right w:val="single" w:sz="4" w:space="0" w:color="auto"/>
            </w:tcBorders>
            <w:vAlign w:val="bottom"/>
          </w:tcPr>
          <w:p w14:paraId="375EB356" w14:textId="77777777" w:rsidR="00906898" w:rsidRPr="00263DB9" w:rsidRDefault="00906898" w:rsidP="003970DC">
            <w:pPr>
              <w:keepNext/>
              <w:keepLines/>
              <w:widowControl w:val="0"/>
              <w:tabs>
                <w:tab w:val="left" w:pos="567"/>
              </w:tabs>
              <w:spacing w:line="260" w:lineRule="exact"/>
              <w:jc w:val="center"/>
              <w:rPr>
                <w:color w:val="000000"/>
                <w:szCs w:val="22"/>
              </w:rPr>
            </w:pPr>
            <w:r w:rsidRPr="00263DB9">
              <w:rPr>
                <w:color w:val="000000"/>
                <w:szCs w:val="22"/>
              </w:rPr>
              <w:t>0,27</w:t>
            </w:r>
          </w:p>
          <w:p w14:paraId="375EB357" w14:textId="77777777" w:rsidR="00906898" w:rsidRPr="00263DB9" w:rsidRDefault="00906898" w:rsidP="003970DC">
            <w:pPr>
              <w:keepNext/>
              <w:keepLines/>
              <w:widowControl w:val="0"/>
              <w:tabs>
                <w:tab w:val="left" w:pos="567"/>
              </w:tabs>
              <w:spacing w:line="260" w:lineRule="exact"/>
              <w:jc w:val="center"/>
              <w:rPr>
                <w:color w:val="000000"/>
                <w:szCs w:val="22"/>
              </w:rPr>
            </w:pPr>
            <w:r w:rsidRPr="00263DB9">
              <w:rPr>
                <w:color w:val="000000"/>
                <w:szCs w:val="22"/>
              </w:rPr>
              <w:t>(0,15; 0,48)</w:t>
            </w:r>
          </w:p>
        </w:tc>
        <w:tc>
          <w:tcPr>
            <w:tcW w:w="1440" w:type="dxa"/>
            <w:tcBorders>
              <w:top w:val="nil"/>
              <w:left w:val="single" w:sz="4" w:space="0" w:color="auto"/>
              <w:bottom w:val="single" w:sz="4" w:space="0" w:color="auto"/>
              <w:right w:val="single" w:sz="4" w:space="0" w:color="auto"/>
            </w:tcBorders>
            <w:vAlign w:val="bottom"/>
          </w:tcPr>
          <w:p w14:paraId="375EB358"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98,7 vs. 56,1</w:t>
            </w:r>
          </w:p>
        </w:tc>
        <w:tc>
          <w:tcPr>
            <w:tcW w:w="1360" w:type="dxa"/>
            <w:tcBorders>
              <w:top w:val="nil"/>
              <w:left w:val="single" w:sz="4" w:space="0" w:color="auto"/>
              <w:bottom w:val="single" w:sz="4" w:space="0" w:color="auto"/>
            </w:tcBorders>
            <w:vAlign w:val="bottom"/>
          </w:tcPr>
          <w:p w14:paraId="375EB359" w14:textId="77777777" w:rsidR="00906898" w:rsidRPr="00263DB9" w:rsidRDefault="00906898" w:rsidP="003970DC">
            <w:pPr>
              <w:keepNext/>
              <w:keepLines/>
              <w:widowControl w:val="0"/>
              <w:tabs>
                <w:tab w:val="left" w:pos="567"/>
              </w:tabs>
              <w:spacing w:line="260" w:lineRule="exact"/>
              <w:rPr>
                <w:color w:val="000000"/>
                <w:szCs w:val="22"/>
              </w:rPr>
            </w:pPr>
            <w:r w:rsidRPr="00263DB9">
              <w:rPr>
                <w:color w:val="000000"/>
                <w:szCs w:val="22"/>
              </w:rPr>
              <w:t>79,9 vs. 41,5</w:t>
            </w:r>
          </w:p>
        </w:tc>
      </w:tr>
    </w:tbl>
    <w:p w14:paraId="375EB35B" w14:textId="77777777" w:rsidR="00906898" w:rsidRPr="00263DB9" w:rsidRDefault="00906898" w:rsidP="003970DC">
      <w:pPr>
        <w:pStyle w:val="Text"/>
        <w:keepNext/>
        <w:keepLines/>
        <w:widowControl w:val="0"/>
        <w:spacing w:before="0"/>
        <w:rPr>
          <w:color w:val="000000"/>
          <w:sz w:val="22"/>
          <w:szCs w:val="22"/>
          <w:lang w:val="pt-PT"/>
        </w:rPr>
      </w:pPr>
      <w:r w:rsidRPr="00263DB9">
        <w:rPr>
          <w:color w:val="000000"/>
          <w:sz w:val="22"/>
          <w:szCs w:val="22"/>
          <w:lang w:val="pt-PT"/>
        </w:rPr>
        <w:t>* Período total de acompanhamento; NE – Não estimável</w:t>
      </w:r>
    </w:p>
    <w:p w14:paraId="375EB35C" w14:textId="77777777" w:rsidR="00906898" w:rsidRPr="00263DB9" w:rsidRDefault="00906898" w:rsidP="00E51817">
      <w:pPr>
        <w:widowControl w:val="0"/>
        <w:rPr>
          <w:rFonts w:eastAsia="MS Mincho"/>
          <w:szCs w:val="22"/>
          <w:lang w:val="es-ES" w:eastAsia="ja-JP"/>
        </w:rPr>
      </w:pPr>
    </w:p>
    <w:p w14:paraId="375EB35D" w14:textId="76ED2BA1" w:rsidR="00906898" w:rsidRPr="00263DB9" w:rsidRDefault="00906898" w:rsidP="00E51817">
      <w:pPr>
        <w:widowControl w:val="0"/>
        <w:rPr>
          <w:rFonts w:eastAsia="MS Mincho"/>
          <w:szCs w:val="22"/>
          <w:lang w:eastAsia="ja-JP"/>
        </w:rPr>
      </w:pPr>
      <w:r w:rsidRPr="00263DB9">
        <w:rPr>
          <w:rFonts w:eastAsia="MS Mincho"/>
          <w:szCs w:val="22"/>
          <w:lang w:eastAsia="ja-JP"/>
        </w:rPr>
        <w:t xml:space="preserve">Um segundo estudo de fase III, multicêntrico, aberto (SSG XVIII/AIO) comparou 400 mg/dia de Glivec durante 12 meses de tratamento vs. 36 meses de tratamento em doentes submetidos a ressecção cirúrgica do GIST e um dos seguintes: diâmetro do tumor &gt; 5 cm e contagem mitótica &gt; 5/50 campos de alta potência (HPF); ou diâmetro do tumor &gt; 10 cm e qualquer contagem mitótica ou tumor de qualquer dimensão com contagem mitótica &gt; 10/50 HPF ou tumores com rutura para a cavidade peritoneal. Num total de 397 doentes com consentimento e aleatorizados para o estudo (199 doentes no grupo dos 12-meses e 198 doentes no grupo dos 36-meses), a idade mediana foi 61 anos (intervalo entre 22 e 84 anos). O tempo mediano de acompanhamento foi 54 meses (desde a data de aleatorização até ao </w:t>
      </w:r>
      <w:r w:rsidR="003C4FF5" w:rsidRPr="001D39C1">
        <w:rPr>
          <w:rFonts w:eastAsia="MS Mincho"/>
          <w:i/>
          <w:szCs w:val="22"/>
          <w:lang w:eastAsia="ja-JP"/>
        </w:rPr>
        <w:t>cut-off</w:t>
      </w:r>
      <w:r w:rsidR="003C4FF5">
        <w:rPr>
          <w:rFonts w:eastAsia="MS Mincho"/>
          <w:szCs w:val="22"/>
          <w:lang w:eastAsia="ja-JP"/>
        </w:rPr>
        <w:t xml:space="preserve"> dos dados</w:t>
      </w:r>
      <w:r w:rsidRPr="00263DB9">
        <w:rPr>
          <w:rFonts w:eastAsia="MS Mincho"/>
          <w:szCs w:val="22"/>
          <w:lang w:eastAsia="ja-JP"/>
        </w:rPr>
        <w:t>), com um total de 83 meses entre o primeiro doente aleatorizado e a data final do estudo.</w:t>
      </w:r>
    </w:p>
    <w:p w14:paraId="375EB35E" w14:textId="77777777" w:rsidR="00906898" w:rsidRPr="00263DB9" w:rsidRDefault="00906898" w:rsidP="00E51817">
      <w:pPr>
        <w:widowControl w:val="0"/>
        <w:rPr>
          <w:rFonts w:eastAsia="MS Mincho"/>
          <w:iCs/>
          <w:szCs w:val="22"/>
          <w:lang w:eastAsia="ja-JP"/>
        </w:rPr>
      </w:pPr>
    </w:p>
    <w:p w14:paraId="375EB35F" w14:textId="77777777" w:rsidR="00906898" w:rsidRPr="00263DB9" w:rsidRDefault="00906898" w:rsidP="00E51817">
      <w:pPr>
        <w:widowControl w:val="0"/>
        <w:rPr>
          <w:rFonts w:eastAsia="MS Mincho"/>
          <w:szCs w:val="22"/>
          <w:lang w:eastAsia="ja-JP"/>
        </w:rPr>
      </w:pPr>
      <w:r w:rsidRPr="00263DB9">
        <w:rPr>
          <w:rFonts w:eastAsia="MS Mincho"/>
          <w:szCs w:val="22"/>
          <w:lang w:eastAsia="ja-JP"/>
        </w:rPr>
        <w:t xml:space="preserve">O </w:t>
      </w:r>
      <w:r w:rsidRPr="00263DB9">
        <w:rPr>
          <w:rFonts w:eastAsia="MS Mincho"/>
          <w:iCs/>
          <w:szCs w:val="22"/>
          <w:lang w:eastAsia="ja-JP"/>
        </w:rPr>
        <w:t>objetivo</w:t>
      </w:r>
      <w:r w:rsidRPr="00263DB9">
        <w:rPr>
          <w:rFonts w:eastAsia="MS Mincho"/>
          <w:szCs w:val="22"/>
          <w:lang w:eastAsia="ja-JP"/>
        </w:rPr>
        <w:t xml:space="preserve"> primário do estudo foi sobrevivência livre de recidiva (RFS), definida como o tempo desde a data de aleatorização até à data de recorrência ou morte por qualquer causa.</w:t>
      </w:r>
    </w:p>
    <w:p w14:paraId="375EB360" w14:textId="77777777" w:rsidR="00906898" w:rsidRPr="00263DB9" w:rsidRDefault="00906898" w:rsidP="00E51817">
      <w:pPr>
        <w:widowControl w:val="0"/>
        <w:rPr>
          <w:rFonts w:eastAsia="MS Mincho"/>
          <w:iCs/>
          <w:color w:val="000000"/>
          <w:szCs w:val="22"/>
          <w:lang w:eastAsia="ja-JP"/>
        </w:rPr>
      </w:pPr>
    </w:p>
    <w:p w14:paraId="375EB361" w14:textId="77777777" w:rsidR="00906898" w:rsidRPr="00263DB9" w:rsidRDefault="00906898" w:rsidP="00E51817">
      <w:pPr>
        <w:widowControl w:val="0"/>
        <w:rPr>
          <w:rFonts w:eastAsia="MS Mincho"/>
          <w:iCs/>
          <w:color w:val="000000"/>
          <w:szCs w:val="22"/>
          <w:lang w:eastAsia="ja-JP"/>
        </w:rPr>
      </w:pPr>
      <w:r w:rsidRPr="00263DB9">
        <w:rPr>
          <w:rFonts w:eastAsia="MS Mincho"/>
          <w:iCs/>
          <w:color w:val="000000"/>
          <w:szCs w:val="22"/>
          <w:lang w:eastAsia="ja-JP"/>
        </w:rPr>
        <w:t>Trinta e seis (36) meses de tratamento com Glivec, prolongaram significativamente a RFS em comparação com 12</w:t>
      </w:r>
      <w:r w:rsidR="004C3C6A" w:rsidRPr="00263DB9">
        <w:rPr>
          <w:rFonts w:eastAsia="MS Mincho"/>
          <w:iCs/>
          <w:color w:val="000000"/>
          <w:szCs w:val="22"/>
          <w:lang w:eastAsia="ja-JP"/>
        </w:rPr>
        <w:t> </w:t>
      </w:r>
      <w:r w:rsidRPr="00263DB9">
        <w:rPr>
          <w:rFonts w:eastAsia="MS Mincho"/>
          <w:iCs/>
          <w:color w:val="000000"/>
          <w:szCs w:val="22"/>
          <w:lang w:eastAsia="ja-JP"/>
        </w:rPr>
        <w:t>meses de tratamento com Glivec</w:t>
      </w:r>
      <w:r w:rsidRPr="00263DB9">
        <w:rPr>
          <w:rFonts w:eastAsia="MS Mincho"/>
          <w:iCs/>
          <w:szCs w:val="22"/>
          <w:lang w:eastAsia="ja-JP"/>
        </w:rPr>
        <w:t xml:space="preserve"> </w:t>
      </w:r>
      <w:r w:rsidRPr="00263DB9">
        <w:rPr>
          <w:rFonts w:eastAsia="MS Mincho"/>
          <w:iCs/>
          <w:color w:val="000000"/>
          <w:szCs w:val="22"/>
          <w:lang w:eastAsia="ja-JP"/>
        </w:rPr>
        <w:t>(com taxa de risco global = 0,46 [0,32; 0,65], p&lt;0,0001) (Tabela</w:t>
      </w:r>
      <w:r w:rsidRPr="00263DB9">
        <w:rPr>
          <w:rFonts w:eastAsia="MS Mincho"/>
          <w:color w:val="000000"/>
          <w:szCs w:val="22"/>
          <w:lang w:eastAsia="ja-JP"/>
        </w:rPr>
        <w:t> </w:t>
      </w:r>
      <w:r w:rsidR="00094C01" w:rsidRPr="00263DB9">
        <w:rPr>
          <w:rFonts w:eastAsia="MS Mincho"/>
          <w:iCs/>
          <w:color w:val="000000"/>
          <w:szCs w:val="22"/>
          <w:lang w:eastAsia="ja-JP"/>
        </w:rPr>
        <w:t>8</w:t>
      </w:r>
      <w:r w:rsidRPr="00263DB9">
        <w:rPr>
          <w:rFonts w:eastAsia="MS Mincho"/>
          <w:iCs/>
          <w:color w:val="000000"/>
          <w:szCs w:val="22"/>
          <w:lang w:eastAsia="ja-JP"/>
        </w:rPr>
        <w:t xml:space="preserve">, </w:t>
      </w:r>
      <w:r w:rsidRPr="00263DB9">
        <w:rPr>
          <w:rFonts w:eastAsia="MS Mincho"/>
        </w:rPr>
        <w:t>Figura 1</w:t>
      </w:r>
      <w:r w:rsidRPr="00263DB9">
        <w:rPr>
          <w:rFonts w:eastAsia="MS Mincho"/>
          <w:iCs/>
          <w:color w:val="000000"/>
          <w:szCs w:val="22"/>
          <w:lang w:eastAsia="ja-JP"/>
        </w:rPr>
        <w:t>).</w:t>
      </w:r>
    </w:p>
    <w:p w14:paraId="375EB362" w14:textId="77777777" w:rsidR="00906898" w:rsidRPr="00263DB9" w:rsidRDefault="00906898" w:rsidP="00E51817">
      <w:pPr>
        <w:widowControl w:val="0"/>
        <w:rPr>
          <w:rFonts w:eastAsia="MS Mincho"/>
          <w:iCs/>
          <w:color w:val="000000"/>
          <w:szCs w:val="22"/>
          <w:lang w:eastAsia="ja-JP"/>
        </w:rPr>
      </w:pPr>
    </w:p>
    <w:p w14:paraId="375EB363" w14:textId="77777777" w:rsidR="00906898" w:rsidRPr="00263DB9" w:rsidRDefault="00906898" w:rsidP="00E51817">
      <w:pPr>
        <w:widowControl w:val="0"/>
        <w:rPr>
          <w:rFonts w:eastAsia="MS Mincho"/>
          <w:iCs/>
          <w:color w:val="000000"/>
          <w:szCs w:val="22"/>
          <w:lang w:eastAsia="ja-JP"/>
        </w:rPr>
      </w:pPr>
      <w:r w:rsidRPr="00263DB9">
        <w:rPr>
          <w:rFonts w:eastAsia="MS Mincho"/>
          <w:iCs/>
          <w:color w:val="000000"/>
          <w:szCs w:val="22"/>
          <w:lang w:eastAsia="ja-JP"/>
        </w:rPr>
        <w:t xml:space="preserve">Adicionalmente, trinta e seis (36) meses de tratamento com Glivec prolongaram significativamente </w:t>
      </w:r>
      <w:r w:rsidRPr="00263DB9">
        <w:rPr>
          <w:color w:val="000000"/>
          <w:szCs w:val="22"/>
        </w:rPr>
        <w:t>a sobrevivência global (OS)</w:t>
      </w:r>
      <w:r w:rsidRPr="00263DB9">
        <w:rPr>
          <w:rFonts w:eastAsia="MS Mincho"/>
          <w:iCs/>
          <w:color w:val="000000"/>
          <w:szCs w:val="22"/>
          <w:lang w:eastAsia="ja-JP"/>
        </w:rPr>
        <w:t xml:space="preserve"> em comparação com 12</w:t>
      </w:r>
      <w:r w:rsidRPr="00263DB9">
        <w:rPr>
          <w:rFonts w:eastAsia="MS Mincho"/>
          <w:color w:val="000000"/>
          <w:szCs w:val="22"/>
          <w:lang w:eastAsia="ja-JP"/>
        </w:rPr>
        <w:t> </w:t>
      </w:r>
      <w:r w:rsidRPr="00263DB9">
        <w:rPr>
          <w:rFonts w:eastAsia="MS Mincho"/>
          <w:iCs/>
          <w:color w:val="000000"/>
          <w:szCs w:val="22"/>
          <w:lang w:eastAsia="ja-JP"/>
        </w:rPr>
        <w:t>meses de tratamento com Glivec (taxa de risco = 0,45 [0,22, 0,89], p=0,0187) (Tabela</w:t>
      </w:r>
      <w:r w:rsidRPr="00263DB9">
        <w:rPr>
          <w:rFonts w:eastAsia="MS Mincho"/>
          <w:color w:val="000000"/>
          <w:szCs w:val="22"/>
          <w:lang w:eastAsia="ja-JP"/>
        </w:rPr>
        <w:t> </w:t>
      </w:r>
      <w:r w:rsidR="00094C01" w:rsidRPr="00263DB9">
        <w:rPr>
          <w:rFonts w:eastAsia="MS Mincho"/>
          <w:iCs/>
          <w:color w:val="000000"/>
          <w:szCs w:val="22"/>
          <w:lang w:eastAsia="ja-JP"/>
        </w:rPr>
        <w:t>8</w:t>
      </w:r>
      <w:r w:rsidRPr="00263DB9">
        <w:rPr>
          <w:rFonts w:eastAsia="MS Mincho"/>
          <w:iCs/>
          <w:color w:val="000000"/>
          <w:szCs w:val="22"/>
          <w:lang w:eastAsia="ja-JP"/>
        </w:rPr>
        <w:t>, Figura 2).</w:t>
      </w:r>
    </w:p>
    <w:p w14:paraId="375EB364" w14:textId="77777777" w:rsidR="00906898" w:rsidRPr="00263DB9" w:rsidRDefault="00906898" w:rsidP="00E51817">
      <w:pPr>
        <w:widowControl w:val="0"/>
        <w:rPr>
          <w:rFonts w:eastAsia="MS Mincho"/>
          <w:iCs/>
          <w:color w:val="000000"/>
          <w:szCs w:val="22"/>
          <w:lang w:eastAsia="ja-JP"/>
        </w:rPr>
      </w:pPr>
    </w:p>
    <w:p w14:paraId="375EB365" w14:textId="77777777" w:rsidR="00906898" w:rsidRPr="00263DB9" w:rsidRDefault="00906898" w:rsidP="00E51817">
      <w:pPr>
        <w:widowControl w:val="0"/>
        <w:rPr>
          <w:rFonts w:eastAsia="MS Mincho"/>
          <w:iCs/>
          <w:color w:val="000000"/>
          <w:szCs w:val="22"/>
          <w:lang w:eastAsia="ja-JP"/>
        </w:rPr>
      </w:pPr>
      <w:r w:rsidRPr="00263DB9">
        <w:rPr>
          <w:rFonts w:eastAsia="MS Mincho"/>
          <w:iCs/>
          <w:color w:val="000000"/>
          <w:szCs w:val="22"/>
          <w:lang w:eastAsia="ja-JP"/>
        </w:rPr>
        <w:t>A maior duração de tratamento (&gt; 36 meses) pode atrasar o aparecimento de novas recorrências; no entanto, o impacto desta informação na sobrevivência global mantém-se desconhecido.</w:t>
      </w:r>
    </w:p>
    <w:p w14:paraId="375EB366" w14:textId="77777777" w:rsidR="00906898" w:rsidRPr="00263DB9" w:rsidRDefault="00906898" w:rsidP="00E51817">
      <w:pPr>
        <w:widowControl w:val="0"/>
        <w:rPr>
          <w:rFonts w:eastAsia="MS Mincho"/>
          <w:iCs/>
          <w:color w:val="000000"/>
          <w:szCs w:val="22"/>
          <w:lang w:eastAsia="ja-JP"/>
        </w:rPr>
      </w:pPr>
    </w:p>
    <w:p w14:paraId="375EB367" w14:textId="77777777" w:rsidR="00906898" w:rsidRPr="00263DB9" w:rsidRDefault="00906898" w:rsidP="00E51817">
      <w:pPr>
        <w:widowControl w:val="0"/>
        <w:rPr>
          <w:rFonts w:eastAsia="MS Mincho"/>
          <w:iCs/>
          <w:color w:val="000000"/>
          <w:szCs w:val="22"/>
          <w:lang w:eastAsia="ja-JP"/>
        </w:rPr>
      </w:pPr>
      <w:r w:rsidRPr="00263DB9">
        <w:rPr>
          <w:rFonts w:eastAsia="MS Mincho"/>
          <w:iCs/>
          <w:color w:val="000000"/>
          <w:szCs w:val="22"/>
          <w:lang w:eastAsia="ja-JP"/>
        </w:rPr>
        <w:t>O número total de mortes foram 25 para o grupo de 12-meses de tratamento e 12 para o grupo de 36-meses de tratamento.</w:t>
      </w:r>
    </w:p>
    <w:p w14:paraId="375EB368" w14:textId="77777777" w:rsidR="00906898" w:rsidRPr="00263DB9" w:rsidRDefault="00906898" w:rsidP="00E51817">
      <w:pPr>
        <w:widowControl w:val="0"/>
        <w:rPr>
          <w:rFonts w:eastAsia="MS Mincho"/>
          <w:iCs/>
          <w:szCs w:val="22"/>
          <w:lang w:eastAsia="ja-JP"/>
        </w:rPr>
      </w:pPr>
    </w:p>
    <w:p w14:paraId="375EB369" w14:textId="77777777" w:rsidR="00906898" w:rsidRPr="00263DB9" w:rsidRDefault="00906898" w:rsidP="00E51817">
      <w:pPr>
        <w:widowControl w:val="0"/>
        <w:rPr>
          <w:rFonts w:eastAsia="MS Mincho"/>
          <w:iCs/>
          <w:szCs w:val="22"/>
          <w:lang w:eastAsia="ja-JP"/>
        </w:rPr>
      </w:pPr>
      <w:r w:rsidRPr="00263DB9">
        <w:rPr>
          <w:rFonts w:eastAsia="MS Mincho"/>
          <w:iCs/>
          <w:szCs w:val="22"/>
          <w:lang w:eastAsia="ja-JP"/>
        </w:rPr>
        <w:t>O tratamento com imatinib durante 36 mesesfoi superior ao tratamento durante 12 meses na análise ITT, isto é, incluindo a populaçãototal do estudo. Numa análise planeada de subgrupos por tipo de mutação, a taxa de risco para RFS para 36 meses de tratamento em doentes com mutações de exon 11 foi de 0,35 [95% IC; 0,22; 0,56]. Não podem ser extraídas conclusões para outros subgrupos de mutações menos frequentes devido ao número reduzido de acontecimentos observado.</w:t>
      </w:r>
    </w:p>
    <w:p w14:paraId="375EB36A" w14:textId="77777777" w:rsidR="00906898" w:rsidRPr="00263DB9" w:rsidRDefault="00906898" w:rsidP="00E51817">
      <w:pPr>
        <w:widowControl w:val="0"/>
        <w:rPr>
          <w:rFonts w:eastAsia="MS Mincho"/>
          <w:iCs/>
          <w:szCs w:val="22"/>
          <w:lang w:eastAsia="ja-JP"/>
        </w:rPr>
      </w:pPr>
    </w:p>
    <w:p w14:paraId="375EB36B" w14:textId="77777777" w:rsidR="00906898" w:rsidRPr="00263DB9" w:rsidRDefault="00906898" w:rsidP="003970DC">
      <w:pPr>
        <w:keepNext/>
        <w:keepLines/>
        <w:widowControl w:val="0"/>
        <w:ind w:left="1134" w:hanging="1134"/>
        <w:rPr>
          <w:rFonts w:eastAsia="MS Mincho"/>
          <w:b/>
          <w:szCs w:val="22"/>
          <w:lang w:eastAsia="ja-JP"/>
        </w:rPr>
      </w:pPr>
      <w:r w:rsidRPr="00263DB9">
        <w:rPr>
          <w:rFonts w:eastAsia="MS Mincho"/>
          <w:b/>
          <w:szCs w:val="22"/>
        </w:rPr>
        <w:lastRenderedPageBreak/>
        <w:t>Tabela </w:t>
      </w:r>
      <w:r w:rsidR="00094C01" w:rsidRPr="00263DB9">
        <w:rPr>
          <w:rFonts w:eastAsia="MS Mincho"/>
          <w:b/>
          <w:szCs w:val="22"/>
        </w:rPr>
        <w:t>8</w:t>
      </w:r>
      <w:r w:rsidRPr="00263DB9">
        <w:rPr>
          <w:rFonts w:eastAsia="MS Mincho"/>
          <w:szCs w:val="22"/>
        </w:rPr>
        <w:tab/>
      </w:r>
      <w:r w:rsidRPr="00263DB9">
        <w:rPr>
          <w:rFonts w:eastAsia="MS Mincho"/>
          <w:b/>
          <w:szCs w:val="22"/>
          <w:lang w:eastAsia="ja-JP"/>
        </w:rPr>
        <w:t>Tratamento com Glivec 12-meses e 36-meses (Estudo SSGXVIII/AIO)</w:t>
      </w:r>
    </w:p>
    <w:p w14:paraId="375EB36C" w14:textId="77777777" w:rsidR="00906898" w:rsidRPr="00263DB9" w:rsidRDefault="00906898" w:rsidP="003970DC">
      <w:pPr>
        <w:keepNext/>
        <w:keepLines/>
        <w:widowControl w:val="0"/>
        <w:rPr>
          <w:rFonts w:eastAsia="MS Mincho"/>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906898" w:rsidRPr="00263DB9" w14:paraId="375EB370" w14:textId="77777777" w:rsidTr="003970DC">
        <w:trPr>
          <w:cantSplit/>
        </w:trPr>
        <w:tc>
          <w:tcPr>
            <w:tcW w:w="3099" w:type="dxa"/>
            <w:tcBorders>
              <w:top w:val="single" w:sz="4" w:space="0" w:color="auto"/>
              <w:bottom w:val="nil"/>
            </w:tcBorders>
          </w:tcPr>
          <w:p w14:paraId="375EB36D" w14:textId="77777777" w:rsidR="00906898" w:rsidRPr="00263DB9" w:rsidRDefault="00906898" w:rsidP="003970DC">
            <w:pPr>
              <w:keepNext/>
              <w:keepLines/>
              <w:widowControl w:val="0"/>
              <w:tabs>
                <w:tab w:val="left" w:pos="284"/>
              </w:tabs>
              <w:rPr>
                <w:rFonts w:eastAsia="MS Mincho"/>
                <w:szCs w:val="22"/>
              </w:rPr>
            </w:pPr>
          </w:p>
        </w:tc>
        <w:tc>
          <w:tcPr>
            <w:tcW w:w="3100" w:type="dxa"/>
            <w:tcBorders>
              <w:top w:val="single" w:sz="4" w:space="0" w:color="auto"/>
              <w:bottom w:val="nil"/>
            </w:tcBorders>
          </w:tcPr>
          <w:p w14:paraId="375EB36E" w14:textId="77777777" w:rsidR="00906898" w:rsidRPr="00263DB9" w:rsidRDefault="00906898" w:rsidP="003970DC">
            <w:pPr>
              <w:keepNext/>
              <w:keepLines/>
              <w:widowControl w:val="0"/>
              <w:tabs>
                <w:tab w:val="left" w:pos="284"/>
              </w:tabs>
              <w:rPr>
                <w:rFonts w:eastAsia="MS Mincho"/>
                <w:b/>
                <w:szCs w:val="22"/>
              </w:rPr>
            </w:pPr>
            <w:r w:rsidRPr="00263DB9">
              <w:rPr>
                <w:rFonts w:eastAsia="MS Mincho"/>
                <w:b/>
                <w:szCs w:val="22"/>
              </w:rPr>
              <w:t>Grupo de 12-meses de tratamento</w:t>
            </w:r>
          </w:p>
        </w:tc>
        <w:tc>
          <w:tcPr>
            <w:tcW w:w="3100" w:type="dxa"/>
            <w:tcBorders>
              <w:top w:val="single" w:sz="4" w:space="0" w:color="auto"/>
              <w:bottom w:val="nil"/>
            </w:tcBorders>
          </w:tcPr>
          <w:p w14:paraId="375EB36F" w14:textId="77777777" w:rsidR="00906898" w:rsidRPr="00263DB9" w:rsidRDefault="00906898" w:rsidP="003970DC">
            <w:pPr>
              <w:keepNext/>
              <w:keepLines/>
              <w:widowControl w:val="0"/>
              <w:tabs>
                <w:tab w:val="left" w:pos="284"/>
              </w:tabs>
              <w:rPr>
                <w:rFonts w:eastAsia="MS Mincho"/>
                <w:b/>
                <w:szCs w:val="22"/>
              </w:rPr>
            </w:pPr>
            <w:r w:rsidRPr="00263DB9">
              <w:rPr>
                <w:rFonts w:eastAsia="MS Mincho"/>
                <w:b/>
                <w:szCs w:val="22"/>
              </w:rPr>
              <w:t>Grupo de 36-meses de tratamento</w:t>
            </w:r>
          </w:p>
        </w:tc>
      </w:tr>
      <w:tr w:rsidR="00906898" w:rsidRPr="00263DB9" w14:paraId="375EB374" w14:textId="77777777" w:rsidTr="003970DC">
        <w:trPr>
          <w:cantSplit/>
        </w:trPr>
        <w:tc>
          <w:tcPr>
            <w:tcW w:w="3099" w:type="dxa"/>
            <w:tcBorders>
              <w:top w:val="nil"/>
            </w:tcBorders>
          </w:tcPr>
          <w:p w14:paraId="375EB371" w14:textId="77777777" w:rsidR="00906898" w:rsidRPr="00263DB9" w:rsidRDefault="00906898" w:rsidP="003970DC">
            <w:pPr>
              <w:keepNext/>
              <w:keepLines/>
              <w:widowControl w:val="0"/>
              <w:tabs>
                <w:tab w:val="left" w:pos="284"/>
              </w:tabs>
              <w:rPr>
                <w:rFonts w:eastAsia="MS Mincho"/>
                <w:b/>
                <w:szCs w:val="22"/>
                <w:lang w:val="en-US"/>
              </w:rPr>
            </w:pPr>
            <w:r w:rsidRPr="00263DB9">
              <w:rPr>
                <w:rFonts w:eastAsia="MS Mincho"/>
                <w:b/>
                <w:szCs w:val="22"/>
                <w:lang w:val="en-US"/>
              </w:rPr>
              <w:t>RFS</w:t>
            </w:r>
          </w:p>
        </w:tc>
        <w:tc>
          <w:tcPr>
            <w:tcW w:w="3100" w:type="dxa"/>
            <w:tcBorders>
              <w:top w:val="nil"/>
            </w:tcBorders>
          </w:tcPr>
          <w:p w14:paraId="375EB372" w14:textId="77777777" w:rsidR="00906898" w:rsidRPr="00263DB9" w:rsidRDefault="00906898" w:rsidP="003970DC">
            <w:pPr>
              <w:keepNext/>
              <w:keepLines/>
              <w:widowControl w:val="0"/>
              <w:tabs>
                <w:tab w:val="left" w:pos="284"/>
              </w:tabs>
              <w:rPr>
                <w:rFonts w:eastAsia="MS Mincho"/>
                <w:b/>
                <w:szCs w:val="22"/>
                <w:lang w:val="en-US"/>
              </w:rPr>
            </w:pPr>
            <w:r w:rsidRPr="00263DB9">
              <w:rPr>
                <w:rFonts w:eastAsia="MS Mincho"/>
                <w:b/>
                <w:szCs w:val="22"/>
                <w:lang w:val="en-US"/>
              </w:rPr>
              <w:t>%(IC)</w:t>
            </w:r>
          </w:p>
        </w:tc>
        <w:tc>
          <w:tcPr>
            <w:tcW w:w="3100" w:type="dxa"/>
            <w:tcBorders>
              <w:top w:val="nil"/>
            </w:tcBorders>
          </w:tcPr>
          <w:p w14:paraId="375EB373" w14:textId="77777777" w:rsidR="00906898" w:rsidRPr="00263DB9" w:rsidRDefault="00906898" w:rsidP="003970DC">
            <w:pPr>
              <w:keepNext/>
              <w:keepLines/>
              <w:widowControl w:val="0"/>
              <w:tabs>
                <w:tab w:val="left" w:pos="284"/>
              </w:tabs>
              <w:rPr>
                <w:rFonts w:eastAsia="MS Mincho"/>
                <w:b/>
                <w:szCs w:val="22"/>
                <w:lang w:val="en-US"/>
              </w:rPr>
            </w:pPr>
            <w:r w:rsidRPr="00263DB9">
              <w:rPr>
                <w:rFonts w:eastAsia="MS Mincho"/>
                <w:b/>
                <w:szCs w:val="22"/>
                <w:lang w:val="en-US"/>
              </w:rPr>
              <w:t>%(IC)</w:t>
            </w:r>
          </w:p>
        </w:tc>
      </w:tr>
      <w:tr w:rsidR="00906898" w:rsidRPr="00263DB9" w14:paraId="375EB378" w14:textId="77777777" w:rsidTr="003970DC">
        <w:trPr>
          <w:cantSplit/>
        </w:trPr>
        <w:tc>
          <w:tcPr>
            <w:tcW w:w="3099" w:type="dxa"/>
          </w:tcPr>
          <w:p w14:paraId="375EB375" w14:textId="77777777" w:rsidR="00906898" w:rsidRPr="00263DB9" w:rsidRDefault="00906898" w:rsidP="003970DC">
            <w:pPr>
              <w:keepNext/>
              <w:keepLines/>
              <w:widowControl w:val="0"/>
              <w:ind w:left="284"/>
              <w:rPr>
                <w:rFonts w:eastAsia="MS Mincho"/>
                <w:szCs w:val="22"/>
                <w:lang w:val="en-US"/>
              </w:rPr>
            </w:pPr>
            <w:r w:rsidRPr="00263DB9">
              <w:rPr>
                <w:rFonts w:eastAsia="MS Mincho"/>
                <w:szCs w:val="22"/>
                <w:lang w:val="en-US"/>
              </w:rPr>
              <w:t>12</w:t>
            </w:r>
            <w:r w:rsidRPr="00263DB9">
              <w:rPr>
                <w:rFonts w:eastAsia="MS Mincho"/>
                <w:szCs w:val="22"/>
                <w:lang w:val="en-US" w:eastAsia="ja-JP"/>
              </w:rPr>
              <w:t> </w:t>
            </w:r>
            <w:r w:rsidRPr="00263DB9">
              <w:rPr>
                <w:rFonts w:eastAsia="MS Mincho"/>
                <w:szCs w:val="22"/>
                <w:lang w:val="en-US"/>
              </w:rPr>
              <w:t>meses</w:t>
            </w:r>
          </w:p>
        </w:tc>
        <w:tc>
          <w:tcPr>
            <w:tcW w:w="3100" w:type="dxa"/>
          </w:tcPr>
          <w:p w14:paraId="375EB376"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93,7 (89,2</w:t>
            </w:r>
            <w:r w:rsidRPr="00263DB9">
              <w:rPr>
                <w:rFonts w:eastAsia="MS Mincho"/>
                <w:szCs w:val="22"/>
                <w:lang w:val="en-US"/>
              </w:rPr>
              <w:noBreakHyphen/>
              <w:t>96,4)</w:t>
            </w:r>
          </w:p>
        </w:tc>
        <w:tc>
          <w:tcPr>
            <w:tcW w:w="3100" w:type="dxa"/>
          </w:tcPr>
          <w:p w14:paraId="375EB377"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95,9 (91,9</w:t>
            </w:r>
            <w:r w:rsidRPr="00263DB9">
              <w:rPr>
                <w:rFonts w:eastAsia="MS Mincho"/>
                <w:szCs w:val="22"/>
                <w:lang w:val="en-US"/>
              </w:rPr>
              <w:noBreakHyphen/>
              <w:t>97,9)</w:t>
            </w:r>
          </w:p>
        </w:tc>
      </w:tr>
      <w:tr w:rsidR="00906898" w:rsidRPr="00263DB9" w14:paraId="375EB37C" w14:textId="77777777" w:rsidTr="003970DC">
        <w:trPr>
          <w:cantSplit/>
        </w:trPr>
        <w:tc>
          <w:tcPr>
            <w:tcW w:w="3099" w:type="dxa"/>
          </w:tcPr>
          <w:p w14:paraId="375EB379" w14:textId="77777777" w:rsidR="00906898" w:rsidRPr="00263DB9" w:rsidRDefault="00906898" w:rsidP="003970DC">
            <w:pPr>
              <w:keepNext/>
              <w:keepLines/>
              <w:widowControl w:val="0"/>
              <w:ind w:left="284"/>
              <w:rPr>
                <w:rFonts w:eastAsia="MS Mincho"/>
                <w:szCs w:val="22"/>
                <w:lang w:val="en-US"/>
              </w:rPr>
            </w:pPr>
            <w:r w:rsidRPr="00263DB9">
              <w:rPr>
                <w:rFonts w:eastAsia="MS Mincho"/>
                <w:szCs w:val="22"/>
                <w:lang w:val="en-US"/>
              </w:rPr>
              <w:t>24</w:t>
            </w:r>
            <w:r w:rsidRPr="00263DB9">
              <w:rPr>
                <w:rFonts w:eastAsia="MS Mincho"/>
                <w:szCs w:val="22"/>
                <w:lang w:val="en-US" w:eastAsia="ja-JP"/>
              </w:rPr>
              <w:t> </w:t>
            </w:r>
            <w:r w:rsidRPr="00263DB9">
              <w:rPr>
                <w:rFonts w:eastAsia="MS Mincho"/>
                <w:szCs w:val="22"/>
                <w:lang w:val="en-US"/>
              </w:rPr>
              <w:t>meses</w:t>
            </w:r>
          </w:p>
        </w:tc>
        <w:tc>
          <w:tcPr>
            <w:tcW w:w="3100" w:type="dxa"/>
          </w:tcPr>
          <w:p w14:paraId="375EB37A"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75,4 (68,6</w:t>
            </w:r>
            <w:r w:rsidRPr="00263DB9">
              <w:rPr>
                <w:rFonts w:eastAsia="MS Mincho"/>
                <w:szCs w:val="22"/>
                <w:lang w:val="en-US"/>
              </w:rPr>
              <w:noBreakHyphen/>
              <w:t>81,0)</w:t>
            </w:r>
          </w:p>
        </w:tc>
        <w:tc>
          <w:tcPr>
            <w:tcW w:w="3100" w:type="dxa"/>
          </w:tcPr>
          <w:p w14:paraId="375EB37B"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90,7 (85,6</w:t>
            </w:r>
            <w:r w:rsidRPr="00263DB9">
              <w:rPr>
                <w:rFonts w:eastAsia="MS Mincho"/>
                <w:szCs w:val="22"/>
                <w:lang w:val="en-US"/>
              </w:rPr>
              <w:noBreakHyphen/>
              <w:t>94,0)</w:t>
            </w:r>
          </w:p>
        </w:tc>
      </w:tr>
      <w:tr w:rsidR="00906898" w:rsidRPr="00263DB9" w14:paraId="375EB380" w14:textId="77777777" w:rsidTr="003970DC">
        <w:trPr>
          <w:cantSplit/>
        </w:trPr>
        <w:tc>
          <w:tcPr>
            <w:tcW w:w="3099" w:type="dxa"/>
          </w:tcPr>
          <w:p w14:paraId="375EB37D" w14:textId="77777777" w:rsidR="00906898" w:rsidRPr="00263DB9" w:rsidRDefault="00906898" w:rsidP="003970DC">
            <w:pPr>
              <w:keepNext/>
              <w:keepLines/>
              <w:widowControl w:val="0"/>
              <w:ind w:left="284"/>
              <w:rPr>
                <w:rFonts w:eastAsia="MS Mincho"/>
                <w:szCs w:val="22"/>
                <w:lang w:val="en-US"/>
              </w:rPr>
            </w:pPr>
            <w:r w:rsidRPr="00263DB9">
              <w:rPr>
                <w:rFonts w:eastAsia="MS Mincho"/>
                <w:szCs w:val="22"/>
                <w:lang w:val="en-US"/>
              </w:rPr>
              <w:t>36</w:t>
            </w:r>
            <w:r w:rsidRPr="00263DB9">
              <w:rPr>
                <w:rFonts w:eastAsia="MS Mincho"/>
                <w:szCs w:val="22"/>
                <w:lang w:val="en-US" w:eastAsia="ja-JP"/>
              </w:rPr>
              <w:t> </w:t>
            </w:r>
            <w:r w:rsidRPr="00263DB9">
              <w:rPr>
                <w:rFonts w:eastAsia="MS Mincho"/>
                <w:szCs w:val="22"/>
                <w:lang w:val="en-US"/>
              </w:rPr>
              <w:t>meses</w:t>
            </w:r>
          </w:p>
        </w:tc>
        <w:tc>
          <w:tcPr>
            <w:tcW w:w="3100" w:type="dxa"/>
          </w:tcPr>
          <w:p w14:paraId="375EB37E"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60,1 (52,5</w:t>
            </w:r>
            <w:r w:rsidRPr="00263DB9">
              <w:rPr>
                <w:rFonts w:eastAsia="MS Mincho"/>
                <w:szCs w:val="22"/>
                <w:lang w:val="en-US"/>
              </w:rPr>
              <w:noBreakHyphen/>
              <w:t>66,9)</w:t>
            </w:r>
          </w:p>
        </w:tc>
        <w:tc>
          <w:tcPr>
            <w:tcW w:w="3100" w:type="dxa"/>
          </w:tcPr>
          <w:p w14:paraId="375EB37F"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86,6 (80,8</w:t>
            </w:r>
            <w:r w:rsidRPr="00263DB9">
              <w:rPr>
                <w:rFonts w:eastAsia="MS Mincho"/>
                <w:szCs w:val="22"/>
                <w:lang w:val="en-US"/>
              </w:rPr>
              <w:noBreakHyphen/>
              <w:t>90,8)</w:t>
            </w:r>
          </w:p>
        </w:tc>
      </w:tr>
      <w:tr w:rsidR="00906898" w:rsidRPr="00263DB9" w14:paraId="375EB384" w14:textId="77777777" w:rsidTr="003970DC">
        <w:trPr>
          <w:cantSplit/>
        </w:trPr>
        <w:tc>
          <w:tcPr>
            <w:tcW w:w="3099" w:type="dxa"/>
          </w:tcPr>
          <w:p w14:paraId="375EB381" w14:textId="77777777" w:rsidR="00906898" w:rsidRPr="00263DB9" w:rsidRDefault="00906898" w:rsidP="003970DC">
            <w:pPr>
              <w:keepNext/>
              <w:keepLines/>
              <w:widowControl w:val="0"/>
              <w:ind w:left="284"/>
              <w:rPr>
                <w:rFonts w:eastAsia="MS Mincho"/>
                <w:szCs w:val="22"/>
                <w:lang w:val="en-US"/>
              </w:rPr>
            </w:pPr>
            <w:r w:rsidRPr="00263DB9">
              <w:rPr>
                <w:rFonts w:eastAsia="MS Mincho"/>
                <w:szCs w:val="22"/>
                <w:lang w:val="en-US"/>
              </w:rPr>
              <w:t>48</w:t>
            </w:r>
            <w:r w:rsidRPr="00263DB9">
              <w:rPr>
                <w:rFonts w:eastAsia="MS Mincho"/>
                <w:szCs w:val="22"/>
                <w:lang w:val="en-US" w:eastAsia="ja-JP"/>
              </w:rPr>
              <w:t> </w:t>
            </w:r>
            <w:r w:rsidRPr="00263DB9">
              <w:rPr>
                <w:rFonts w:eastAsia="MS Mincho"/>
                <w:szCs w:val="22"/>
                <w:lang w:val="en-US"/>
              </w:rPr>
              <w:t>meses</w:t>
            </w:r>
          </w:p>
        </w:tc>
        <w:tc>
          <w:tcPr>
            <w:tcW w:w="3100" w:type="dxa"/>
          </w:tcPr>
          <w:p w14:paraId="375EB382"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52,3 (44,0</w:t>
            </w:r>
            <w:r w:rsidRPr="00263DB9">
              <w:rPr>
                <w:rFonts w:eastAsia="MS Mincho"/>
                <w:szCs w:val="22"/>
                <w:lang w:val="en-US"/>
              </w:rPr>
              <w:noBreakHyphen/>
              <w:t>59,8)</w:t>
            </w:r>
          </w:p>
        </w:tc>
        <w:tc>
          <w:tcPr>
            <w:tcW w:w="3100" w:type="dxa"/>
          </w:tcPr>
          <w:p w14:paraId="375EB383"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78,3 (70,8</w:t>
            </w:r>
            <w:r w:rsidRPr="00263DB9">
              <w:rPr>
                <w:rFonts w:eastAsia="MS Mincho"/>
                <w:szCs w:val="22"/>
                <w:lang w:val="en-US"/>
              </w:rPr>
              <w:noBreakHyphen/>
              <w:t>84,1)</w:t>
            </w:r>
          </w:p>
        </w:tc>
      </w:tr>
      <w:tr w:rsidR="00906898" w:rsidRPr="00263DB9" w14:paraId="375EB388" w14:textId="77777777" w:rsidTr="003970DC">
        <w:trPr>
          <w:cantSplit/>
        </w:trPr>
        <w:tc>
          <w:tcPr>
            <w:tcW w:w="3099" w:type="dxa"/>
          </w:tcPr>
          <w:p w14:paraId="375EB385" w14:textId="77777777" w:rsidR="00906898" w:rsidRPr="00263DB9" w:rsidRDefault="00906898" w:rsidP="003970DC">
            <w:pPr>
              <w:keepNext/>
              <w:keepLines/>
              <w:widowControl w:val="0"/>
              <w:ind w:left="284"/>
              <w:rPr>
                <w:rFonts w:eastAsia="MS Mincho"/>
                <w:szCs w:val="22"/>
                <w:lang w:val="en-US"/>
              </w:rPr>
            </w:pPr>
            <w:r w:rsidRPr="00263DB9">
              <w:rPr>
                <w:rFonts w:eastAsia="MS Mincho"/>
                <w:szCs w:val="22"/>
                <w:lang w:val="en-US"/>
              </w:rPr>
              <w:t>60</w:t>
            </w:r>
            <w:r w:rsidRPr="00263DB9">
              <w:rPr>
                <w:rFonts w:eastAsia="MS Mincho"/>
                <w:szCs w:val="22"/>
                <w:lang w:val="en-US" w:eastAsia="ja-JP"/>
              </w:rPr>
              <w:t> </w:t>
            </w:r>
            <w:r w:rsidRPr="00263DB9">
              <w:rPr>
                <w:rFonts w:eastAsia="MS Mincho"/>
                <w:szCs w:val="22"/>
                <w:lang w:val="en-US"/>
              </w:rPr>
              <w:t>meses</w:t>
            </w:r>
          </w:p>
        </w:tc>
        <w:tc>
          <w:tcPr>
            <w:tcW w:w="3100" w:type="dxa"/>
          </w:tcPr>
          <w:p w14:paraId="375EB386"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47,9 (39,0</w:t>
            </w:r>
            <w:r w:rsidRPr="00263DB9">
              <w:rPr>
                <w:rFonts w:eastAsia="MS Mincho"/>
                <w:szCs w:val="22"/>
                <w:lang w:val="en-US"/>
              </w:rPr>
              <w:noBreakHyphen/>
              <w:t>56,3)</w:t>
            </w:r>
          </w:p>
        </w:tc>
        <w:tc>
          <w:tcPr>
            <w:tcW w:w="3100" w:type="dxa"/>
          </w:tcPr>
          <w:p w14:paraId="375EB387"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65,6 (56,1</w:t>
            </w:r>
            <w:r w:rsidRPr="00263DB9">
              <w:rPr>
                <w:rFonts w:eastAsia="MS Mincho"/>
                <w:szCs w:val="22"/>
                <w:lang w:val="en-US"/>
              </w:rPr>
              <w:noBreakHyphen/>
              <w:t>73,4)</w:t>
            </w:r>
          </w:p>
        </w:tc>
      </w:tr>
      <w:tr w:rsidR="00906898" w:rsidRPr="00263DB9" w14:paraId="375EB38C" w14:textId="77777777" w:rsidTr="003970DC">
        <w:trPr>
          <w:cantSplit/>
        </w:trPr>
        <w:tc>
          <w:tcPr>
            <w:tcW w:w="3099" w:type="dxa"/>
          </w:tcPr>
          <w:p w14:paraId="375EB389" w14:textId="77777777" w:rsidR="00906898" w:rsidRPr="00263DB9" w:rsidRDefault="00600EF5" w:rsidP="003970DC">
            <w:pPr>
              <w:keepNext/>
              <w:keepLines/>
              <w:widowControl w:val="0"/>
              <w:tabs>
                <w:tab w:val="left" w:pos="284"/>
              </w:tabs>
              <w:rPr>
                <w:rFonts w:eastAsia="MS Mincho"/>
                <w:b/>
                <w:szCs w:val="22"/>
                <w:lang w:val="en-US"/>
              </w:rPr>
            </w:pPr>
            <w:r w:rsidRPr="00263DB9">
              <w:rPr>
                <w:rFonts w:eastAsia="MS Mincho"/>
                <w:b/>
                <w:szCs w:val="22"/>
                <w:lang w:val="en-US"/>
              </w:rPr>
              <w:t>Sobrevivência</w:t>
            </w:r>
          </w:p>
        </w:tc>
        <w:tc>
          <w:tcPr>
            <w:tcW w:w="3100" w:type="dxa"/>
          </w:tcPr>
          <w:p w14:paraId="375EB38A" w14:textId="77777777" w:rsidR="00906898" w:rsidRPr="00263DB9" w:rsidRDefault="00906898" w:rsidP="003970DC">
            <w:pPr>
              <w:keepNext/>
              <w:keepLines/>
              <w:widowControl w:val="0"/>
              <w:tabs>
                <w:tab w:val="left" w:pos="284"/>
              </w:tabs>
              <w:rPr>
                <w:rFonts w:eastAsia="MS Mincho"/>
                <w:szCs w:val="22"/>
                <w:lang w:val="en-US"/>
              </w:rPr>
            </w:pPr>
          </w:p>
        </w:tc>
        <w:tc>
          <w:tcPr>
            <w:tcW w:w="3100" w:type="dxa"/>
          </w:tcPr>
          <w:p w14:paraId="375EB38B" w14:textId="77777777" w:rsidR="00906898" w:rsidRPr="00263DB9" w:rsidRDefault="00906898" w:rsidP="003970DC">
            <w:pPr>
              <w:keepNext/>
              <w:keepLines/>
              <w:widowControl w:val="0"/>
              <w:tabs>
                <w:tab w:val="left" w:pos="284"/>
              </w:tabs>
              <w:rPr>
                <w:rFonts w:eastAsia="MS Mincho"/>
                <w:szCs w:val="22"/>
                <w:lang w:val="en-US"/>
              </w:rPr>
            </w:pPr>
          </w:p>
        </w:tc>
      </w:tr>
      <w:tr w:rsidR="00906898" w:rsidRPr="00263DB9" w14:paraId="375EB390" w14:textId="77777777" w:rsidTr="003970DC">
        <w:trPr>
          <w:cantSplit/>
        </w:trPr>
        <w:tc>
          <w:tcPr>
            <w:tcW w:w="3099" w:type="dxa"/>
          </w:tcPr>
          <w:p w14:paraId="375EB38D" w14:textId="77777777" w:rsidR="00906898" w:rsidRPr="00263DB9" w:rsidRDefault="00906898" w:rsidP="003970DC">
            <w:pPr>
              <w:keepNext/>
              <w:keepLines/>
              <w:widowControl w:val="0"/>
              <w:ind w:left="284"/>
              <w:rPr>
                <w:rFonts w:eastAsia="MS Mincho"/>
                <w:szCs w:val="22"/>
                <w:lang w:val="en-US"/>
              </w:rPr>
            </w:pPr>
            <w:r w:rsidRPr="00263DB9">
              <w:rPr>
                <w:rFonts w:eastAsia="MS Mincho"/>
                <w:szCs w:val="22"/>
                <w:lang w:val="en-US"/>
              </w:rPr>
              <w:t>36</w:t>
            </w:r>
            <w:r w:rsidRPr="00263DB9">
              <w:rPr>
                <w:rFonts w:eastAsia="MS Mincho"/>
                <w:szCs w:val="22"/>
                <w:lang w:val="en-US" w:eastAsia="ja-JP"/>
              </w:rPr>
              <w:t> </w:t>
            </w:r>
            <w:r w:rsidRPr="00263DB9">
              <w:rPr>
                <w:rFonts w:eastAsia="MS Mincho"/>
                <w:szCs w:val="22"/>
                <w:lang w:val="en-US"/>
              </w:rPr>
              <w:t>meses</w:t>
            </w:r>
          </w:p>
        </w:tc>
        <w:tc>
          <w:tcPr>
            <w:tcW w:w="3100" w:type="dxa"/>
          </w:tcPr>
          <w:p w14:paraId="375EB38E"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94,0 (89,5</w:t>
            </w:r>
            <w:r w:rsidRPr="00263DB9">
              <w:rPr>
                <w:rFonts w:eastAsia="MS Mincho"/>
                <w:szCs w:val="22"/>
                <w:lang w:val="en-US"/>
              </w:rPr>
              <w:noBreakHyphen/>
              <w:t>96,7)</w:t>
            </w:r>
          </w:p>
        </w:tc>
        <w:tc>
          <w:tcPr>
            <w:tcW w:w="3100" w:type="dxa"/>
          </w:tcPr>
          <w:p w14:paraId="375EB38F"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96,3 (92,4</w:t>
            </w:r>
            <w:r w:rsidRPr="00263DB9">
              <w:rPr>
                <w:rFonts w:eastAsia="MS Mincho"/>
                <w:szCs w:val="22"/>
                <w:lang w:val="en-US"/>
              </w:rPr>
              <w:noBreakHyphen/>
              <w:t>98,2)</w:t>
            </w:r>
          </w:p>
        </w:tc>
      </w:tr>
      <w:tr w:rsidR="00906898" w:rsidRPr="00263DB9" w14:paraId="375EB394" w14:textId="77777777" w:rsidTr="003970DC">
        <w:trPr>
          <w:cantSplit/>
        </w:trPr>
        <w:tc>
          <w:tcPr>
            <w:tcW w:w="3099" w:type="dxa"/>
          </w:tcPr>
          <w:p w14:paraId="375EB391" w14:textId="77777777" w:rsidR="00906898" w:rsidRPr="00263DB9" w:rsidRDefault="00906898" w:rsidP="003970DC">
            <w:pPr>
              <w:keepNext/>
              <w:keepLines/>
              <w:widowControl w:val="0"/>
              <w:ind w:left="284"/>
              <w:rPr>
                <w:rFonts w:eastAsia="MS Mincho"/>
                <w:szCs w:val="22"/>
                <w:lang w:val="en-US"/>
              </w:rPr>
            </w:pPr>
            <w:r w:rsidRPr="00263DB9">
              <w:rPr>
                <w:rFonts w:eastAsia="MS Mincho"/>
                <w:szCs w:val="22"/>
                <w:lang w:val="en-US"/>
              </w:rPr>
              <w:t>48</w:t>
            </w:r>
            <w:r w:rsidRPr="00263DB9">
              <w:rPr>
                <w:rFonts w:eastAsia="MS Mincho"/>
                <w:szCs w:val="22"/>
                <w:lang w:val="en-US" w:eastAsia="ja-JP"/>
              </w:rPr>
              <w:t> </w:t>
            </w:r>
            <w:r w:rsidRPr="00263DB9">
              <w:rPr>
                <w:rFonts w:eastAsia="MS Mincho"/>
                <w:szCs w:val="22"/>
                <w:lang w:val="en-US"/>
              </w:rPr>
              <w:t>meses</w:t>
            </w:r>
          </w:p>
        </w:tc>
        <w:tc>
          <w:tcPr>
            <w:tcW w:w="3100" w:type="dxa"/>
          </w:tcPr>
          <w:p w14:paraId="375EB392"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87,9 (81,1</w:t>
            </w:r>
            <w:r w:rsidRPr="00263DB9">
              <w:rPr>
                <w:rFonts w:eastAsia="MS Mincho"/>
                <w:szCs w:val="22"/>
                <w:lang w:val="en-US"/>
              </w:rPr>
              <w:noBreakHyphen/>
              <w:t>92,3)</w:t>
            </w:r>
          </w:p>
        </w:tc>
        <w:tc>
          <w:tcPr>
            <w:tcW w:w="3100" w:type="dxa"/>
          </w:tcPr>
          <w:p w14:paraId="375EB393"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95,6 (91,2</w:t>
            </w:r>
            <w:r w:rsidRPr="00263DB9">
              <w:rPr>
                <w:rFonts w:eastAsia="MS Mincho"/>
                <w:szCs w:val="22"/>
                <w:lang w:val="en-US"/>
              </w:rPr>
              <w:noBreakHyphen/>
              <w:t>97,8)</w:t>
            </w:r>
          </w:p>
        </w:tc>
      </w:tr>
      <w:tr w:rsidR="00906898" w:rsidRPr="00263DB9" w14:paraId="375EB398" w14:textId="77777777" w:rsidTr="003970DC">
        <w:trPr>
          <w:cantSplit/>
        </w:trPr>
        <w:tc>
          <w:tcPr>
            <w:tcW w:w="3099" w:type="dxa"/>
          </w:tcPr>
          <w:p w14:paraId="375EB395" w14:textId="77777777" w:rsidR="00906898" w:rsidRPr="00263DB9" w:rsidRDefault="00906898" w:rsidP="003970DC">
            <w:pPr>
              <w:keepNext/>
              <w:keepLines/>
              <w:widowControl w:val="0"/>
              <w:ind w:left="284"/>
              <w:rPr>
                <w:rFonts w:eastAsia="MS Mincho"/>
                <w:szCs w:val="22"/>
                <w:lang w:val="en-US"/>
              </w:rPr>
            </w:pPr>
            <w:r w:rsidRPr="00263DB9">
              <w:rPr>
                <w:rFonts w:eastAsia="MS Mincho"/>
                <w:szCs w:val="22"/>
                <w:lang w:val="en-US"/>
              </w:rPr>
              <w:t>60</w:t>
            </w:r>
            <w:r w:rsidRPr="00263DB9">
              <w:rPr>
                <w:rFonts w:eastAsia="MS Mincho"/>
                <w:szCs w:val="22"/>
                <w:lang w:val="en-US" w:eastAsia="ja-JP"/>
              </w:rPr>
              <w:t> </w:t>
            </w:r>
            <w:r w:rsidRPr="00263DB9">
              <w:rPr>
                <w:rFonts w:eastAsia="MS Mincho"/>
                <w:szCs w:val="22"/>
                <w:lang w:val="en-US"/>
              </w:rPr>
              <w:t>meses</w:t>
            </w:r>
          </w:p>
        </w:tc>
        <w:tc>
          <w:tcPr>
            <w:tcW w:w="3100" w:type="dxa"/>
          </w:tcPr>
          <w:p w14:paraId="375EB396"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81,7 (73,0</w:t>
            </w:r>
            <w:r w:rsidRPr="00263DB9">
              <w:rPr>
                <w:rFonts w:eastAsia="MS Mincho"/>
                <w:szCs w:val="22"/>
                <w:lang w:val="en-US"/>
              </w:rPr>
              <w:noBreakHyphen/>
              <w:t>87,8)</w:t>
            </w:r>
          </w:p>
        </w:tc>
        <w:tc>
          <w:tcPr>
            <w:tcW w:w="3100" w:type="dxa"/>
          </w:tcPr>
          <w:p w14:paraId="375EB397" w14:textId="77777777" w:rsidR="00906898" w:rsidRPr="00263DB9" w:rsidRDefault="00906898" w:rsidP="003970DC">
            <w:pPr>
              <w:keepNext/>
              <w:keepLines/>
              <w:widowControl w:val="0"/>
              <w:tabs>
                <w:tab w:val="left" w:pos="284"/>
              </w:tabs>
              <w:rPr>
                <w:rFonts w:eastAsia="MS Mincho"/>
                <w:szCs w:val="22"/>
                <w:lang w:val="en-US"/>
              </w:rPr>
            </w:pPr>
            <w:r w:rsidRPr="00263DB9">
              <w:rPr>
                <w:rFonts w:eastAsia="MS Mincho"/>
                <w:szCs w:val="22"/>
                <w:lang w:val="en-US"/>
              </w:rPr>
              <w:t>92,0 (85,3</w:t>
            </w:r>
            <w:r w:rsidRPr="00263DB9">
              <w:rPr>
                <w:rFonts w:eastAsia="MS Mincho"/>
                <w:szCs w:val="22"/>
                <w:lang w:val="en-US"/>
              </w:rPr>
              <w:noBreakHyphen/>
              <w:t>95,7)</w:t>
            </w:r>
          </w:p>
        </w:tc>
      </w:tr>
    </w:tbl>
    <w:p w14:paraId="375EB399" w14:textId="77777777" w:rsidR="00906898" w:rsidRPr="00263DB9" w:rsidRDefault="00906898" w:rsidP="00E51817">
      <w:pPr>
        <w:widowControl w:val="0"/>
        <w:suppressAutoHyphens/>
        <w:rPr>
          <w:color w:val="000000"/>
          <w:szCs w:val="22"/>
          <w:u w:val="single"/>
        </w:rPr>
      </w:pPr>
    </w:p>
    <w:p w14:paraId="375EB39A" w14:textId="77777777" w:rsidR="00906898" w:rsidRPr="00263DB9" w:rsidRDefault="006B5399" w:rsidP="003970DC">
      <w:pPr>
        <w:keepNext/>
        <w:keepLines/>
        <w:widowControl w:val="0"/>
        <w:suppressAutoHyphens/>
        <w:ind w:left="1134" w:hanging="1134"/>
        <w:rPr>
          <w:color w:val="000000"/>
          <w:szCs w:val="22"/>
          <w:u w:val="single"/>
        </w:rPr>
      </w:pPr>
      <w:r w:rsidRPr="00263DB9">
        <w:rPr>
          <w:noProof/>
          <w:lang w:val="en-GB" w:eastAsia="en-GB"/>
        </w:rPr>
        <mc:AlternateContent>
          <mc:Choice Requires="wps">
            <w:drawing>
              <wp:anchor distT="0" distB="0" distL="114300" distR="114300" simplePos="0" relativeHeight="251652096" behindDoc="0" locked="0" layoutInCell="1" allowOverlap="1" wp14:anchorId="375EC35D" wp14:editId="375EC35E">
                <wp:simplePos x="0" y="0"/>
                <wp:positionH relativeFrom="column">
                  <wp:posOffset>-188595</wp:posOffset>
                </wp:positionH>
                <wp:positionV relativeFrom="paragraph">
                  <wp:posOffset>325755</wp:posOffset>
                </wp:positionV>
                <wp:extent cx="335915" cy="265112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651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EC38E" w14:textId="77777777" w:rsidR="00341C1A" w:rsidRDefault="00341C1A">
                            <w:pPr>
                              <w:rPr>
                                <w:rFonts w:ascii="Arial" w:hAnsi="Arial" w:cs="Arial"/>
                                <w:sz w:val="20"/>
                              </w:rPr>
                            </w:pPr>
                            <w:r>
                              <w:rPr>
                                <w:rFonts w:ascii="Arial" w:hAnsi="Arial" w:cs="Arial"/>
                                <w:sz w:val="20"/>
                              </w:rPr>
                              <w:t>Probabilidade de sobrevivência livre de recidiva</w:t>
                            </w:r>
                          </w:p>
                          <w:p w14:paraId="375EC38F" w14:textId="77777777" w:rsidR="00341C1A" w:rsidRDefault="00341C1A">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5EC35D" id="_x0000_t202" coordsize="21600,21600" o:spt="202" path="m,l,21600r21600,l21600,xe">
                <v:stroke joinstyle="miter"/>
                <v:path gradientshapeok="t" o:connecttype="rect"/>
              </v:shapetype>
              <v:shape id="Text Box 2" o:spid="_x0000_s1026" type="#_x0000_t202" style="position:absolute;left:0;text-align:left;margin-left:-14.85pt;margin-top:25.65pt;width:26.45pt;height:208.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" stroked="f">
                <v:fill opacity="0"/>
                <v:textbox style="layout-flow:vertical;mso-layout-flow-alt:bottom-to-top">
                  <w:txbxContent>
                    <w:p w14:paraId="375EC38E" w14:textId="77777777" w:rsidR="00341C1A" w:rsidRDefault="00341C1A">
                      <w:pPr>
                        <w:rPr>
                          <w:rFonts w:ascii="Arial" w:hAnsi="Arial" w:cs="Arial"/>
                          <w:sz w:val="20"/>
                        </w:rPr>
                      </w:pPr>
                      <w:r>
                        <w:rPr>
                          <w:rFonts w:ascii="Arial" w:hAnsi="Arial" w:cs="Arial"/>
                          <w:sz w:val="20"/>
                        </w:rPr>
                        <w:t>Probabilidade de sobrevivência livre de recidiva</w:t>
                      </w:r>
                    </w:p>
                    <w:p w14:paraId="375EC38F" w14:textId="77777777" w:rsidR="00341C1A" w:rsidRDefault="00341C1A">
                      <w:pPr>
                        <w:rPr>
                          <w:rFonts w:ascii="Arial" w:hAnsi="Arial" w:cs="Arial"/>
                          <w:sz w:val="20"/>
                        </w:rPr>
                      </w:pPr>
                    </w:p>
                  </w:txbxContent>
                </v:textbox>
              </v:shape>
            </w:pict>
          </mc:Fallback>
        </mc:AlternateContent>
      </w:r>
      <w:r w:rsidR="00906898" w:rsidRPr="00263DB9">
        <w:rPr>
          <w:rFonts w:eastAsia="MS Mincho"/>
          <w:b/>
          <w:szCs w:val="22"/>
        </w:rPr>
        <w:t>Figura 1</w:t>
      </w:r>
      <w:r w:rsidR="00906898" w:rsidRPr="00263DB9">
        <w:rPr>
          <w:rFonts w:eastAsia="MS Mincho"/>
          <w:b/>
          <w:szCs w:val="22"/>
        </w:rPr>
        <w:tab/>
        <w:t xml:space="preserve">Estimativa de Kaplan-Meier para o </w:t>
      </w:r>
      <w:r w:rsidR="00600EF5" w:rsidRPr="00263DB9">
        <w:rPr>
          <w:rFonts w:eastAsia="MS Mincho"/>
          <w:b/>
          <w:szCs w:val="22"/>
        </w:rPr>
        <w:t>objetivo</w:t>
      </w:r>
      <w:r w:rsidR="00906898" w:rsidRPr="00263DB9">
        <w:rPr>
          <w:rFonts w:eastAsia="MS Mincho"/>
          <w:b/>
          <w:szCs w:val="22"/>
        </w:rPr>
        <w:t xml:space="preserve"> primário sobrevivência livre de recidiva (população intenção-para-tratar)</w:t>
      </w:r>
    </w:p>
    <w:p w14:paraId="375EB39B" w14:textId="77777777" w:rsidR="00906898" w:rsidRPr="00263DB9" w:rsidRDefault="00906898" w:rsidP="00E51817">
      <w:pPr>
        <w:keepNext/>
        <w:widowControl w:val="0"/>
        <w:suppressAutoHyphens/>
        <w:ind w:left="1134" w:hanging="1134"/>
        <w:rPr>
          <w:color w:val="000000"/>
          <w:szCs w:val="22"/>
          <w:u w:val="single"/>
        </w:rPr>
      </w:pPr>
    </w:p>
    <w:p w14:paraId="375EB39C" w14:textId="77777777" w:rsidR="00906898" w:rsidRPr="00263DB9" w:rsidRDefault="006B5399" w:rsidP="00E51817">
      <w:pPr>
        <w:widowControl w:val="0"/>
        <w:suppressAutoHyphens/>
        <w:rPr>
          <w:color w:val="000000"/>
          <w:szCs w:val="22"/>
          <w:u w:val="single"/>
        </w:rPr>
      </w:pPr>
      <w:r w:rsidRPr="00263DB9">
        <w:rPr>
          <w:noProof/>
          <w:color w:val="000000"/>
          <w:szCs w:val="22"/>
          <w:u w:val="single"/>
          <w:lang w:val="en-GB" w:eastAsia="en-GB"/>
        </w:rPr>
        <mc:AlternateContent>
          <mc:Choice Requires="wps">
            <w:drawing>
              <wp:anchor distT="0" distB="0" distL="114300" distR="114300" simplePos="0" relativeHeight="251654144" behindDoc="0" locked="0" layoutInCell="1" allowOverlap="1" wp14:anchorId="375EC35F" wp14:editId="375EC360">
                <wp:simplePos x="0" y="0"/>
                <wp:positionH relativeFrom="column">
                  <wp:posOffset>1976120</wp:posOffset>
                </wp:positionH>
                <wp:positionV relativeFrom="paragraph">
                  <wp:posOffset>2693035</wp:posOffset>
                </wp:positionV>
                <wp:extent cx="2305050" cy="2857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EC390" w14:textId="77777777" w:rsidR="00341C1A" w:rsidRDefault="00341C1A">
                            <w:pPr>
                              <w:rPr>
                                <w:rFonts w:ascii="Arial" w:hAnsi="Arial" w:cs="Arial"/>
                                <w:sz w:val="20"/>
                              </w:rPr>
                            </w:pPr>
                            <w:r>
                              <w:rPr>
                                <w:rFonts w:ascii="Arial" w:hAnsi="Arial" w:cs="Arial"/>
                                <w:sz w:val="20"/>
                                <w:lang w:val="es-ES"/>
                              </w:rPr>
                              <w:t>Tempo de sobrevivência em meses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5EC35F" id="_x0000_s1027" type="#_x0000_t202" style="position:absolute;margin-left:155.6pt;margin-top:212.05pt;width:181.5pt;height: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" stroked="f">
                <v:fill opacity="0"/>
                <v:textbox>
                  <w:txbxContent>
                    <w:p w14:paraId="375EC390" w14:textId="77777777" w:rsidR="00341C1A" w:rsidRDefault="00341C1A">
                      <w:pPr>
                        <w:rPr>
                          <w:rFonts w:ascii="Arial" w:hAnsi="Arial" w:cs="Arial"/>
                          <w:sz w:val="20"/>
                        </w:rPr>
                      </w:pPr>
                      <w:r>
                        <w:rPr>
                          <w:rFonts w:ascii="Arial" w:hAnsi="Arial" w:cs="Arial"/>
                          <w:sz w:val="20"/>
                          <w:lang w:val="es-ES"/>
                        </w:rPr>
                        <w:t>Tempo de sobrevivência em meses</w:t>
                      </w:r>
                    </w:p>
                  </w:txbxContent>
                </v:textbox>
              </v:shape>
            </w:pict>
          </mc:Fallback>
        </mc:AlternateContent>
      </w:r>
      <w:r w:rsidRPr="00263DB9">
        <w:rPr>
          <w:noProof/>
          <w:lang w:val="en-GB" w:eastAsia="en-GB"/>
        </w:rPr>
        <mc:AlternateContent>
          <mc:Choice Requires="wps">
            <w:drawing>
              <wp:anchor distT="0" distB="0" distL="114300" distR="114300" simplePos="0" relativeHeight="251653120" behindDoc="0" locked="0" layoutInCell="1" allowOverlap="1" wp14:anchorId="375EC361" wp14:editId="375EC362">
                <wp:simplePos x="0" y="0"/>
                <wp:positionH relativeFrom="column">
                  <wp:posOffset>350520</wp:posOffset>
                </wp:positionH>
                <wp:positionV relativeFrom="paragraph">
                  <wp:posOffset>1311275</wp:posOffset>
                </wp:positionV>
                <wp:extent cx="4585335" cy="11715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229"/>
                              <w:gridCol w:w="851"/>
                              <w:gridCol w:w="709"/>
                              <w:gridCol w:w="850"/>
                            </w:tblGrid>
                            <w:tr w:rsidR="00341C1A" w14:paraId="375EC394" w14:textId="77777777">
                              <w:trPr>
                                <w:gridAfter w:val="4"/>
                                <w:wAfter w:w="2639" w:type="dxa"/>
                              </w:trPr>
                              <w:tc>
                                <w:tcPr>
                                  <w:tcW w:w="3281" w:type="dxa"/>
                                  <w:gridSpan w:val="2"/>
                                </w:tcPr>
                                <w:p w14:paraId="375EC391" w14:textId="77777777" w:rsidR="00341C1A" w:rsidRDefault="00341C1A">
                                  <w:pPr>
                                    <w:rPr>
                                      <w:rFonts w:ascii="Arial" w:hAnsi="Arial" w:cs="Arial"/>
                                      <w:sz w:val="20"/>
                                    </w:rPr>
                                  </w:pPr>
                                  <w:r>
                                    <w:rPr>
                                      <w:rFonts w:ascii="Arial" w:hAnsi="Arial" w:cs="Arial"/>
                                      <w:sz w:val="20"/>
                                    </w:rPr>
                                    <w:t>P &lt; 0,0001</w:t>
                                  </w:r>
                                </w:p>
                                <w:p w14:paraId="375EC392" w14:textId="77777777" w:rsidR="00341C1A" w:rsidRDefault="00341C1A">
                                  <w:pPr>
                                    <w:rPr>
                                      <w:rFonts w:ascii="Arial" w:hAnsi="Arial" w:cs="Arial"/>
                                      <w:sz w:val="20"/>
                                    </w:rPr>
                                  </w:pPr>
                                  <w:r>
                                    <w:rPr>
                                      <w:rFonts w:ascii="Arial" w:hAnsi="Arial" w:cs="Arial"/>
                                      <w:sz w:val="20"/>
                                      <w:lang w:val="es-ES"/>
                                    </w:rPr>
                                    <w:t>Taxa de risco</w:t>
                                  </w:r>
                                  <w:r>
                                    <w:rPr>
                                      <w:rFonts w:ascii="Arial" w:hAnsi="Arial" w:cs="Arial"/>
                                      <w:sz w:val="20"/>
                                    </w:rPr>
                                    <w:t xml:space="preserve"> 0,46</w:t>
                                  </w:r>
                                </w:p>
                                <w:p w14:paraId="375EC393" w14:textId="77777777" w:rsidR="00341C1A" w:rsidRDefault="00341C1A">
                                  <w:pPr>
                                    <w:rPr>
                                      <w:rFonts w:ascii="Arial" w:hAnsi="Arial" w:cs="Arial"/>
                                      <w:sz w:val="20"/>
                                      <w:lang w:val="es-ES"/>
                                    </w:rPr>
                                  </w:pPr>
                                  <w:r>
                                    <w:rPr>
                                      <w:rFonts w:ascii="Arial" w:hAnsi="Arial" w:cs="Arial"/>
                                      <w:sz w:val="20"/>
                                    </w:rPr>
                                    <w:t>(95% IC, 0,32</w:t>
                                  </w:r>
                                  <w:r>
                                    <w:rPr>
                                      <w:rFonts w:ascii="Arial" w:hAnsi="Arial" w:cs="Arial"/>
                                      <w:sz w:val="20"/>
                                    </w:rPr>
                                    <w:noBreakHyphen/>
                                    <w:t>0,65)</w:t>
                                  </w:r>
                                </w:p>
                              </w:tc>
                            </w:tr>
                            <w:tr w:rsidR="00341C1A" w14:paraId="375EC39A" w14:textId="77777777">
                              <w:tc>
                                <w:tcPr>
                                  <w:tcW w:w="817" w:type="dxa"/>
                                </w:tcPr>
                                <w:p w14:paraId="375EC395" w14:textId="77777777" w:rsidR="00341C1A" w:rsidRDefault="00341C1A">
                                  <w:pPr>
                                    <w:rPr>
                                      <w:rFonts w:ascii="Arial" w:hAnsi="Arial" w:cs="Arial"/>
                                      <w:sz w:val="20"/>
                                    </w:rPr>
                                  </w:pPr>
                                </w:p>
                              </w:tc>
                              <w:tc>
                                <w:tcPr>
                                  <w:tcW w:w="2693" w:type="dxa"/>
                                  <w:gridSpan w:val="2"/>
                                </w:tcPr>
                                <w:p w14:paraId="375EC396" w14:textId="77777777" w:rsidR="00341C1A" w:rsidRDefault="00341C1A">
                                  <w:pPr>
                                    <w:rPr>
                                      <w:rFonts w:ascii="Arial" w:hAnsi="Arial" w:cs="Arial"/>
                                      <w:sz w:val="20"/>
                                    </w:rPr>
                                  </w:pPr>
                                </w:p>
                              </w:tc>
                              <w:tc>
                                <w:tcPr>
                                  <w:tcW w:w="851" w:type="dxa"/>
                                  <w:tcBorders>
                                    <w:bottom w:val="single" w:sz="4" w:space="0" w:color="auto"/>
                                  </w:tcBorders>
                                </w:tcPr>
                                <w:p w14:paraId="375EC397" w14:textId="77777777" w:rsidR="00341C1A" w:rsidRDefault="00341C1A">
                                  <w:pPr>
                                    <w:rPr>
                                      <w:rFonts w:ascii="Arial" w:hAnsi="Arial" w:cs="Arial"/>
                                      <w:sz w:val="20"/>
                                    </w:rPr>
                                  </w:pPr>
                                  <w:r>
                                    <w:rPr>
                                      <w:rFonts w:ascii="Arial" w:hAnsi="Arial" w:cs="Arial"/>
                                      <w:sz w:val="20"/>
                                      <w:lang w:val="de-DE"/>
                                    </w:rPr>
                                    <w:t>N</w:t>
                                  </w:r>
                                </w:p>
                              </w:tc>
                              <w:tc>
                                <w:tcPr>
                                  <w:tcW w:w="709" w:type="dxa"/>
                                  <w:tcBorders>
                                    <w:bottom w:val="single" w:sz="4" w:space="0" w:color="auto"/>
                                  </w:tcBorders>
                                </w:tcPr>
                                <w:p w14:paraId="375EC398" w14:textId="77777777" w:rsidR="00341C1A" w:rsidRDefault="00341C1A">
                                  <w:pPr>
                                    <w:rPr>
                                      <w:rFonts w:ascii="Arial" w:hAnsi="Arial" w:cs="Arial"/>
                                      <w:sz w:val="20"/>
                                    </w:rPr>
                                  </w:pPr>
                                  <w:r>
                                    <w:rPr>
                                      <w:rFonts w:ascii="Arial" w:hAnsi="Arial" w:cs="Arial"/>
                                      <w:sz w:val="20"/>
                                      <w:lang w:val="de-DE"/>
                                    </w:rPr>
                                    <w:t>Evt</w:t>
                                  </w:r>
                                </w:p>
                              </w:tc>
                              <w:tc>
                                <w:tcPr>
                                  <w:tcW w:w="850" w:type="dxa"/>
                                  <w:tcBorders>
                                    <w:bottom w:val="single" w:sz="4" w:space="0" w:color="auto"/>
                                  </w:tcBorders>
                                </w:tcPr>
                                <w:p w14:paraId="375EC399" w14:textId="77777777" w:rsidR="00341C1A" w:rsidRDefault="00341C1A">
                                  <w:pPr>
                                    <w:rPr>
                                      <w:rFonts w:ascii="Arial" w:hAnsi="Arial" w:cs="Arial"/>
                                      <w:sz w:val="20"/>
                                    </w:rPr>
                                  </w:pPr>
                                  <w:r>
                                    <w:rPr>
                                      <w:rFonts w:ascii="Arial" w:hAnsi="Arial" w:cs="Arial"/>
                                      <w:sz w:val="20"/>
                                      <w:lang w:val="de-DE"/>
                                    </w:rPr>
                                    <w:t>Cen</w:t>
                                  </w:r>
                                </w:p>
                              </w:tc>
                            </w:tr>
                            <w:tr w:rsidR="00341C1A" w14:paraId="375EC3A0" w14:textId="77777777">
                              <w:tc>
                                <w:tcPr>
                                  <w:tcW w:w="817" w:type="dxa"/>
                                </w:tcPr>
                                <w:p w14:paraId="375EC39B" w14:textId="77777777" w:rsidR="00341C1A" w:rsidRDefault="00341C1A">
                                  <w:pPr>
                                    <w:rPr>
                                      <w:rFonts w:ascii="Arial" w:hAnsi="Arial" w:cs="Arial"/>
                                      <w:sz w:val="20"/>
                                    </w:rPr>
                                  </w:pPr>
                                  <w:r>
                                    <w:rPr>
                                      <w:rFonts w:ascii="Arial" w:hAnsi="Arial" w:cs="Arial"/>
                                      <w:b/>
                                      <w:sz w:val="20"/>
                                    </w:rPr>
                                    <w:t>——</w:t>
                                  </w:r>
                                </w:p>
                              </w:tc>
                              <w:tc>
                                <w:tcPr>
                                  <w:tcW w:w="2693" w:type="dxa"/>
                                  <w:gridSpan w:val="2"/>
                                </w:tcPr>
                                <w:p w14:paraId="375EC39C" w14:textId="77777777" w:rsidR="00341C1A" w:rsidRDefault="00341C1A">
                                  <w:pPr>
                                    <w:rPr>
                                      <w:rFonts w:ascii="Arial" w:hAnsi="Arial" w:cs="Arial"/>
                                      <w:sz w:val="20"/>
                                    </w:rPr>
                                  </w:pPr>
                                  <w:r>
                                    <w:rPr>
                                      <w:rFonts w:ascii="Arial" w:hAnsi="Arial" w:cs="Arial"/>
                                      <w:sz w:val="20"/>
                                    </w:rPr>
                                    <w:t>(1) Imatinib 12 meses:</w:t>
                                  </w:r>
                                </w:p>
                              </w:tc>
                              <w:tc>
                                <w:tcPr>
                                  <w:tcW w:w="851" w:type="dxa"/>
                                  <w:tcBorders>
                                    <w:top w:val="single" w:sz="4" w:space="0" w:color="auto"/>
                                  </w:tcBorders>
                                </w:tcPr>
                                <w:p w14:paraId="375EC39D" w14:textId="77777777" w:rsidR="00341C1A" w:rsidRDefault="00341C1A">
                                  <w:pPr>
                                    <w:rPr>
                                      <w:rFonts w:ascii="Arial" w:hAnsi="Arial" w:cs="Arial"/>
                                      <w:sz w:val="20"/>
                                    </w:rPr>
                                  </w:pPr>
                                  <w:r>
                                    <w:rPr>
                                      <w:rFonts w:ascii="Arial" w:hAnsi="Arial" w:cs="Arial"/>
                                      <w:sz w:val="20"/>
                                    </w:rPr>
                                    <w:t>199</w:t>
                                  </w:r>
                                </w:p>
                              </w:tc>
                              <w:tc>
                                <w:tcPr>
                                  <w:tcW w:w="709" w:type="dxa"/>
                                  <w:tcBorders>
                                    <w:top w:val="single" w:sz="4" w:space="0" w:color="auto"/>
                                  </w:tcBorders>
                                </w:tcPr>
                                <w:p w14:paraId="375EC39E" w14:textId="77777777" w:rsidR="00341C1A" w:rsidRDefault="00341C1A">
                                  <w:pPr>
                                    <w:rPr>
                                      <w:rFonts w:ascii="Arial" w:hAnsi="Arial" w:cs="Arial"/>
                                      <w:sz w:val="20"/>
                                    </w:rPr>
                                  </w:pPr>
                                  <w:r>
                                    <w:rPr>
                                      <w:rFonts w:ascii="Arial" w:hAnsi="Arial" w:cs="Arial"/>
                                      <w:sz w:val="20"/>
                                    </w:rPr>
                                    <w:t>84</w:t>
                                  </w:r>
                                </w:p>
                              </w:tc>
                              <w:tc>
                                <w:tcPr>
                                  <w:tcW w:w="850" w:type="dxa"/>
                                  <w:tcBorders>
                                    <w:top w:val="single" w:sz="4" w:space="0" w:color="auto"/>
                                  </w:tcBorders>
                                </w:tcPr>
                                <w:p w14:paraId="375EC39F" w14:textId="77777777" w:rsidR="00341C1A" w:rsidRDefault="00341C1A">
                                  <w:pPr>
                                    <w:rPr>
                                      <w:rFonts w:ascii="Arial" w:hAnsi="Arial" w:cs="Arial"/>
                                      <w:sz w:val="20"/>
                                    </w:rPr>
                                  </w:pPr>
                                  <w:r>
                                    <w:rPr>
                                      <w:rFonts w:ascii="Arial" w:hAnsi="Arial" w:cs="Arial"/>
                                      <w:sz w:val="20"/>
                                    </w:rPr>
                                    <w:t>115</w:t>
                                  </w:r>
                                </w:p>
                              </w:tc>
                            </w:tr>
                            <w:tr w:rsidR="00341C1A" w14:paraId="375EC3A6" w14:textId="77777777">
                              <w:tc>
                                <w:tcPr>
                                  <w:tcW w:w="817" w:type="dxa"/>
                                </w:tcPr>
                                <w:p w14:paraId="375EC3A1" w14:textId="77777777" w:rsidR="00341C1A" w:rsidRDefault="00341C1A">
                                  <w:pPr>
                                    <w:rPr>
                                      <w:rFonts w:ascii="Arial" w:hAnsi="Arial" w:cs="Arial"/>
                                      <w:sz w:val="20"/>
                                    </w:rPr>
                                  </w:pPr>
                                  <w:r>
                                    <w:rPr>
                                      <w:rFonts w:ascii="Arial" w:hAnsi="Arial" w:cs="Arial"/>
                                      <w:sz w:val="20"/>
                                    </w:rPr>
                                    <w:t>-----</w:t>
                                  </w:r>
                                </w:p>
                              </w:tc>
                              <w:tc>
                                <w:tcPr>
                                  <w:tcW w:w="2693" w:type="dxa"/>
                                  <w:gridSpan w:val="2"/>
                                </w:tcPr>
                                <w:p w14:paraId="375EC3A2" w14:textId="77777777" w:rsidR="00341C1A" w:rsidRDefault="00341C1A">
                                  <w:pPr>
                                    <w:rPr>
                                      <w:rFonts w:ascii="Arial" w:hAnsi="Arial" w:cs="Arial"/>
                                      <w:sz w:val="20"/>
                                    </w:rPr>
                                  </w:pPr>
                                  <w:r>
                                    <w:rPr>
                                      <w:rFonts w:ascii="Arial" w:hAnsi="Arial" w:cs="Arial"/>
                                      <w:sz w:val="20"/>
                                    </w:rPr>
                                    <w:t>(2) Imatinib 36 meses:</w:t>
                                  </w:r>
                                </w:p>
                              </w:tc>
                              <w:tc>
                                <w:tcPr>
                                  <w:tcW w:w="851" w:type="dxa"/>
                                  <w:tcBorders>
                                    <w:bottom w:val="single" w:sz="4" w:space="0" w:color="auto"/>
                                  </w:tcBorders>
                                </w:tcPr>
                                <w:p w14:paraId="375EC3A3" w14:textId="77777777" w:rsidR="00341C1A" w:rsidRDefault="00341C1A">
                                  <w:pPr>
                                    <w:rPr>
                                      <w:rFonts w:ascii="Arial" w:hAnsi="Arial" w:cs="Arial"/>
                                      <w:sz w:val="20"/>
                                    </w:rPr>
                                  </w:pPr>
                                  <w:r>
                                    <w:rPr>
                                      <w:rFonts w:ascii="Arial" w:hAnsi="Arial" w:cs="Arial"/>
                                      <w:sz w:val="20"/>
                                    </w:rPr>
                                    <w:t>198</w:t>
                                  </w:r>
                                </w:p>
                              </w:tc>
                              <w:tc>
                                <w:tcPr>
                                  <w:tcW w:w="709" w:type="dxa"/>
                                  <w:tcBorders>
                                    <w:bottom w:val="single" w:sz="4" w:space="0" w:color="auto"/>
                                  </w:tcBorders>
                                </w:tcPr>
                                <w:p w14:paraId="375EC3A4" w14:textId="77777777" w:rsidR="00341C1A" w:rsidRDefault="00341C1A">
                                  <w:pPr>
                                    <w:rPr>
                                      <w:rFonts w:ascii="Arial" w:hAnsi="Arial" w:cs="Arial"/>
                                      <w:sz w:val="20"/>
                                    </w:rPr>
                                  </w:pPr>
                                  <w:r>
                                    <w:rPr>
                                      <w:rFonts w:ascii="Arial" w:hAnsi="Arial" w:cs="Arial"/>
                                      <w:sz w:val="20"/>
                                    </w:rPr>
                                    <w:t>50</w:t>
                                  </w:r>
                                </w:p>
                              </w:tc>
                              <w:tc>
                                <w:tcPr>
                                  <w:tcW w:w="850" w:type="dxa"/>
                                  <w:tcBorders>
                                    <w:bottom w:val="single" w:sz="4" w:space="0" w:color="auto"/>
                                  </w:tcBorders>
                                </w:tcPr>
                                <w:p w14:paraId="375EC3A5" w14:textId="77777777" w:rsidR="00341C1A" w:rsidRDefault="00341C1A">
                                  <w:pPr>
                                    <w:rPr>
                                      <w:rFonts w:ascii="Arial" w:hAnsi="Arial" w:cs="Arial"/>
                                      <w:sz w:val="20"/>
                                    </w:rPr>
                                  </w:pPr>
                                  <w:r>
                                    <w:rPr>
                                      <w:rFonts w:ascii="Arial" w:hAnsi="Arial" w:cs="Arial"/>
                                      <w:sz w:val="20"/>
                                    </w:rPr>
                                    <w:t>148</w:t>
                                  </w:r>
                                </w:p>
                              </w:tc>
                            </w:tr>
                            <w:tr w:rsidR="00341C1A" w14:paraId="375EC3AC" w14:textId="77777777">
                              <w:tc>
                                <w:tcPr>
                                  <w:tcW w:w="817" w:type="dxa"/>
                                </w:tcPr>
                                <w:p w14:paraId="375EC3A7" w14:textId="77777777" w:rsidR="00341C1A" w:rsidRDefault="00341C1A">
                                  <w:pPr>
                                    <w:rPr>
                                      <w:rFonts w:ascii="Arial" w:hAnsi="Arial" w:cs="Arial"/>
                                      <w:sz w:val="20"/>
                                    </w:rPr>
                                  </w:pPr>
                                  <w:r>
                                    <w:rPr>
                                      <w:rFonts w:ascii="Arial" w:hAnsi="Arial" w:cs="Arial"/>
                                      <w:sz w:val="20"/>
                                    </w:rPr>
                                    <w:t>│││</w:t>
                                  </w:r>
                                </w:p>
                              </w:tc>
                              <w:tc>
                                <w:tcPr>
                                  <w:tcW w:w="2693" w:type="dxa"/>
                                  <w:gridSpan w:val="2"/>
                                </w:tcPr>
                                <w:p w14:paraId="375EC3A8" w14:textId="77777777" w:rsidR="00341C1A" w:rsidRDefault="00341C1A">
                                  <w:pPr>
                                    <w:rPr>
                                      <w:rFonts w:ascii="Arial" w:hAnsi="Arial" w:cs="Arial"/>
                                      <w:sz w:val="20"/>
                                    </w:rPr>
                                  </w:pPr>
                                  <w:r>
                                    <w:rPr>
                                      <w:rFonts w:ascii="Arial" w:hAnsi="Arial" w:cs="Arial"/>
                                      <w:sz w:val="20"/>
                                      <w:lang w:val="en-US"/>
                                    </w:rPr>
                                    <w:t>Observações censuradas</w:t>
                                  </w:r>
                                </w:p>
                              </w:tc>
                              <w:tc>
                                <w:tcPr>
                                  <w:tcW w:w="851" w:type="dxa"/>
                                  <w:tcBorders>
                                    <w:top w:val="single" w:sz="4" w:space="0" w:color="auto"/>
                                  </w:tcBorders>
                                </w:tcPr>
                                <w:p w14:paraId="375EC3A9" w14:textId="77777777" w:rsidR="00341C1A" w:rsidRDefault="00341C1A">
                                  <w:pPr>
                                    <w:rPr>
                                      <w:rFonts w:ascii="Arial" w:hAnsi="Arial" w:cs="Arial"/>
                                      <w:sz w:val="20"/>
                                    </w:rPr>
                                  </w:pPr>
                                </w:p>
                              </w:tc>
                              <w:tc>
                                <w:tcPr>
                                  <w:tcW w:w="709" w:type="dxa"/>
                                  <w:tcBorders>
                                    <w:top w:val="single" w:sz="4" w:space="0" w:color="auto"/>
                                  </w:tcBorders>
                                </w:tcPr>
                                <w:p w14:paraId="375EC3AA" w14:textId="77777777" w:rsidR="00341C1A" w:rsidRDefault="00341C1A">
                                  <w:pPr>
                                    <w:rPr>
                                      <w:rFonts w:ascii="Arial" w:hAnsi="Arial" w:cs="Arial"/>
                                      <w:sz w:val="20"/>
                                    </w:rPr>
                                  </w:pPr>
                                </w:p>
                              </w:tc>
                              <w:tc>
                                <w:tcPr>
                                  <w:tcW w:w="850" w:type="dxa"/>
                                  <w:tcBorders>
                                    <w:top w:val="single" w:sz="4" w:space="0" w:color="auto"/>
                                  </w:tcBorders>
                                </w:tcPr>
                                <w:p w14:paraId="375EC3AB" w14:textId="77777777" w:rsidR="00341C1A" w:rsidRDefault="00341C1A">
                                  <w:pPr>
                                    <w:rPr>
                                      <w:rFonts w:ascii="Arial" w:hAnsi="Arial" w:cs="Arial"/>
                                      <w:sz w:val="20"/>
                                    </w:rPr>
                                  </w:pPr>
                                </w:p>
                              </w:tc>
                            </w:tr>
                          </w:tbl>
                          <w:p w14:paraId="375EC3AD" w14:textId="77777777" w:rsidR="00341C1A" w:rsidRDefault="00341C1A">
                            <w:pPr>
                              <w:rPr>
                                <w:rFonts w:ascii="Arial" w:hAnsi="Arial" w:cs="Arial"/>
                                <w:sz w:val="20"/>
                              </w:rPr>
                            </w:pPr>
                          </w:p>
                          <w:p w14:paraId="375EC3AE" w14:textId="77777777" w:rsidR="00341C1A" w:rsidRDefault="00341C1A">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5EC361" id="_x0000_s1028" type="#_x0000_t202" style="position:absolute;margin-left:27.6pt;margin-top:103.25pt;width:361.05pt;height:9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" filled="f" stroked="f">
                <v:textbox>
                  <w:txbxContent>
                    <w:tbl>
                      <w:tblPr>
                        <w:tblW w:w="0" w:type="auto"/>
                        <w:tblLook w:val="04A0" w:firstRow="1" w:lastRow="0" w:firstColumn="1" w:lastColumn="0" w:noHBand="0" w:noVBand="1"/>
                      </w:tblPr>
                      <w:tblGrid>
                        <w:gridCol w:w="817"/>
                        <w:gridCol w:w="2464"/>
                        <w:gridCol w:w="229"/>
                        <w:gridCol w:w="851"/>
                        <w:gridCol w:w="709"/>
                        <w:gridCol w:w="850"/>
                      </w:tblGrid>
                      <w:tr w:rsidR="00341C1A" w14:paraId="375EC394" w14:textId="77777777">
                        <w:trPr>
                          <w:gridAfter w:val="4"/>
                          <w:wAfter w:w="2639" w:type="dxa"/>
                        </w:trPr>
                        <w:tc>
                          <w:tcPr>
                            <w:tcW w:w="3281" w:type="dxa"/>
                            <w:gridSpan w:val="2"/>
                          </w:tcPr>
                          <w:p w14:paraId="375EC391" w14:textId="77777777" w:rsidR="00341C1A" w:rsidRDefault="00341C1A">
                            <w:pPr>
                              <w:rPr>
                                <w:rFonts w:ascii="Arial" w:hAnsi="Arial" w:cs="Arial"/>
                                <w:sz w:val="20"/>
                              </w:rPr>
                            </w:pPr>
                            <w:r>
                              <w:rPr>
                                <w:rFonts w:ascii="Arial" w:hAnsi="Arial" w:cs="Arial"/>
                                <w:sz w:val="20"/>
                              </w:rPr>
                              <w:t>P &lt; 0,0001</w:t>
                            </w:r>
                          </w:p>
                          <w:p w14:paraId="375EC392" w14:textId="77777777" w:rsidR="00341C1A" w:rsidRDefault="00341C1A">
                            <w:pPr>
                              <w:rPr>
                                <w:rFonts w:ascii="Arial" w:hAnsi="Arial" w:cs="Arial"/>
                                <w:sz w:val="20"/>
                              </w:rPr>
                            </w:pPr>
                            <w:r>
                              <w:rPr>
                                <w:rFonts w:ascii="Arial" w:hAnsi="Arial" w:cs="Arial"/>
                                <w:sz w:val="20"/>
                                <w:lang w:val="es-ES"/>
                              </w:rPr>
                              <w:t>Taxa de risco</w:t>
                            </w:r>
                            <w:r>
                              <w:rPr>
                                <w:rFonts w:ascii="Arial" w:hAnsi="Arial" w:cs="Arial"/>
                                <w:sz w:val="20"/>
                              </w:rPr>
                              <w:t xml:space="preserve"> 0,46</w:t>
                            </w:r>
                          </w:p>
                          <w:p w14:paraId="375EC393" w14:textId="77777777" w:rsidR="00341C1A" w:rsidRDefault="00341C1A">
                            <w:pPr>
                              <w:rPr>
                                <w:rFonts w:ascii="Arial" w:hAnsi="Arial" w:cs="Arial"/>
                                <w:sz w:val="20"/>
                                <w:lang w:val="es-ES"/>
                              </w:rPr>
                            </w:pPr>
                            <w:r>
                              <w:rPr>
                                <w:rFonts w:ascii="Arial" w:hAnsi="Arial" w:cs="Arial"/>
                                <w:sz w:val="20"/>
                              </w:rPr>
                              <w:t>(95% IC, 0,32</w:t>
                            </w:r>
                            <w:r>
                              <w:rPr>
                                <w:rFonts w:ascii="Arial" w:hAnsi="Arial" w:cs="Arial"/>
                                <w:sz w:val="20"/>
                              </w:rPr>
                              <w:noBreakHyphen/>
                              <w:t>0,65)</w:t>
                            </w:r>
                          </w:p>
                        </w:tc>
                      </w:tr>
                      <w:tr w:rsidR="00341C1A" w14:paraId="375EC39A" w14:textId="77777777">
                        <w:tc>
                          <w:tcPr>
                            <w:tcW w:w="817" w:type="dxa"/>
                          </w:tcPr>
                          <w:p w14:paraId="375EC395" w14:textId="77777777" w:rsidR="00341C1A" w:rsidRDefault="00341C1A">
                            <w:pPr>
                              <w:rPr>
                                <w:rFonts w:ascii="Arial" w:hAnsi="Arial" w:cs="Arial"/>
                                <w:sz w:val="20"/>
                              </w:rPr>
                            </w:pPr>
                          </w:p>
                        </w:tc>
                        <w:tc>
                          <w:tcPr>
                            <w:tcW w:w="2693" w:type="dxa"/>
                            <w:gridSpan w:val="2"/>
                          </w:tcPr>
                          <w:p w14:paraId="375EC396" w14:textId="77777777" w:rsidR="00341C1A" w:rsidRDefault="00341C1A">
                            <w:pPr>
                              <w:rPr>
                                <w:rFonts w:ascii="Arial" w:hAnsi="Arial" w:cs="Arial"/>
                                <w:sz w:val="20"/>
                              </w:rPr>
                            </w:pPr>
                          </w:p>
                        </w:tc>
                        <w:tc>
                          <w:tcPr>
                            <w:tcW w:w="851" w:type="dxa"/>
                            <w:tcBorders>
                              <w:bottom w:val="single" w:sz="4" w:space="0" w:color="auto"/>
                            </w:tcBorders>
                          </w:tcPr>
                          <w:p w14:paraId="375EC397" w14:textId="77777777" w:rsidR="00341C1A" w:rsidRDefault="00341C1A">
                            <w:pPr>
                              <w:rPr>
                                <w:rFonts w:ascii="Arial" w:hAnsi="Arial" w:cs="Arial"/>
                                <w:sz w:val="20"/>
                              </w:rPr>
                            </w:pPr>
                            <w:r>
                              <w:rPr>
                                <w:rFonts w:ascii="Arial" w:hAnsi="Arial" w:cs="Arial"/>
                                <w:sz w:val="20"/>
                                <w:lang w:val="de-DE"/>
                              </w:rPr>
                              <w:t>N</w:t>
                            </w:r>
                          </w:p>
                        </w:tc>
                        <w:tc>
                          <w:tcPr>
                            <w:tcW w:w="709" w:type="dxa"/>
                            <w:tcBorders>
                              <w:bottom w:val="single" w:sz="4" w:space="0" w:color="auto"/>
                            </w:tcBorders>
                          </w:tcPr>
                          <w:p w14:paraId="375EC398" w14:textId="77777777" w:rsidR="00341C1A" w:rsidRDefault="00341C1A">
                            <w:pPr>
                              <w:rPr>
                                <w:rFonts w:ascii="Arial" w:hAnsi="Arial" w:cs="Arial"/>
                                <w:sz w:val="20"/>
                              </w:rPr>
                            </w:pPr>
                            <w:r>
                              <w:rPr>
                                <w:rFonts w:ascii="Arial" w:hAnsi="Arial" w:cs="Arial"/>
                                <w:sz w:val="20"/>
                                <w:lang w:val="de-DE"/>
                              </w:rPr>
                              <w:t>Evt</w:t>
                            </w:r>
                          </w:p>
                        </w:tc>
                        <w:tc>
                          <w:tcPr>
                            <w:tcW w:w="850" w:type="dxa"/>
                            <w:tcBorders>
                              <w:bottom w:val="single" w:sz="4" w:space="0" w:color="auto"/>
                            </w:tcBorders>
                          </w:tcPr>
                          <w:p w14:paraId="375EC399" w14:textId="77777777" w:rsidR="00341C1A" w:rsidRDefault="00341C1A">
                            <w:pPr>
                              <w:rPr>
                                <w:rFonts w:ascii="Arial" w:hAnsi="Arial" w:cs="Arial"/>
                                <w:sz w:val="20"/>
                              </w:rPr>
                            </w:pPr>
                            <w:r>
                              <w:rPr>
                                <w:rFonts w:ascii="Arial" w:hAnsi="Arial" w:cs="Arial"/>
                                <w:sz w:val="20"/>
                                <w:lang w:val="de-DE"/>
                              </w:rPr>
                              <w:t>Cen</w:t>
                            </w:r>
                          </w:p>
                        </w:tc>
                      </w:tr>
                      <w:tr w:rsidR="00341C1A" w14:paraId="375EC3A0" w14:textId="77777777">
                        <w:tc>
                          <w:tcPr>
                            <w:tcW w:w="817" w:type="dxa"/>
                          </w:tcPr>
                          <w:p w14:paraId="375EC39B" w14:textId="77777777" w:rsidR="00341C1A" w:rsidRDefault="00341C1A">
                            <w:pPr>
                              <w:rPr>
                                <w:rFonts w:ascii="Arial" w:hAnsi="Arial" w:cs="Arial"/>
                                <w:sz w:val="20"/>
                              </w:rPr>
                            </w:pPr>
                            <w:r>
                              <w:rPr>
                                <w:rFonts w:ascii="Arial" w:hAnsi="Arial" w:cs="Arial"/>
                                <w:b/>
                                <w:sz w:val="20"/>
                              </w:rPr>
                              <w:t>——</w:t>
                            </w:r>
                          </w:p>
                        </w:tc>
                        <w:tc>
                          <w:tcPr>
                            <w:tcW w:w="2693" w:type="dxa"/>
                            <w:gridSpan w:val="2"/>
                          </w:tcPr>
                          <w:p w14:paraId="375EC39C" w14:textId="77777777" w:rsidR="00341C1A" w:rsidRDefault="00341C1A">
                            <w:pPr>
                              <w:rPr>
                                <w:rFonts w:ascii="Arial" w:hAnsi="Arial" w:cs="Arial"/>
                                <w:sz w:val="20"/>
                              </w:rPr>
                            </w:pPr>
                            <w:r>
                              <w:rPr>
                                <w:rFonts w:ascii="Arial" w:hAnsi="Arial" w:cs="Arial"/>
                                <w:sz w:val="20"/>
                              </w:rPr>
                              <w:t>(1) Imatinib 12 meses:</w:t>
                            </w:r>
                          </w:p>
                        </w:tc>
                        <w:tc>
                          <w:tcPr>
                            <w:tcW w:w="851" w:type="dxa"/>
                            <w:tcBorders>
                              <w:top w:val="single" w:sz="4" w:space="0" w:color="auto"/>
                            </w:tcBorders>
                          </w:tcPr>
                          <w:p w14:paraId="375EC39D" w14:textId="77777777" w:rsidR="00341C1A" w:rsidRDefault="00341C1A">
                            <w:pPr>
                              <w:rPr>
                                <w:rFonts w:ascii="Arial" w:hAnsi="Arial" w:cs="Arial"/>
                                <w:sz w:val="20"/>
                              </w:rPr>
                            </w:pPr>
                            <w:r>
                              <w:rPr>
                                <w:rFonts w:ascii="Arial" w:hAnsi="Arial" w:cs="Arial"/>
                                <w:sz w:val="20"/>
                              </w:rPr>
                              <w:t>199</w:t>
                            </w:r>
                          </w:p>
                        </w:tc>
                        <w:tc>
                          <w:tcPr>
                            <w:tcW w:w="709" w:type="dxa"/>
                            <w:tcBorders>
                              <w:top w:val="single" w:sz="4" w:space="0" w:color="auto"/>
                            </w:tcBorders>
                          </w:tcPr>
                          <w:p w14:paraId="375EC39E" w14:textId="77777777" w:rsidR="00341C1A" w:rsidRDefault="00341C1A">
                            <w:pPr>
                              <w:rPr>
                                <w:rFonts w:ascii="Arial" w:hAnsi="Arial" w:cs="Arial"/>
                                <w:sz w:val="20"/>
                              </w:rPr>
                            </w:pPr>
                            <w:r>
                              <w:rPr>
                                <w:rFonts w:ascii="Arial" w:hAnsi="Arial" w:cs="Arial"/>
                                <w:sz w:val="20"/>
                              </w:rPr>
                              <w:t>84</w:t>
                            </w:r>
                          </w:p>
                        </w:tc>
                        <w:tc>
                          <w:tcPr>
                            <w:tcW w:w="850" w:type="dxa"/>
                            <w:tcBorders>
                              <w:top w:val="single" w:sz="4" w:space="0" w:color="auto"/>
                            </w:tcBorders>
                          </w:tcPr>
                          <w:p w14:paraId="375EC39F" w14:textId="77777777" w:rsidR="00341C1A" w:rsidRDefault="00341C1A">
                            <w:pPr>
                              <w:rPr>
                                <w:rFonts w:ascii="Arial" w:hAnsi="Arial" w:cs="Arial"/>
                                <w:sz w:val="20"/>
                              </w:rPr>
                            </w:pPr>
                            <w:r>
                              <w:rPr>
                                <w:rFonts w:ascii="Arial" w:hAnsi="Arial" w:cs="Arial"/>
                                <w:sz w:val="20"/>
                              </w:rPr>
                              <w:t>115</w:t>
                            </w:r>
                          </w:p>
                        </w:tc>
                      </w:tr>
                      <w:tr w:rsidR="00341C1A" w14:paraId="375EC3A6" w14:textId="77777777">
                        <w:tc>
                          <w:tcPr>
                            <w:tcW w:w="817" w:type="dxa"/>
                          </w:tcPr>
                          <w:p w14:paraId="375EC3A1" w14:textId="77777777" w:rsidR="00341C1A" w:rsidRDefault="00341C1A">
                            <w:pPr>
                              <w:rPr>
                                <w:rFonts w:ascii="Arial" w:hAnsi="Arial" w:cs="Arial"/>
                                <w:sz w:val="20"/>
                              </w:rPr>
                            </w:pPr>
                            <w:r>
                              <w:rPr>
                                <w:rFonts w:ascii="Arial" w:hAnsi="Arial" w:cs="Arial"/>
                                <w:sz w:val="20"/>
                              </w:rPr>
                              <w:t>-----</w:t>
                            </w:r>
                          </w:p>
                        </w:tc>
                        <w:tc>
                          <w:tcPr>
                            <w:tcW w:w="2693" w:type="dxa"/>
                            <w:gridSpan w:val="2"/>
                          </w:tcPr>
                          <w:p w14:paraId="375EC3A2" w14:textId="77777777" w:rsidR="00341C1A" w:rsidRDefault="00341C1A">
                            <w:pPr>
                              <w:rPr>
                                <w:rFonts w:ascii="Arial" w:hAnsi="Arial" w:cs="Arial"/>
                                <w:sz w:val="20"/>
                              </w:rPr>
                            </w:pPr>
                            <w:r>
                              <w:rPr>
                                <w:rFonts w:ascii="Arial" w:hAnsi="Arial" w:cs="Arial"/>
                                <w:sz w:val="20"/>
                              </w:rPr>
                              <w:t>(2) Imatinib 36 meses:</w:t>
                            </w:r>
                          </w:p>
                        </w:tc>
                        <w:tc>
                          <w:tcPr>
                            <w:tcW w:w="851" w:type="dxa"/>
                            <w:tcBorders>
                              <w:bottom w:val="single" w:sz="4" w:space="0" w:color="auto"/>
                            </w:tcBorders>
                          </w:tcPr>
                          <w:p w14:paraId="375EC3A3" w14:textId="77777777" w:rsidR="00341C1A" w:rsidRDefault="00341C1A">
                            <w:pPr>
                              <w:rPr>
                                <w:rFonts w:ascii="Arial" w:hAnsi="Arial" w:cs="Arial"/>
                                <w:sz w:val="20"/>
                              </w:rPr>
                            </w:pPr>
                            <w:r>
                              <w:rPr>
                                <w:rFonts w:ascii="Arial" w:hAnsi="Arial" w:cs="Arial"/>
                                <w:sz w:val="20"/>
                              </w:rPr>
                              <w:t>198</w:t>
                            </w:r>
                          </w:p>
                        </w:tc>
                        <w:tc>
                          <w:tcPr>
                            <w:tcW w:w="709" w:type="dxa"/>
                            <w:tcBorders>
                              <w:bottom w:val="single" w:sz="4" w:space="0" w:color="auto"/>
                            </w:tcBorders>
                          </w:tcPr>
                          <w:p w14:paraId="375EC3A4" w14:textId="77777777" w:rsidR="00341C1A" w:rsidRDefault="00341C1A">
                            <w:pPr>
                              <w:rPr>
                                <w:rFonts w:ascii="Arial" w:hAnsi="Arial" w:cs="Arial"/>
                                <w:sz w:val="20"/>
                              </w:rPr>
                            </w:pPr>
                            <w:r>
                              <w:rPr>
                                <w:rFonts w:ascii="Arial" w:hAnsi="Arial" w:cs="Arial"/>
                                <w:sz w:val="20"/>
                              </w:rPr>
                              <w:t>50</w:t>
                            </w:r>
                          </w:p>
                        </w:tc>
                        <w:tc>
                          <w:tcPr>
                            <w:tcW w:w="850" w:type="dxa"/>
                            <w:tcBorders>
                              <w:bottom w:val="single" w:sz="4" w:space="0" w:color="auto"/>
                            </w:tcBorders>
                          </w:tcPr>
                          <w:p w14:paraId="375EC3A5" w14:textId="77777777" w:rsidR="00341C1A" w:rsidRDefault="00341C1A">
                            <w:pPr>
                              <w:rPr>
                                <w:rFonts w:ascii="Arial" w:hAnsi="Arial" w:cs="Arial"/>
                                <w:sz w:val="20"/>
                              </w:rPr>
                            </w:pPr>
                            <w:r>
                              <w:rPr>
                                <w:rFonts w:ascii="Arial" w:hAnsi="Arial" w:cs="Arial"/>
                                <w:sz w:val="20"/>
                              </w:rPr>
                              <w:t>148</w:t>
                            </w:r>
                          </w:p>
                        </w:tc>
                      </w:tr>
                      <w:tr w:rsidR="00341C1A" w14:paraId="375EC3AC" w14:textId="77777777">
                        <w:tc>
                          <w:tcPr>
                            <w:tcW w:w="817" w:type="dxa"/>
                          </w:tcPr>
                          <w:p w14:paraId="375EC3A7" w14:textId="77777777" w:rsidR="00341C1A" w:rsidRDefault="00341C1A">
                            <w:pPr>
                              <w:rPr>
                                <w:rFonts w:ascii="Arial" w:hAnsi="Arial" w:cs="Arial"/>
                                <w:sz w:val="20"/>
                              </w:rPr>
                            </w:pPr>
                            <w:r>
                              <w:rPr>
                                <w:rFonts w:ascii="Arial" w:hAnsi="Arial" w:cs="Arial"/>
                                <w:sz w:val="20"/>
                              </w:rPr>
                              <w:t>│││</w:t>
                            </w:r>
                          </w:p>
                        </w:tc>
                        <w:tc>
                          <w:tcPr>
                            <w:tcW w:w="2693" w:type="dxa"/>
                            <w:gridSpan w:val="2"/>
                          </w:tcPr>
                          <w:p w14:paraId="375EC3A8" w14:textId="77777777" w:rsidR="00341C1A" w:rsidRDefault="00341C1A">
                            <w:pPr>
                              <w:rPr>
                                <w:rFonts w:ascii="Arial" w:hAnsi="Arial" w:cs="Arial"/>
                                <w:sz w:val="20"/>
                              </w:rPr>
                            </w:pPr>
                            <w:r>
                              <w:rPr>
                                <w:rFonts w:ascii="Arial" w:hAnsi="Arial" w:cs="Arial"/>
                                <w:sz w:val="20"/>
                                <w:lang w:val="en-US"/>
                              </w:rPr>
                              <w:t>Observações censuradas</w:t>
                            </w:r>
                          </w:p>
                        </w:tc>
                        <w:tc>
                          <w:tcPr>
                            <w:tcW w:w="851" w:type="dxa"/>
                            <w:tcBorders>
                              <w:top w:val="single" w:sz="4" w:space="0" w:color="auto"/>
                            </w:tcBorders>
                          </w:tcPr>
                          <w:p w14:paraId="375EC3A9" w14:textId="77777777" w:rsidR="00341C1A" w:rsidRDefault="00341C1A">
                            <w:pPr>
                              <w:rPr>
                                <w:rFonts w:ascii="Arial" w:hAnsi="Arial" w:cs="Arial"/>
                                <w:sz w:val="20"/>
                              </w:rPr>
                            </w:pPr>
                          </w:p>
                        </w:tc>
                        <w:tc>
                          <w:tcPr>
                            <w:tcW w:w="709" w:type="dxa"/>
                            <w:tcBorders>
                              <w:top w:val="single" w:sz="4" w:space="0" w:color="auto"/>
                            </w:tcBorders>
                          </w:tcPr>
                          <w:p w14:paraId="375EC3AA" w14:textId="77777777" w:rsidR="00341C1A" w:rsidRDefault="00341C1A">
                            <w:pPr>
                              <w:rPr>
                                <w:rFonts w:ascii="Arial" w:hAnsi="Arial" w:cs="Arial"/>
                                <w:sz w:val="20"/>
                              </w:rPr>
                            </w:pPr>
                          </w:p>
                        </w:tc>
                        <w:tc>
                          <w:tcPr>
                            <w:tcW w:w="850" w:type="dxa"/>
                            <w:tcBorders>
                              <w:top w:val="single" w:sz="4" w:space="0" w:color="auto"/>
                            </w:tcBorders>
                          </w:tcPr>
                          <w:p w14:paraId="375EC3AB" w14:textId="77777777" w:rsidR="00341C1A" w:rsidRDefault="00341C1A">
                            <w:pPr>
                              <w:rPr>
                                <w:rFonts w:ascii="Arial" w:hAnsi="Arial" w:cs="Arial"/>
                                <w:sz w:val="20"/>
                              </w:rPr>
                            </w:pPr>
                          </w:p>
                        </w:tc>
                      </w:tr>
                    </w:tbl>
                    <w:p w14:paraId="375EC3AD" w14:textId="77777777" w:rsidR="00341C1A" w:rsidRDefault="00341C1A">
                      <w:pPr>
                        <w:rPr>
                          <w:rFonts w:ascii="Arial" w:hAnsi="Arial" w:cs="Arial"/>
                          <w:sz w:val="20"/>
                        </w:rPr>
                      </w:pPr>
                    </w:p>
                    <w:p w14:paraId="375EC3AE" w14:textId="77777777" w:rsidR="00341C1A" w:rsidRDefault="00341C1A">
                      <w:pPr>
                        <w:rPr>
                          <w:rFonts w:ascii="Arial" w:hAnsi="Arial" w:cs="Arial"/>
                          <w:sz w:val="20"/>
                        </w:rPr>
                      </w:pPr>
                    </w:p>
                  </w:txbxContent>
                </v:textbox>
              </v:shape>
            </w:pict>
          </mc:Fallback>
        </mc:AlternateContent>
      </w:r>
      <w:r w:rsidRPr="00263DB9">
        <w:rPr>
          <w:noProof/>
          <w:lang w:val="en-GB" w:eastAsia="en-GB"/>
        </w:rPr>
        <w:drawing>
          <wp:inline distT="0" distB="0" distL="0" distR="0" wp14:anchorId="375EC363" wp14:editId="375EC364">
            <wp:extent cx="5937885" cy="26777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2677795"/>
                    </a:xfrm>
                    <a:prstGeom prst="rect">
                      <a:avLst/>
                    </a:prstGeom>
                    <a:noFill/>
                    <a:ln>
                      <a:noFill/>
                    </a:ln>
                  </pic:spPr>
                </pic:pic>
              </a:graphicData>
            </a:graphic>
          </wp:inline>
        </w:drawing>
      </w:r>
    </w:p>
    <w:p w14:paraId="375EB39D" w14:textId="77777777" w:rsidR="00906898" w:rsidRPr="00263DB9" w:rsidRDefault="00906898" w:rsidP="00E51817">
      <w:pPr>
        <w:widowControl w:val="0"/>
        <w:suppressAutoHyphens/>
        <w:rPr>
          <w:color w:val="000000"/>
          <w:szCs w:val="22"/>
          <w:u w:val="single"/>
        </w:rPr>
      </w:pPr>
    </w:p>
    <w:p w14:paraId="375EB39E" w14:textId="77777777" w:rsidR="00906898" w:rsidRPr="00263DB9" w:rsidRDefault="00906898" w:rsidP="00E51817">
      <w:pPr>
        <w:widowControl w:val="0"/>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906898" w:rsidRPr="00263DB9" w14:paraId="375EB3A0" w14:textId="77777777">
        <w:tc>
          <w:tcPr>
            <w:tcW w:w="10599" w:type="dxa"/>
            <w:gridSpan w:val="16"/>
          </w:tcPr>
          <w:p w14:paraId="375EB39F" w14:textId="77777777" w:rsidR="00906898" w:rsidRPr="00263DB9" w:rsidRDefault="00906898" w:rsidP="00E51817">
            <w:pPr>
              <w:widowControl w:val="0"/>
              <w:ind w:left="-27"/>
              <w:rPr>
                <w:rFonts w:ascii="Arial" w:hAnsi="Arial" w:cs="Arial"/>
                <w:sz w:val="16"/>
                <w:szCs w:val="16"/>
              </w:rPr>
            </w:pPr>
            <w:r w:rsidRPr="00263DB9">
              <w:rPr>
                <w:rFonts w:ascii="Arial" w:hAnsi="Arial" w:cs="Arial"/>
                <w:sz w:val="20"/>
              </w:rPr>
              <w:t>Em-risco : acontecimentos</w:t>
            </w:r>
          </w:p>
        </w:tc>
      </w:tr>
      <w:tr w:rsidR="00906898" w:rsidRPr="00263DB9" w14:paraId="375EB3B1" w14:textId="77777777">
        <w:tc>
          <w:tcPr>
            <w:tcW w:w="450" w:type="dxa"/>
          </w:tcPr>
          <w:p w14:paraId="375EB3A1" w14:textId="77777777" w:rsidR="00906898" w:rsidRPr="00263DB9" w:rsidRDefault="00906898" w:rsidP="00E51817">
            <w:pPr>
              <w:widowControl w:val="0"/>
              <w:rPr>
                <w:sz w:val="18"/>
                <w:szCs w:val="18"/>
              </w:rPr>
            </w:pPr>
            <w:r w:rsidRPr="00263DB9">
              <w:rPr>
                <w:sz w:val="18"/>
                <w:szCs w:val="18"/>
              </w:rPr>
              <w:t>(1)</w:t>
            </w:r>
          </w:p>
        </w:tc>
        <w:tc>
          <w:tcPr>
            <w:tcW w:w="646" w:type="dxa"/>
          </w:tcPr>
          <w:p w14:paraId="375EB3A2" w14:textId="77777777" w:rsidR="00906898" w:rsidRPr="00263DB9" w:rsidRDefault="00906898" w:rsidP="00E51817">
            <w:pPr>
              <w:widowControl w:val="0"/>
              <w:ind w:left="-27"/>
              <w:rPr>
                <w:sz w:val="18"/>
                <w:szCs w:val="18"/>
              </w:rPr>
            </w:pPr>
            <w:r w:rsidRPr="00263DB9">
              <w:rPr>
                <w:sz w:val="18"/>
                <w:szCs w:val="18"/>
              </w:rPr>
              <w:t>199:0</w:t>
            </w:r>
          </w:p>
        </w:tc>
        <w:tc>
          <w:tcPr>
            <w:tcW w:w="645" w:type="dxa"/>
          </w:tcPr>
          <w:p w14:paraId="375EB3A3" w14:textId="77777777" w:rsidR="00906898" w:rsidRPr="00263DB9" w:rsidRDefault="00906898" w:rsidP="00E51817">
            <w:pPr>
              <w:widowControl w:val="0"/>
              <w:ind w:left="-27"/>
              <w:rPr>
                <w:sz w:val="18"/>
                <w:szCs w:val="18"/>
              </w:rPr>
            </w:pPr>
            <w:r w:rsidRPr="00263DB9">
              <w:rPr>
                <w:sz w:val="18"/>
                <w:szCs w:val="18"/>
              </w:rPr>
              <w:t>182:8</w:t>
            </w:r>
          </w:p>
        </w:tc>
        <w:tc>
          <w:tcPr>
            <w:tcW w:w="745" w:type="dxa"/>
          </w:tcPr>
          <w:p w14:paraId="375EB3A4" w14:textId="77777777" w:rsidR="00906898" w:rsidRPr="00263DB9" w:rsidRDefault="00906898" w:rsidP="00E51817">
            <w:pPr>
              <w:widowControl w:val="0"/>
              <w:ind w:left="-27"/>
              <w:rPr>
                <w:sz w:val="18"/>
                <w:szCs w:val="18"/>
              </w:rPr>
            </w:pPr>
            <w:r w:rsidRPr="00263DB9">
              <w:rPr>
                <w:sz w:val="18"/>
                <w:szCs w:val="18"/>
              </w:rPr>
              <w:t>177:12</w:t>
            </w:r>
          </w:p>
        </w:tc>
        <w:tc>
          <w:tcPr>
            <w:tcW w:w="745" w:type="dxa"/>
          </w:tcPr>
          <w:p w14:paraId="375EB3A5" w14:textId="77777777" w:rsidR="00906898" w:rsidRPr="00263DB9" w:rsidRDefault="00906898" w:rsidP="00E51817">
            <w:pPr>
              <w:widowControl w:val="0"/>
              <w:ind w:left="-27"/>
              <w:rPr>
                <w:sz w:val="18"/>
                <w:szCs w:val="18"/>
              </w:rPr>
            </w:pPr>
            <w:r w:rsidRPr="00263DB9">
              <w:rPr>
                <w:sz w:val="18"/>
                <w:szCs w:val="18"/>
              </w:rPr>
              <w:t>163:25</w:t>
            </w:r>
          </w:p>
        </w:tc>
        <w:tc>
          <w:tcPr>
            <w:tcW w:w="745" w:type="dxa"/>
          </w:tcPr>
          <w:p w14:paraId="375EB3A6" w14:textId="77777777" w:rsidR="00906898" w:rsidRPr="00263DB9" w:rsidRDefault="00906898" w:rsidP="00E51817">
            <w:pPr>
              <w:widowControl w:val="0"/>
              <w:ind w:left="-27"/>
              <w:rPr>
                <w:sz w:val="18"/>
                <w:szCs w:val="18"/>
              </w:rPr>
            </w:pPr>
            <w:r w:rsidRPr="00263DB9">
              <w:rPr>
                <w:sz w:val="18"/>
                <w:szCs w:val="18"/>
              </w:rPr>
              <w:t>137:46</w:t>
            </w:r>
          </w:p>
        </w:tc>
        <w:tc>
          <w:tcPr>
            <w:tcW w:w="752" w:type="dxa"/>
          </w:tcPr>
          <w:p w14:paraId="375EB3A7" w14:textId="77777777" w:rsidR="00906898" w:rsidRPr="00263DB9" w:rsidRDefault="00906898" w:rsidP="00E51817">
            <w:pPr>
              <w:widowControl w:val="0"/>
              <w:ind w:left="-27"/>
              <w:rPr>
                <w:sz w:val="18"/>
                <w:szCs w:val="18"/>
              </w:rPr>
            </w:pPr>
            <w:r w:rsidRPr="00263DB9">
              <w:rPr>
                <w:sz w:val="18"/>
                <w:szCs w:val="18"/>
              </w:rPr>
              <w:t>105:65</w:t>
            </w:r>
          </w:p>
        </w:tc>
        <w:tc>
          <w:tcPr>
            <w:tcW w:w="745" w:type="dxa"/>
          </w:tcPr>
          <w:p w14:paraId="375EB3A8" w14:textId="77777777" w:rsidR="00906898" w:rsidRPr="00263DB9" w:rsidRDefault="00906898" w:rsidP="00E51817">
            <w:pPr>
              <w:widowControl w:val="0"/>
              <w:ind w:left="-27"/>
              <w:rPr>
                <w:sz w:val="18"/>
                <w:szCs w:val="18"/>
              </w:rPr>
            </w:pPr>
            <w:r w:rsidRPr="00263DB9">
              <w:rPr>
                <w:sz w:val="18"/>
                <w:szCs w:val="18"/>
              </w:rPr>
              <w:t>88:72</w:t>
            </w:r>
          </w:p>
        </w:tc>
        <w:tc>
          <w:tcPr>
            <w:tcW w:w="745" w:type="dxa"/>
          </w:tcPr>
          <w:p w14:paraId="375EB3A9" w14:textId="77777777" w:rsidR="00906898" w:rsidRPr="00263DB9" w:rsidRDefault="00906898" w:rsidP="00E51817">
            <w:pPr>
              <w:widowControl w:val="0"/>
              <w:ind w:left="-27"/>
              <w:rPr>
                <w:sz w:val="18"/>
                <w:szCs w:val="18"/>
              </w:rPr>
            </w:pPr>
            <w:r w:rsidRPr="00263DB9">
              <w:rPr>
                <w:sz w:val="18"/>
                <w:szCs w:val="18"/>
              </w:rPr>
              <w:t>61:77</w:t>
            </w:r>
          </w:p>
        </w:tc>
        <w:tc>
          <w:tcPr>
            <w:tcW w:w="652" w:type="dxa"/>
          </w:tcPr>
          <w:p w14:paraId="375EB3AA" w14:textId="77777777" w:rsidR="00906898" w:rsidRPr="00263DB9" w:rsidRDefault="00906898" w:rsidP="00E51817">
            <w:pPr>
              <w:widowControl w:val="0"/>
              <w:ind w:left="-27"/>
              <w:rPr>
                <w:sz w:val="18"/>
                <w:szCs w:val="18"/>
              </w:rPr>
            </w:pPr>
            <w:r w:rsidRPr="00263DB9">
              <w:rPr>
                <w:sz w:val="18"/>
                <w:szCs w:val="18"/>
              </w:rPr>
              <w:t>49:81</w:t>
            </w:r>
          </w:p>
        </w:tc>
        <w:tc>
          <w:tcPr>
            <w:tcW w:w="652" w:type="dxa"/>
          </w:tcPr>
          <w:p w14:paraId="375EB3AB" w14:textId="77777777" w:rsidR="00906898" w:rsidRPr="00263DB9" w:rsidRDefault="00906898" w:rsidP="00E51817">
            <w:pPr>
              <w:widowControl w:val="0"/>
              <w:ind w:left="-27"/>
              <w:rPr>
                <w:sz w:val="18"/>
                <w:szCs w:val="18"/>
              </w:rPr>
            </w:pPr>
            <w:r w:rsidRPr="00263DB9">
              <w:rPr>
                <w:sz w:val="18"/>
                <w:szCs w:val="18"/>
              </w:rPr>
              <w:t>36:83</w:t>
            </w:r>
          </w:p>
        </w:tc>
        <w:tc>
          <w:tcPr>
            <w:tcW w:w="649" w:type="dxa"/>
          </w:tcPr>
          <w:p w14:paraId="375EB3AC" w14:textId="77777777" w:rsidR="00906898" w:rsidRPr="00263DB9" w:rsidRDefault="00906898" w:rsidP="00E51817">
            <w:pPr>
              <w:widowControl w:val="0"/>
              <w:ind w:left="-27"/>
              <w:rPr>
                <w:sz w:val="18"/>
                <w:szCs w:val="18"/>
              </w:rPr>
            </w:pPr>
            <w:r w:rsidRPr="00263DB9">
              <w:rPr>
                <w:sz w:val="18"/>
                <w:szCs w:val="18"/>
              </w:rPr>
              <w:t>27:84</w:t>
            </w:r>
          </w:p>
        </w:tc>
        <w:tc>
          <w:tcPr>
            <w:tcW w:w="660" w:type="dxa"/>
          </w:tcPr>
          <w:p w14:paraId="375EB3AD" w14:textId="77777777" w:rsidR="00906898" w:rsidRPr="00263DB9" w:rsidRDefault="00906898" w:rsidP="00E51817">
            <w:pPr>
              <w:widowControl w:val="0"/>
              <w:ind w:left="-27"/>
              <w:rPr>
                <w:sz w:val="18"/>
                <w:szCs w:val="18"/>
              </w:rPr>
            </w:pPr>
            <w:r w:rsidRPr="00263DB9">
              <w:rPr>
                <w:sz w:val="18"/>
                <w:szCs w:val="18"/>
              </w:rPr>
              <w:t>14:84</w:t>
            </w:r>
          </w:p>
        </w:tc>
        <w:tc>
          <w:tcPr>
            <w:tcW w:w="649" w:type="dxa"/>
          </w:tcPr>
          <w:p w14:paraId="375EB3AE" w14:textId="77777777" w:rsidR="00906898" w:rsidRPr="00263DB9" w:rsidRDefault="00906898" w:rsidP="00E51817">
            <w:pPr>
              <w:widowControl w:val="0"/>
              <w:ind w:left="-27"/>
              <w:rPr>
                <w:sz w:val="18"/>
                <w:szCs w:val="18"/>
              </w:rPr>
            </w:pPr>
            <w:r w:rsidRPr="00263DB9">
              <w:rPr>
                <w:sz w:val="18"/>
                <w:szCs w:val="18"/>
              </w:rPr>
              <w:t>10:84</w:t>
            </w:r>
          </w:p>
        </w:tc>
        <w:tc>
          <w:tcPr>
            <w:tcW w:w="564" w:type="dxa"/>
          </w:tcPr>
          <w:p w14:paraId="375EB3AF" w14:textId="77777777" w:rsidR="00906898" w:rsidRPr="00263DB9" w:rsidRDefault="00906898" w:rsidP="00E51817">
            <w:pPr>
              <w:widowControl w:val="0"/>
              <w:ind w:left="-27"/>
              <w:rPr>
                <w:sz w:val="18"/>
                <w:szCs w:val="18"/>
              </w:rPr>
            </w:pPr>
            <w:r w:rsidRPr="00263DB9">
              <w:rPr>
                <w:sz w:val="18"/>
                <w:szCs w:val="18"/>
              </w:rPr>
              <w:t>2:84</w:t>
            </w:r>
          </w:p>
        </w:tc>
        <w:tc>
          <w:tcPr>
            <w:tcW w:w="555" w:type="dxa"/>
          </w:tcPr>
          <w:p w14:paraId="375EB3B0" w14:textId="77777777" w:rsidR="00906898" w:rsidRPr="00263DB9" w:rsidRDefault="00906898" w:rsidP="00E51817">
            <w:pPr>
              <w:widowControl w:val="0"/>
              <w:ind w:left="-27"/>
              <w:rPr>
                <w:sz w:val="18"/>
                <w:szCs w:val="18"/>
              </w:rPr>
            </w:pPr>
            <w:r w:rsidRPr="00263DB9">
              <w:rPr>
                <w:sz w:val="18"/>
                <w:szCs w:val="18"/>
              </w:rPr>
              <w:t>0:84</w:t>
            </w:r>
          </w:p>
        </w:tc>
      </w:tr>
      <w:tr w:rsidR="00906898" w:rsidRPr="00263DB9" w14:paraId="375EB3C2" w14:textId="77777777">
        <w:tc>
          <w:tcPr>
            <w:tcW w:w="450" w:type="dxa"/>
          </w:tcPr>
          <w:p w14:paraId="375EB3B2" w14:textId="77777777" w:rsidR="00906898" w:rsidRPr="00263DB9" w:rsidRDefault="00906898" w:rsidP="00E51817">
            <w:pPr>
              <w:widowControl w:val="0"/>
              <w:rPr>
                <w:sz w:val="18"/>
                <w:szCs w:val="18"/>
              </w:rPr>
            </w:pPr>
            <w:r w:rsidRPr="00263DB9">
              <w:rPr>
                <w:sz w:val="18"/>
                <w:szCs w:val="18"/>
              </w:rPr>
              <w:t>(2)</w:t>
            </w:r>
          </w:p>
        </w:tc>
        <w:tc>
          <w:tcPr>
            <w:tcW w:w="646" w:type="dxa"/>
          </w:tcPr>
          <w:p w14:paraId="375EB3B3" w14:textId="77777777" w:rsidR="00906898" w:rsidRPr="00263DB9" w:rsidRDefault="00906898" w:rsidP="00E51817">
            <w:pPr>
              <w:widowControl w:val="0"/>
              <w:ind w:left="-27"/>
              <w:rPr>
                <w:sz w:val="18"/>
                <w:szCs w:val="18"/>
              </w:rPr>
            </w:pPr>
            <w:r w:rsidRPr="00263DB9">
              <w:rPr>
                <w:sz w:val="18"/>
                <w:szCs w:val="18"/>
              </w:rPr>
              <w:t>198:0</w:t>
            </w:r>
          </w:p>
        </w:tc>
        <w:tc>
          <w:tcPr>
            <w:tcW w:w="645" w:type="dxa"/>
          </w:tcPr>
          <w:p w14:paraId="375EB3B4" w14:textId="77777777" w:rsidR="00906898" w:rsidRPr="00263DB9" w:rsidRDefault="00906898" w:rsidP="00E51817">
            <w:pPr>
              <w:widowControl w:val="0"/>
              <w:ind w:left="-27"/>
              <w:rPr>
                <w:sz w:val="18"/>
                <w:szCs w:val="18"/>
              </w:rPr>
            </w:pPr>
            <w:r w:rsidRPr="00263DB9">
              <w:rPr>
                <w:sz w:val="18"/>
                <w:szCs w:val="18"/>
              </w:rPr>
              <w:t>189:5</w:t>
            </w:r>
          </w:p>
        </w:tc>
        <w:tc>
          <w:tcPr>
            <w:tcW w:w="745" w:type="dxa"/>
          </w:tcPr>
          <w:p w14:paraId="375EB3B5" w14:textId="77777777" w:rsidR="00906898" w:rsidRPr="00263DB9" w:rsidRDefault="00906898" w:rsidP="00E51817">
            <w:pPr>
              <w:widowControl w:val="0"/>
              <w:ind w:left="-27"/>
              <w:rPr>
                <w:sz w:val="18"/>
                <w:szCs w:val="18"/>
              </w:rPr>
            </w:pPr>
            <w:r w:rsidRPr="00263DB9">
              <w:rPr>
                <w:sz w:val="18"/>
                <w:szCs w:val="18"/>
              </w:rPr>
              <w:t>184:8</w:t>
            </w:r>
          </w:p>
        </w:tc>
        <w:tc>
          <w:tcPr>
            <w:tcW w:w="745" w:type="dxa"/>
          </w:tcPr>
          <w:p w14:paraId="375EB3B6" w14:textId="77777777" w:rsidR="00906898" w:rsidRPr="00263DB9" w:rsidRDefault="00906898" w:rsidP="00E51817">
            <w:pPr>
              <w:widowControl w:val="0"/>
              <w:ind w:left="-27"/>
              <w:rPr>
                <w:sz w:val="18"/>
                <w:szCs w:val="18"/>
              </w:rPr>
            </w:pPr>
            <w:r w:rsidRPr="00263DB9">
              <w:rPr>
                <w:sz w:val="18"/>
                <w:szCs w:val="18"/>
              </w:rPr>
              <w:t>181:11</w:t>
            </w:r>
          </w:p>
        </w:tc>
        <w:tc>
          <w:tcPr>
            <w:tcW w:w="745" w:type="dxa"/>
          </w:tcPr>
          <w:p w14:paraId="375EB3B7" w14:textId="77777777" w:rsidR="00906898" w:rsidRPr="00263DB9" w:rsidRDefault="00906898" w:rsidP="00E51817">
            <w:pPr>
              <w:widowControl w:val="0"/>
              <w:ind w:left="-27"/>
              <w:rPr>
                <w:sz w:val="18"/>
                <w:szCs w:val="18"/>
              </w:rPr>
            </w:pPr>
            <w:r w:rsidRPr="00263DB9">
              <w:rPr>
                <w:sz w:val="18"/>
                <w:szCs w:val="18"/>
              </w:rPr>
              <w:t>173:18</w:t>
            </w:r>
          </w:p>
        </w:tc>
        <w:tc>
          <w:tcPr>
            <w:tcW w:w="752" w:type="dxa"/>
          </w:tcPr>
          <w:p w14:paraId="375EB3B8" w14:textId="77777777" w:rsidR="00906898" w:rsidRPr="00263DB9" w:rsidRDefault="00906898" w:rsidP="00E51817">
            <w:pPr>
              <w:widowControl w:val="0"/>
              <w:ind w:left="-27"/>
              <w:rPr>
                <w:sz w:val="18"/>
                <w:szCs w:val="18"/>
              </w:rPr>
            </w:pPr>
            <w:r w:rsidRPr="00263DB9">
              <w:rPr>
                <w:sz w:val="18"/>
                <w:szCs w:val="18"/>
              </w:rPr>
              <w:t>152:22</w:t>
            </w:r>
          </w:p>
        </w:tc>
        <w:tc>
          <w:tcPr>
            <w:tcW w:w="745" w:type="dxa"/>
          </w:tcPr>
          <w:p w14:paraId="375EB3B9" w14:textId="77777777" w:rsidR="00906898" w:rsidRPr="00263DB9" w:rsidRDefault="00906898" w:rsidP="00E51817">
            <w:pPr>
              <w:widowControl w:val="0"/>
              <w:ind w:left="-27"/>
              <w:rPr>
                <w:sz w:val="18"/>
                <w:szCs w:val="18"/>
              </w:rPr>
            </w:pPr>
            <w:r w:rsidRPr="00263DB9">
              <w:rPr>
                <w:sz w:val="18"/>
                <w:szCs w:val="18"/>
              </w:rPr>
              <w:t>133:25</w:t>
            </w:r>
          </w:p>
        </w:tc>
        <w:tc>
          <w:tcPr>
            <w:tcW w:w="745" w:type="dxa"/>
          </w:tcPr>
          <w:p w14:paraId="375EB3BA" w14:textId="77777777" w:rsidR="00906898" w:rsidRPr="00263DB9" w:rsidRDefault="00906898" w:rsidP="00E51817">
            <w:pPr>
              <w:widowControl w:val="0"/>
              <w:ind w:left="-27"/>
              <w:rPr>
                <w:sz w:val="18"/>
                <w:szCs w:val="18"/>
              </w:rPr>
            </w:pPr>
            <w:r w:rsidRPr="00263DB9">
              <w:rPr>
                <w:sz w:val="18"/>
                <w:szCs w:val="18"/>
              </w:rPr>
              <w:t>102:29</w:t>
            </w:r>
          </w:p>
        </w:tc>
        <w:tc>
          <w:tcPr>
            <w:tcW w:w="652" w:type="dxa"/>
          </w:tcPr>
          <w:p w14:paraId="375EB3BB" w14:textId="77777777" w:rsidR="00906898" w:rsidRPr="00263DB9" w:rsidRDefault="00906898" w:rsidP="00E51817">
            <w:pPr>
              <w:widowControl w:val="0"/>
              <w:ind w:left="-27"/>
              <w:rPr>
                <w:sz w:val="18"/>
                <w:szCs w:val="18"/>
              </w:rPr>
            </w:pPr>
            <w:r w:rsidRPr="00263DB9">
              <w:rPr>
                <w:sz w:val="18"/>
                <w:szCs w:val="18"/>
              </w:rPr>
              <w:t>82:35</w:t>
            </w:r>
          </w:p>
        </w:tc>
        <w:tc>
          <w:tcPr>
            <w:tcW w:w="652" w:type="dxa"/>
          </w:tcPr>
          <w:p w14:paraId="375EB3BC" w14:textId="77777777" w:rsidR="00906898" w:rsidRPr="00263DB9" w:rsidRDefault="00906898" w:rsidP="00E51817">
            <w:pPr>
              <w:widowControl w:val="0"/>
              <w:ind w:left="-27"/>
              <w:rPr>
                <w:sz w:val="18"/>
                <w:szCs w:val="18"/>
              </w:rPr>
            </w:pPr>
            <w:r w:rsidRPr="00263DB9">
              <w:rPr>
                <w:sz w:val="18"/>
                <w:szCs w:val="18"/>
              </w:rPr>
              <w:t>54:46</w:t>
            </w:r>
          </w:p>
        </w:tc>
        <w:tc>
          <w:tcPr>
            <w:tcW w:w="649" w:type="dxa"/>
          </w:tcPr>
          <w:p w14:paraId="375EB3BD" w14:textId="77777777" w:rsidR="00906898" w:rsidRPr="00263DB9" w:rsidRDefault="00906898" w:rsidP="00E51817">
            <w:pPr>
              <w:widowControl w:val="0"/>
              <w:ind w:left="-27"/>
              <w:rPr>
                <w:sz w:val="18"/>
                <w:szCs w:val="18"/>
              </w:rPr>
            </w:pPr>
            <w:r w:rsidRPr="00263DB9">
              <w:rPr>
                <w:sz w:val="18"/>
                <w:szCs w:val="18"/>
              </w:rPr>
              <w:t>39:47</w:t>
            </w:r>
          </w:p>
        </w:tc>
        <w:tc>
          <w:tcPr>
            <w:tcW w:w="660" w:type="dxa"/>
          </w:tcPr>
          <w:p w14:paraId="375EB3BE" w14:textId="77777777" w:rsidR="00906898" w:rsidRPr="00263DB9" w:rsidRDefault="00906898" w:rsidP="00E51817">
            <w:pPr>
              <w:widowControl w:val="0"/>
              <w:ind w:left="-27"/>
              <w:rPr>
                <w:sz w:val="18"/>
                <w:szCs w:val="18"/>
              </w:rPr>
            </w:pPr>
            <w:r w:rsidRPr="00263DB9">
              <w:rPr>
                <w:sz w:val="18"/>
                <w:szCs w:val="18"/>
              </w:rPr>
              <w:t>21:49</w:t>
            </w:r>
          </w:p>
        </w:tc>
        <w:tc>
          <w:tcPr>
            <w:tcW w:w="649" w:type="dxa"/>
          </w:tcPr>
          <w:p w14:paraId="375EB3BF" w14:textId="77777777" w:rsidR="00906898" w:rsidRPr="00263DB9" w:rsidRDefault="00906898" w:rsidP="00E51817">
            <w:pPr>
              <w:widowControl w:val="0"/>
              <w:ind w:left="-27"/>
              <w:rPr>
                <w:sz w:val="18"/>
                <w:szCs w:val="18"/>
              </w:rPr>
            </w:pPr>
            <w:r w:rsidRPr="00263DB9">
              <w:rPr>
                <w:sz w:val="18"/>
                <w:szCs w:val="18"/>
              </w:rPr>
              <w:t>8:50</w:t>
            </w:r>
          </w:p>
        </w:tc>
        <w:tc>
          <w:tcPr>
            <w:tcW w:w="564" w:type="dxa"/>
          </w:tcPr>
          <w:p w14:paraId="375EB3C0" w14:textId="77777777" w:rsidR="00906898" w:rsidRPr="00263DB9" w:rsidRDefault="00906898" w:rsidP="00E51817">
            <w:pPr>
              <w:widowControl w:val="0"/>
              <w:ind w:left="-27"/>
              <w:rPr>
                <w:sz w:val="18"/>
                <w:szCs w:val="18"/>
              </w:rPr>
            </w:pPr>
            <w:r w:rsidRPr="00263DB9">
              <w:rPr>
                <w:sz w:val="18"/>
                <w:szCs w:val="18"/>
              </w:rPr>
              <w:t>0:50</w:t>
            </w:r>
          </w:p>
        </w:tc>
        <w:tc>
          <w:tcPr>
            <w:tcW w:w="555" w:type="dxa"/>
          </w:tcPr>
          <w:p w14:paraId="375EB3C1" w14:textId="77777777" w:rsidR="00906898" w:rsidRPr="00263DB9" w:rsidRDefault="00906898" w:rsidP="00E51817">
            <w:pPr>
              <w:widowControl w:val="0"/>
              <w:ind w:left="-27"/>
              <w:rPr>
                <w:sz w:val="18"/>
                <w:szCs w:val="18"/>
              </w:rPr>
            </w:pPr>
          </w:p>
        </w:tc>
      </w:tr>
    </w:tbl>
    <w:p w14:paraId="375EB3C3" w14:textId="77777777" w:rsidR="00906898" w:rsidRPr="00263DB9" w:rsidRDefault="00906898" w:rsidP="00E51817">
      <w:pPr>
        <w:widowControl w:val="0"/>
        <w:suppressAutoHyphens/>
        <w:rPr>
          <w:color w:val="000000"/>
          <w:szCs w:val="22"/>
          <w:u w:val="single"/>
        </w:rPr>
      </w:pPr>
    </w:p>
    <w:p w14:paraId="375EB3C4" w14:textId="77777777" w:rsidR="00906898" w:rsidRPr="00263DB9" w:rsidRDefault="00906898" w:rsidP="003970DC">
      <w:pPr>
        <w:keepNext/>
        <w:keepLines/>
        <w:widowControl w:val="0"/>
        <w:ind w:left="1134" w:hanging="1134"/>
        <w:outlineLvl w:val="6"/>
        <w:rPr>
          <w:rFonts w:eastAsia="MS Mincho"/>
          <w:b/>
          <w:szCs w:val="22"/>
        </w:rPr>
      </w:pPr>
      <w:r w:rsidRPr="00263DB9">
        <w:rPr>
          <w:rFonts w:eastAsia="MS Mincho"/>
          <w:b/>
          <w:szCs w:val="22"/>
        </w:rPr>
        <w:lastRenderedPageBreak/>
        <w:t>Figura 2</w:t>
      </w:r>
      <w:r w:rsidRPr="00263DB9">
        <w:rPr>
          <w:rFonts w:eastAsia="MS Mincho"/>
          <w:b/>
          <w:szCs w:val="22"/>
        </w:rPr>
        <w:tab/>
        <w:t>Estimativa Kaplan-Meier para sobrevivência global (população intenção-para-tratar)</w:t>
      </w:r>
    </w:p>
    <w:p w14:paraId="375EB3C5" w14:textId="77777777" w:rsidR="00906898" w:rsidRPr="00263DB9" w:rsidRDefault="00906898" w:rsidP="00E51817">
      <w:pPr>
        <w:keepNext/>
        <w:widowControl w:val="0"/>
        <w:suppressAutoHyphens/>
        <w:ind w:left="1134" w:hanging="1134"/>
        <w:rPr>
          <w:color w:val="000000"/>
          <w:szCs w:val="22"/>
          <w:u w:val="single"/>
        </w:rPr>
      </w:pPr>
    </w:p>
    <w:p w14:paraId="375EB3C6" w14:textId="77777777" w:rsidR="00906898" w:rsidRPr="00263DB9" w:rsidRDefault="006B5399" w:rsidP="00E51817">
      <w:pPr>
        <w:widowControl w:val="0"/>
        <w:suppressAutoHyphens/>
        <w:rPr>
          <w:color w:val="000000"/>
          <w:szCs w:val="22"/>
          <w:u w:val="single"/>
        </w:rPr>
      </w:pPr>
      <w:r w:rsidRPr="00263DB9">
        <w:rPr>
          <w:noProof/>
          <w:lang w:val="en-GB" w:eastAsia="en-GB"/>
        </w:rPr>
        <mc:AlternateContent>
          <mc:Choice Requires="wps">
            <w:drawing>
              <wp:anchor distT="0" distB="0" distL="114300" distR="114300" simplePos="0" relativeHeight="251655168" behindDoc="0" locked="0" layoutInCell="1" allowOverlap="1" wp14:anchorId="375EC365" wp14:editId="375EC366">
                <wp:simplePos x="0" y="0"/>
                <wp:positionH relativeFrom="column">
                  <wp:posOffset>-202565</wp:posOffset>
                </wp:positionH>
                <wp:positionV relativeFrom="paragraph">
                  <wp:posOffset>90170</wp:posOffset>
                </wp:positionV>
                <wp:extent cx="335915" cy="22326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EC3AF" w14:textId="77777777" w:rsidR="00341C1A" w:rsidRDefault="00341C1A">
                            <w:pPr>
                              <w:rPr>
                                <w:rFonts w:ascii="Arial" w:hAnsi="Arial" w:cs="Arial"/>
                                <w:sz w:val="20"/>
                              </w:rPr>
                            </w:pPr>
                            <w:r>
                              <w:rPr>
                                <w:rFonts w:ascii="Arial" w:hAnsi="Arial" w:cs="Arial"/>
                                <w:sz w:val="20"/>
                              </w:rPr>
                              <w:t>Probabilidade de sobrevivência total</w:t>
                            </w:r>
                          </w:p>
                          <w:p w14:paraId="375EC3B0" w14:textId="77777777" w:rsidR="00341C1A" w:rsidRDefault="00341C1A">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5EC365" id="_x0000_s1029" type="#_x0000_t202" style="position:absolute;margin-left:-15.95pt;margin-top:7.1pt;width:26.45pt;height:1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69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" stroked="f">
                <v:fill opacity="0"/>
                <v:textbox style="layout-flow:vertical;mso-layout-flow-alt:bottom-to-top">
                  <w:txbxContent>
                    <w:p w14:paraId="375EC3AF" w14:textId="77777777" w:rsidR="00341C1A" w:rsidRDefault="00341C1A">
                      <w:pPr>
                        <w:rPr>
                          <w:rFonts w:ascii="Arial" w:hAnsi="Arial" w:cs="Arial"/>
                          <w:sz w:val="20"/>
                        </w:rPr>
                      </w:pPr>
                      <w:r>
                        <w:rPr>
                          <w:rFonts w:ascii="Arial" w:hAnsi="Arial" w:cs="Arial"/>
                          <w:sz w:val="20"/>
                        </w:rPr>
                        <w:t>Probabilidade de sobrevivência total</w:t>
                      </w:r>
                    </w:p>
                    <w:p w14:paraId="375EC3B0" w14:textId="77777777" w:rsidR="00341C1A" w:rsidRDefault="00341C1A">
                      <w:pPr>
                        <w:rPr>
                          <w:rFonts w:ascii="Arial" w:hAnsi="Arial" w:cs="Arial"/>
                          <w:sz w:val="20"/>
                        </w:rPr>
                      </w:pPr>
                    </w:p>
                  </w:txbxContent>
                </v:textbox>
              </v:shape>
            </w:pict>
          </mc:Fallback>
        </mc:AlternateContent>
      </w:r>
      <w:r w:rsidRPr="00263DB9">
        <w:rPr>
          <w:noProof/>
          <w:lang w:val="en-GB" w:eastAsia="en-GB"/>
        </w:rPr>
        <mc:AlternateContent>
          <mc:Choice Requires="wps">
            <w:drawing>
              <wp:anchor distT="0" distB="0" distL="114300" distR="114300" simplePos="0" relativeHeight="251656192" behindDoc="0" locked="0" layoutInCell="1" allowOverlap="1" wp14:anchorId="375EC367" wp14:editId="375EC368">
                <wp:simplePos x="0" y="0"/>
                <wp:positionH relativeFrom="column">
                  <wp:posOffset>340995</wp:posOffset>
                </wp:positionH>
                <wp:positionV relativeFrom="paragraph">
                  <wp:posOffset>947420</wp:posOffset>
                </wp:positionV>
                <wp:extent cx="4585335" cy="14287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EC3B1" w14:textId="77777777" w:rsidR="00341C1A" w:rsidRDefault="00341C1A">
                            <w:pPr>
                              <w:rPr>
                                <w:rFonts w:ascii="Arial" w:hAnsi="Arial" w:cs="Arial"/>
                                <w:sz w:val="20"/>
                              </w:rPr>
                            </w:pPr>
                          </w:p>
                          <w:tbl>
                            <w:tblPr>
                              <w:tblW w:w="0" w:type="auto"/>
                              <w:tblLook w:val="04A0" w:firstRow="1" w:lastRow="0" w:firstColumn="1" w:lastColumn="0" w:noHBand="0" w:noVBand="1"/>
                            </w:tblPr>
                            <w:tblGrid>
                              <w:gridCol w:w="817"/>
                              <w:gridCol w:w="2552"/>
                              <w:gridCol w:w="851"/>
                              <w:gridCol w:w="709"/>
                              <w:gridCol w:w="850"/>
                            </w:tblGrid>
                            <w:tr w:rsidR="00341C1A" w14:paraId="375EC3B5" w14:textId="77777777">
                              <w:tc>
                                <w:tcPr>
                                  <w:tcW w:w="5779" w:type="dxa"/>
                                  <w:gridSpan w:val="5"/>
                                </w:tcPr>
                                <w:p w14:paraId="375EC3B2" w14:textId="77777777" w:rsidR="00341C1A" w:rsidRDefault="00341C1A">
                                  <w:pPr>
                                    <w:rPr>
                                      <w:rFonts w:ascii="Arial" w:hAnsi="Arial" w:cs="Arial"/>
                                      <w:sz w:val="20"/>
                                    </w:rPr>
                                  </w:pPr>
                                  <w:r>
                                    <w:rPr>
                                      <w:rFonts w:ascii="Arial" w:hAnsi="Arial" w:cs="Arial"/>
                                      <w:sz w:val="20"/>
                                    </w:rPr>
                                    <w:t>P = 0,019</w:t>
                                  </w:r>
                                </w:p>
                                <w:p w14:paraId="375EC3B3" w14:textId="77777777" w:rsidR="00341C1A" w:rsidRDefault="00341C1A">
                                  <w:pPr>
                                    <w:rPr>
                                      <w:rFonts w:ascii="Arial" w:hAnsi="Arial" w:cs="Arial"/>
                                      <w:sz w:val="20"/>
                                      <w:lang w:val="es-ES"/>
                                    </w:rPr>
                                  </w:pPr>
                                  <w:r>
                                    <w:rPr>
                                      <w:rFonts w:ascii="Arial" w:hAnsi="Arial" w:cs="Arial"/>
                                      <w:sz w:val="20"/>
                                      <w:lang w:val="es-ES"/>
                                    </w:rPr>
                                    <w:t>Taxa de risco 0,45</w:t>
                                  </w:r>
                                </w:p>
                                <w:p w14:paraId="375EC3B4" w14:textId="77777777" w:rsidR="00341C1A" w:rsidRDefault="00341C1A">
                                  <w:pPr>
                                    <w:rPr>
                                      <w:rFonts w:ascii="Arial" w:hAnsi="Arial" w:cs="Arial"/>
                                      <w:sz w:val="20"/>
                                      <w:lang w:val="es-ES"/>
                                    </w:rPr>
                                  </w:pPr>
                                  <w:r>
                                    <w:rPr>
                                      <w:rFonts w:ascii="Arial" w:hAnsi="Arial" w:cs="Arial"/>
                                      <w:sz w:val="20"/>
                                      <w:lang w:val="es-ES"/>
                                    </w:rPr>
                                    <w:t>(95% IC, 0,22</w:t>
                                  </w:r>
                                  <w:r>
                                    <w:rPr>
                                      <w:rFonts w:ascii="Arial" w:hAnsi="Arial" w:cs="Arial"/>
                                      <w:sz w:val="20"/>
                                      <w:lang w:val="es-ES"/>
                                    </w:rPr>
                                    <w:noBreakHyphen/>
                                    <w:t>0,89)</w:t>
                                  </w:r>
                                </w:p>
                              </w:tc>
                            </w:tr>
                            <w:tr w:rsidR="00341C1A" w14:paraId="375EC3BB" w14:textId="77777777">
                              <w:tc>
                                <w:tcPr>
                                  <w:tcW w:w="817" w:type="dxa"/>
                                </w:tcPr>
                                <w:p w14:paraId="375EC3B6" w14:textId="77777777" w:rsidR="00341C1A" w:rsidRDefault="00341C1A">
                                  <w:pPr>
                                    <w:rPr>
                                      <w:rFonts w:ascii="Arial" w:hAnsi="Arial" w:cs="Arial"/>
                                      <w:sz w:val="20"/>
                                    </w:rPr>
                                  </w:pPr>
                                </w:p>
                              </w:tc>
                              <w:tc>
                                <w:tcPr>
                                  <w:tcW w:w="2552" w:type="dxa"/>
                                </w:tcPr>
                                <w:p w14:paraId="375EC3B7" w14:textId="77777777" w:rsidR="00341C1A" w:rsidRDefault="00341C1A">
                                  <w:pPr>
                                    <w:rPr>
                                      <w:rFonts w:ascii="Arial" w:hAnsi="Arial" w:cs="Arial"/>
                                      <w:sz w:val="20"/>
                                    </w:rPr>
                                  </w:pPr>
                                </w:p>
                              </w:tc>
                              <w:tc>
                                <w:tcPr>
                                  <w:tcW w:w="851" w:type="dxa"/>
                                  <w:tcBorders>
                                    <w:bottom w:val="single" w:sz="4" w:space="0" w:color="auto"/>
                                  </w:tcBorders>
                                </w:tcPr>
                                <w:p w14:paraId="375EC3B8" w14:textId="77777777" w:rsidR="00341C1A" w:rsidRDefault="00341C1A">
                                  <w:pPr>
                                    <w:rPr>
                                      <w:rFonts w:ascii="Arial" w:hAnsi="Arial" w:cs="Arial"/>
                                      <w:sz w:val="20"/>
                                    </w:rPr>
                                  </w:pPr>
                                  <w:r>
                                    <w:rPr>
                                      <w:rFonts w:ascii="Arial" w:hAnsi="Arial" w:cs="Arial"/>
                                      <w:sz w:val="20"/>
                                      <w:lang w:val="de-DE"/>
                                    </w:rPr>
                                    <w:t>N</w:t>
                                  </w:r>
                                </w:p>
                              </w:tc>
                              <w:tc>
                                <w:tcPr>
                                  <w:tcW w:w="709" w:type="dxa"/>
                                  <w:tcBorders>
                                    <w:bottom w:val="single" w:sz="4" w:space="0" w:color="auto"/>
                                  </w:tcBorders>
                                </w:tcPr>
                                <w:p w14:paraId="375EC3B9" w14:textId="77777777" w:rsidR="00341C1A" w:rsidRDefault="00341C1A">
                                  <w:pPr>
                                    <w:rPr>
                                      <w:rFonts w:ascii="Arial" w:hAnsi="Arial" w:cs="Arial"/>
                                      <w:sz w:val="20"/>
                                    </w:rPr>
                                  </w:pPr>
                                  <w:r>
                                    <w:rPr>
                                      <w:rFonts w:ascii="Arial" w:hAnsi="Arial" w:cs="Arial"/>
                                      <w:sz w:val="20"/>
                                      <w:lang w:val="de-DE"/>
                                    </w:rPr>
                                    <w:t>Evt</w:t>
                                  </w:r>
                                </w:p>
                              </w:tc>
                              <w:tc>
                                <w:tcPr>
                                  <w:tcW w:w="850" w:type="dxa"/>
                                  <w:tcBorders>
                                    <w:bottom w:val="single" w:sz="4" w:space="0" w:color="auto"/>
                                  </w:tcBorders>
                                </w:tcPr>
                                <w:p w14:paraId="375EC3BA" w14:textId="77777777" w:rsidR="00341C1A" w:rsidRDefault="00341C1A">
                                  <w:pPr>
                                    <w:rPr>
                                      <w:rFonts w:ascii="Arial" w:hAnsi="Arial" w:cs="Arial"/>
                                      <w:sz w:val="20"/>
                                    </w:rPr>
                                  </w:pPr>
                                  <w:r>
                                    <w:rPr>
                                      <w:rFonts w:ascii="Arial" w:hAnsi="Arial" w:cs="Arial"/>
                                      <w:sz w:val="20"/>
                                      <w:lang w:val="de-DE"/>
                                    </w:rPr>
                                    <w:t>Cen</w:t>
                                  </w:r>
                                </w:p>
                              </w:tc>
                            </w:tr>
                            <w:tr w:rsidR="00341C1A" w14:paraId="375EC3C1" w14:textId="77777777">
                              <w:tc>
                                <w:tcPr>
                                  <w:tcW w:w="817" w:type="dxa"/>
                                </w:tcPr>
                                <w:p w14:paraId="375EC3BC" w14:textId="77777777" w:rsidR="00341C1A" w:rsidRDefault="00341C1A">
                                  <w:pPr>
                                    <w:rPr>
                                      <w:rFonts w:ascii="Arial" w:hAnsi="Arial" w:cs="Arial"/>
                                      <w:sz w:val="20"/>
                                    </w:rPr>
                                  </w:pPr>
                                  <w:r>
                                    <w:rPr>
                                      <w:rFonts w:ascii="Arial" w:hAnsi="Arial" w:cs="Arial"/>
                                      <w:b/>
                                      <w:sz w:val="20"/>
                                    </w:rPr>
                                    <w:t>——</w:t>
                                  </w:r>
                                </w:p>
                              </w:tc>
                              <w:tc>
                                <w:tcPr>
                                  <w:tcW w:w="2552" w:type="dxa"/>
                                </w:tcPr>
                                <w:p w14:paraId="375EC3BD" w14:textId="77777777" w:rsidR="00341C1A" w:rsidRDefault="00341C1A">
                                  <w:pPr>
                                    <w:rPr>
                                      <w:rFonts w:ascii="Arial" w:hAnsi="Arial" w:cs="Arial"/>
                                      <w:sz w:val="20"/>
                                    </w:rPr>
                                  </w:pPr>
                                  <w:r>
                                    <w:rPr>
                                      <w:rFonts w:ascii="Arial" w:hAnsi="Arial" w:cs="Arial"/>
                                      <w:sz w:val="20"/>
                                    </w:rPr>
                                    <w:t>(1) Imatinib 12 meses:</w:t>
                                  </w:r>
                                </w:p>
                              </w:tc>
                              <w:tc>
                                <w:tcPr>
                                  <w:tcW w:w="851" w:type="dxa"/>
                                  <w:tcBorders>
                                    <w:top w:val="single" w:sz="4" w:space="0" w:color="auto"/>
                                  </w:tcBorders>
                                </w:tcPr>
                                <w:p w14:paraId="375EC3BE" w14:textId="77777777" w:rsidR="00341C1A" w:rsidRDefault="00341C1A">
                                  <w:pPr>
                                    <w:rPr>
                                      <w:rFonts w:ascii="Arial" w:hAnsi="Arial" w:cs="Arial"/>
                                      <w:sz w:val="20"/>
                                    </w:rPr>
                                  </w:pPr>
                                  <w:r>
                                    <w:rPr>
                                      <w:rFonts w:ascii="Arial" w:hAnsi="Arial" w:cs="Arial"/>
                                      <w:sz w:val="20"/>
                                    </w:rPr>
                                    <w:t>199</w:t>
                                  </w:r>
                                </w:p>
                              </w:tc>
                              <w:tc>
                                <w:tcPr>
                                  <w:tcW w:w="709" w:type="dxa"/>
                                  <w:tcBorders>
                                    <w:top w:val="single" w:sz="4" w:space="0" w:color="auto"/>
                                  </w:tcBorders>
                                </w:tcPr>
                                <w:p w14:paraId="375EC3BF" w14:textId="77777777" w:rsidR="00341C1A" w:rsidRDefault="00341C1A">
                                  <w:pPr>
                                    <w:rPr>
                                      <w:rFonts w:ascii="Arial" w:hAnsi="Arial" w:cs="Arial"/>
                                      <w:sz w:val="20"/>
                                    </w:rPr>
                                  </w:pPr>
                                  <w:r>
                                    <w:rPr>
                                      <w:rFonts w:ascii="Arial" w:hAnsi="Arial" w:cs="Arial"/>
                                      <w:sz w:val="20"/>
                                    </w:rPr>
                                    <w:t>25</w:t>
                                  </w:r>
                                </w:p>
                              </w:tc>
                              <w:tc>
                                <w:tcPr>
                                  <w:tcW w:w="850" w:type="dxa"/>
                                  <w:tcBorders>
                                    <w:top w:val="single" w:sz="4" w:space="0" w:color="auto"/>
                                  </w:tcBorders>
                                </w:tcPr>
                                <w:p w14:paraId="375EC3C0" w14:textId="77777777" w:rsidR="00341C1A" w:rsidRDefault="00341C1A">
                                  <w:pPr>
                                    <w:rPr>
                                      <w:rFonts w:ascii="Arial" w:hAnsi="Arial" w:cs="Arial"/>
                                      <w:sz w:val="20"/>
                                    </w:rPr>
                                  </w:pPr>
                                  <w:r>
                                    <w:rPr>
                                      <w:rFonts w:ascii="Arial" w:hAnsi="Arial" w:cs="Arial"/>
                                      <w:sz w:val="20"/>
                                    </w:rPr>
                                    <w:t>174</w:t>
                                  </w:r>
                                </w:p>
                              </w:tc>
                            </w:tr>
                            <w:tr w:rsidR="00341C1A" w14:paraId="375EC3C7" w14:textId="77777777">
                              <w:tc>
                                <w:tcPr>
                                  <w:tcW w:w="817" w:type="dxa"/>
                                </w:tcPr>
                                <w:p w14:paraId="375EC3C2" w14:textId="77777777" w:rsidR="00341C1A" w:rsidRDefault="00341C1A">
                                  <w:pPr>
                                    <w:rPr>
                                      <w:rFonts w:ascii="Arial" w:hAnsi="Arial" w:cs="Arial"/>
                                      <w:sz w:val="20"/>
                                    </w:rPr>
                                  </w:pPr>
                                  <w:r>
                                    <w:rPr>
                                      <w:rFonts w:ascii="Arial" w:hAnsi="Arial" w:cs="Arial"/>
                                      <w:sz w:val="20"/>
                                    </w:rPr>
                                    <w:t>-----</w:t>
                                  </w:r>
                                </w:p>
                              </w:tc>
                              <w:tc>
                                <w:tcPr>
                                  <w:tcW w:w="2552" w:type="dxa"/>
                                </w:tcPr>
                                <w:p w14:paraId="375EC3C3" w14:textId="77777777" w:rsidR="00341C1A" w:rsidRDefault="00341C1A">
                                  <w:pPr>
                                    <w:rPr>
                                      <w:rFonts w:ascii="Arial" w:hAnsi="Arial" w:cs="Arial"/>
                                      <w:sz w:val="20"/>
                                    </w:rPr>
                                  </w:pPr>
                                  <w:r>
                                    <w:rPr>
                                      <w:rFonts w:ascii="Arial" w:hAnsi="Arial" w:cs="Arial"/>
                                      <w:sz w:val="20"/>
                                    </w:rPr>
                                    <w:t>(2) Imatinib 36 meses:</w:t>
                                  </w:r>
                                </w:p>
                              </w:tc>
                              <w:tc>
                                <w:tcPr>
                                  <w:tcW w:w="851" w:type="dxa"/>
                                  <w:tcBorders>
                                    <w:bottom w:val="single" w:sz="4" w:space="0" w:color="auto"/>
                                  </w:tcBorders>
                                </w:tcPr>
                                <w:p w14:paraId="375EC3C4" w14:textId="77777777" w:rsidR="00341C1A" w:rsidRDefault="00341C1A">
                                  <w:pPr>
                                    <w:rPr>
                                      <w:rFonts w:ascii="Arial" w:hAnsi="Arial" w:cs="Arial"/>
                                      <w:sz w:val="20"/>
                                    </w:rPr>
                                  </w:pPr>
                                  <w:r>
                                    <w:rPr>
                                      <w:rFonts w:ascii="Arial" w:hAnsi="Arial" w:cs="Arial"/>
                                      <w:sz w:val="20"/>
                                    </w:rPr>
                                    <w:t>198</w:t>
                                  </w:r>
                                </w:p>
                              </w:tc>
                              <w:tc>
                                <w:tcPr>
                                  <w:tcW w:w="709" w:type="dxa"/>
                                  <w:tcBorders>
                                    <w:bottom w:val="single" w:sz="4" w:space="0" w:color="auto"/>
                                  </w:tcBorders>
                                </w:tcPr>
                                <w:p w14:paraId="375EC3C5" w14:textId="77777777" w:rsidR="00341C1A" w:rsidRDefault="00341C1A">
                                  <w:pPr>
                                    <w:rPr>
                                      <w:rFonts w:ascii="Arial" w:hAnsi="Arial" w:cs="Arial"/>
                                      <w:sz w:val="20"/>
                                    </w:rPr>
                                  </w:pPr>
                                  <w:r>
                                    <w:rPr>
                                      <w:rFonts w:ascii="Arial" w:hAnsi="Arial" w:cs="Arial"/>
                                      <w:sz w:val="20"/>
                                    </w:rPr>
                                    <w:t>12</w:t>
                                  </w:r>
                                </w:p>
                              </w:tc>
                              <w:tc>
                                <w:tcPr>
                                  <w:tcW w:w="850" w:type="dxa"/>
                                  <w:tcBorders>
                                    <w:bottom w:val="single" w:sz="4" w:space="0" w:color="auto"/>
                                  </w:tcBorders>
                                </w:tcPr>
                                <w:p w14:paraId="375EC3C6" w14:textId="77777777" w:rsidR="00341C1A" w:rsidRDefault="00341C1A">
                                  <w:pPr>
                                    <w:rPr>
                                      <w:rFonts w:ascii="Arial" w:hAnsi="Arial" w:cs="Arial"/>
                                      <w:sz w:val="20"/>
                                    </w:rPr>
                                  </w:pPr>
                                  <w:r>
                                    <w:rPr>
                                      <w:rFonts w:ascii="Arial" w:hAnsi="Arial" w:cs="Arial"/>
                                      <w:sz w:val="20"/>
                                    </w:rPr>
                                    <w:t>186</w:t>
                                  </w:r>
                                </w:p>
                              </w:tc>
                            </w:tr>
                            <w:tr w:rsidR="00341C1A" w14:paraId="375EC3CD" w14:textId="77777777">
                              <w:tc>
                                <w:tcPr>
                                  <w:tcW w:w="817" w:type="dxa"/>
                                </w:tcPr>
                                <w:p w14:paraId="375EC3C8" w14:textId="77777777" w:rsidR="00341C1A" w:rsidRDefault="00341C1A">
                                  <w:pPr>
                                    <w:rPr>
                                      <w:rFonts w:ascii="Arial" w:hAnsi="Arial" w:cs="Arial"/>
                                      <w:sz w:val="20"/>
                                    </w:rPr>
                                  </w:pPr>
                                  <w:r>
                                    <w:rPr>
                                      <w:rFonts w:ascii="Arial" w:hAnsi="Arial" w:cs="Arial"/>
                                      <w:sz w:val="20"/>
                                    </w:rPr>
                                    <w:t>│││</w:t>
                                  </w:r>
                                </w:p>
                              </w:tc>
                              <w:tc>
                                <w:tcPr>
                                  <w:tcW w:w="2552" w:type="dxa"/>
                                </w:tcPr>
                                <w:p w14:paraId="375EC3C9" w14:textId="77777777" w:rsidR="00341C1A" w:rsidRDefault="00341C1A">
                                  <w:pPr>
                                    <w:rPr>
                                      <w:rFonts w:ascii="Arial" w:hAnsi="Arial" w:cs="Arial"/>
                                      <w:sz w:val="20"/>
                                    </w:rPr>
                                  </w:pPr>
                                  <w:r>
                                    <w:rPr>
                                      <w:rFonts w:ascii="Arial" w:hAnsi="Arial" w:cs="Arial"/>
                                      <w:sz w:val="20"/>
                                    </w:rPr>
                                    <w:t>Observações censuradas</w:t>
                                  </w:r>
                                </w:p>
                              </w:tc>
                              <w:tc>
                                <w:tcPr>
                                  <w:tcW w:w="851" w:type="dxa"/>
                                  <w:tcBorders>
                                    <w:top w:val="single" w:sz="4" w:space="0" w:color="auto"/>
                                  </w:tcBorders>
                                </w:tcPr>
                                <w:p w14:paraId="375EC3CA" w14:textId="77777777" w:rsidR="00341C1A" w:rsidRDefault="00341C1A">
                                  <w:pPr>
                                    <w:rPr>
                                      <w:rFonts w:ascii="Arial" w:hAnsi="Arial" w:cs="Arial"/>
                                      <w:sz w:val="20"/>
                                    </w:rPr>
                                  </w:pPr>
                                </w:p>
                              </w:tc>
                              <w:tc>
                                <w:tcPr>
                                  <w:tcW w:w="709" w:type="dxa"/>
                                  <w:tcBorders>
                                    <w:top w:val="single" w:sz="4" w:space="0" w:color="auto"/>
                                  </w:tcBorders>
                                </w:tcPr>
                                <w:p w14:paraId="375EC3CB" w14:textId="77777777" w:rsidR="00341C1A" w:rsidRDefault="00341C1A">
                                  <w:pPr>
                                    <w:rPr>
                                      <w:rFonts w:ascii="Arial" w:hAnsi="Arial" w:cs="Arial"/>
                                      <w:sz w:val="20"/>
                                    </w:rPr>
                                  </w:pPr>
                                </w:p>
                              </w:tc>
                              <w:tc>
                                <w:tcPr>
                                  <w:tcW w:w="850" w:type="dxa"/>
                                  <w:tcBorders>
                                    <w:top w:val="single" w:sz="4" w:space="0" w:color="auto"/>
                                  </w:tcBorders>
                                </w:tcPr>
                                <w:p w14:paraId="375EC3CC" w14:textId="77777777" w:rsidR="00341C1A" w:rsidRDefault="00341C1A">
                                  <w:pPr>
                                    <w:rPr>
                                      <w:rFonts w:ascii="Arial" w:hAnsi="Arial" w:cs="Arial"/>
                                      <w:sz w:val="20"/>
                                    </w:rPr>
                                  </w:pPr>
                                </w:p>
                              </w:tc>
                            </w:tr>
                          </w:tbl>
                          <w:p w14:paraId="375EC3CE" w14:textId="77777777" w:rsidR="00341C1A" w:rsidRDefault="00341C1A">
                            <w:pPr>
                              <w:rPr>
                                <w:rFonts w:ascii="Arial" w:hAnsi="Arial" w:cs="Arial"/>
                                <w:sz w:val="20"/>
                              </w:rPr>
                            </w:pPr>
                          </w:p>
                          <w:p w14:paraId="375EC3CF" w14:textId="77777777" w:rsidR="00341C1A" w:rsidRDefault="00341C1A">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5EC367" id="_x0000_s1030" type="#_x0000_t202" style="position:absolute;margin-left:26.85pt;margin-top:74.6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" filled="f" stroked="f">
                <v:textbox>
                  <w:txbxContent>
                    <w:p w14:paraId="375EC3B1" w14:textId="77777777" w:rsidR="00341C1A" w:rsidRDefault="00341C1A">
                      <w:pPr>
                        <w:rPr>
                          <w:rFonts w:ascii="Arial" w:hAnsi="Arial" w:cs="Arial"/>
                          <w:sz w:val="20"/>
                        </w:rPr>
                      </w:pPr>
                    </w:p>
                    <w:tbl>
                      <w:tblPr>
                        <w:tblW w:w="0" w:type="auto"/>
                        <w:tblLook w:val="04A0" w:firstRow="1" w:lastRow="0" w:firstColumn="1" w:lastColumn="0" w:noHBand="0" w:noVBand="1"/>
                      </w:tblPr>
                      <w:tblGrid>
                        <w:gridCol w:w="817"/>
                        <w:gridCol w:w="2552"/>
                        <w:gridCol w:w="851"/>
                        <w:gridCol w:w="709"/>
                        <w:gridCol w:w="850"/>
                      </w:tblGrid>
                      <w:tr w:rsidR="00341C1A" w14:paraId="375EC3B5" w14:textId="77777777">
                        <w:tc>
                          <w:tcPr>
                            <w:tcW w:w="5779" w:type="dxa"/>
                            <w:gridSpan w:val="5"/>
                          </w:tcPr>
                          <w:p w14:paraId="375EC3B2" w14:textId="77777777" w:rsidR="00341C1A" w:rsidRDefault="00341C1A">
                            <w:pPr>
                              <w:rPr>
                                <w:rFonts w:ascii="Arial" w:hAnsi="Arial" w:cs="Arial"/>
                                <w:sz w:val="20"/>
                              </w:rPr>
                            </w:pPr>
                            <w:r>
                              <w:rPr>
                                <w:rFonts w:ascii="Arial" w:hAnsi="Arial" w:cs="Arial"/>
                                <w:sz w:val="20"/>
                              </w:rPr>
                              <w:t>P = 0,019</w:t>
                            </w:r>
                          </w:p>
                          <w:p w14:paraId="375EC3B3" w14:textId="77777777" w:rsidR="00341C1A" w:rsidRDefault="00341C1A">
                            <w:pPr>
                              <w:rPr>
                                <w:rFonts w:ascii="Arial" w:hAnsi="Arial" w:cs="Arial"/>
                                <w:sz w:val="20"/>
                                <w:lang w:val="es-ES"/>
                              </w:rPr>
                            </w:pPr>
                            <w:r>
                              <w:rPr>
                                <w:rFonts w:ascii="Arial" w:hAnsi="Arial" w:cs="Arial"/>
                                <w:sz w:val="20"/>
                                <w:lang w:val="es-ES"/>
                              </w:rPr>
                              <w:t>Taxa de risco 0,45</w:t>
                            </w:r>
                          </w:p>
                          <w:p w14:paraId="375EC3B4" w14:textId="77777777" w:rsidR="00341C1A" w:rsidRDefault="00341C1A">
                            <w:pPr>
                              <w:rPr>
                                <w:rFonts w:ascii="Arial" w:hAnsi="Arial" w:cs="Arial"/>
                                <w:sz w:val="20"/>
                                <w:lang w:val="es-ES"/>
                              </w:rPr>
                            </w:pPr>
                            <w:r>
                              <w:rPr>
                                <w:rFonts w:ascii="Arial" w:hAnsi="Arial" w:cs="Arial"/>
                                <w:sz w:val="20"/>
                                <w:lang w:val="es-ES"/>
                              </w:rPr>
                              <w:t>(95% IC, 0,22</w:t>
                            </w:r>
                            <w:r>
                              <w:rPr>
                                <w:rFonts w:ascii="Arial" w:hAnsi="Arial" w:cs="Arial"/>
                                <w:sz w:val="20"/>
                                <w:lang w:val="es-ES"/>
                              </w:rPr>
                              <w:noBreakHyphen/>
                              <w:t>0,89)</w:t>
                            </w:r>
                          </w:p>
                        </w:tc>
                      </w:tr>
                      <w:tr w:rsidR="00341C1A" w14:paraId="375EC3BB" w14:textId="77777777">
                        <w:tc>
                          <w:tcPr>
                            <w:tcW w:w="817" w:type="dxa"/>
                          </w:tcPr>
                          <w:p w14:paraId="375EC3B6" w14:textId="77777777" w:rsidR="00341C1A" w:rsidRDefault="00341C1A">
                            <w:pPr>
                              <w:rPr>
                                <w:rFonts w:ascii="Arial" w:hAnsi="Arial" w:cs="Arial"/>
                                <w:sz w:val="20"/>
                              </w:rPr>
                            </w:pPr>
                          </w:p>
                        </w:tc>
                        <w:tc>
                          <w:tcPr>
                            <w:tcW w:w="2552" w:type="dxa"/>
                          </w:tcPr>
                          <w:p w14:paraId="375EC3B7" w14:textId="77777777" w:rsidR="00341C1A" w:rsidRDefault="00341C1A">
                            <w:pPr>
                              <w:rPr>
                                <w:rFonts w:ascii="Arial" w:hAnsi="Arial" w:cs="Arial"/>
                                <w:sz w:val="20"/>
                              </w:rPr>
                            </w:pPr>
                          </w:p>
                        </w:tc>
                        <w:tc>
                          <w:tcPr>
                            <w:tcW w:w="851" w:type="dxa"/>
                            <w:tcBorders>
                              <w:bottom w:val="single" w:sz="4" w:space="0" w:color="auto"/>
                            </w:tcBorders>
                          </w:tcPr>
                          <w:p w14:paraId="375EC3B8" w14:textId="77777777" w:rsidR="00341C1A" w:rsidRDefault="00341C1A">
                            <w:pPr>
                              <w:rPr>
                                <w:rFonts w:ascii="Arial" w:hAnsi="Arial" w:cs="Arial"/>
                                <w:sz w:val="20"/>
                              </w:rPr>
                            </w:pPr>
                            <w:r>
                              <w:rPr>
                                <w:rFonts w:ascii="Arial" w:hAnsi="Arial" w:cs="Arial"/>
                                <w:sz w:val="20"/>
                                <w:lang w:val="de-DE"/>
                              </w:rPr>
                              <w:t>N</w:t>
                            </w:r>
                          </w:p>
                        </w:tc>
                        <w:tc>
                          <w:tcPr>
                            <w:tcW w:w="709" w:type="dxa"/>
                            <w:tcBorders>
                              <w:bottom w:val="single" w:sz="4" w:space="0" w:color="auto"/>
                            </w:tcBorders>
                          </w:tcPr>
                          <w:p w14:paraId="375EC3B9" w14:textId="77777777" w:rsidR="00341C1A" w:rsidRDefault="00341C1A">
                            <w:pPr>
                              <w:rPr>
                                <w:rFonts w:ascii="Arial" w:hAnsi="Arial" w:cs="Arial"/>
                                <w:sz w:val="20"/>
                              </w:rPr>
                            </w:pPr>
                            <w:r>
                              <w:rPr>
                                <w:rFonts w:ascii="Arial" w:hAnsi="Arial" w:cs="Arial"/>
                                <w:sz w:val="20"/>
                                <w:lang w:val="de-DE"/>
                              </w:rPr>
                              <w:t>Evt</w:t>
                            </w:r>
                          </w:p>
                        </w:tc>
                        <w:tc>
                          <w:tcPr>
                            <w:tcW w:w="850" w:type="dxa"/>
                            <w:tcBorders>
                              <w:bottom w:val="single" w:sz="4" w:space="0" w:color="auto"/>
                            </w:tcBorders>
                          </w:tcPr>
                          <w:p w14:paraId="375EC3BA" w14:textId="77777777" w:rsidR="00341C1A" w:rsidRDefault="00341C1A">
                            <w:pPr>
                              <w:rPr>
                                <w:rFonts w:ascii="Arial" w:hAnsi="Arial" w:cs="Arial"/>
                                <w:sz w:val="20"/>
                              </w:rPr>
                            </w:pPr>
                            <w:r>
                              <w:rPr>
                                <w:rFonts w:ascii="Arial" w:hAnsi="Arial" w:cs="Arial"/>
                                <w:sz w:val="20"/>
                                <w:lang w:val="de-DE"/>
                              </w:rPr>
                              <w:t>Cen</w:t>
                            </w:r>
                          </w:p>
                        </w:tc>
                      </w:tr>
                      <w:tr w:rsidR="00341C1A" w14:paraId="375EC3C1" w14:textId="77777777">
                        <w:tc>
                          <w:tcPr>
                            <w:tcW w:w="817" w:type="dxa"/>
                          </w:tcPr>
                          <w:p w14:paraId="375EC3BC" w14:textId="77777777" w:rsidR="00341C1A" w:rsidRDefault="00341C1A">
                            <w:pPr>
                              <w:rPr>
                                <w:rFonts w:ascii="Arial" w:hAnsi="Arial" w:cs="Arial"/>
                                <w:sz w:val="20"/>
                              </w:rPr>
                            </w:pPr>
                            <w:r>
                              <w:rPr>
                                <w:rFonts w:ascii="Arial" w:hAnsi="Arial" w:cs="Arial"/>
                                <w:b/>
                                <w:sz w:val="20"/>
                              </w:rPr>
                              <w:t>——</w:t>
                            </w:r>
                          </w:p>
                        </w:tc>
                        <w:tc>
                          <w:tcPr>
                            <w:tcW w:w="2552" w:type="dxa"/>
                          </w:tcPr>
                          <w:p w14:paraId="375EC3BD" w14:textId="77777777" w:rsidR="00341C1A" w:rsidRDefault="00341C1A">
                            <w:pPr>
                              <w:rPr>
                                <w:rFonts w:ascii="Arial" w:hAnsi="Arial" w:cs="Arial"/>
                                <w:sz w:val="20"/>
                              </w:rPr>
                            </w:pPr>
                            <w:r>
                              <w:rPr>
                                <w:rFonts w:ascii="Arial" w:hAnsi="Arial" w:cs="Arial"/>
                                <w:sz w:val="20"/>
                              </w:rPr>
                              <w:t>(1) Imatinib 12 meses:</w:t>
                            </w:r>
                          </w:p>
                        </w:tc>
                        <w:tc>
                          <w:tcPr>
                            <w:tcW w:w="851" w:type="dxa"/>
                            <w:tcBorders>
                              <w:top w:val="single" w:sz="4" w:space="0" w:color="auto"/>
                            </w:tcBorders>
                          </w:tcPr>
                          <w:p w14:paraId="375EC3BE" w14:textId="77777777" w:rsidR="00341C1A" w:rsidRDefault="00341C1A">
                            <w:pPr>
                              <w:rPr>
                                <w:rFonts w:ascii="Arial" w:hAnsi="Arial" w:cs="Arial"/>
                                <w:sz w:val="20"/>
                              </w:rPr>
                            </w:pPr>
                            <w:r>
                              <w:rPr>
                                <w:rFonts w:ascii="Arial" w:hAnsi="Arial" w:cs="Arial"/>
                                <w:sz w:val="20"/>
                              </w:rPr>
                              <w:t>199</w:t>
                            </w:r>
                          </w:p>
                        </w:tc>
                        <w:tc>
                          <w:tcPr>
                            <w:tcW w:w="709" w:type="dxa"/>
                            <w:tcBorders>
                              <w:top w:val="single" w:sz="4" w:space="0" w:color="auto"/>
                            </w:tcBorders>
                          </w:tcPr>
                          <w:p w14:paraId="375EC3BF" w14:textId="77777777" w:rsidR="00341C1A" w:rsidRDefault="00341C1A">
                            <w:pPr>
                              <w:rPr>
                                <w:rFonts w:ascii="Arial" w:hAnsi="Arial" w:cs="Arial"/>
                                <w:sz w:val="20"/>
                              </w:rPr>
                            </w:pPr>
                            <w:r>
                              <w:rPr>
                                <w:rFonts w:ascii="Arial" w:hAnsi="Arial" w:cs="Arial"/>
                                <w:sz w:val="20"/>
                              </w:rPr>
                              <w:t>25</w:t>
                            </w:r>
                          </w:p>
                        </w:tc>
                        <w:tc>
                          <w:tcPr>
                            <w:tcW w:w="850" w:type="dxa"/>
                            <w:tcBorders>
                              <w:top w:val="single" w:sz="4" w:space="0" w:color="auto"/>
                            </w:tcBorders>
                          </w:tcPr>
                          <w:p w14:paraId="375EC3C0" w14:textId="77777777" w:rsidR="00341C1A" w:rsidRDefault="00341C1A">
                            <w:pPr>
                              <w:rPr>
                                <w:rFonts w:ascii="Arial" w:hAnsi="Arial" w:cs="Arial"/>
                                <w:sz w:val="20"/>
                              </w:rPr>
                            </w:pPr>
                            <w:r>
                              <w:rPr>
                                <w:rFonts w:ascii="Arial" w:hAnsi="Arial" w:cs="Arial"/>
                                <w:sz w:val="20"/>
                              </w:rPr>
                              <w:t>174</w:t>
                            </w:r>
                          </w:p>
                        </w:tc>
                      </w:tr>
                      <w:tr w:rsidR="00341C1A" w14:paraId="375EC3C7" w14:textId="77777777">
                        <w:tc>
                          <w:tcPr>
                            <w:tcW w:w="817" w:type="dxa"/>
                          </w:tcPr>
                          <w:p w14:paraId="375EC3C2" w14:textId="77777777" w:rsidR="00341C1A" w:rsidRDefault="00341C1A">
                            <w:pPr>
                              <w:rPr>
                                <w:rFonts w:ascii="Arial" w:hAnsi="Arial" w:cs="Arial"/>
                                <w:sz w:val="20"/>
                              </w:rPr>
                            </w:pPr>
                            <w:r>
                              <w:rPr>
                                <w:rFonts w:ascii="Arial" w:hAnsi="Arial" w:cs="Arial"/>
                                <w:sz w:val="20"/>
                              </w:rPr>
                              <w:t>-----</w:t>
                            </w:r>
                          </w:p>
                        </w:tc>
                        <w:tc>
                          <w:tcPr>
                            <w:tcW w:w="2552" w:type="dxa"/>
                          </w:tcPr>
                          <w:p w14:paraId="375EC3C3" w14:textId="77777777" w:rsidR="00341C1A" w:rsidRDefault="00341C1A">
                            <w:pPr>
                              <w:rPr>
                                <w:rFonts w:ascii="Arial" w:hAnsi="Arial" w:cs="Arial"/>
                                <w:sz w:val="20"/>
                              </w:rPr>
                            </w:pPr>
                            <w:r>
                              <w:rPr>
                                <w:rFonts w:ascii="Arial" w:hAnsi="Arial" w:cs="Arial"/>
                                <w:sz w:val="20"/>
                              </w:rPr>
                              <w:t>(2) Imatinib 36 meses:</w:t>
                            </w:r>
                          </w:p>
                        </w:tc>
                        <w:tc>
                          <w:tcPr>
                            <w:tcW w:w="851" w:type="dxa"/>
                            <w:tcBorders>
                              <w:bottom w:val="single" w:sz="4" w:space="0" w:color="auto"/>
                            </w:tcBorders>
                          </w:tcPr>
                          <w:p w14:paraId="375EC3C4" w14:textId="77777777" w:rsidR="00341C1A" w:rsidRDefault="00341C1A">
                            <w:pPr>
                              <w:rPr>
                                <w:rFonts w:ascii="Arial" w:hAnsi="Arial" w:cs="Arial"/>
                                <w:sz w:val="20"/>
                              </w:rPr>
                            </w:pPr>
                            <w:r>
                              <w:rPr>
                                <w:rFonts w:ascii="Arial" w:hAnsi="Arial" w:cs="Arial"/>
                                <w:sz w:val="20"/>
                              </w:rPr>
                              <w:t>198</w:t>
                            </w:r>
                          </w:p>
                        </w:tc>
                        <w:tc>
                          <w:tcPr>
                            <w:tcW w:w="709" w:type="dxa"/>
                            <w:tcBorders>
                              <w:bottom w:val="single" w:sz="4" w:space="0" w:color="auto"/>
                            </w:tcBorders>
                          </w:tcPr>
                          <w:p w14:paraId="375EC3C5" w14:textId="77777777" w:rsidR="00341C1A" w:rsidRDefault="00341C1A">
                            <w:pPr>
                              <w:rPr>
                                <w:rFonts w:ascii="Arial" w:hAnsi="Arial" w:cs="Arial"/>
                                <w:sz w:val="20"/>
                              </w:rPr>
                            </w:pPr>
                            <w:r>
                              <w:rPr>
                                <w:rFonts w:ascii="Arial" w:hAnsi="Arial" w:cs="Arial"/>
                                <w:sz w:val="20"/>
                              </w:rPr>
                              <w:t>12</w:t>
                            </w:r>
                          </w:p>
                        </w:tc>
                        <w:tc>
                          <w:tcPr>
                            <w:tcW w:w="850" w:type="dxa"/>
                            <w:tcBorders>
                              <w:bottom w:val="single" w:sz="4" w:space="0" w:color="auto"/>
                            </w:tcBorders>
                          </w:tcPr>
                          <w:p w14:paraId="375EC3C6" w14:textId="77777777" w:rsidR="00341C1A" w:rsidRDefault="00341C1A">
                            <w:pPr>
                              <w:rPr>
                                <w:rFonts w:ascii="Arial" w:hAnsi="Arial" w:cs="Arial"/>
                                <w:sz w:val="20"/>
                              </w:rPr>
                            </w:pPr>
                            <w:r>
                              <w:rPr>
                                <w:rFonts w:ascii="Arial" w:hAnsi="Arial" w:cs="Arial"/>
                                <w:sz w:val="20"/>
                              </w:rPr>
                              <w:t>186</w:t>
                            </w:r>
                          </w:p>
                        </w:tc>
                      </w:tr>
                      <w:tr w:rsidR="00341C1A" w14:paraId="375EC3CD" w14:textId="77777777">
                        <w:tc>
                          <w:tcPr>
                            <w:tcW w:w="817" w:type="dxa"/>
                          </w:tcPr>
                          <w:p w14:paraId="375EC3C8" w14:textId="77777777" w:rsidR="00341C1A" w:rsidRDefault="00341C1A">
                            <w:pPr>
                              <w:rPr>
                                <w:rFonts w:ascii="Arial" w:hAnsi="Arial" w:cs="Arial"/>
                                <w:sz w:val="20"/>
                              </w:rPr>
                            </w:pPr>
                            <w:r>
                              <w:rPr>
                                <w:rFonts w:ascii="Arial" w:hAnsi="Arial" w:cs="Arial"/>
                                <w:sz w:val="20"/>
                              </w:rPr>
                              <w:t>│││</w:t>
                            </w:r>
                          </w:p>
                        </w:tc>
                        <w:tc>
                          <w:tcPr>
                            <w:tcW w:w="2552" w:type="dxa"/>
                          </w:tcPr>
                          <w:p w14:paraId="375EC3C9" w14:textId="77777777" w:rsidR="00341C1A" w:rsidRDefault="00341C1A">
                            <w:pPr>
                              <w:rPr>
                                <w:rFonts w:ascii="Arial" w:hAnsi="Arial" w:cs="Arial"/>
                                <w:sz w:val="20"/>
                              </w:rPr>
                            </w:pPr>
                            <w:r>
                              <w:rPr>
                                <w:rFonts w:ascii="Arial" w:hAnsi="Arial" w:cs="Arial"/>
                                <w:sz w:val="20"/>
                              </w:rPr>
                              <w:t>Observações censuradas</w:t>
                            </w:r>
                          </w:p>
                        </w:tc>
                        <w:tc>
                          <w:tcPr>
                            <w:tcW w:w="851" w:type="dxa"/>
                            <w:tcBorders>
                              <w:top w:val="single" w:sz="4" w:space="0" w:color="auto"/>
                            </w:tcBorders>
                          </w:tcPr>
                          <w:p w14:paraId="375EC3CA" w14:textId="77777777" w:rsidR="00341C1A" w:rsidRDefault="00341C1A">
                            <w:pPr>
                              <w:rPr>
                                <w:rFonts w:ascii="Arial" w:hAnsi="Arial" w:cs="Arial"/>
                                <w:sz w:val="20"/>
                              </w:rPr>
                            </w:pPr>
                          </w:p>
                        </w:tc>
                        <w:tc>
                          <w:tcPr>
                            <w:tcW w:w="709" w:type="dxa"/>
                            <w:tcBorders>
                              <w:top w:val="single" w:sz="4" w:space="0" w:color="auto"/>
                            </w:tcBorders>
                          </w:tcPr>
                          <w:p w14:paraId="375EC3CB" w14:textId="77777777" w:rsidR="00341C1A" w:rsidRDefault="00341C1A">
                            <w:pPr>
                              <w:rPr>
                                <w:rFonts w:ascii="Arial" w:hAnsi="Arial" w:cs="Arial"/>
                                <w:sz w:val="20"/>
                              </w:rPr>
                            </w:pPr>
                          </w:p>
                        </w:tc>
                        <w:tc>
                          <w:tcPr>
                            <w:tcW w:w="850" w:type="dxa"/>
                            <w:tcBorders>
                              <w:top w:val="single" w:sz="4" w:space="0" w:color="auto"/>
                            </w:tcBorders>
                          </w:tcPr>
                          <w:p w14:paraId="375EC3CC" w14:textId="77777777" w:rsidR="00341C1A" w:rsidRDefault="00341C1A">
                            <w:pPr>
                              <w:rPr>
                                <w:rFonts w:ascii="Arial" w:hAnsi="Arial" w:cs="Arial"/>
                                <w:sz w:val="20"/>
                              </w:rPr>
                            </w:pPr>
                          </w:p>
                        </w:tc>
                      </w:tr>
                    </w:tbl>
                    <w:p w14:paraId="375EC3CE" w14:textId="77777777" w:rsidR="00341C1A" w:rsidRDefault="00341C1A">
                      <w:pPr>
                        <w:rPr>
                          <w:rFonts w:ascii="Arial" w:hAnsi="Arial" w:cs="Arial"/>
                          <w:sz w:val="20"/>
                        </w:rPr>
                      </w:pPr>
                    </w:p>
                    <w:p w14:paraId="375EC3CF" w14:textId="77777777" w:rsidR="00341C1A" w:rsidRDefault="00341C1A">
                      <w:pPr>
                        <w:rPr>
                          <w:rFonts w:ascii="Arial" w:hAnsi="Arial" w:cs="Arial"/>
                          <w:sz w:val="20"/>
                        </w:rPr>
                      </w:pPr>
                    </w:p>
                  </w:txbxContent>
                </v:textbox>
              </v:shape>
            </w:pict>
          </mc:Fallback>
        </mc:AlternateContent>
      </w:r>
      <w:r w:rsidRPr="00263DB9">
        <w:rPr>
          <w:noProof/>
          <w:lang w:val="en-GB" w:eastAsia="en-GB"/>
        </w:rPr>
        <w:drawing>
          <wp:inline distT="0" distB="0" distL="0" distR="0" wp14:anchorId="375EC369" wp14:editId="375EC36A">
            <wp:extent cx="5949315" cy="263461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315" cy="2634615"/>
                    </a:xfrm>
                    <a:prstGeom prst="rect">
                      <a:avLst/>
                    </a:prstGeom>
                    <a:noFill/>
                    <a:ln>
                      <a:noFill/>
                    </a:ln>
                  </pic:spPr>
                </pic:pic>
              </a:graphicData>
            </a:graphic>
          </wp:inline>
        </w:drawing>
      </w:r>
    </w:p>
    <w:p w14:paraId="375EB3C7" w14:textId="77777777" w:rsidR="00906898" w:rsidRPr="00263DB9" w:rsidRDefault="006B5399" w:rsidP="00E51817">
      <w:pPr>
        <w:widowControl w:val="0"/>
        <w:suppressAutoHyphens/>
        <w:rPr>
          <w:color w:val="000000"/>
          <w:szCs w:val="22"/>
          <w:u w:val="single"/>
        </w:rPr>
      </w:pPr>
      <w:r w:rsidRPr="00263DB9">
        <w:rPr>
          <w:noProof/>
          <w:color w:val="000000"/>
          <w:szCs w:val="22"/>
          <w:u w:val="single"/>
          <w:lang w:val="en-GB" w:eastAsia="en-GB"/>
        </w:rPr>
        <mc:AlternateContent>
          <mc:Choice Requires="wps">
            <w:drawing>
              <wp:anchor distT="0" distB="0" distL="114300" distR="114300" simplePos="0" relativeHeight="251657216" behindDoc="0" locked="0" layoutInCell="1" allowOverlap="1" wp14:anchorId="375EC36B" wp14:editId="375EC36C">
                <wp:simplePos x="0" y="0"/>
                <wp:positionH relativeFrom="column">
                  <wp:posOffset>1947545</wp:posOffset>
                </wp:positionH>
                <wp:positionV relativeFrom="paragraph">
                  <wp:posOffset>46990</wp:posOffset>
                </wp:positionV>
                <wp:extent cx="2290445" cy="21971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0445" cy="219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EC3D0" w14:textId="77777777" w:rsidR="00341C1A" w:rsidRDefault="00341C1A">
                            <w:pPr>
                              <w:rPr>
                                <w:rFonts w:ascii="Arial" w:hAnsi="Arial" w:cs="Arial"/>
                                <w:sz w:val="20"/>
                              </w:rPr>
                            </w:pPr>
                            <w:r>
                              <w:rPr>
                                <w:rFonts w:ascii="Arial" w:hAnsi="Arial" w:cs="Arial"/>
                                <w:sz w:val="20"/>
                                <w:lang w:val="es-ES"/>
                              </w:rPr>
                              <w:t>Tempo de sobrevivência em meses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5EC36B" id="_x0000_s1031" type="#_x0000_t202" style="position:absolute;margin-left:153.35pt;margin-top:3.7pt;width:180.35pt;height:1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" stroked="f">
                <v:fill opacity="0"/>
                <v:textbox>
                  <w:txbxContent>
                    <w:p w14:paraId="375EC3D0" w14:textId="77777777" w:rsidR="00341C1A" w:rsidRDefault="00341C1A">
                      <w:pPr>
                        <w:rPr>
                          <w:rFonts w:ascii="Arial" w:hAnsi="Arial" w:cs="Arial"/>
                          <w:sz w:val="20"/>
                        </w:rPr>
                      </w:pPr>
                      <w:r>
                        <w:rPr>
                          <w:rFonts w:ascii="Arial" w:hAnsi="Arial" w:cs="Arial"/>
                          <w:sz w:val="20"/>
                          <w:lang w:val="es-ES"/>
                        </w:rPr>
                        <w:t>Tempo de sobrevivência em meses</w:t>
                      </w:r>
                    </w:p>
                  </w:txbxContent>
                </v:textbox>
              </v:shape>
            </w:pict>
          </mc:Fallback>
        </mc:AlternateContent>
      </w:r>
    </w:p>
    <w:p w14:paraId="375EB3C8" w14:textId="77777777" w:rsidR="00906898" w:rsidRPr="00263DB9" w:rsidRDefault="00906898" w:rsidP="00E51817">
      <w:pPr>
        <w:widowControl w:val="0"/>
        <w:suppressAutoHyphens/>
        <w:rPr>
          <w:color w:val="000000"/>
          <w:szCs w:val="22"/>
          <w:u w:val="single"/>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906898" w:rsidRPr="00263DB9" w14:paraId="375EB3CA" w14:textId="77777777">
        <w:tc>
          <w:tcPr>
            <w:tcW w:w="10632" w:type="dxa"/>
            <w:gridSpan w:val="16"/>
          </w:tcPr>
          <w:p w14:paraId="375EB3C9" w14:textId="77777777" w:rsidR="00906898" w:rsidRPr="00263DB9" w:rsidRDefault="00906898" w:rsidP="00E51817">
            <w:pPr>
              <w:widowControl w:val="0"/>
              <w:ind w:left="-27"/>
              <w:rPr>
                <w:rFonts w:ascii="Arial" w:hAnsi="Arial" w:cs="Arial"/>
                <w:sz w:val="16"/>
                <w:szCs w:val="16"/>
              </w:rPr>
            </w:pPr>
            <w:r w:rsidRPr="00263DB9">
              <w:rPr>
                <w:rFonts w:ascii="Arial" w:hAnsi="Arial" w:cs="Arial"/>
                <w:sz w:val="20"/>
              </w:rPr>
              <w:t>Em-risco : acontecimentos</w:t>
            </w:r>
          </w:p>
        </w:tc>
      </w:tr>
      <w:tr w:rsidR="00906898" w:rsidRPr="00263DB9" w14:paraId="375EB3DB" w14:textId="77777777" w:rsidTr="004C3C6A">
        <w:tc>
          <w:tcPr>
            <w:tcW w:w="450" w:type="dxa"/>
          </w:tcPr>
          <w:p w14:paraId="375EB3CB" w14:textId="77777777" w:rsidR="00906898" w:rsidRPr="00263DB9" w:rsidRDefault="00906898" w:rsidP="00E51817">
            <w:pPr>
              <w:widowControl w:val="0"/>
              <w:rPr>
                <w:sz w:val="20"/>
              </w:rPr>
            </w:pPr>
            <w:r w:rsidRPr="00263DB9">
              <w:rPr>
                <w:sz w:val="20"/>
              </w:rPr>
              <w:t>(1)</w:t>
            </w:r>
          </w:p>
        </w:tc>
        <w:tc>
          <w:tcPr>
            <w:tcW w:w="687" w:type="dxa"/>
          </w:tcPr>
          <w:p w14:paraId="375EB3CC" w14:textId="77777777" w:rsidR="00906898" w:rsidRPr="00263DB9" w:rsidRDefault="00906898" w:rsidP="00E51817">
            <w:pPr>
              <w:widowControl w:val="0"/>
              <w:ind w:left="-45"/>
              <w:rPr>
                <w:sz w:val="20"/>
              </w:rPr>
            </w:pPr>
            <w:r w:rsidRPr="00263DB9">
              <w:rPr>
                <w:sz w:val="20"/>
              </w:rPr>
              <w:t>199:0</w:t>
            </w:r>
          </w:p>
        </w:tc>
        <w:tc>
          <w:tcPr>
            <w:tcW w:w="670" w:type="dxa"/>
          </w:tcPr>
          <w:p w14:paraId="375EB3CD" w14:textId="77777777" w:rsidR="00906898" w:rsidRPr="00263DB9" w:rsidRDefault="00906898" w:rsidP="00E51817">
            <w:pPr>
              <w:widowControl w:val="0"/>
              <w:ind w:left="-45"/>
              <w:rPr>
                <w:sz w:val="20"/>
              </w:rPr>
            </w:pPr>
            <w:r w:rsidRPr="00263DB9">
              <w:rPr>
                <w:sz w:val="20"/>
              </w:rPr>
              <w:t>190:2</w:t>
            </w:r>
          </w:p>
        </w:tc>
        <w:tc>
          <w:tcPr>
            <w:tcW w:w="710" w:type="dxa"/>
          </w:tcPr>
          <w:p w14:paraId="375EB3CE" w14:textId="77777777" w:rsidR="00906898" w:rsidRPr="00263DB9" w:rsidRDefault="00906898" w:rsidP="00E51817">
            <w:pPr>
              <w:widowControl w:val="0"/>
              <w:ind w:left="-45"/>
              <w:rPr>
                <w:sz w:val="20"/>
              </w:rPr>
            </w:pPr>
            <w:r w:rsidRPr="00263DB9">
              <w:rPr>
                <w:sz w:val="20"/>
              </w:rPr>
              <w:t>188:2</w:t>
            </w:r>
          </w:p>
        </w:tc>
        <w:tc>
          <w:tcPr>
            <w:tcW w:w="717" w:type="dxa"/>
          </w:tcPr>
          <w:p w14:paraId="375EB3CF" w14:textId="77777777" w:rsidR="00906898" w:rsidRPr="00263DB9" w:rsidRDefault="00906898" w:rsidP="00E51817">
            <w:pPr>
              <w:widowControl w:val="0"/>
              <w:ind w:left="-45"/>
              <w:rPr>
                <w:sz w:val="20"/>
              </w:rPr>
            </w:pPr>
            <w:r w:rsidRPr="00263DB9">
              <w:rPr>
                <w:sz w:val="20"/>
              </w:rPr>
              <w:t>183:6</w:t>
            </w:r>
          </w:p>
        </w:tc>
        <w:tc>
          <w:tcPr>
            <w:tcW w:w="691" w:type="dxa"/>
          </w:tcPr>
          <w:p w14:paraId="375EB3D0" w14:textId="77777777" w:rsidR="00906898" w:rsidRPr="00263DB9" w:rsidRDefault="00906898" w:rsidP="00E51817">
            <w:pPr>
              <w:widowControl w:val="0"/>
              <w:ind w:left="-45"/>
              <w:rPr>
                <w:sz w:val="20"/>
              </w:rPr>
            </w:pPr>
            <w:r w:rsidRPr="00263DB9">
              <w:rPr>
                <w:sz w:val="20"/>
              </w:rPr>
              <w:t>176:8</w:t>
            </w:r>
          </w:p>
        </w:tc>
        <w:tc>
          <w:tcPr>
            <w:tcW w:w="770" w:type="dxa"/>
          </w:tcPr>
          <w:p w14:paraId="375EB3D1" w14:textId="77777777" w:rsidR="00906898" w:rsidRPr="00263DB9" w:rsidRDefault="00906898" w:rsidP="00E51817">
            <w:pPr>
              <w:widowControl w:val="0"/>
              <w:ind w:left="-45"/>
              <w:rPr>
                <w:sz w:val="20"/>
              </w:rPr>
            </w:pPr>
            <w:r w:rsidRPr="00263DB9">
              <w:rPr>
                <w:sz w:val="20"/>
              </w:rPr>
              <w:t>156:10</w:t>
            </w:r>
          </w:p>
        </w:tc>
        <w:tc>
          <w:tcPr>
            <w:tcW w:w="779" w:type="dxa"/>
          </w:tcPr>
          <w:p w14:paraId="375EB3D2" w14:textId="77777777" w:rsidR="00906898" w:rsidRPr="00263DB9" w:rsidRDefault="00906898" w:rsidP="00E51817">
            <w:pPr>
              <w:widowControl w:val="0"/>
              <w:ind w:left="-45"/>
              <w:rPr>
                <w:sz w:val="20"/>
              </w:rPr>
            </w:pPr>
            <w:r w:rsidRPr="00263DB9">
              <w:rPr>
                <w:sz w:val="20"/>
              </w:rPr>
              <w:t>140:11</w:t>
            </w:r>
          </w:p>
        </w:tc>
        <w:tc>
          <w:tcPr>
            <w:tcW w:w="794" w:type="dxa"/>
          </w:tcPr>
          <w:p w14:paraId="375EB3D3" w14:textId="77777777" w:rsidR="00906898" w:rsidRPr="00263DB9" w:rsidRDefault="00906898" w:rsidP="00E51817">
            <w:pPr>
              <w:widowControl w:val="0"/>
              <w:ind w:left="-45"/>
              <w:rPr>
                <w:sz w:val="20"/>
              </w:rPr>
            </w:pPr>
            <w:r w:rsidRPr="00263DB9">
              <w:rPr>
                <w:sz w:val="20"/>
              </w:rPr>
              <w:t>105:14</w:t>
            </w:r>
          </w:p>
        </w:tc>
        <w:tc>
          <w:tcPr>
            <w:tcW w:w="653" w:type="dxa"/>
          </w:tcPr>
          <w:p w14:paraId="375EB3D4" w14:textId="77777777" w:rsidR="00906898" w:rsidRPr="00263DB9" w:rsidRDefault="00906898" w:rsidP="00E51817">
            <w:pPr>
              <w:widowControl w:val="0"/>
              <w:ind w:left="-45"/>
              <w:rPr>
                <w:sz w:val="20"/>
              </w:rPr>
            </w:pPr>
            <w:r w:rsidRPr="00263DB9">
              <w:rPr>
                <w:sz w:val="20"/>
              </w:rPr>
              <w:t>87:18</w:t>
            </w:r>
          </w:p>
        </w:tc>
        <w:tc>
          <w:tcPr>
            <w:tcW w:w="630" w:type="dxa"/>
          </w:tcPr>
          <w:p w14:paraId="375EB3D5" w14:textId="77777777" w:rsidR="00906898" w:rsidRPr="00263DB9" w:rsidRDefault="00906898" w:rsidP="00E51817">
            <w:pPr>
              <w:widowControl w:val="0"/>
              <w:ind w:left="-45"/>
              <w:rPr>
                <w:sz w:val="20"/>
              </w:rPr>
            </w:pPr>
            <w:r w:rsidRPr="00263DB9">
              <w:rPr>
                <w:sz w:val="20"/>
              </w:rPr>
              <w:t>64:22</w:t>
            </w:r>
          </w:p>
        </w:tc>
        <w:tc>
          <w:tcPr>
            <w:tcW w:w="643" w:type="dxa"/>
          </w:tcPr>
          <w:p w14:paraId="375EB3D6" w14:textId="77777777" w:rsidR="00906898" w:rsidRPr="00263DB9" w:rsidRDefault="00906898" w:rsidP="00E51817">
            <w:pPr>
              <w:widowControl w:val="0"/>
              <w:ind w:left="-45"/>
              <w:rPr>
                <w:sz w:val="20"/>
              </w:rPr>
            </w:pPr>
            <w:r w:rsidRPr="00263DB9">
              <w:rPr>
                <w:sz w:val="20"/>
              </w:rPr>
              <w:t>46:23</w:t>
            </w:r>
          </w:p>
        </w:tc>
        <w:tc>
          <w:tcPr>
            <w:tcW w:w="670" w:type="dxa"/>
          </w:tcPr>
          <w:p w14:paraId="375EB3D7" w14:textId="77777777" w:rsidR="00906898" w:rsidRPr="00263DB9" w:rsidRDefault="00906898" w:rsidP="00E51817">
            <w:pPr>
              <w:widowControl w:val="0"/>
              <w:ind w:left="-45"/>
              <w:rPr>
                <w:sz w:val="20"/>
              </w:rPr>
            </w:pPr>
            <w:r w:rsidRPr="00263DB9">
              <w:rPr>
                <w:sz w:val="20"/>
              </w:rPr>
              <w:t>27:25</w:t>
            </w:r>
          </w:p>
        </w:tc>
        <w:tc>
          <w:tcPr>
            <w:tcW w:w="683" w:type="dxa"/>
          </w:tcPr>
          <w:p w14:paraId="375EB3D8" w14:textId="77777777" w:rsidR="00906898" w:rsidRPr="00263DB9" w:rsidRDefault="00906898" w:rsidP="00E51817">
            <w:pPr>
              <w:widowControl w:val="0"/>
              <w:ind w:left="-45"/>
              <w:rPr>
                <w:sz w:val="20"/>
              </w:rPr>
            </w:pPr>
            <w:r w:rsidRPr="00263DB9">
              <w:rPr>
                <w:sz w:val="20"/>
              </w:rPr>
              <w:t>20:25</w:t>
            </w:r>
          </w:p>
        </w:tc>
        <w:tc>
          <w:tcPr>
            <w:tcW w:w="558" w:type="dxa"/>
          </w:tcPr>
          <w:p w14:paraId="375EB3D9" w14:textId="77777777" w:rsidR="00906898" w:rsidRPr="00263DB9" w:rsidRDefault="00906898" w:rsidP="00E51817">
            <w:pPr>
              <w:widowControl w:val="0"/>
              <w:ind w:left="-45"/>
              <w:rPr>
                <w:sz w:val="20"/>
              </w:rPr>
            </w:pPr>
            <w:r w:rsidRPr="00263DB9">
              <w:rPr>
                <w:sz w:val="20"/>
              </w:rPr>
              <w:t>2:25</w:t>
            </w:r>
          </w:p>
        </w:tc>
        <w:tc>
          <w:tcPr>
            <w:tcW w:w="527" w:type="dxa"/>
          </w:tcPr>
          <w:p w14:paraId="375EB3DA" w14:textId="77777777" w:rsidR="00906898" w:rsidRPr="00263DB9" w:rsidRDefault="00906898" w:rsidP="00E51817">
            <w:pPr>
              <w:widowControl w:val="0"/>
              <w:ind w:left="-45"/>
              <w:rPr>
                <w:sz w:val="20"/>
              </w:rPr>
            </w:pPr>
            <w:r w:rsidRPr="00263DB9">
              <w:rPr>
                <w:sz w:val="20"/>
              </w:rPr>
              <w:t>0:25</w:t>
            </w:r>
          </w:p>
        </w:tc>
      </w:tr>
      <w:tr w:rsidR="00906898" w:rsidRPr="00263DB9" w14:paraId="375EB3EC" w14:textId="77777777" w:rsidTr="004C3C6A">
        <w:tc>
          <w:tcPr>
            <w:tcW w:w="450" w:type="dxa"/>
          </w:tcPr>
          <w:p w14:paraId="375EB3DC" w14:textId="77777777" w:rsidR="00906898" w:rsidRPr="00263DB9" w:rsidRDefault="00906898" w:rsidP="00E51817">
            <w:pPr>
              <w:widowControl w:val="0"/>
              <w:rPr>
                <w:sz w:val="20"/>
              </w:rPr>
            </w:pPr>
            <w:r w:rsidRPr="00263DB9">
              <w:rPr>
                <w:sz w:val="20"/>
              </w:rPr>
              <w:t>(2)</w:t>
            </w:r>
          </w:p>
        </w:tc>
        <w:tc>
          <w:tcPr>
            <w:tcW w:w="687" w:type="dxa"/>
          </w:tcPr>
          <w:p w14:paraId="375EB3DD" w14:textId="77777777" w:rsidR="00906898" w:rsidRPr="00263DB9" w:rsidRDefault="00906898" w:rsidP="00E51817">
            <w:pPr>
              <w:widowControl w:val="0"/>
              <w:ind w:left="-45"/>
              <w:rPr>
                <w:sz w:val="20"/>
              </w:rPr>
            </w:pPr>
            <w:r w:rsidRPr="00263DB9">
              <w:rPr>
                <w:sz w:val="20"/>
              </w:rPr>
              <w:t>198:0</w:t>
            </w:r>
          </w:p>
        </w:tc>
        <w:tc>
          <w:tcPr>
            <w:tcW w:w="670" w:type="dxa"/>
          </w:tcPr>
          <w:p w14:paraId="375EB3DE" w14:textId="77777777" w:rsidR="00906898" w:rsidRPr="00263DB9" w:rsidRDefault="00906898" w:rsidP="00E51817">
            <w:pPr>
              <w:widowControl w:val="0"/>
              <w:ind w:left="-45"/>
              <w:rPr>
                <w:sz w:val="20"/>
              </w:rPr>
            </w:pPr>
            <w:r w:rsidRPr="00263DB9">
              <w:rPr>
                <w:sz w:val="20"/>
              </w:rPr>
              <w:t>196:0</w:t>
            </w:r>
          </w:p>
        </w:tc>
        <w:tc>
          <w:tcPr>
            <w:tcW w:w="710" w:type="dxa"/>
          </w:tcPr>
          <w:p w14:paraId="375EB3DF" w14:textId="77777777" w:rsidR="00906898" w:rsidRPr="00263DB9" w:rsidRDefault="00906898" w:rsidP="00E51817">
            <w:pPr>
              <w:widowControl w:val="0"/>
              <w:ind w:left="-45"/>
              <w:rPr>
                <w:sz w:val="20"/>
              </w:rPr>
            </w:pPr>
            <w:r w:rsidRPr="00263DB9">
              <w:rPr>
                <w:sz w:val="20"/>
              </w:rPr>
              <w:t>192:0</w:t>
            </w:r>
          </w:p>
        </w:tc>
        <w:tc>
          <w:tcPr>
            <w:tcW w:w="717" w:type="dxa"/>
          </w:tcPr>
          <w:p w14:paraId="375EB3E0" w14:textId="77777777" w:rsidR="00906898" w:rsidRPr="00263DB9" w:rsidRDefault="00906898" w:rsidP="00E51817">
            <w:pPr>
              <w:widowControl w:val="0"/>
              <w:ind w:left="-45"/>
              <w:rPr>
                <w:sz w:val="20"/>
              </w:rPr>
            </w:pPr>
            <w:r w:rsidRPr="00263DB9">
              <w:rPr>
                <w:sz w:val="20"/>
              </w:rPr>
              <w:t>187:4</w:t>
            </w:r>
          </w:p>
        </w:tc>
        <w:tc>
          <w:tcPr>
            <w:tcW w:w="691" w:type="dxa"/>
          </w:tcPr>
          <w:p w14:paraId="375EB3E1" w14:textId="77777777" w:rsidR="00906898" w:rsidRPr="00263DB9" w:rsidRDefault="00906898" w:rsidP="00E51817">
            <w:pPr>
              <w:widowControl w:val="0"/>
              <w:ind w:left="-45"/>
              <w:rPr>
                <w:sz w:val="20"/>
              </w:rPr>
            </w:pPr>
            <w:r w:rsidRPr="00263DB9">
              <w:rPr>
                <w:sz w:val="20"/>
              </w:rPr>
              <w:t>184:5</w:t>
            </w:r>
          </w:p>
        </w:tc>
        <w:tc>
          <w:tcPr>
            <w:tcW w:w="770" w:type="dxa"/>
          </w:tcPr>
          <w:p w14:paraId="375EB3E2" w14:textId="77777777" w:rsidR="00906898" w:rsidRPr="00263DB9" w:rsidRDefault="00906898" w:rsidP="00E51817">
            <w:pPr>
              <w:widowControl w:val="0"/>
              <w:ind w:left="-45"/>
              <w:rPr>
                <w:sz w:val="20"/>
              </w:rPr>
            </w:pPr>
            <w:r w:rsidRPr="00263DB9">
              <w:rPr>
                <w:sz w:val="20"/>
              </w:rPr>
              <w:t>164:7</w:t>
            </w:r>
          </w:p>
        </w:tc>
        <w:tc>
          <w:tcPr>
            <w:tcW w:w="779" w:type="dxa"/>
          </w:tcPr>
          <w:p w14:paraId="375EB3E3" w14:textId="77777777" w:rsidR="00906898" w:rsidRPr="00263DB9" w:rsidRDefault="00906898" w:rsidP="00E51817">
            <w:pPr>
              <w:widowControl w:val="0"/>
              <w:ind w:left="-45"/>
              <w:rPr>
                <w:sz w:val="20"/>
              </w:rPr>
            </w:pPr>
            <w:r w:rsidRPr="00263DB9">
              <w:rPr>
                <w:sz w:val="20"/>
              </w:rPr>
              <w:t>152:7</w:t>
            </w:r>
          </w:p>
        </w:tc>
        <w:tc>
          <w:tcPr>
            <w:tcW w:w="794" w:type="dxa"/>
          </w:tcPr>
          <w:p w14:paraId="375EB3E4" w14:textId="77777777" w:rsidR="00906898" w:rsidRPr="00263DB9" w:rsidRDefault="00906898" w:rsidP="00E51817">
            <w:pPr>
              <w:widowControl w:val="0"/>
              <w:ind w:left="-45"/>
              <w:rPr>
                <w:sz w:val="20"/>
              </w:rPr>
            </w:pPr>
            <w:r w:rsidRPr="00263DB9">
              <w:rPr>
                <w:sz w:val="20"/>
              </w:rPr>
              <w:t>119:8</w:t>
            </w:r>
          </w:p>
        </w:tc>
        <w:tc>
          <w:tcPr>
            <w:tcW w:w="653" w:type="dxa"/>
          </w:tcPr>
          <w:p w14:paraId="375EB3E5" w14:textId="77777777" w:rsidR="00906898" w:rsidRPr="00263DB9" w:rsidRDefault="00906898" w:rsidP="00E51817">
            <w:pPr>
              <w:widowControl w:val="0"/>
              <w:ind w:left="-45"/>
              <w:rPr>
                <w:sz w:val="20"/>
              </w:rPr>
            </w:pPr>
            <w:r w:rsidRPr="00263DB9">
              <w:rPr>
                <w:sz w:val="20"/>
              </w:rPr>
              <w:t>100:8</w:t>
            </w:r>
          </w:p>
        </w:tc>
        <w:tc>
          <w:tcPr>
            <w:tcW w:w="630" w:type="dxa"/>
          </w:tcPr>
          <w:p w14:paraId="375EB3E6" w14:textId="77777777" w:rsidR="00906898" w:rsidRPr="00263DB9" w:rsidRDefault="00906898" w:rsidP="00E51817">
            <w:pPr>
              <w:widowControl w:val="0"/>
              <w:ind w:left="-45"/>
              <w:rPr>
                <w:sz w:val="20"/>
              </w:rPr>
            </w:pPr>
            <w:r w:rsidRPr="00263DB9">
              <w:rPr>
                <w:sz w:val="20"/>
              </w:rPr>
              <w:t>76:10</w:t>
            </w:r>
          </w:p>
        </w:tc>
        <w:tc>
          <w:tcPr>
            <w:tcW w:w="643" w:type="dxa"/>
          </w:tcPr>
          <w:p w14:paraId="375EB3E7" w14:textId="77777777" w:rsidR="00906898" w:rsidRPr="00263DB9" w:rsidRDefault="00906898" w:rsidP="00E51817">
            <w:pPr>
              <w:widowControl w:val="0"/>
              <w:ind w:left="-45"/>
              <w:rPr>
                <w:sz w:val="20"/>
              </w:rPr>
            </w:pPr>
            <w:r w:rsidRPr="00263DB9">
              <w:rPr>
                <w:sz w:val="20"/>
              </w:rPr>
              <w:t>56:11</w:t>
            </w:r>
          </w:p>
        </w:tc>
        <w:tc>
          <w:tcPr>
            <w:tcW w:w="670" w:type="dxa"/>
          </w:tcPr>
          <w:p w14:paraId="375EB3E8" w14:textId="77777777" w:rsidR="00906898" w:rsidRPr="00263DB9" w:rsidRDefault="00906898" w:rsidP="00E51817">
            <w:pPr>
              <w:widowControl w:val="0"/>
              <w:ind w:left="-45"/>
              <w:rPr>
                <w:sz w:val="20"/>
              </w:rPr>
            </w:pPr>
            <w:r w:rsidRPr="00263DB9">
              <w:rPr>
                <w:sz w:val="20"/>
              </w:rPr>
              <w:t>31:11</w:t>
            </w:r>
          </w:p>
        </w:tc>
        <w:tc>
          <w:tcPr>
            <w:tcW w:w="683" w:type="dxa"/>
          </w:tcPr>
          <w:p w14:paraId="375EB3E9" w14:textId="77777777" w:rsidR="00906898" w:rsidRPr="00263DB9" w:rsidRDefault="00906898" w:rsidP="00E51817">
            <w:pPr>
              <w:widowControl w:val="0"/>
              <w:ind w:left="-45"/>
              <w:rPr>
                <w:sz w:val="20"/>
              </w:rPr>
            </w:pPr>
            <w:r w:rsidRPr="00263DB9">
              <w:rPr>
                <w:sz w:val="20"/>
              </w:rPr>
              <w:t>13:12</w:t>
            </w:r>
          </w:p>
        </w:tc>
        <w:tc>
          <w:tcPr>
            <w:tcW w:w="558" w:type="dxa"/>
          </w:tcPr>
          <w:p w14:paraId="375EB3EA" w14:textId="77777777" w:rsidR="00906898" w:rsidRPr="00263DB9" w:rsidRDefault="00906898" w:rsidP="00E51817">
            <w:pPr>
              <w:widowControl w:val="0"/>
              <w:ind w:left="-45"/>
              <w:rPr>
                <w:sz w:val="20"/>
              </w:rPr>
            </w:pPr>
            <w:r w:rsidRPr="00263DB9">
              <w:rPr>
                <w:sz w:val="20"/>
              </w:rPr>
              <w:t>0:12</w:t>
            </w:r>
          </w:p>
        </w:tc>
        <w:tc>
          <w:tcPr>
            <w:tcW w:w="527" w:type="dxa"/>
          </w:tcPr>
          <w:p w14:paraId="375EB3EB" w14:textId="77777777" w:rsidR="00906898" w:rsidRPr="00263DB9" w:rsidRDefault="00906898" w:rsidP="00E51817">
            <w:pPr>
              <w:widowControl w:val="0"/>
              <w:ind w:left="-45"/>
              <w:rPr>
                <w:sz w:val="20"/>
              </w:rPr>
            </w:pPr>
          </w:p>
        </w:tc>
      </w:tr>
    </w:tbl>
    <w:p w14:paraId="375EB3ED" w14:textId="77777777" w:rsidR="00906898" w:rsidRPr="00263DB9" w:rsidRDefault="00906898" w:rsidP="00E51817">
      <w:pPr>
        <w:widowControl w:val="0"/>
        <w:suppressAutoHyphens/>
        <w:rPr>
          <w:color w:val="000000"/>
          <w:szCs w:val="22"/>
          <w:u w:val="single"/>
        </w:rPr>
      </w:pPr>
    </w:p>
    <w:p w14:paraId="375EB3EE" w14:textId="77777777" w:rsidR="00D44608" w:rsidRPr="00263DB9" w:rsidRDefault="00D44608" w:rsidP="00E51817">
      <w:pPr>
        <w:pStyle w:val="EndnoteText"/>
        <w:tabs>
          <w:tab w:val="clear" w:pos="567"/>
        </w:tabs>
        <w:rPr>
          <w:color w:val="000000"/>
          <w:szCs w:val="22"/>
        </w:rPr>
      </w:pPr>
      <w:r w:rsidRPr="00263DB9">
        <w:rPr>
          <w:color w:val="000000"/>
          <w:szCs w:val="22"/>
        </w:rPr>
        <w:t xml:space="preserve">Não existem ensaios controlados em doentes pediátricos com </w:t>
      </w:r>
      <w:r w:rsidR="00CA5865" w:rsidRPr="00263DB9">
        <w:rPr>
          <w:color w:val="000000"/>
          <w:szCs w:val="22"/>
        </w:rPr>
        <w:t>GIST c-Kit positivo</w:t>
      </w:r>
      <w:r w:rsidRPr="00263DB9">
        <w:rPr>
          <w:color w:val="000000"/>
          <w:szCs w:val="22"/>
        </w:rPr>
        <w:t xml:space="preserve">. </w:t>
      </w:r>
      <w:r w:rsidR="003C1DDA" w:rsidRPr="00263DB9">
        <w:rPr>
          <w:color w:val="000000"/>
          <w:szCs w:val="22"/>
        </w:rPr>
        <w:t>Dezassete</w:t>
      </w:r>
      <w:r w:rsidR="00A42B1F" w:rsidRPr="00263DB9">
        <w:rPr>
          <w:color w:val="000000"/>
          <w:szCs w:val="22"/>
        </w:rPr>
        <w:t xml:space="preserve"> </w:t>
      </w:r>
      <w:r w:rsidR="005005E3" w:rsidRPr="00263DB9">
        <w:rPr>
          <w:color w:val="000000"/>
          <w:szCs w:val="22"/>
        </w:rPr>
        <w:t xml:space="preserve">(17 ) </w:t>
      </w:r>
      <w:r w:rsidRPr="00263DB9">
        <w:rPr>
          <w:color w:val="000000"/>
          <w:szCs w:val="22"/>
        </w:rPr>
        <w:t xml:space="preserve">doentes com </w:t>
      </w:r>
      <w:r w:rsidR="00CA5865" w:rsidRPr="00263DB9">
        <w:rPr>
          <w:color w:val="000000"/>
          <w:szCs w:val="22"/>
        </w:rPr>
        <w:t>GIST (</w:t>
      </w:r>
      <w:r w:rsidRPr="00263DB9">
        <w:rPr>
          <w:color w:val="000000"/>
          <w:szCs w:val="22"/>
        </w:rPr>
        <w:t xml:space="preserve">com </w:t>
      </w:r>
      <w:r w:rsidR="00CA5865" w:rsidRPr="00263DB9">
        <w:rPr>
          <w:color w:val="000000"/>
          <w:szCs w:val="22"/>
        </w:rPr>
        <w:t>ou sem kit e mutações d</w:t>
      </w:r>
      <w:r w:rsidRPr="00263DB9">
        <w:rPr>
          <w:color w:val="000000"/>
          <w:szCs w:val="22"/>
        </w:rPr>
        <w:t>o</w:t>
      </w:r>
      <w:r w:rsidR="00CA5865" w:rsidRPr="00263DB9">
        <w:rPr>
          <w:color w:val="000000"/>
          <w:szCs w:val="22"/>
        </w:rPr>
        <w:t xml:space="preserve"> PDGFR) </w:t>
      </w:r>
      <w:r w:rsidRPr="00263DB9">
        <w:rPr>
          <w:color w:val="000000"/>
          <w:szCs w:val="22"/>
        </w:rPr>
        <w:t xml:space="preserve">foram </w:t>
      </w:r>
      <w:r w:rsidR="003C1DDA" w:rsidRPr="00263DB9">
        <w:rPr>
          <w:color w:val="000000"/>
          <w:szCs w:val="22"/>
        </w:rPr>
        <w:t>descritos</w:t>
      </w:r>
      <w:r w:rsidRPr="00263DB9">
        <w:rPr>
          <w:color w:val="000000"/>
          <w:szCs w:val="22"/>
        </w:rPr>
        <w:t xml:space="preserve"> em </w:t>
      </w:r>
      <w:r w:rsidR="00CA5865" w:rsidRPr="00263DB9">
        <w:rPr>
          <w:color w:val="000000"/>
          <w:szCs w:val="22"/>
        </w:rPr>
        <w:t>7</w:t>
      </w:r>
      <w:r w:rsidR="003C1DDA" w:rsidRPr="00263DB9">
        <w:rPr>
          <w:color w:val="000000"/>
          <w:szCs w:val="22"/>
        </w:rPr>
        <w:t> publicações. Este</w:t>
      </w:r>
      <w:r w:rsidRPr="00263DB9">
        <w:rPr>
          <w:color w:val="000000"/>
          <w:szCs w:val="22"/>
        </w:rPr>
        <w:t xml:space="preserve">s doentes </w:t>
      </w:r>
      <w:r w:rsidR="003C1DDA" w:rsidRPr="00263DB9">
        <w:rPr>
          <w:color w:val="000000"/>
          <w:szCs w:val="22"/>
        </w:rPr>
        <w:t>apresentavam</w:t>
      </w:r>
      <w:r w:rsidRPr="00263DB9">
        <w:rPr>
          <w:color w:val="000000"/>
          <w:szCs w:val="22"/>
        </w:rPr>
        <w:t xml:space="preserve"> idades </w:t>
      </w:r>
      <w:r w:rsidR="003C1DDA" w:rsidRPr="00263DB9">
        <w:rPr>
          <w:color w:val="000000"/>
          <w:szCs w:val="22"/>
        </w:rPr>
        <w:t xml:space="preserve">entre os </w:t>
      </w:r>
      <w:r w:rsidR="00CA5865" w:rsidRPr="00263DB9">
        <w:rPr>
          <w:color w:val="000000"/>
          <w:szCs w:val="22"/>
        </w:rPr>
        <w:t>8</w:t>
      </w:r>
      <w:r w:rsidR="003C1DDA" w:rsidRPr="00263DB9">
        <w:rPr>
          <w:color w:val="000000"/>
          <w:szCs w:val="22"/>
        </w:rPr>
        <w:t xml:space="preserve"> e os</w:t>
      </w:r>
      <w:r w:rsidRPr="00263DB9">
        <w:rPr>
          <w:color w:val="000000"/>
          <w:szCs w:val="22"/>
        </w:rPr>
        <w:t xml:space="preserve"> </w:t>
      </w:r>
      <w:r w:rsidR="00CA5865" w:rsidRPr="00263DB9">
        <w:rPr>
          <w:color w:val="000000"/>
          <w:szCs w:val="22"/>
        </w:rPr>
        <w:t>18</w:t>
      </w:r>
      <w:r w:rsidRPr="00263DB9">
        <w:rPr>
          <w:color w:val="000000"/>
          <w:szCs w:val="22"/>
        </w:rPr>
        <w:t xml:space="preserve"> anos e o imatinib foi administrado </w:t>
      </w:r>
      <w:r w:rsidR="003C1DDA" w:rsidRPr="00263DB9">
        <w:rPr>
          <w:color w:val="000000"/>
          <w:szCs w:val="22"/>
        </w:rPr>
        <w:t>no</w:t>
      </w:r>
      <w:r w:rsidR="00CA5865" w:rsidRPr="00263DB9">
        <w:rPr>
          <w:color w:val="000000"/>
          <w:szCs w:val="22"/>
        </w:rPr>
        <w:t xml:space="preserve"> contexto adjuvante </w:t>
      </w:r>
      <w:r w:rsidR="003C1DDA" w:rsidRPr="00263DB9">
        <w:rPr>
          <w:color w:val="000000"/>
          <w:szCs w:val="22"/>
        </w:rPr>
        <w:t>e no contexto</w:t>
      </w:r>
      <w:r w:rsidR="00CA5865" w:rsidRPr="00263DB9">
        <w:rPr>
          <w:color w:val="000000"/>
          <w:szCs w:val="22"/>
        </w:rPr>
        <w:t xml:space="preserve"> metastático </w:t>
      </w:r>
      <w:r w:rsidRPr="00263DB9">
        <w:rPr>
          <w:color w:val="000000"/>
          <w:szCs w:val="22"/>
        </w:rPr>
        <w:t xml:space="preserve">em doses de </w:t>
      </w:r>
      <w:r w:rsidR="00CA5865" w:rsidRPr="00263DB9">
        <w:rPr>
          <w:color w:val="000000"/>
          <w:szCs w:val="22"/>
        </w:rPr>
        <w:t>3</w:t>
      </w:r>
      <w:r w:rsidRPr="00263DB9">
        <w:rPr>
          <w:color w:val="000000"/>
          <w:szCs w:val="22"/>
        </w:rPr>
        <w:t xml:space="preserve">00 a </w:t>
      </w:r>
      <w:r w:rsidR="00CA5865" w:rsidRPr="00263DB9">
        <w:rPr>
          <w:color w:val="000000"/>
          <w:szCs w:val="22"/>
        </w:rPr>
        <w:t>8</w:t>
      </w:r>
      <w:r w:rsidRPr="00263DB9">
        <w:rPr>
          <w:color w:val="000000"/>
          <w:szCs w:val="22"/>
        </w:rPr>
        <w:t xml:space="preserve">00 mg </w:t>
      </w:r>
      <w:r w:rsidRPr="00263DB9">
        <w:rPr>
          <w:color w:val="000000"/>
          <w:szCs w:val="22"/>
          <w:vertAlign w:val="superscript"/>
        </w:rPr>
        <w:t xml:space="preserve"> </w:t>
      </w:r>
      <w:r w:rsidRPr="00263DB9">
        <w:rPr>
          <w:color w:val="000000"/>
          <w:szCs w:val="22"/>
        </w:rPr>
        <w:t>por dia</w:t>
      </w:r>
      <w:r w:rsidR="00CA5865" w:rsidRPr="00263DB9">
        <w:rPr>
          <w:color w:val="000000"/>
          <w:szCs w:val="22"/>
        </w:rPr>
        <w:t>.</w:t>
      </w:r>
      <w:r w:rsidRPr="00263DB9">
        <w:rPr>
          <w:color w:val="000000"/>
          <w:szCs w:val="22"/>
        </w:rPr>
        <w:t xml:space="preserve"> </w:t>
      </w:r>
      <w:r w:rsidR="00CA5865" w:rsidRPr="00263DB9">
        <w:rPr>
          <w:color w:val="000000"/>
          <w:szCs w:val="22"/>
        </w:rPr>
        <w:t>A maioria dos</w:t>
      </w:r>
      <w:r w:rsidRPr="00263DB9">
        <w:rPr>
          <w:color w:val="000000"/>
          <w:szCs w:val="22"/>
        </w:rPr>
        <w:t xml:space="preserve"> doentes </w:t>
      </w:r>
      <w:r w:rsidR="00CA5865" w:rsidRPr="00263DB9">
        <w:rPr>
          <w:color w:val="000000"/>
          <w:szCs w:val="22"/>
        </w:rPr>
        <w:t xml:space="preserve">pediátricos </w:t>
      </w:r>
      <w:r w:rsidR="003C1DDA" w:rsidRPr="00263DB9">
        <w:rPr>
          <w:color w:val="000000"/>
          <w:szCs w:val="22"/>
        </w:rPr>
        <w:t>com</w:t>
      </w:r>
      <w:r w:rsidR="00CA5865" w:rsidRPr="00263DB9">
        <w:rPr>
          <w:color w:val="000000"/>
          <w:szCs w:val="22"/>
        </w:rPr>
        <w:t xml:space="preserve"> GIST </w:t>
      </w:r>
      <w:r w:rsidR="003C1DDA" w:rsidRPr="00263DB9">
        <w:rPr>
          <w:color w:val="000000"/>
          <w:szCs w:val="22"/>
        </w:rPr>
        <w:t xml:space="preserve">submetidos a tratamento para a sua doença </w:t>
      </w:r>
      <w:r w:rsidR="00CA5865" w:rsidRPr="00263DB9">
        <w:rPr>
          <w:color w:val="000000"/>
          <w:szCs w:val="22"/>
        </w:rPr>
        <w:t xml:space="preserve">não </w:t>
      </w:r>
      <w:r w:rsidR="003C1DDA" w:rsidRPr="00263DB9">
        <w:rPr>
          <w:color w:val="000000"/>
          <w:szCs w:val="22"/>
        </w:rPr>
        <w:t>dispunham de</w:t>
      </w:r>
      <w:r w:rsidR="00CA5865" w:rsidRPr="00263DB9">
        <w:rPr>
          <w:color w:val="000000"/>
          <w:szCs w:val="22"/>
        </w:rPr>
        <w:t xml:space="preserve"> dados </w:t>
      </w:r>
      <w:r w:rsidR="003C1DDA" w:rsidRPr="00263DB9">
        <w:rPr>
          <w:color w:val="000000"/>
          <w:szCs w:val="22"/>
        </w:rPr>
        <w:t xml:space="preserve">a confirmar a presença de </w:t>
      </w:r>
      <w:r w:rsidR="00CA5865" w:rsidRPr="00263DB9">
        <w:rPr>
          <w:color w:val="000000"/>
          <w:szCs w:val="22"/>
        </w:rPr>
        <w:t>mutações do PDGFR</w:t>
      </w:r>
      <w:r w:rsidR="003C1DDA" w:rsidRPr="00263DB9">
        <w:rPr>
          <w:color w:val="000000"/>
          <w:szCs w:val="22"/>
        </w:rPr>
        <w:t xml:space="preserve"> e do c-kit, </w:t>
      </w:r>
      <w:r w:rsidR="00CA5865" w:rsidRPr="00263DB9">
        <w:rPr>
          <w:color w:val="000000"/>
          <w:szCs w:val="22"/>
        </w:rPr>
        <w:t>o que pode ter conduzido a resultados clínicos</w:t>
      </w:r>
      <w:r w:rsidR="003C1DDA" w:rsidRPr="00263DB9">
        <w:rPr>
          <w:color w:val="000000"/>
          <w:szCs w:val="22"/>
        </w:rPr>
        <w:t xml:space="preserve"> heterogéneos</w:t>
      </w:r>
      <w:r w:rsidR="000B06F0" w:rsidRPr="00263DB9">
        <w:rPr>
          <w:color w:val="000000"/>
          <w:szCs w:val="22"/>
        </w:rPr>
        <w:t>.</w:t>
      </w:r>
    </w:p>
    <w:p w14:paraId="375EB3EF" w14:textId="77777777" w:rsidR="00D44608" w:rsidRPr="00263DB9" w:rsidRDefault="00D44608" w:rsidP="00E51817">
      <w:pPr>
        <w:widowControl w:val="0"/>
        <w:suppressAutoHyphens/>
        <w:rPr>
          <w:color w:val="000000"/>
          <w:szCs w:val="22"/>
          <w:u w:val="single"/>
        </w:rPr>
      </w:pPr>
    </w:p>
    <w:p w14:paraId="375EB3F0" w14:textId="77777777" w:rsidR="00906898" w:rsidRPr="00263DB9" w:rsidRDefault="00906898" w:rsidP="003970DC">
      <w:pPr>
        <w:keepNext/>
        <w:widowControl w:val="0"/>
        <w:suppressAutoHyphens/>
        <w:rPr>
          <w:color w:val="000000"/>
          <w:szCs w:val="22"/>
          <w:u w:val="single"/>
        </w:rPr>
      </w:pPr>
      <w:r w:rsidRPr="00263DB9">
        <w:rPr>
          <w:color w:val="000000"/>
          <w:szCs w:val="22"/>
          <w:u w:val="single"/>
        </w:rPr>
        <w:t>Ensaios clínicos em DFSP</w:t>
      </w:r>
    </w:p>
    <w:p w14:paraId="375EB3F1" w14:textId="77777777" w:rsidR="00906898" w:rsidRPr="00263DB9" w:rsidRDefault="00906898" w:rsidP="00E51817">
      <w:pPr>
        <w:widowControl w:val="0"/>
        <w:suppressAutoHyphens/>
        <w:rPr>
          <w:color w:val="000000"/>
          <w:szCs w:val="22"/>
        </w:rPr>
      </w:pPr>
      <w:r w:rsidRPr="00263DB9">
        <w:rPr>
          <w:color w:val="000000"/>
          <w:szCs w:val="22"/>
        </w:rPr>
        <w:t xml:space="preserve">Foi realizado um ensaio clínico de fase II, multicêntrico, em fase aberta (estudo B2225) que incluiu 12 doentes com DFSP tratados com Glivec 800 mg por dia. A idade dos doentes com DFSP variou entre 23 a 75 anos, o DFSP era metastático, recorrente localmente após a primeira cirurgia de ressecção e considerado não suscetível a outras cirurgias de ressecção no momento de entrada para o ensaio. Dos 12 doentes incluídos, 9 responderam, um completamente e 8 parcialmente. Três dos respondedores parciais foram subsequentemente considerados livres de doença pela cirurgia. A mediana da duração do tratamento no estudo B2225 foi 6,2 meses, com uma duração máxima de 24,3 meses. Outros 6 doentes com DFSP, com idades entre 18 meses e 49 anos, tratados com Glivec foram comunicados em 5 casos relato publicados. Os doentes adultos reportados na literatura publicada foram tratados com 400 mg (4 casos) ou 800 mg (1 caso) de Glivec por dia. </w:t>
      </w:r>
      <w:r w:rsidR="00E56751" w:rsidRPr="00263DB9">
        <w:rPr>
          <w:color w:val="000000"/>
          <w:szCs w:val="22"/>
        </w:rPr>
        <w:t>Cinco (</w:t>
      </w:r>
      <w:r w:rsidRPr="00263DB9">
        <w:rPr>
          <w:color w:val="000000"/>
          <w:szCs w:val="22"/>
        </w:rPr>
        <w:t>5</w:t>
      </w:r>
      <w:r w:rsidR="00E56751" w:rsidRPr="00263DB9">
        <w:rPr>
          <w:color w:val="000000"/>
          <w:szCs w:val="22"/>
        </w:rPr>
        <w:t>)</w:t>
      </w:r>
      <w:r w:rsidRPr="00263DB9">
        <w:rPr>
          <w:color w:val="000000"/>
          <w:szCs w:val="22"/>
        </w:rPr>
        <w:t> dos doentes responderam, 3 completamente e 2 parcialmente. A mediana da duração do tratamento na literatura publicada variou entre 4 semanas e mais que 20 meses. A translocação t(17:22) [q22:q13)], ou o produto do gene, esteve presente em quase todos os respondedores ao tratamento com Glivec.</w:t>
      </w:r>
    </w:p>
    <w:p w14:paraId="375EB3F2" w14:textId="77777777" w:rsidR="00906898" w:rsidRPr="00263DB9" w:rsidRDefault="00906898" w:rsidP="00E51817">
      <w:pPr>
        <w:widowControl w:val="0"/>
        <w:suppressAutoHyphens/>
        <w:rPr>
          <w:color w:val="000000"/>
          <w:szCs w:val="22"/>
        </w:rPr>
      </w:pPr>
    </w:p>
    <w:p w14:paraId="375EB3F3" w14:textId="77777777" w:rsidR="009B2A5A" w:rsidRPr="00263DB9" w:rsidRDefault="009B2A5A" w:rsidP="00E51817">
      <w:pPr>
        <w:pStyle w:val="EndnoteText"/>
        <w:tabs>
          <w:tab w:val="clear" w:pos="567"/>
        </w:tabs>
        <w:rPr>
          <w:color w:val="000000"/>
          <w:szCs w:val="22"/>
        </w:rPr>
      </w:pPr>
      <w:r w:rsidRPr="00263DB9">
        <w:rPr>
          <w:color w:val="000000"/>
          <w:szCs w:val="22"/>
        </w:rPr>
        <w:t>Não existem ensaios controlados em doentes pediátricos com DFSP</w:t>
      </w:r>
      <w:r w:rsidR="003C1DDA" w:rsidRPr="00263DB9">
        <w:rPr>
          <w:color w:val="000000"/>
          <w:szCs w:val="22"/>
        </w:rPr>
        <w:t>. Cinco</w:t>
      </w:r>
      <w:r w:rsidR="00A42B1F" w:rsidRPr="00263DB9">
        <w:rPr>
          <w:color w:val="000000"/>
          <w:szCs w:val="22"/>
        </w:rPr>
        <w:t xml:space="preserve"> </w:t>
      </w:r>
      <w:r w:rsidR="005005E3" w:rsidRPr="00263DB9">
        <w:rPr>
          <w:color w:val="000000"/>
          <w:szCs w:val="22"/>
        </w:rPr>
        <w:t>(5) </w:t>
      </w:r>
      <w:r w:rsidRPr="00263DB9">
        <w:rPr>
          <w:color w:val="000000"/>
          <w:szCs w:val="22"/>
        </w:rPr>
        <w:t>doentes com DFSP e com re-arranjo</w:t>
      </w:r>
      <w:r w:rsidR="003C1DDA" w:rsidRPr="00263DB9">
        <w:rPr>
          <w:color w:val="000000"/>
          <w:szCs w:val="22"/>
        </w:rPr>
        <w:t>s</w:t>
      </w:r>
      <w:r w:rsidRPr="00263DB9">
        <w:rPr>
          <w:color w:val="000000"/>
          <w:szCs w:val="22"/>
        </w:rPr>
        <w:t xml:space="preserve"> do gene PDGFR foram </w:t>
      </w:r>
      <w:r w:rsidR="003C1DDA" w:rsidRPr="00263DB9">
        <w:rPr>
          <w:color w:val="000000"/>
          <w:szCs w:val="22"/>
        </w:rPr>
        <w:t>descritos em 3 publicações. Estes</w:t>
      </w:r>
      <w:r w:rsidRPr="00263DB9">
        <w:rPr>
          <w:color w:val="000000"/>
          <w:szCs w:val="22"/>
        </w:rPr>
        <w:t xml:space="preserve"> doentes </w:t>
      </w:r>
      <w:r w:rsidR="003C1DDA" w:rsidRPr="00263DB9">
        <w:rPr>
          <w:color w:val="000000"/>
          <w:szCs w:val="22"/>
        </w:rPr>
        <w:t>apresentavam</w:t>
      </w:r>
      <w:r w:rsidRPr="00263DB9">
        <w:rPr>
          <w:color w:val="000000"/>
          <w:szCs w:val="22"/>
        </w:rPr>
        <w:t xml:space="preserve"> idades </w:t>
      </w:r>
      <w:r w:rsidR="003C1DDA" w:rsidRPr="00263DB9">
        <w:rPr>
          <w:color w:val="000000"/>
          <w:szCs w:val="22"/>
        </w:rPr>
        <w:t xml:space="preserve">entre os </w:t>
      </w:r>
      <w:r w:rsidRPr="00263DB9">
        <w:rPr>
          <w:color w:val="000000"/>
          <w:szCs w:val="22"/>
        </w:rPr>
        <w:t>recém nascido</w:t>
      </w:r>
      <w:r w:rsidR="003C1DDA" w:rsidRPr="00263DB9">
        <w:rPr>
          <w:color w:val="000000"/>
          <w:szCs w:val="22"/>
        </w:rPr>
        <w:t>s e os</w:t>
      </w:r>
      <w:r w:rsidRPr="00263DB9">
        <w:rPr>
          <w:color w:val="000000"/>
          <w:szCs w:val="22"/>
        </w:rPr>
        <w:t xml:space="preserve"> 14 anos e o imatinib foi administrado em doses </w:t>
      </w:r>
      <w:r w:rsidR="005005E3" w:rsidRPr="00263DB9">
        <w:rPr>
          <w:color w:val="000000"/>
          <w:szCs w:val="22"/>
        </w:rPr>
        <w:t xml:space="preserve">de 50 mg por dia ou </w:t>
      </w:r>
      <w:r w:rsidRPr="00263DB9">
        <w:rPr>
          <w:color w:val="000000"/>
          <w:szCs w:val="22"/>
        </w:rPr>
        <w:t>de 400 a 520 mg/m</w:t>
      </w:r>
      <w:r w:rsidRPr="00263DB9">
        <w:rPr>
          <w:color w:val="000000"/>
          <w:szCs w:val="22"/>
          <w:vertAlign w:val="superscript"/>
        </w:rPr>
        <w:t>2</w:t>
      </w:r>
      <w:r w:rsidRPr="00263DB9">
        <w:rPr>
          <w:color w:val="000000"/>
          <w:szCs w:val="22"/>
        </w:rPr>
        <w:t xml:space="preserve"> </w:t>
      </w:r>
      <w:r w:rsidRPr="00263DB9">
        <w:rPr>
          <w:color w:val="000000"/>
          <w:szCs w:val="22"/>
          <w:vertAlign w:val="superscript"/>
        </w:rPr>
        <w:t xml:space="preserve"> </w:t>
      </w:r>
      <w:r w:rsidRPr="00263DB9">
        <w:rPr>
          <w:color w:val="000000"/>
          <w:szCs w:val="22"/>
        </w:rPr>
        <w:t>por dia. Todos os doentes atingiram resposta parcial e/ou completa.</w:t>
      </w:r>
    </w:p>
    <w:p w14:paraId="375EB3F4" w14:textId="77777777" w:rsidR="009B2A5A" w:rsidRPr="00263DB9" w:rsidRDefault="009B2A5A" w:rsidP="00E51817">
      <w:pPr>
        <w:widowControl w:val="0"/>
        <w:suppressAutoHyphens/>
        <w:rPr>
          <w:color w:val="000000"/>
          <w:szCs w:val="22"/>
        </w:rPr>
      </w:pPr>
    </w:p>
    <w:p w14:paraId="375EB3F5"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5.2</w:t>
      </w:r>
      <w:r w:rsidRPr="00263DB9">
        <w:rPr>
          <w:b/>
          <w:color w:val="000000"/>
          <w:szCs w:val="22"/>
        </w:rPr>
        <w:tab/>
        <w:t>Propriedades farmacocinéticas</w:t>
      </w:r>
    </w:p>
    <w:p w14:paraId="375EB3F6" w14:textId="77777777" w:rsidR="00906898" w:rsidRPr="00263DB9" w:rsidRDefault="00906898" w:rsidP="003970DC">
      <w:pPr>
        <w:keepNext/>
        <w:widowControl w:val="0"/>
        <w:suppressAutoHyphens/>
        <w:rPr>
          <w:color w:val="000000"/>
          <w:szCs w:val="22"/>
        </w:rPr>
      </w:pPr>
    </w:p>
    <w:p w14:paraId="375EB3F7" w14:textId="77777777" w:rsidR="00906898" w:rsidRPr="00263DB9" w:rsidRDefault="00906898" w:rsidP="003970DC">
      <w:pPr>
        <w:keepNext/>
        <w:widowControl w:val="0"/>
        <w:suppressAutoHyphens/>
        <w:rPr>
          <w:color w:val="000000"/>
          <w:szCs w:val="22"/>
        </w:rPr>
      </w:pPr>
      <w:r w:rsidRPr="00263DB9">
        <w:rPr>
          <w:color w:val="000000"/>
          <w:szCs w:val="22"/>
          <w:u w:val="single"/>
        </w:rPr>
        <w:t>Farmacocinética do Glivec</w:t>
      </w:r>
    </w:p>
    <w:p w14:paraId="375EB3F8" w14:textId="77777777" w:rsidR="00906898" w:rsidRPr="00263DB9" w:rsidRDefault="00906898" w:rsidP="00E51817">
      <w:pPr>
        <w:widowControl w:val="0"/>
        <w:suppressAutoHyphens/>
        <w:rPr>
          <w:color w:val="000000"/>
          <w:szCs w:val="22"/>
        </w:rPr>
      </w:pPr>
      <w:r w:rsidRPr="00263DB9">
        <w:rPr>
          <w:color w:val="000000"/>
          <w:szCs w:val="22"/>
        </w:rPr>
        <w:t xml:space="preserve">A farmacocinética do Glivec foi avaliada ao longo de um intervalo posológico de 25 a 1.000 mg. Os </w:t>
      </w:r>
      <w:r w:rsidRPr="00263DB9">
        <w:rPr>
          <w:color w:val="000000"/>
          <w:szCs w:val="22"/>
        </w:rPr>
        <w:lastRenderedPageBreak/>
        <w:t>perfis farmacocinéticos plasmáticos foram analisados do dia 1 e no dia 7 ou no dia 28, altura em as concentrações plasmáticas tinham atingido o estado de equilíbrio.</w:t>
      </w:r>
    </w:p>
    <w:p w14:paraId="375EB3F9" w14:textId="77777777" w:rsidR="00906898" w:rsidRPr="00263DB9" w:rsidRDefault="00906898" w:rsidP="00E51817">
      <w:pPr>
        <w:widowControl w:val="0"/>
        <w:suppressAutoHyphens/>
        <w:rPr>
          <w:color w:val="000000"/>
          <w:szCs w:val="22"/>
        </w:rPr>
      </w:pPr>
    </w:p>
    <w:p w14:paraId="375EB3FA" w14:textId="77777777" w:rsidR="00906898" w:rsidRPr="00263DB9" w:rsidRDefault="00906898" w:rsidP="003970DC">
      <w:pPr>
        <w:keepNext/>
        <w:widowControl w:val="0"/>
        <w:suppressAutoHyphens/>
        <w:rPr>
          <w:color w:val="000000"/>
          <w:szCs w:val="22"/>
        </w:rPr>
      </w:pPr>
      <w:r w:rsidRPr="00263DB9">
        <w:rPr>
          <w:color w:val="000000"/>
          <w:szCs w:val="22"/>
          <w:u w:val="single"/>
        </w:rPr>
        <w:t>Absorção</w:t>
      </w:r>
    </w:p>
    <w:p w14:paraId="375EB3FB" w14:textId="77777777" w:rsidR="00906898" w:rsidRPr="00263DB9" w:rsidRDefault="00906898" w:rsidP="00E51817">
      <w:pPr>
        <w:widowControl w:val="0"/>
        <w:suppressAutoHyphens/>
        <w:rPr>
          <w:color w:val="000000"/>
          <w:szCs w:val="22"/>
        </w:rPr>
      </w:pPr>
      <w:r w:rsidRPr="00263DB9">
        <w:rPr>
          <w:color w:val="000000"/>
          <w:szCs w:val="22"/>
        </w:rPr>
        <w:t>A biodisponibilidade absoluta média para a formulação em cápsula é 98%. Ocorreu uma elevada variabilidade inter-individual na AUC dos níveis plasmáticos de imatinib após uma dose oral. Quando administrado com uma refeição rica em gorduras, a taxa de absorção do imatinib foi reduzida minimamente (diminuição de 11% na C</w:t>
      </w:r>
      <w:r w:rsidRPr="00263DB9">
        <w:rPr>
          <w:color w:val="000000"/>
          <w:szCs w:val="22"/>
          <w:vertAlign w:val="subscript"/>
        </w:rPr>
        <w:t>max</w:t>
      </w:r>
      <w:r w:rsidRPr="00263DB9">
        <w:rPr>
          <w:color w:val="000000"/>
          <w:szCs w:val="22"/>
        </w:rPr>
        <w:t xml:space="preserve"> e prolongamento do t</w:t>
      </w:r>
      <w:r w:rsidRPr="00263DB9">
        <w:rPr>
          <w:color w:val="000000"/>
          <w:szCs w:val="22"/>
          <w:vertAlign w:val="subscript"/>
        </w:rPr>
        <w:t>max</w:t>
      </w:r>
      <w:r w:rsidRPr="00263DB9">
        <w:rPr>
          <w:color w:val="000000"/>
          <w:szCs w:val="22"/>
        </w:rPr>
        <w:t xml:space="preserve"> em 1,5 h), com uma pequena redução na AUC (7,4%) quando comparada com as condições de jejum. Não foi estudado o efeito da cirurgia gastrintestinal na absorção do fármaco.</w:t>
      </w:r>
    </w:p>
    <w:p w14:paraId="375EB3FC" w14:textId="77777777" w:rsidR="00906898" w:rsidRPr="00263DB9" w:rsidRDefault="00906898" w:rsidP="00E51817">
      <w:pPr>
        <w:widowControl w:val="0"/>
        <w:suppressAutoHyphens/>
        <w:rPr>
          <w:color w:val="000000"/>
          <w:szCs w:val="22"/>
        </w:rPr>
      </w:pPr>
    </w:p>
    <w:p w14:paraId="375EB3FD" w14:textId="77777777" w:rsidR="00906898" w:rsidRPr="00263DB9" w:rsidRDefault="00906898" w:rsidP="003970DC">
      <w:pPr>
        <w:keepNext/>
        <w:widowControl w:val="0"/>
        <w:suppressAutoHyphens/>
        <w:rPr>
          <w:color w:val="000000"/>
          <w:szCs w:val="22"/>
        </w:rPr>
      </w:pPr>
      <w:r w:rsidRPr="00263DB9">
        <w:rPr>
          <w:color w:val="000000"/>
          <w:szCs w:val="22"/>
          <w:u w:val="single"/>
        </w:rPr>
        <w:t>Distribuição</w:t>
      </w:r>
    </w:p>
    <w:p w14:paraId="375EB3FE" w14:textId="77777777" w:rsidR="00906898" w:rsidRPr="00263DB9" w:rsidRDefault="00906898" w:rsidP="00E51817">
      <w:pPr>
        <w:widowControl w:val="0"/>
        <w:suppressAutoHyphens/>
        <w:rPr>
          <w:color w:val="000000"/>
          <w:szCs w:val="22"/>
        </w:rPr>
      </w:pPr>
      <w:r w:rsidRPr="00263DB9">
        <w:rPr>
          <w:color w:val="000000"/>
          <w:szCs w:val="22"/>
        </w:rPr>
        <w:t xml:space="preserve">Em concentrações de imatinib clinicamente relevantes, a ligação às proteínas plasmáticas foi aproximadamente 95% com base em experiências </w:t>
      </w:r>
      <w:r w:rsidRPr="00263DB9">
        <w:rPr>
          <w:i/>
          <w:color w:val="000000"/>
          <w:szCs w:val="22"/>
        </w:rPr>
        <w:t>in vitro</w:t>
      </w:r>
      <w:r w:rsidRPr="00263DB9">
        <w:rPr>
          <w:color w:val="000000"/>
          <w:szCs w:val="22"/>
        </w:rPr>
        <w:t>, principalmente à albumina e à alfa-ácido-glicoproteína, com uma ligação pequena às lipoproteínas.</w:t>
      </w:r>
    </w:p>
    <w:p w14:paraId="375EB3FF" w14:textId="77777777" w:rsidR="00906898" w:rsidRPr="00263DB9" w:rsidRDefault="00906898" w:rsidP="00E51817">
      <w:pPr>
        <w:pStyle w:val="EndnoteText"/>
        <w:tabs>
          <w:tab w:val="clear" w:pos="567"/>
        </w:tabs>
        <w:suppressAutoHyphens/>
        <w:rPr>
          <w:color w:val="000000"/>
          <w:szCs w:val="22"/>
        </w:rPr>
      </w:pPr>
    </w:p>
    <w:p w14:paraId="375EB400" w14:textId="77777777" w:rsidR="00906898" w:rsidRPr="00263DB9" w:rsidRDefault="00906898" w:rsidP="003970DC">
      <w:pPr>
        <w:keepNext/>
        <w:widowControl w:val="0"/>
        <w:suppressAutoHyphens/>
        <w:rPr>
          <w:color w:val="000000"/>
          <w:szCs w:val="22"/>
        </w:rPr>
      </w:pPr>
      <w:r w:rsidRPr="00263DB9">
        <w:rPr>
          <w:color w:val="000000"/>
          <w:szCs w:val="22"/>
          <w:u w:val="single"/>
        </w:rPr>
        <w:t>Biotransformação</w:t>
      </w:r>
    </w:p>
    <w:p w14:paraId="375EB401" w14:textId="77777777" w:rsidR="00906898" w:rsidRPr="00263DB9" w:rsidRDefault="00906898" w:rsidP="00E51817">
      <w:pPr>
        <w:widowControl w:val="0"/>
        <w:suppressAutoHyphens/>
        <w:rPr>
          <w:color w:val="000000"/>
          <w:szCs w:val="22"/>
        </w:rPr>
      </w:pPr>
      <w:r w:rsidRPr="00263DB9">
        <w:rPr>
          <w:color w:val="000000"/>
          <w:szCs w:val="22"/>
        </w:rPr>
        <w:t xml:space="preserve">O metabolito circulante principal no ser humano é o derivado da piperazina N-desmetilada, o qual mostra uma potência </w:t>
      </w:r>
      <w:r w:rsidRPr="00263DB9">
        <w:rPr>
          <w:i/>
          <w:color w:val="000000"/>
          <w:szCs w:val="22"/>
        </w:rPr>
        <w:t>in vitro</w:t>
      </w:r>
      <w:r w:rsidRPr="00263DB9">
        <w:rPr>
          <w:color w:val="000000"/>
          <w:szCs w:val="22"/>
        </w:rPr>
        <w:t xml:space="preserve"> semelhante à do composto original. A AUC plasmática para este metabolito é 16% da AUC para o imatinib. A ligação do metabolito N-desmetilado às proteínas plasmáticas é semelhante à do composto inicial.</w:t>
      </w:r>
    </w:p>
    <w:p w14:paraId="375EB402" w14:textId="77777777" w:rsidR="00906898" w:rsidRPr="00263DB9" w:rsidRDefault="00906898" w:rsidP="00E51817">
      <w:pPr>
        <w:pStyle w:val="EndnoteText"/>
        <w:tabs>
          <w:tab w:val="clear" w:pos="567"/>
        </w:tabs>
        <w:suppressAutoHyphens/>
        <w:rPr>
          <w:color w:val="000000"/>
          <w:szCs w:val="22"/>
        </w:rPr>
      </w:pPr>
    </w:p>
    <w:p w14:paraId="375EB403"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O imatinib e o metabolito N-desmetilado em conjunto representaram 65% da radioatividade em circulação (AUC</w:t>
      </w:r>
      <w:r w:rsidRPr="00263DB9">
        <w:rPr>
          <w:color w:val="000000"/>
          <w:szCs w:val="22"/>
          <w:vertAlign w:val="subscript"/>
        </w:rPr>
        <w:t>(0-48h)</w:t>
      </w:r>
      <w:r w:rsidRPr="00263DB9">
        <w:rPr>
          <w:color w:val="000000"/>
          <w:szCs w:val="22"/>
        </w:rPr>
        <w:t>). A restante radioatividade em circulação deveu-se a um determinado número de metabolitos minor.</w:t>
      </w:r>
    </w:p>
    <w:p w14:paraId="375EB404" w14:textId="77777777" w:rsidR="00906898" w:rsidRPr="00263DB9" w:rsidRDefault="00906898" w:rsidP="00E51817">
      <w:pPr>
        <w:pStyle w:val="EndnoteText"/>
        <w:tabs>
          <w:tab w:val="clear" w:pos="567"/>
        </w:tabs>
        <w:suppressAutoHyphens/>
        <w:rPr>
          <w:color w:val="000000"/>
          <w:szCs w:val="22"/>
        </w:rPr>
      </w:pPr>
    </w:p>
    <w:p w14:paraId="375EB405"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 xml:space="preserve">Os resultados </w:t>
      </w:r>
      <w:r w:rsidRPr="00263DB9">
        <w:rPr>
          <w:i/>
          <w:color w:val="000000"/>
          <w:szCs w:val="22"/>
        </w:rPr>
        <w:t>in vitro</w:t>
      </w:r>
      <w:r w:rsidRPr="00263DB9">
        <w:rPr>
          <w:color w:val="000000"/>
          <w:szCs w:val="22"/>
        </w:rPr>
        <w:t xml:space="preserve"> mostraram que a CYP3A4 foi a principal enzima P450 humana catalizadora da biotransformação do imatinib. De vários medicamentos potencialmente utilizados concomitantemente (acetaminofeno, aciclovir, alopurinol, anfotericina, citarabina, eritromicina, fluconazol, hidroxiureia, norfloxacina, penicilinaV), somente a eritromicina (CI</w:t>
      </w:r>
      <w:r w:rsidRPr="00263DB9">
        <w:rPr>
          <w:color w:val="000000"/>
          <w:szCs w:val="22"/>
          <w:vertAlign w:val="subscript"/>
        </w:rPr>
        <w:t>50</w:t>
      </w:r>
      <w:r w:rsidRPr="00263DB9">
        <w:rPr>
          <w:color w:val="000000"/>
          <w:szCs w:val="22"/>
        </w:rPr>
        <w:t xml:space="preserve"> 50 </w:t>
      </w:r>
      <w:r w:rsidRPr="00263DB9">
        <w:rPr>
          <w:color w:val="000000"/>
          <w:szCs w:val="22"/>
        </w:rPr>
        <w:sym w:font="Symbol" w:char="F06D"/>
      </w:r>
      <w:r w:rsidRPr="00263DB9">
        <w:rPr>
          <w:color w:val="000000"/>
          <w:szCs w:val="22"/>
        </w:rPr>
        <w:t>M) e o fluconazol (CI</w:t>
      </w:r>
      <w:r w:rsidRPr="00263DB9">
        <w:rPr>
          <w:color w:val="000000"/>
          <w:szCs w:val="22"/>
          <w:vertAlign w:val="subscript"/>
        </w:rPr>
        <w:t>50</w:t>
      </w:r>
      <w:r w:rsidRPr="00263DB9">
        <w:rPr>
          <w:color w:val="000000"/>
          <w:szCs w:val="22"/>
        </w:rPr>
        <w:t xml:space="preserve"> 118 </w:t>
      </w:r>
      <w:r w:rsidRPr="00263DB9">
        <w:rPr>
          <w:color w:val="000000"/>
          <w:szCs w:val="22"/>
        </w:rPr>
        <w:sym w:font="Symbol" w:char="F06D"/>
      </w:r>
      <w:r w:rsidRPr="00263DB9">
        <w:rPr>
          <w:color w:val="000000"/>
          <w:szCs w:val="22"/>
        </w:rPr>
        <w:t>M) mostraram inibição do metabolismo do imatinib potencialmente relevante a nível clínico.</w:t>
      </w:r>
    </w:p>
    <w:p w14:paraId="375EB406" w14:textId="77777777" w:rsidR="00906898" w:rsidRPr="00263DB9" w:rsidRDefault="00906898" w:rsidP="00E51817">
      <w:pPr>
        <w:pStyle w:val="EndnoteText"/>
        <w:tabs>
          <w:tab w:val="clear" w:pos="567"/>
        </w:tabs>
        <w:suppressAutoHyphens/>
        <w:rPr>
          <w:color w:val="000000"/>
          <w:szCs w:val="22"/>
        </w:rPr>
      </w:pPr>
    </w:p>
    <w:p w14:paraId="375EB407" w14:textId="77777777" w:rsidR="00906898" w:rsidRPr="00263DB9" w:rsidRDefault="00906898" w:rsidP="00E51817">
      <w:pPr>
        <w:pStyle w:val="EndnoteText"/>
        <w:tabs>
          <w:tab w:val="clear" w:pos="567"/>
        </w:tabs>
        <w:suppressAutoHyphens/>
        <w:rPr>
          <w:color w:val="000000"/>
          <w:szCs w:val="22"/>
        </w:rPr>
      </w:pPr>
      <w:r w:rsidRPr="00263DB9">
        <w:rPr>
          <w:i/>
          <w:color w:val="000000"/>
          <w:szCs w:val="22"/>
        </w:rPr>
        <w:t>In vitro</w:t>
      </w:r>
      <w:r w:rsidRPr="00263DB9">
        <w:rPr>
          <w:color w:val="000000"/>
          <w:szCs w:val="22"/>
        </w:rPr>
        <w:t>, o imatinib mostrou ser um inibidor competitivo de marcadores do CYP2C9, CYP2D6 e CYP3A4/5. Os valores de K</w:t>
      </w:r>
      <w:r w:rsidRPr="00263DB9">
        <w:rPr>
          <w:color w:val="000000"/>
          <w:szCs w:val="22"/>
          <w:vertAlign w:val="subscript"/>
        </w:rPr>
        <w:t>i</w:t>
      </w:r>
      <w:r w:rsidRPr="00263DB9">
        <w:rPr>
          <w:color w:val="000000"/>
          <w:szCs w:val="22"/>
        </w:rPr>
        <w:t xml:space="preserve"> em microssomas hepáticos humanos foram 27, 7,5 e 7,9 </w:t>
      </w:r>
      <w:r w:rsidRPr="00263DB9">
        <w:rPr>
          <w:color w:val="000000"/>
          <w:szCs w:val="22"/>
        </w:rPr>
        <w:sym w:font="Symbol" w:char="F06D"/>
      </w:r>
      <w:r w:rsidRPr="00263DB9">
        <w:rPr>
          <w:color w:val="000000"/>
          <w:szCs w:val="22"/>
        </w:rPr>
        <w:t>mol/l, respetivamente. As concentrações plasmáticas máximas do imatinib em doentes são de 2–4 </w:t>
      </w:r>
      <w:r w:rsidRPr="00263DB9">
        <w:rPr>
          <w:color w:val="000000"/>
          <w:szCs w:val="22"/>
        </w:rPr>
        <w:sym w:font="Symbol" w:char="F06D"/>
      </w:r>
      <w:r w:rsidRPr="00263DB9">
        <w:rPr>
          <w:color w:val="000000"/>
          <w:szCs w:val="22"/>
        </w:rPr>
        <w:t>mol/l, consequentemente, é possível a inibição de fármacos cujo metabolismo seja mediado pela CYP2D6 e/ou CYP3A4/5 e que sejam administrados concomitantemente. O imatinib não interferiu com a biotransformação do 5-fluorouracilo, mas inibiu o metabolismo do paclitaxel devido a inibição competitiva da CYP2C8 (K</w:t>
      </w:r>
      <w:r w:rsidRPr="00263DB9">
        <w:rPr>
          <w:color w:val="000000"/>
          <w:szCs w:val="22"/>
          <w:vertAlign w:val="subscript"/>
        </w:rPr>
        <w:t>i</w:t>
      </w:r>
      <w:r w:rsidRPr="00263DB9">
        <w:rPr>
          <w:color w:val="000000"/>
          <w:szCs w:val="22"/>
        </w:rPr>
        <w:t xml:space="preserve"> = 34,7 </w:t>
      </w:r>
      <w:r w:rsidRPr="00263DB9">
        <w:rPr>
          <w:color w:val="000000"/>
          <w:szCs w:val="22"/>
        </w:rPr>
        <w:sym w:font="Symbol" w:char="F06D"/>
      </w:r>
      <w:r w:rsidRPr="00263DB9">
        <w:rPr>
          <w:color w:val="000000"/>
          <w:szCs w:val="22"/>
        </w:rPr>
        <w:t>M). Este valor de K</w:t>
      </w:r>
      <w:r w:rsidRPr="00263DB9">
        <w:rPr>
          <w:color w:val="000000"/>
          <w:szCs w:val="22"/>
          <w:vertAlign w:val="subscript"/>
        </w:rPr>
        <w:t>i</w:t>
      </w:r>
      <w:r w:rsidRPr="00263DB9">
        <w:rPr>
          <w:color w:val="000000"/>
          <w:szCs w:val="22"/>
        </w:rPr>
        <w:t xml:space="preserve"> é muito superior aos níveis plasmáticos expectáveis nos doentes, consequentemente, não se prevê a ocorrência de interação devido a administração concomitante de 5-fluorouracilo ou paclitaxel e imatinib.</w:t>
      </w:r>
    </w:p>
    <w:p w14:paraId="375EB408" w14:textId="77777777" w:rsidR="00906898" w:rsidRPr="00263DB9" w:rsidRDefault="00906898" w:rsidP="00E51817">
      <w:pPr>
        <w:pStyle w:val="EndnoteText"/>
        <w:tabs>
          <w:tab w:val="clear" w:pos="567"/>
        </w:tabs>
        <w:suppressAutoHyphens/>
        <w:rPr>
          <w:color w:val="000000"/>
          <w:szCs w:val="22"/>
        </w:rPr>
      </w:pPr>
    </w:p>
    <w:p w14:paraId="375EB409" w14:textId="77777777" w:rsidR="00906898" w:rsidRPr="00263DB9" w:rsidRDefault="00906898" w:rsidP="003970DC">
      <w:pPr>
        <w:keepNext/>
        <w:widowControl w:val="0"/>
        <w:suppressAutoHyphens/>
        <w:rPr>
          <w:color w:val="000000"/>
          <w:szCs w:val="22"/>
        </w:rPr>
      </w:pPr>
      <w:r w:rsidRPr="00263DB9">
        <w:rPr>
          <w:color w:val="000000"/>
          <w:szCs w:val="22"/>
          <w:u w:val="single"/>
        </w:rPr>
        <w:t>Eliminação</w:t>
      </w:r>
    </w:p>
    <w:p w14:paraId="375EB40A" w14:textId="77777777" w:rsidR="00906898" w:rsidRPr="00263DB9" w:rsidRDefault="00906898" w:rsidP="00E51817">
      <w:pPr>
        <w:widowControl w:val="0"/>
        <w:suppressAutoHyphens/>
        <w:rPr>
          <w:color w:val="000000"/>
          <w:szCs w:val="22"/>
        </w:rPr>
      </w:pPr>
      <w:r w:rsidRPr="00263DB9">
        <w:rPr>
          <w:color w:val="000000"/>
          <w:szCs w:val="22"/>
        </w:rPr>
        <w:t xml:space="preserve">Com base na recuperação dos compostos após uma dose oral de imatinib marcado radiativamente com </w:t>
      </w:r>
      <w:r w:rsidRPr="00263DB9">
        <w:rPr>
          <w:color w:val="000000"/>
          <w:szCs w:val="22"/>
          <w:vertAlign w:val="superscript"/>
        </w:rPr>
        <w:t>14</w:t>
      </w:r>
      <w:r w:rsidRPr="00263DB9">
        <w:rPr>
          <w:color w:val="000000"/>
          <w:szCs w:val="22"/>
        </w:rPr>
        <w:t>C, aproximadamente 81% da dose foram recuperados em 7 dias nas fezes (68% da dose) e urina (13% da dose). O imatinib inalterado contou para 25% da dose (5% na urina, 20% nas fezes), sendo o restante os metabolitos.</w:t>
      </w:r>
    </w:p>
    <w:p w14:paraId="375EB40B" w14:textId="77777777" w:rsidR="00906898" w:rsidRPr="00263DB9" w:rsidRDefault="00906898" w:rsidP="00E51817">
      <w:pPr>
        <w:widowControl w:val="0"/>
        <w:suppressAutoHyphens/>
        <w:rPr>
          <w:color w:val="000000"/>
          <w:szCs w:val="22"/>
        </w:rPr>
      </w:pPr>
    </w:p>
    <w:p w14:paraId="375EB40C" w14:textId="77777777" w:rsidR="00906898" w:rsidRPr="00263DB9" w:rsidRDefault="00906898" w:rsidP="003970DC">
      <w:pPr>
        <w:keepNext/>
        <w:widowControl w:val="0"/>
        <w:suppressAutoHyphens/>
        <w:rPr>
          <w:color w:val="000000"/>
          <w:szCs w:val="22"/>
        </w:rPr>
      </w:pPr>
      <w:r w:rsidRPr="00263DB9">
        <w:rPr>
          <w:color w:val="000000"/>
          <w:szCs w:val="22"/>
          <w:u w:val="single"/>
        </w:rPr>
        <w:t>Farmacocinética plasmática</w:t>
      </w:r>
    </w:p>
    <w:p w14:paraId="375EB40D" w14:textId="77777777" w:rsidR="00906898" w:rsidRPr="00263DB9" w:rsidRDefault="00906898" w:rsidP="00E51817">
      <w:pPr>
        <w:widowControl w:val="0"/>
        <w:suppressAutoHyphens/>
        <w:rPr>
          <w:color w:val="000000"/>
          <w:szCs w:val="22"/>
        </w:rPr>
      </w:pPr>
      <w:r w:rsidRPr="00263DB9">
        <w:rPr>
          <w:color w:val="000000"/>
          <w:szCs w:val="22"/>
        </w:rPr>
        <w:t>Após administração oral em voluntários saudáveis, o t</w:t>
      </w:r>
      <w:r w:rsidRPr="00263DB9">
        <w:rPr>
          <w:color w:val="000000"/>
          <w:szCs w:val="22"/>
          <w:vertAlign w:val="subscript"/>
        </w:rPr>
        <w:t>1/2</w:t>
      </w:r>
      <w:r w:rsidRPr="00263DB9">
        <w:rPr>
          <w:color w:val="000000"/>
          <w:szCs w:val="22"/>
        </w:rPr>
        <w:t xml:space="preserve"> foi aproximadamente 18 h, sugerindo que a administração de uma dose diária é apropriada. O aumento na AUC média com o aumento da dose foi linear e é proporcional à dose no intervalo de 25–1.000 mg de imatinib, após administração oral. Não houve alteração da cinética do imatinib com a administração repetida e a acumulação foi de 1,5–2,5 vezes, no estado de equilíbrio, quando administrado uma vez por dia.</w:t>
      </w:r>
    </w:p>
    <w:p w14:paraId="375EB40E" w14:textId="77777777" w:rsidR="00906898" w:rsidRPr="00263DB9" w:rsidRDefault="00906898" w:rsidP="00E51817">
      <w:pPr>
        <w:widowControl w:val="0"/>
        <w:suppressAutoHyphens/>
        <w:rPr>
          <w:color w:val="000000"/>
          <w:szCs w:val="22"/>
        </w:rPr>
      </w:pPr>
    </w:p>
    <w:p w14:paraId="375EB40F" w14:textId="77777777" w:rsidR="00906898" w:rsidRPr="00263DB9" w:rsidRDefault="00906898" w:rsidP="003970DC">
      <w:pPr>
        <w:keepNext/>
        <w:widowControl w:val="0"/>
        <w:suppressAutoHyphens/>
        <w:rPr>
          <w:color w:val="000000"/>
          <w:szCs w:val="22"/>
          <w:u w:val="single"/>
        </w:rPr>
      </w:pPr>
      <w:r w:rsidRPr="00263DB9">
        <w:rPr>
          <w:color w:val="000000"/>
          <w:szCs w:val="22"/>
          <w:u w:val="single"/>
        </w:rPr>
        <w:t>Farmacocinética em doentes com GIST</w:t>
      </w:r>
    </w:p>
    <w:p w14:paraId="375EB410" w14:textId="77777777" w:rsidR="00906898" w:rsidRPr="00263DB9" w:rsidRDefault="00906898" w:rsidP="00E51817">
      <w:pPr>
        <w:widowControl w:val="0"/>
        <w:suppressAutoHyphens/>
        <w:rPr>
          <w:color w:val="000000"/>
          <w:szCs w:val="22"/>
        </w:rPr>
      </w:pPr>
      <w:r w:rsidRPr="00263DB9">
        <w:rPr>
          <w:color w:val="000000"/>
          <w:szCs w:val="22"/>
        </w:rPr>
        <w:t xml:space="preserve">Em doentes com GIST a exposição no estado de equilíbrio foi 1,5 vezes superior à observada em </w:t>
      </w:r>
      <w:r w:rsidRPr="00263DB9">
        <w:rPr>
          <w:color w:val="000000"/>
          <w:szCs w:val="22"/>
        </w:rPr>
        <w:lastRenderedPageBreak/>
        <w:t>doentes com LMC tratados com a mesma dose (400 mg por dia). Com base na análise preliminar da farmacocinética populacional em doentes com GIST, três variáveis (albumina, número de glóbulos brancos e bilirrubina) apresentaram relação estatisticamente significativa com a farmacocinética do imatinib. A redução dos valores da albumina causou redução da clearance (CL/f); e um número de glóbulos brancos aumentado causou redução da CL/f. No entanto, estas associações não foram suficientemente pronunciadas para suportar um ajuste da dose. Nesta população de doentes, a presença de metástases hepáticas poderia causar insuficiência hepática e diminuição do metabolismo.</w:t>
      </w:r>
    </w:p>
    <w:p w14:paraId="375EB411" w14:textId="77777777" w:rsidR="00906898" w:rsidRPr="00263DB9" w:rsidRDefault="00906898" w:rsidP="00E51817">
      <w:pPr>
        <w:widowControl w:val="0"/>
        <w:suppressAutoHyphens/>
        <w:rPr>
          <w:color w:val="000000"/>
          <w:szCs w:val="22"/>
        </w:rPr>
      </w:pPr>
    </w:p>
    <w:p w14:paraId="375EB412" w14:textId="77777777" w:rsidR="00906898" w:rsidRPr="00263DB9" w:rsidRDefault="00906898" w:rsidP="003970DC">
      <w:pPr>
        <w:keepNext/>
        <w:widowControl w:val="0"/>
        <w:suppressAutoHyphens/>
        <w:rPr>
          <w:color w:val="000000"/>
          <w:szCs w:val="22"/>
        </w:rPr>
      </w:pPr>
      <w:r w:rsidRPr="00263DB9">
        <w:rPr>
          <w:color w:val="000000"/>
          <w:szCs w:val="22"/>
          <w:u w:val="single"/>
        </w:rPr>
        <w:t>Farmacocinética da população</w:t>
      </w:r>
    </w:p>
    <w:p w14:paraId="375EB413" w14:textId="77777777" w:rsidR="00906898" w:rsidRPr="00263DB9" w:rsidRDefault="00906898" w:rsidP="00E51817">
      <w:pPr>
        <w:widowControl w:val="0"/>
        <w:suppressAutoHyphens/>
        <w:rPr>
          <w:color w:val="000000"/>
          <w:szCs w:val="22"/>
        </w:rPr>
      </w:pPr>
      <w:r w:rsidRPr="00263DB9">
        <w:rPr>
          <w:color w:val="000000"/>
          <w:szCs w:val="22"/>
        </w:rPr>
        <w:t>Com base na análise da farmacocinética populacional em doentes com LMC, existe um pequeno efeito da idade sobre o volume de distribuição (aumento de 12% em doentes com&gt; 65 anos de idade). Não se pensa que esta alteração seja clinicamente significativa. O efeito do peso corporal na depuração do imatinib é tal que, para um doente pesando 50 kg, se espera que a depuração média seja de 8,5 l/h, enquanto que para um doente pesando 100 kg a depuração irá aumentar para 11,8 l/h. Estas alterações não são consideradas suficientes para justificar um ajuste da dose com base nos kg de peso corporal. Não há um efeito do sexo na cinética do imatinib.</w:t>
      </w:r>
    </w:p>
    <w:p w14:paraId="375EB414" w14:textId="77777777" w:rsidR="00906898" w:rsidRPr="00263DB9" w:rsidRDefault="00906898" w:rsidP="00E51817">
      <w:pPr>
        <w:widowControl w:val="0"/>
        <w:suppressAutoHyphens/>
        <w:rPr>
          <w:color w:val="000000"/>
          <w:szCs w:val="22"/>
        </w:rPr>
      </w:pPr>
    </w:p>
    <w:p w14:paraId="375EB415" w14:textId="77777777" w:rsidR="00906898" w:rsidRPr="00263DB9" w:rsidRDefault="00906898" w:rsidP="003970DC">
      <w:pPr>
        <w:keepNext/>
        <w:widowControl w:val="0"/>
        <w:suppressAutoHyphens/>
        <w:rPr>
          <w:color w:val="000000"/>
          <w:szCs w:val="22"/>
          <w:u w:val="single"/>
        </w:rPr>
      </w:pPr>
      <w:r w:rsidRPr="00263DB9">
        <w:rPr>
          <w:color w:val="000000"/>
          <w:szCs w:val="22"/>
          <w:u w:val="single"/>
        </w:rPr>
        <w:t>Farmacocinética em crianças</w:t>
      </w:r>
    </w:p>
    <w:p w14:paraId="375EB416" w14:textId="77777777" w:rsidR="00906898" w:rsidRPr="00263DB9" w:rsidRDefault="00906898" w:rsidP="00E51817">
      <w:pPr>
        <w:widowControl w:val="0"/>
        <w:suppressAutoHyphens/>
        <w:rPr>
          <w:color w:val="000000"/>
          <w:szCs w:val="22"/>
        </w:rPr>
      </w:pPr>
      <w:r w:rsidRPr="00263DB9">
        <w:rPr>
          <w:color w:val="000000"/>
          <w:szCs w:val="22"/>
        </w:rPr>
        <w:t>Tal como em doentes adultos, em estudos de fase I e fase II o imatinib foi rapidamente absorvido após administração oral em doentes pediátricos. Após administração de doses de 260 e 340 mg/m</w:t>
      </w:r>
      <w:r w:rsidRPr="00263DB9">
        <w:rPr>
          <w:color w:val="000000"/>
          <w:szCs w:val="22"/>
          <w:vertAlign w:val="superscript"/>
        </w:rPr>
        <w:t>2</w:t>
      </w:r>
      <w:r w:rsidRPr="00263DB9">
        <w:rPr>
          <w:color w:val="000000"/>
          <w:szCs w:val="22"/>
        </w:rPr>
        <w:t xml:space="preserve"> por dia foi obtida uma exposição similar à obtida em adultos, após administração de doses de 400 e 600 mg/m</w:t>
      </w:r>
      <w:r w:rsidRPr="00263DB9">
        <w:rPr>
          <w:color w:val="000000"/>
          <w:szCs w:val="22"/>
          <w:vertAlign w:val="superscript"/>
        </w:rPr>
        <w:t>2</w:t>
      </w:r>
      <w:r w:rsidRPr="00263DB9">
        <w:rPr>
          <w:color w:val="000000"/>
          <w:szCs w:val="22"/>
        </w:rPr>
        <w:t>, respetivamente. A comparação da AUC</w:t>
      </w:r>
      <w:r w:rsidRPr="00263DB9">
        <w:rPr>
          <w:color w:val="000000"/>
          <w:szCs w:val="22"/>
          <w:vertAlign w:val="subscript"/>
        </w:rPr>
        <w:t>(0-24)</w:t>
      </w:r>
      <w:r w:rsidRPr="00263DB9">
        <w:rPr>
          <w:color w:val="000000"/>
          <w:szCs w:val="22"/>
        </w:rPr>
        <w:t xml:space="preserve"> no dia 8 e no dia 1, nos doentes tratados com a dose de 340 mg/m</w:t>
      </w:r>
      <w:r w:rsidRPr="00263DB9">
        <w:rPr>
          <w:color w:val="000000"/>
          <w:szCs w:val="22"/>
          <w:vertAlign w:val="superscript"/>
        </w:rPr>
        <w:t>2</w:t>
      </w:r>
      <w:r w:rsidRPr="00263DB9">
        <w:rPr>
          <w:color w:val="000000"/>
          <w:szCs w:val="22"/>
        </w:rPr>
        <w:t xml:space="preserve"> por dia, revelou um fator de acumulação de 1,7, após administração reiterada de doses diárias únicas.</w:t>
      </w:r>
    </w:p>
    <w:p w14:paraId="375EB417" w14:textId="77777777" w:rsidR="00906898" w:rsidRPr="00263DB9" w:rsidRDefault="00906898" w:rsidP="00E51817">
      <w:pPr>
        <w:widowControl w:val="0"/>
        <w:suppressAutoHyphens/>
        <w:rPr>
          <w:color w:val="000000"/>
          <w:szCs w:val="22"/>
        </w:rPr>
      </w:pPr>
    </w:p>
    <w:p w14:paraId="375EB418" w14:textId="77777777" w:rsidR="00973254" w:rsidRPr="00263DB9" w:rsidRDefault="00973254" w:rsidP="00E51817">
      <w:pPr>
        <w:widowControl w:val="0"/>
        <w:suppressAutoHyphens/>
        <w:rPr>
          <w:color w:val="000000"/>
          <w:szCs w:val="22"/>
        </w:rPr>
      </w:pPr>
      <w:r w:rsidRPr="00263DB9">
        <w:rPr>
          <w:color w:val="000000"/>
          <w:szCs w:val="22"/>
        </w:rPr>
        <w:t>Com base na análise farmacocinética da população</w:t>
      </w:r>
      <w:r w:rsidR="005C6251" w:rsidRPr="00263DB9">
        <w:rPr>
          <w:color w:val="000000"/>
          <w:szCs w:val="22"/>
        </w:rPr>
        <w:t xml:space="preserve"> </w:t>
      </w:r>
      <w:r w:rsidR="00FB1245" w:rsidRPr="00263DB9">
        <w:rPr>
          <w:color w:val="000000"/>
          <w:szCs w:val="22"/>
        </w:rPr>
        <w:t>agrupada em</w:t>
      </w:r>
      <w:r w:rsidR="005C6251" w:rsidRPr="00263DB9">
        <w:rPr>
          <w:color w:val="000000"/>
          <w:szCs w:val="22"/>
        </w:rPr>
        <w:t xml:space="preserve"> doentes pediátricos com distúrbios hematológicos (LMC, LLA Ph+, ou outros distúrbios hematológicos tratados com imatinib), a depuração de imatinib aumenta com o aumento da área de superfície corporal (BSA</w:t>
      </w:r>
      <w:r w:rsidR="00FB1245" w:rsidRPr="00263DB9">
        <w:rPr>
          <w:color w:val="000000"/>
          <w:szCs w:val="22"/>
        </w:rPr>
        <w:t xml:space="preserve">, </w:t>
      </w:r>
      <w:r w:rsidR="00FB1245" w:rsidRPr="00263DB9">
        <w:rPr>
          <w:i/>
          <w:color w:val="000000"/>
          <w:szCs w:val="22"/>
        </w:rPr>
        <w:t>Body Surface Area</w:t>
      </w:r>
      <w:r w:rsidR="005C6251" w:rsidRPr="00263DB9">
        <w:rPr>
          <w:color w:val="000000"/>
          <w:szCs w:val="22"/>
        </w:rPr>
        <w:t>). Após corre</w:t>
      </w:r>
      <w:r w:rsidR="00CD501C" w:rsidRPr="00263DB9">
        <w:rPr>
          <w:color w:val="000000"/>
          <w:szCs w:val="22"/>
        </w:rPr>
        <w:t>c</w:t>
      </w:r>
      <w:r w:rsidR="005C6251" w:rsidRPr="00263DB9">
        <w:rPr>
          <w:color w:val="000000"/>
          <w:szCs w:val="22"/>
        </w:rPr>
        <w:t>ção do efeito de BSA</w:t>
      </w:r>
      <w:r w:rsidR="00CD501C" w:rsidRPr="00263DB9">
        <w:rPr>
          <w:color w:val="000000"/>
          <w:szCs w:val="22"/>
        </w:rPr>
        <w:t xml:space="preserve">, outras características demográficas como a idade, o peso ou o índice de massa corporal não tiveram efeito clínico significativo na exposição </w:t>
      </w:r>
      <w:r w:rsidR="00FB1245" w:rsidRPr="00263DB9">
        <w:rPr>
          <w:color w:val="000000"/>
          <w:szCs w:val="22"/>
        </w:rPr>
        <w:t>a</w:t>
      </w:r>
      <w:r w:rsidR="00CD501C" w:rsidRPr="00263DB9">
        <w:rPr>
          <w:color w:val="000000"/>
          <w:szCs w:val="22"/>
        </w:rPr>
        <w:t xml:space="preserve">o imatinib. A análise confirmou que </w:t>
      </w:r>
      <w:r w:rsidR="00FB1245" w:rsidRPr="00263DB9">
        <w:rPr>
          <w:color w:val="000000"/>
          <w:szCs w:val="22"/>
        </w:rPr>
        <w:t>a exposição ao</w:t>
      </w:r>
      <w:r w:rsidR="00CD501C" w:rsidRPr="00263DB9">
        <w:rPr>
          <w:color w:val="000000"/>
          <w:szCs w:val="22"/>
        </w:rPr>
        <w:t xml:space="preserve"> imatinib em doentes pediátricos a receber 260 mg/m</w:t>
      </w:r>
      <w:r w:rsidR="00CD501C" w:rsidRPr="00263DB9">
        <w:rPr>
          <w:color w:val="000000"/>
          <w:szCs w:val="22"/>
          <w:vertAlign w:val="superscript"/>
        </w:rPr>
        <w:t>2</w:t>
      </w:r>
      <w:r w:rsidR="00CD501C" w:rsidRPr="00263DB9">
        <w:rPr>
          <w:color w:val="000000"/>
          <w:szCs w:val="22"/>
        </w:rPr>
        <w:t xml:space="preserve"> uma vez por dia (não excedendo 400 mg uma vez por dia) ou 340 mg/m</w:t>
      </w:r>
      <w:r w:rsidR="00CD501C" w:rsidRPr="00263DB9">
        <w:rPr>
          <w:color w:val="000000"/>
          <w:szCs w:val="22"/>
          <w:vertAlign w:val="superscript"/>
        </w:rPr>
        <w:t>2</w:t>
      </w:r>
      <w:r w:rsidR="00CD501C" w:rsidRPr="00263DB9">
        <w:rPr>
          <w:color w:val="000000"/>
          <w:szCs w:val="22"/>
        </w:rPr>
        <w:t xml:space="preserve"> uma vez por dia (não excedendo 600 mg uma vez por dia) foi</w:t>
      </w:r>
      <w:r w:rsidR="0001091D" w:rsidRPr="00263DB9">
        <w:rPr>
          <w:color w:val="000000"/>
          <w:szCs w:val="22"/>
        </w:rPr>
        <w:t xml:space="preserve"> semelhante à</w:t>
      </w:r>
      <w:r w:rsidR="00CD501C" w:rsidRPr="00263DB9">
        <w:rPr>
          <w:color w:val="000000"/>
          <w:szCs w:val="22"/>
        </w:rPr>
        <w:t xml:space="preserve"> dos doentes adultos que receberam imatinib 400 mg ou 600 mg uma vez por dia.</w:t>
      </w:r>
    </w:p>
    <w:p w14:paraId="375EB419" w14:textId="77777777" w:rsidR="00CD501C" w:rsidRPr="00263DB9" w:rsidRDefault="00CD501C" w:rsidP="00E51817">
      <w:pPr>
        <w:widowControl w:val="0"/>
        <w:suppressAutoHyphens/>
        <w:rPr>
          <w:color w:val="000000"/>
          <w:szCs w:val="22"/>
        </w:rPr>
      </w:pPr>
    </w:p>
    <w:p w14:paraId="375EB41A" w14:textId="77777777" w:rsidR="00906898" w:rsidRPr="00263DB9" w:rsidRDefault="00906898" w:rsidP="003970DC">
      <w:pPr>
        <w:keepNext/>
        <w:widowControl w:val="0"/>
        <w:suppressAutoHyphens/>
        <w:rPr>
          <w:color w:val="000000"/>
          <w:szCs w:val="22"/>
        </w:rPr>
      </w:pPr>
      <w:r w:rsidRPr="00263DB9">
        <w:rPr>
          <w:color w:val="000000"/>
          <w:szCs w:val="22"/>
          <w:u w:val="single"/>
        </w:rPr>
        <w:t>Compromisso funcional dos órgãos</w:t>
      </w:r>
    </w:p>
    <w:p w14:paraId="375EB41B" w14:textId="77777777" w:rsidR="00906898" w:rsidRPr="00263DB9" w:rsidRDefault="00906898" w:rsidP="00E51817">
      <w:pPr>
        <w:pStyle w:val="EndnoteText"/>
        <w:tabs>
          <w:tab w:val="clear" w:pos="567"/>
        </w:tabs>
        <w:rPr>
          <w:color w:val="000000"/>
          <w:szCs w:val="22"/>
        </w:rPr>
      </w:pPr>
      <w:r w:rsidRPr="00263DB9">
        <w:rPr>
          <w:color w:val="000000"/>
          <w:szCs w:val="22"/>
        </w:rPr>
        <w:t>O imatinib e os seus metabolitos não são excretados através dos rins numa extensão significativa. Doentes com compromisso ligeiro e moderado da função renal parecem ter uma exposição plasmática mais elevada do que doentes com função renal normal. O aumento é de aproximadamente 1,5- a 2-vezes, correspondendo a uma elevação de 1,5-vezes da AGP plasmática, à qual o imatinib se liga fortemente. A depuração do imatinib livre é provavelmente semelhante entre doentes com compromisso renal e aqueles com função renal normal, uma vez que a excreção renal representa apenas uma via de eliminação menor para o imatinib (ver secções 4.2 e 4.4).</w:t>
      </w:r>
    </w:p>
    <w:p w14:paraId="375EB41C" w14:textId="77777777" w:rsidR="00906898" w:rsidRPr="00263DB9" w:rsidRDefault="00906898" w:rsidP="00E51817">
      <w:pPr>
        <w:pStyle w:val="EndnoteText"/>
        <w:tabs>
          <w:tab w:val="clear" w:pos="567"/>
        </w:tabs>
        <w:rPr>
          <w:color w:val="000000"/>
          <w:szCs w:val="22"/>
        </w:rPr>
      </w:pPr>
    </w:p>
    <w:p w14:paraId="375EB41D" w14:textId="77777777" w:rsidR="00906898" w:rsidRPr="00263DB9" w:rsidRDefault="00906898" w:rsidP="00E51817">
      <w:pPr>
        <w:widowControl w:val="0"/>
        <w:suppressAutoHyphens/>
        <w:rPr>
          <w:color w:val="000000"/>
          <w:szCs w:val="22"/>
        </w:rPr>
      </w:pPr>
      <w:r w:rsidRPr="00263DB9">
        <w:rPr>
          <w:color w:val="000000"/>
          <w:szCs w:val="22"/>
        </w:rPr>
        <w:t>Apesar de os resultados da análise farmacocinética mostrarem considerável variação inter-individual, a exposição média ao imatinib não aumentou em doentes com graus variáveis de disfunção hepática, comparativamente a doentes com função hepática normal (ver secções 4.2, 4.4 e 4.8).</w:t>
      </w:r>
    </w:p>
    <w:p w14:paraId="375EB41E" w14:textId="77777777" w:rsidR="00906898" w:rsidRPr="00263DB9" w:rsidRDefault="00906898" w:rsidP="00E51817">
      <w:pPr>
        <w:widowControl w:val="0"/>
        <w:suppressAutoHyphens/>
        <w:rPr>
          <w:color w:val="000000"/>
          <w:szCs w:val="22"/>
        </w:rPr>
      </w:pPr>
    </w:p>
    <w:p w14:paraId="375EB41F" w14:textId="77777777" w:rsidR="00906898" w:rsidRPr="00263DB9" w:rsidRDefault="00906898" w:rsidP="003970DC">
      <w:pPr>
        <w:keepNext/>
        <w:widowControl w:val="0"/>
        <w:suppressAutoHyphens/>
        <w:ind w:left="567" w:hanging="567"/>
        <w:rPr>
          <w:b/>
          <w:color w:val="000000"/>
          <w:szCs w:val="22"/>
        </w:rPr>
      </w:pPr>
      <w:r w:rsidRPr="00263DB9">
        <w:rPr>
          <w:b/>
          <w:color w:val="000000"/>
          <w:szCs w:val="22"/>
        </w:rPr>
        <w:t>5.3</w:t>
      </w:r>
      <w:r w:rsidRPr="00263DB9">
        <w:rPr>
          <w:b/>
          <w:color w:val="000000"/>
          <w:szCs w:val="22"/>
        </w:rPr>
        <w:tab/>
        <w:t>Dados de segurança pré-clínica</w:t>
      </w:r>
    </w:p>
    <w:p w14:paraId="375EB420" w14:textId="77777777" w:rsidR="00906898" w:rsidRPr="00263DB9" w:rsidRDefault="00906898" w:rsidP="003970DC">
      <w:pPr>
        <w:keepNext/>
        <w:widowControl w:val="0"/>
        <w:rPr>
          <w:color w:val="000000"/>
          <w:szCs w:val="22"/>
        </w:rPr>
      </w:pPr>
    </w:p>
    <w:p w14:paraId="375EB421" w14:textId="77777777" w:rsidR="00906898" w:rsidRPr="00263DB9" w:rsidRDefault="00906898" w:rsidP="00E51817">
      <w:pPr>
        <w:widowControl w:val="0"/>
        <w:rPr>
          <w:color w:val="000000"/>
          <w:szCs w:val="22"/>
        </w:rPr>
      </w:pPr>
      <w:r w:rsidRPr="00263DB9">
        <w:rPr>
          <w:color w:val="000000"/>
          <w:szCs w:val="22"/>
        </w:rPr>
        <w:t>O perfil de segunça pré-clínica do imatinib foi avaliado em ratos, cães, macacos e coelhos.</w:t>
      </w:r>
    </w:p>
    <w:p w14:paraId="375EB422" w14:textId="77777777" w:rsidR="00906898" w:rsidRPr="00263DB9" w:rsidRDefault="00906898" w:rsidP="00E51817">
      <w:pPr>
        <w:widowControl w:val="0"/>
        <w:rPr>
          <w:color w:val="000000"/>
          <w:szCs w:val="22"/>
        </w:rPr>
      </w:pPr>
    </w:p>
    <w:p w14:paraId="375EB423" w14:textId="77777777" w:rsidR="00906898" w:rsidRPr="00263DB9" w:rsidRDefault="00906898" w:rsidP="00E51817">
      <w:pPr>
        <w:widowControl w:val="0"/>
        <w:rPr>
          <w:color w:val="000000"/>
          <w:szCs w:val="22"/>
        </w:rPr>
      </w:pPr>
      <w:r w:rsidRPr="00263DB9">
        <w:rPr>
          <w:color w:val="000000"/>
          <w:szCs w:val="22"/>
        </w:rPr>
        <w:t>Os estudos de toxicidade reiterada revelaram alterações hematológicas ligeiras a moderadas em ratos, cães e macacos, companhadas de alterações ao nível da medula óssea em ratos e cães.</w:t>
      </w:r>
    </w:p>
    <w:p w14:paraId="375EB424" w14:textId="77777777" w:rsidR="00906898" w:rsidRPr="00263DB9" w:rsidRDefault="00906898" w:rsidP="00E51817">
      <w:pPr>
        <w:widowControl w:val="0"/>
        <w:rPr>
          <w:color w:val="000000"/>
          <w:szCs w:val="22"/>
        </w:rPr>
      </w:pPr>
    </w:p>
    <w:p w14:paraId="375EB425" w14:textId="77777777" w:rsidR="00906898" w:rsidRPr="00263DB9" w:rsidRDefault="00906898" w:rsidP="00E51817">
      <w:pPr>
        <w:widowControl w:val="0"/>
        <w:rPr>
          <w:color w:val="000000"/>
          <w:szCs w:val="22"/>
        </w:rPr>
      </w:pPr>
      <w:r w:rsidRPr="00263DB9">
        <w:rPr>
          <w:color w:val="000000"/>
          <w:szCs w:val="22"/>
        </w:rPr>
        <w:t xml:space="preserve">O fígado foi um órgão-alvo em ratos e cães. Em ambas as espécies foi observado aumento ligeiro a moderado das transaminases e ligeira diminuição dos níveis de colesterol, trigliceridos, proteínas </w:t>
      </w:r>
      <w:r w:rsidRPr="00263DB9">
        <w:rPr>
          <w:color w:val="000000"/>
          <w:szCs w:val="22"/>
        </w:rPr>
        <w:lastRenderedPageBreak/>
        <w:t>totais e albumina. Não foram observadas alterações histopatológicas hepáticas nos ratos. Em cães tratados durante 2 semanas foi observada toxicidade hepática grave, com aumento das enzimas hepáticas, necrose hepatocelular, necrose e hiperplasia do ducto biliar.</w:t>
      </w:r>
    </w:p>
    <w:p w14:paraId="375EB426" w14:textId="77777777" w:rsidR="00906898" w:rsidRPr="00263DB9" w:rsidRDefault="00906898" w:rsidP="00E51817">
      <w:pPr>
        <w:widowControl w:val="0"/>
        <w:rPr>
          <w:color w:val="000000"/>
          <w:szCs w:val="22"/>
        </w:rPr>
      </w:pPr>
    </w:p>
    <w:p w14:paraId="375EB427" w14:textId="77777777" w:rsidR="00906898" w:rsidRPr="00263DB9" w:rsidRDefault="00906898" w:rsidP="00E51817">
      <w:pPr>
        <w:widowControl w:val="0"/>
        <w:rPr>
          <w:color w:val="000000"/>
          <w:szCs w:val="22"/>
        </w:rPr>
      </w:pPr>
      <w:r w:rsidRPr="00263DB9">
        <w:rPr>
          <w:color w:val="000000"/>
          <w:szCs w:val="22"/>
        </w:rPr>
        <w:t xml:space="preserve">Foi observada toxicidade renal em macacos tratados durante 2 semanas, com mineralização focal e dilatação dos túbulos renais e nefrose tubular. Em vários destes animais observou-se aumento dos níveis sanguíneos de ureia (BUN) e da creatinina. No estudo de 13 semanas em ratos, observou-se hiperplasia do epitélio transicional na papila renal e na bexiga, para doses </w:t>
      </w:r>
      <w:r w:rsidRPr="00263DB9">
        <w:rPr>
          <w:color w:val="000000"/>
          <w:szCs w:val="22"/>
        </w:rPr>
        <w:sym w:font="Symbol" w:char="F0B3"/>
      </w:r>
      <w:r w:rsidRPr="00263DB9">
        <w:rPr>
          <w:color w:val="000000"/>
          <w:szCs w:val="22"/>
        </w:rPr>
        <w:t> 6 mg/kg, sem alterações nos parâmetros séricos ou urinários. Foi observado um aumento da taxa de infeções oportunistas após tratamento crónico com imatinib.</w:t>
      </w:r>
    </w:p>
    <w:p w14:paraId="375EB428" w14:textId="77777777" w:rsidR="00906898" w:rsidRPr="00263DB9" w:rsidRDefault="00906898" w:rsidP="00E51817">
      <w:pPr>
        <w:widowControl w:val="0"/>
        <w:rPr>
          <w:color w:val="000000"/>
          <w:szCs w:val="22"/>
        </w:rPr>
      </w:pPr>
    </w:p>
    <w:p w14:paraId="375EB429" w14:textId="77777777" w:rsidR="00906898" w:rsidRPr="00263DB9" w:rsidRDefault="00906898" w:rsidP="00E51817">
      <w:pPr>
        <w:widowControl w:val="0"/>
        <w:rPr>
          <w:color w:val="000000"/>
          <w:szCs w:val="22"/>
        </w:rPr>
      </w:pPr>
      <w:r w:rsidRPr="00263DB9">
        <w:rPr>
          <w:color w:val="000000"/>
          <w:szCs w:val="22"/>
        </w:rPr>
        <w:t>Num estudo de 39 semanas em macacos, não foi estabelecido NOAEL (dose sem efeitos tóxicos observados) para a dose inferior, 15 mg/kg, a qual é aproximadamente um terço da dose máxima no ser humano, 800 mg, com base na superfície corporal. O tratamento induziu um agravamento de infeções palúdicas normalmente suprimidas nestes animais.</w:t>
      </w:r>
    </w:p>
    <w:p w14:paraId="375EB42A" w14:textId="77777777" w:rsidR="00906898" w:rsidRPr="00263DB9" w:rsidRDefault="00906898" w:rsidP="00E51817">
      <w:pPr>
        <w:widowControl w:val="0"/>
        <w:rPr>
          <w:color w:val="000000"/>
          <w:szCs w:val="22"/>
        </w:rPr>
      </w:pPr>
    </w:p>
    <w:p w14:paraId="375EB42B" w14:textId="77777777" w:rsidR="00906898" w:rsidRPr="00263DB9" w:rsidRDefault="00906898" w:rsidP="00E51817">
      <w:pPr>
        <w:widowControl w:val="0"/>
        <w:rPr>
          <w:color w:val="000000"/>
          <w:szCs w:val="22"/>
        </w:rPr>
      </w:pPr>
      <w:r w:rsidRPr="00263DB9">
        <w:rPr>
          <w:color w:val="000000"/>
          <w:szCs w:val="22"/>
        </w:rPr>
        <w:t xml:space="preserve">O imatinib não foi considerado genotóxico quando testado num ensaio </w:t>
      </w:r>
      <w:r w:rsidRPr="00263DB9">
        <w:rPr>
          <w:i/>
          <w:color w:val="000000"/>
          <w:szCs w:val="22"/>
        </w:rPr>
        <w:t>in vitro</w:t>
      </w:r>
      <w:r w:rsidRPr="00263DB9">
        <w:rPr>
          <w:color w:val="000000"/>
          <w:szCs w:val="22"/>
        </w:rPr>
        <w:t xml:space="preserve"> em células bacterianas (teste de Ames), num ensaio </w:t>
      </w:r>
      <w:r w:rsidRPr="00263DB9">
        <w:rPr>
          <w:i/>
          <w:color w:val="000000"/>
          <w:szCs w:val="22"/>
        </w:rPr>
        <w:t>in vitro</w:t>
      </w:r>
      <w:r w:rsidRPr="00263DB9">
        <w:rPr>
          <w:color w:val="000000"/>
          <w:szCs w:val="22"/>
        </w:rPr>
        <w:t xml:space="preserve"> em células de mamíferos (linfoma do ratinho) e no ensaio </w:t>
      </w:r>
      <w:r w:rsidRPr="00263DB9">
        <w:rPr>
          <w:i/>
          <w:color w:val="000000"/>
          <w:szCs w:val="22"/>
        </w:rPr>
        <w:t>in vivo</w:t>
      </w:r>
      <w:r w:rsidRPr="00263DB9">
        <w:rPr>
          <w:color w:val="000000"/>
          <w:szCs w:val="22"/>
        </w:rPr>
        <w:t xml:space="preserve"> de formação de micronúcleos no rato. Foram observados efeitos genotóxicos para o imatinib num ensaio </w:t>
      </w:r>
      <w:r w:rsidRPr="00263DB9">
        <w:rPr>
          <w:i/>
          <w:color w:val="000000"/>
          <w:szCs w:val="22"/>
        </w:rPr>
        <w:t>in vitro</w:t>
      </w:r>
      <w:r w:rsidRPr="00263DB9">
        <w:rPr>
          <w:color w:val="000000"/>
          <w:szCs w:val="22"/>
        </w:rPr>
        <w:t xml:space="preserve"> em células de mamíferos (ovário de hamster Chinês) relativamente a clastogenicidade (aberrações cromossómicas), na presença de ativação metabólica. Dois produtos intermédios do processo de fabrico, os quais estão também presentes no produto acabado, mostraram potencial mutagénico no teste de Ames. Um destes intermédios foi também positivo no ensaio do linfoma do ratinho.</w:t>
      </w:r>
    </w:p>
    <w:p w14:paraId="375EB42C" w14:textId="77777777" w:rsidR="00906898" w:rsidRPr="00263DB9" w:rsidRDefault="00906898" w:rsidP="00E51817">
      <w:pPr>
        <w:widowControl w:val="0"/>
        <w:rPr>
          <w:color w:val="000000"/>
          <w:szCs w:val="22"/>
        </w:rPr>
      </w:pPr>
    </w:p>
    <w:p w14:paraId="375EB42D" w14:textId="77777777" w:rsidR="00906898" w:rsidRPr="00263DB9" w:rsidRDefault="00906898" w:rsidP="00E51817">
      <w:pPr>
        <w:widowControl w:val="0"/>
        <w:rPr>
          <w:color w:val="000000"/>
          <w:szCs w:val="22"/>
        </w:rPr>
      </w:pPr>
      <w:r w:rsidRPr="00263DB9">
        <w:rPr>
          <w:color w:val="000000"/>
          <w:szCs w:val="22"/>
        </w:rPr>
        <w:t xml:space="preserve">No estudo de fertilidade em ratos machos tratados durante 70 dias previamente ao acasalamento, os pesos dos testículos e dos epidídimos e a mobilidade do espermatozóides (percentual) diminuíram nos ratos tratados com 60 mg/kg, valor aproximado da dose máxima clínica de 800 mg por dia, com base na área corporal. Este efeito não foi observado para doses </w:t>
      </w:r>
      <w:r w:rsidRPr="00263DB9">
        <w:rPr>
          <w:color w:val="000000"/>
          <w:szCs w:val="22"/>
        </w:rPr>
        <w:sym w:font="Symbol" w:char="F0A3"/>
      </w:r>
      <w:r w:rsidRPr="00263DB9">
        <w:rPr>
          <w:color w:val="000000"/>
          <w:szCs w:val="22"/>
        </w:rPr>
        <w:t xml:space="preserve"> 20 mg/kg. Em cães foi também observada diminuição ligeira a moderada da espermatogénese, para doses </w:t>
      </w:r>
      <w:r w:rsidRPr="00263DB9">
        <w:rPr>
          <w:color w:val="000000"/>
          <w:szCs w:val="22"/>
        </w:rPr>
        <w:sym w:font="Symbol" w:char="F0B3"/>
      </w:r>
      <w:r w:rsidRPr="00263DB9">
        <w:rPr>
          <w:color w:val="000000"/>
          <w:szCs w:val="22"/>
        </w:rPr>
        <w:t xml:space="preserve"> 30 mg/kg administradas por via oral. Quando os ratos fêmea foram tratados desde 14 dias antes do acasalamento até ao dia 6 de gestação, não ocorreu efeito sobre o acasalamento ou o número de fêmeas prenhas. Numa dose de 60 mg/kg, os ratos fêmeas apresentaram perda fetal pós-implantação significativamente superior e diminuição do número de fetos vivos. Este efeito não foi observado em doses </w:t>
      </w:r>
      <w:r w:rsidRPr="00263DB9">
        <w:rPr>
          <w:color w:val="000000"/>
          <w:szCs w:val="22"/>
        </w:rPr>
        <w:sym w:font="Symbol" w:char="F0A3"/>
      </w:r>
      <w:r w:rsidRPr="00263DB9">
        <w:rPr>
          <w:color w:val="000000"/>
          <w:szCs w:val="22"/>
        </w:rPr>
        <w:t> 20 mg/kg.</w:t>
      </w:r>
    </w:p>
    <w:p w14:paraId="375EB42E" w14:textId="77777777" w:rsidR="00906898" w:rsidRPr="00263DB9" w:rsidRDefault="00906898" w:rsidP="00E51817">
      <w:pPr>
        <w:widowControl w:val="0"/>
        <w:rPr>
          <w:color w:val="000000"/>
          <w:szCs w:val="22"/>
        </w:rPr>
      </w:pPr>
    </w:p>
    <w:p w14:paraId="375EB42F" w14:textId="77777777" w:rsidR="00906898" w:rsidRPr="00263DB9" w:rsidRDefault="00906898" w:rsidP="00E51817">
      <w:pPr>
        <w:widowControl w:val="0"/>
        <w:rPr>
          <w:color w:val="000000"/>
          <w:szCs w:val="22"/>
        </w:rPr>
      </w:pPr>
      <w:r w:rsidRPr="00263DB9">
        <w:rPr>
          <w:color w:val="000000"/>
          <w:szCs w:val="22"/>
        </w:rPr>
        <w:t>Num estudo de desenvolvimento pré- e pós-natal, ocorreu corrimento vaginal avermelhado no grupo tratado com 45 mg/kg por dia, por via oral, em ambos os dias 14 e 15 de gestação. Neste mesmo grupo, o número de nados-mortos e de crias com morte pós-parto, entre os dias 0 e 4 aumentou. Ainda para este grupo, ocorreu, na primeira geração, redução do peso corporal médio desde a nascença até à altura em que os animais foram sacrificados e diminuição do número de crias que atingiram os critérios para separação prepucial. A fertilidade desta primeira geração não foi afetada, tendo sido detetado aumento do número de reabsorções e diminuição do número de fetos viáveis nos animais tratados com a dose de 45 mg/kg por dia. O nível para ausência de efeitos tóxicos observados (NOEL) maternos e para a primeira geração foi a dose de 15 mg/kg por dia (um quarto da dose máxima no ser humano, 800 mg).</w:t>
      </w:r>
    </w:p>
    <w:p w14:paraId="375EB430" w14:textId="77777777" w:rsidR="00906898" w:rsidRPr="00263DB9" w:rsidRDefault="00906898" w:rsidP="00E51817">
      <w:pPr>
        <w:widowControl w:val="0"/>
        <w:rPr>
          <w:color w:val="000000"/>
          <w:szCs w:val="22"/>
        </w:rPr>
      </w:pPr>
    </w:p>
    <w:p w14:paraId="375EB431" w14:textId="77777777" w:rsidR="00906898" w:rsidRPr="00263DB9" w:rsidRDefault="00906898" w:rsidP="00E51817">
      <w:pPr>
        <w:widowControl w:val="0"/>
        <w:rPr>
          <w:color w:val="000000"/>
          <w:szCs w:val="22"/>
        </w:rPr>
      </w:pPr>
      <w:r w:rsidRPr="00263DB9">
        <w:rPr>
          <w:color w:val="000000"/>
          <w:szCs w:val="22"/>
        </w:rPr>
        <w:t xml:space="preserve">O imatinib foi teratogénico nos ratos, quando administrado durante a organogénese em doses </w:t>
      </w:r>
      <w:r w:rsidRPr="00263DB9">
        <w:rPr>
          <w:color w:val="000000"/>
          <w:szCs w:val="22"/>
        </w:rPr>
        <w:sym w:font="Symbol" w:char="F0B3"/>
      </w:r>
      <w:r w:rsidRPr="00263DB9">
        <w:rPr>
          <w:color w:val="000000"/>
          <w:szCs w:val="22"/>
        </w:rPr>
        <w:t xml:space="preserve"> 100 mg/kg, valor aproximado da dose máxima clínica de 800 mg por dia, com base na área corporal. Os efeitos teratogénicos incluíram exencefalia ou encefalocele, ausência/redução do tamanho dos ossos frontais e ausência dos ossos parietais. Estes efeitos não foram observados em doses </w:t>
      </w:r>
      <w:r w:rsidRPr="00263DB9">
        <w:rPr>
          <w:color w:val="000000"/>
          <w:szCs w:val="22"/>
        </w:rPr>
        <w:sym w:font="Symbol" w:char="F0A3"/>
      </w:r>
      <w:r w:rsidRPr="00263DB9">
        <w:rPr>
          <w:color w:val="000000"/>
          <w:szCs w:val="22"/>
        </w:rPr>
        <w:t> 30 mg/kg.</w:t>
      </w:r>
    </w:p>
    <w:p w14:paraId="375EB432" w14:textId="77777777" w:rsidR="002F3C85" w:rsidRPr="00263DB9" w:rsidRDefault="002F3C85" w:rsidP="00E51817">
      <w:pPr>
        <w:widowControl w:val="0"/>
        <w:rPr>
          <w:color w:val="000000"/>
          <w:szCs w:val="22"/>
        </w:rPr>
      </w:pPr>
    </w:p>
    <w:p w14:paraId="375EB433" w14:textId="77777777" w:rsidR="002F3C85" w:rsidRPr="00263DB9" w:rsidRDefault="002F3C85" w:rsidP="00E51817">
      <w:pPr>
        <w:widowControl w:val="0"/>
        <w:rPr>
          <w:color w:val="000000"/>
          <w:szCs w:val="22"/>
        </w:rPr>
      </w:pPr>
      <w:r w:rsidRPr="00263DB9">
        <w:rPr>
          <w:color w:val="000000"/>
          <w:szCs w:val="22"/>
        </w:rPr>
        <w:t xml:space="preserve">Não foram identificados novos órgãos alvo no estudo de toxicologia de desenvolvimento juvenil no rato (dia 10 a 70 pós-parto), relativamente aos órgãos alvo conhecidos em ratos adultos. No estudo de toxicologia juvenil, foram observados efeitos sobre o crescimento, atraso na abertura vaginal e separação prepucial </w:t>
      </w:r>
      <w:r w:rsidR="00634B56" w:rsidRPr="00263DB9">
        <w:rPr>
          <w:color w:val="000000"/>
          <w:szCs w:val="22"/>
        </w:rPr>
        <w:t xml:space="preserve">em </w:t>
      </w:r>
      <w:r w:rsidRPr="00263DB9">
        <w:rPr>
          <w:color w:val="000000"/>
          <w:szCs w:val="22"/>
        </w:rPr>
        <w:t>aproximadamente 0,3 a 2 </w:t>
      </w:r>
      <w:r w:rsidR="00634B56" w:rsidRPr="00263DB9">
        <w:rPr>
          <w:color w:val="000000"/>
          <w:szCs w:val="22"/>
        </w:rPr>
        <w:t xml:space="preserve">vezes </w:t>
      </w:r>
      <w:r w:rsidR="00EC48EE" w:rsidRPr="00263DB9">
        <w:rPr>
          <w:color w:val="000000"/>
          <w:szCs w:val="22"/>
        </w:rPr>
        <w:t xml:space="preserve">da exposição </w:t>
      </w:r>
      <w:r w:rsidRPr="00263DB9">
        <w:rPr>
          <w:color w:val="000000"/>
          <w:szCs w:val="22"/>
        </w:rPr>
        <w:t>pediátrica</w:t>
      </w:r>
      <w:r w:rsidR="00634B56" w:rsidRPr="00263DB9">
        <w:rPr>
          <w:color w:val="000000"/>
          <w:szCs w:val="22"/>
        </w:rPr>
        <w:t xml:space="preserve"> </w:t>
      </w:r>
      <w:r w:rsidR="00EC48EE" w:rsidRPr="00263DB9">
        <w:rPr>
          <w:color w:val="000000"/>
          <w:szCs w:val="22"/>
        </w:rPr>
        <w:t xml:space="preserve">média </w:t>
      </w:r>
      <w:r w:rsidR="00634B56" w:rsidRPr="00263DB9">
        <w:rPr>
          <w:color w:val="000000"/>
          <w:szCs w:val="22"/>
        </w:rPr>
        <w:t xml:space="preserve">com </w:t>
      </w:r>
      <w:r w:rsidR="00EC48EE" w:rsidRPr="00263DB9">
        <w:rPr>
          <w:color w:val="000000"/>
          <w:szCs w:val="22"/>
        </w:rPr>
        <w:t>a</w:t>
      </w:r>
      <w:r w:rsidRPr="00263DB9">
        <w:rPr>
          <w:color w:val="000000"/>
          <w:szCs w:val="22"/>
        </w:rPr>
        <w:t xml:space="preserve"> dose máxima recomendada de 340 mg/m</w:t>
      </w:r>
      <w:r w:rsidRPr="00263DB9">
        <w:rPr>
          <w:color w:val="000000"/>
          <w:szCs w:val="22"/>
          <w:vertAlign w:val="superscript"/>
        </w:rPr>
        <w:t>2</w:t>
      </w:r>
      <w:r w:rsidRPr="00263DB9">
        <w:rPr>
          <w:color w:val="000000"/>
          <w:szCs w:val="22"/>
        </w:rPr>
        <w:t xml:space="preserve">. Além disso, observou-se mortalidade em animais jovens </w:t>
      </w:r>
      <w:r w:rsidRPr="00263DB9">
        <w:rPr>
          <w:color w:val="000000"/>
          <w:szCs w:val="22"/>
        </w:rPr>
        <w:lastRenderedPageBreak/>
        <w:t>(próxim</w:t>
      </w:r>
      <w:r w:rsidR="00EC48EE" w:rsidRPr="00263DB9">
        <w:rPr>
          <w:color w:val="000000"/>
          <w:szCs w:val="22"/>
        </w:rPr>
        <w:t>o</w:t>
      </w:r>
      <w:r w:rsidRPr="00263DB9">
        <w:rPr>
          <w:color w:val="000000"/>
          <w:szCs w:val="22"/>
        </w:rPr>
        <w:t xml:space="preserve"> da fase de desmame) </w:t>
      </w:r>
      <w:r w:rsidR="00EC48EE" w:rsidRPr="00263DB9">
        <w:rPr>
          <w:color w:val="000000"/>
          <w:szCs w:val="22"/>
        </w:rPr>
        <w:t xml:space="preserve">em </w:t>
      </w:r>
      <w:r w:rsidRPr="00263DB9">
        <w:rPr>
          <w:color w:val="000000"/>
          <w:szCs w:val="22"/>
        </w:rPr>
        <w:t xml:space="preserve">aproximadamente 2 vezes </w:t>
      </w:r>
      <w:r w:rsidR="00EC48EE" w:rsidRPr="00263DB9">
        <w:rPr>
          <w:color w:val="000000"/>
          <w:szCs w:val="22"/>
        </w:rPr>
        <w:t xml:space="preserve">da </w:t>
      </w:r>
      <w:r w:rsidR="00634B56" w:rsidRPr="00263DB9">
        <w:rPr>
          <w:color w:val="000000"/>
          <w:szCs w:val="22"/>
        </w:rPr>
        <w:t xml:space="preserve">exposição </w:t>
      </w:r>
      <w:r w:rsidR="00EC48EE" w:rsidRPr="00263DB9">
        <w:rPr>
          <w:color w:val="000000"/>
          <w:szCs w:val="22"/>
        </w:rPr>
        <w:t xml:space="preserve">pediátrica média com a </w:t>
      </w:r>
      <w:r w:rsidRPr="00263DB9">
        <w:rPr>
          <w:color w:val="000000"/>
          <w:szCs w:val="22"/>
        </w:rPr>
        <w:t>dose máxima recomendada de 340</w:t>
      </w:r>
      <w:r w:rsidR="001A6D74" w:rsidRPr="00263DB9">
        <w:rPr>
          <w:color w:val="000000"/>
          <w:szCs w:val="22"/>
        </w:rPr>
        <w:t> </w:t>
      </w:r>
      <w:r w:rsidRPr="00263DB9">
        <w:rPr>
          <w:color w:val="000000"/>
          <w:szCs w:val="22"/>
        </w:rPr>
        <w:t>mg/m</w:t>
      </w:r>
      <w:r w:rsidRPr="00263DB9">
        <w:rPr>
          <w:color w:val="000000"/>
          <w:szCs w:val="22"/>
          <w:vertAlign w:val="superscript"/>
        </w:rPr>
        <w:t>2</w:t>
      </w:r>
      <w:r w:rsidRPr="00263DB9">
        <w:rPr>
          <w:color w:val="000000"/>
          <w:szCs w:val="22"/>
        </w:rPr>
        <w:t>.</w:t>
      </w:r>
    </w:p>
    <w:p w14:paraId="375EB434" w14:textId="77777777" w:rsidR="00906898" w:rsidRPr="00263DB9" w:rsidRDefault="00906898" w:rsidP="00E51817">
      <w:pPr>
        <w:widowControl w:val="0"/>
        <w:rPr>
          <w:color w:val="000000"/>
          <w:szCs w:val="22"/>
        </w:rPr>
      </w:pPr>
    </w:p>
    <w:p w14:paraId="375EB435" w14:textId="77777777" w:rsidR="00906898" w:rsidRPr="00263DB9" w:rsidRDefault="00906898" w:rsidP="00E51817">
      <w:pPr>
        <w:widowControl w:val="0"/>
        <w:rPr>
          <w:color w:val="000000"/>
          <w:szCs w:val="22"/>
        </w:rPr>
      </w:pPr>
      <w:r w:rsidRPr="00263DB9">
        <w:rPr>
          <w:color w:val="000000"/>
          <w:szCs w:val="22"/>
        </w:rPr>
        <w:t>Num estudo de carcinogenicidade efetuado no rato, com a duração de 2 anos, após administração de doses de 15, 30 e 60 mg/kg de imatinib por dia, observou-se uma redução estatisticamente significativa da longevidade dos ratos machos, tratados com doses de 60 mg/kg por dia, e da longevidade das fêmeas tratadas com doses ≥ 30 mg/kg por dia. O exame histopatológico da descendência revelou cardiomiopatia (ambos os sexos), nefropatia crónica progressiva (fêmeas) e papiloma da glândula prepucial como as principais causas de morte ou motivos para sacrifício dos animais. Os órgãos-alvo em relação às alterações neoplásicas foram os rins, bexiga urinária, uretra, glândulas prepucial e clitorial, intestino delgado, glândula paratiróide, glândula adrenal e estômago não glandular.</w:t>
      </w:r>
    </w:p>
    <w:p w14:paraId="375EB436" w14:textId="77777777" w:rsidR="00906898" w:rsidRPr="00263DB9" w:rsidRDefault="00906898" w:rsidP="00E51817">
      <w:pPr>
        <w:widowControl w:val="0"/>
        <w:rPr>
          <w:color w:val="000000"/>
          <w:szCs w:val="22"/>
        </w:rPr>
      </w:pPr>
    </w:p>
    <w:p w14:paraId="375EB437" w14:textId="77777777" w:rsidR="00906898" w:rsidRPr="00263DB9" w:rsidRDefault="00906898" w:rsidP="00E51817">
      <w:pPr>
        <w:widowControl w:val="0"/>
        <w:rPr>
          <w:color w:val="000000"/>
          <w:szCs w:val="22"/>
        </w:rPr>
      </w:pPr>
      <w:r w:rsidRPr="00263DB9">
        <w:rPr>
          <w:color w:val="000000"/>
          <w:szCs w:val="22"/>
        </w:rPr>
        <w:t>Os papilomas/carcinomas da glândula prepucial e clitorial foram observados em doses iguais ou superiores a 30 mg/kg por dia, representando aproximadamente 0,5 ou 0,3 vezes a exposição humana diária (com base na AUC) com doses de 400 mg por dia ou 800 mg por dia, respetivamente, e 0,4 vezes a exposição diária em crianças (com base na AUC) a 340 mg/m</w:t>
      </w:r>
      <w:r w:rsidRPr="00263DB9">
        <w:rPr>
          <w:color w:val="000000"/>
          <w:szCs w:val="22"/>
          <w:vertAlign w:val="superscript"/>
        </w:rPr>
        <w:t>2</w:t>
      </w:r>
      <w:r w:rsidRPr="00263DB9">
        <w:rPr>
          <w:color w:val="000000"/>
          <w:szCs w:val="22"/>
        </w:rPr>
        <w:t xml:space="preserve"> por dia. A dose sem efeitos observados (NOEL) foi de 15 mg/kg por dia. O adenoma/carcinoma renal, o papiloma da bexiga urinária e da uretra, os adenocarcinomas do intestino delgado, os adenomas das glândulas da paratiróide, os tumores medulares malignos e benignos das glâdulas adrenais e os papilomas/carcinomas do estômago não glandular foram observados após administração de doses de 60 mg/kg por dia, representando, aproximadamente, 1,7 a 1 vezes a exposição diária no ser humano (com base na AUC) para doses de 400 mg por dia ou 800 mg por dia, respetivamente, e 1,2 vezes a exposição diária em crianças (com base na AUC) para doses de 340 mg/m</w:t>
      </w:r>
      <w:r w:rsidRPr="00263DB9">
        <w:rPr>
          <w:color w:val="000000"/>
          <w:szCs w:val="22"/>
          <w:vertAlign w:val="superscript"/>
        </w:rPr>
        <w:t>2</w:t>
      </w:r>
      <w:r w:rsidRPr="00263DB9">
        <w:rPr>
          <w:color w:val="000000"/>
          <w:szCs w:val="22"/>
        </w:rPr>
        <w:t xml:space="preserve"> por dia. A dose sem efeitos observados (NOEL) foi de 30 mg/kg por dia.</w:t>
      </w:r>
    </w:p>
    <w:p w14:paraId="375EB438" w14:textId="77777777" w:rsidR="00906898" w:rsidRPr="00263DB9" w:rsidRDefault="00906898" w:rsidP="00E51817">
      <w:pPr>
        <w:widowControl w:val="0"/>
        <w:rPr>
          <w:color w:val="000000"/>
          <w:szCs w:val="22"/>
        </w:rPr>
      </w:pPr>
    </w:p>
    <w:p w14:paraId="375EB439" w14:textId="77777777" w:rsidR="00906898" w:rsidRPr="00263DB9" w:rsidRDefault="00906898" w:rsidP="00E51817">
      <w:pPr>
        <w:widowControl w:val="0"/>
        <w:rPr>
          <w:color w:val="000000"/>
          <w:szCs w:val="22"/>
        </w:rPr>
      </w:pPr>
      <w:r w:rsidRPr="00263DB9">
        <w:rPr>
          <w:color w:val="000000"/>
          <w:szCs w:val="22"/>
        </w:rPr>
        <w:t>Permanece por clarificar o mecanismo e relevância para o ser humano destes resultados obtidos no estudo de carcinogenicidade no rato.</w:t>
      </w:r>
    </w:p>
    <w:p w14:paraId="375EB43A" w14:textId="77777777" w:rsidR="00906898" w:rsidRPr="00263DB9" w:rsidRDefault="00906898" w:rsidP="00E51817">
      <w:pPr>
        <w:widowControl w:val="0"/>
        <w:rPr>
          <w:color w:val="000000"/>
          <w:szCs w:val="22"/>
        </w:rPr>
      </w:pPr>
    </w:p>
    <w:p w14:paraId="375EB43B" w14:textId="77777777" w:rsidR="00906898" w:rsidRPr="00263DB9" w:rsidRDefault="00906898" w:rsidP="00E51817">
      <w:pPr>
        <w:widowControl w:val="0"/>
        <w:rPr>
          <w:color w:val="000000"/>
          <w:szCs w:val="22"/>
        </w:rPr>
      </w:pPr>
      <w:r w:rsidRPr="00263DB9">
        <w:rPr>
          <w:color w:val="000000"/>
          <w:szCs w:val="22"/>
        </w:rPr>
        <w:t>Foram observadas lesões não neoplásicas não identificadas nos estudos pré-clínicos iniciais, nomeadamente ao nível do sistema cardiovascular, pâncreas, órgãos endócrinos, e dentes. As alterações mais relevantes incluíram hipertrofia e dilatação cardíacas, conduzindo a sinais de insuficiência cardíaca em alguns animais.</w:t>
      </w:r>
    </w:p>
    <w:p w14:paraId="375EB43C" w14:textId="77777777" w:rsidR="00E56751" w:rsidRPr="00263DB9" w:rsidRDefault="00E56751" w:rsidP="00E51817">
      <w:pPr>
        <w:widowControl w:val="0"/>
        <w:rPr>
          <w:color w:val="000000"/>
          <w:szCs w:val="22"/>
        </w:rPr>
      </w:pPr>
    </w:p>
    <w:p w14:paraId="375EB43D" w14:textId="77777777" w:rsidR="00906898" w:rsidRPr="00263DB9" w:rsidRDefault="00E56751" w:rsidP="00E51817">
      <w:pPr>
        <w:widowControl w:val="0"/>
        <w:rPr>
          <w:color w:val="000000"/>
          <w:szCs w:val="22"/>
        </w:rPr>
      </w:pPr>
      <w:r w:rsidRPr="00263DB9">
        <w:rPr>
          <w:color w:val="000000"/>
          <w:szCs w:val="22"/>
        </w:rPr>
        <w:t>A substância activa imatinib revela um risco ambiental para organismos presentes nos sedimentos.</w:t>
      </w:r>
    </w:p>
    <w:p w14:paraId="375EB43E" w14:textId="77777777" w:rsidR="002B2D68" w:rsidRPr="00263DB9" w:rsidRDefault="002B2D68" w:rsidP="00E51817">
      <w:pPr>
        <w:widowControl w:val="0"/>
        <w:rPr>
          <w:color w:val="000000"/>
          <w:szCs w:val="22"/>
        </w:rPr>
      </w:pPr>
    </w:p>
    <w:p w14:paraId="375EB43F" w14:textId="77777777" w:rsidR="00906898" w:rsidRPr="00263DB9" w:rsidRDefault="00906898" w:rsidP="00E51817">
      <w:pPr>
        <w:widowControl w:val="0"/>
        <w:suppressAutoHyphens/>
        <w:rPr>
          <w:color w:val="000000"/>
          <w:szCs w:val="22"/>
        </w:rPr>
      </w:pPr>
    </w:p>
    <w:p w14:paraId="375EB440"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6.</w:t>
      </w:r>
      <w:r w:rsidRPr="00263DB9">
        <w:rPr>
          <w:b/>
          <w:color w:val="000000"/>
          <w:szCs w:val="22"/>
        </w:rPr>
        <w:tab/>
        <w:t>INFORMAÇÕES FARMACÊUTICAS</w:t>
      </w:r>
    </w:p>
    <w:p w14:paraId="375EB441" w14:textId="77777777" w:rsidR="00906898" w:rsidRPr="00263DB9" w:rsidRDefault="00906898" w:rsidP="003970DC">
      <w:pPr>
        <w:keepNext/>
        <w:widowControl w:val="0"/>
        <w:suppressAutoHyphens/>
        <w:rPr>
          <w:color w:val="000000"/>
          <w:szCs w:val="22"/>
        </w:rPr>
      </w:pPr>
    </w:p>
    <w:p w14:paraId="375EB442"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6.1</w:t>
      </w:r>
      <w:r w:rsidRPr="00263DB9">
        <w:rPr>
          <w:b/>
          <w:color w:val="000000"/>
          <w:szCs w:val="22"/>
        </w:rPr>
        <w:tab/>
        <w:t>Lista dos excipientes</w:t>
      </w:r>
    </w:p>
    <w:p w14:paraId="375EB443" w14:textId="77777777" w:rsidR="00906898" w:rsidRPr="00263DB9" w:rsidRDefault="00906898" w:rsidP="003970DC">
      <w:pPr>
        <w:keepNext/>
        <w:widowControl w:val="0"/>
        <w:suppressAutoHyphens/>
        <w:rPr>
          <w:color w:val="000000"/>
          <w:szCs w:val="22"/>
        </w:rPr>
      </w:pPr>
    </w:p>
    <w:p w14:paraId="375EB453" w14:textId="77777777" w:rsidR="00C124DD" w:rsidRPr="00263DB9" w:rsidRDefault="00C124DD" w:rsidP="003970DC">
      <w:pPr>
        <w:pStyle w:val="EndnoteText"/>
        <w:keepNext/>
        <w:tabs>
          <w:tab w:val="clear" w:pos="567"/>
          <w:tab w:val="left" w:pos="2268"/>
        </w:tabs>
        <w:suppressAutoHyphens/>
        <w:rPr>
          <w:color w:val="000000"/>
          <w:szCs w:val="22"/>
        </w:rPr>
      </w:pPr>
      <w:r w:rsidRPr="00263DB9">
        <w:rPr>
          <w:color w:val="000000"/>
          <w:szCs w:val="22"/>
        </w:rPr>
        <w:t>Conteúdo da cápsula:</w:t>
      </w:r>
      <w:r w:rsidRPr="00263DB9">
        <w:rPr>
          <w:color w:val="000000"/>
          <w:szCs w:val="22"/>
        </w:rPr>
        <w:tab/>
        <w:t>Celulose microcristalina</w:t>
      </w:r>
    </w:p>
    <w:p w14:paraId="375EB454" w14:textId="77777777" w:rsidR="00C124DD" w:rsidRPr="00263DB9" w:rsidRDefault="00C124DD" w:rsidP="003970DC">
      <w:pPr>
        <w:pStyle w:val="EndnoteText"/>
        <w:keepNext/>
        <w:tabs>
          <w:tab w:val="clear" w:pos="567"/>
        </w:tabs>
        <w:suppressAutoHyphens/>
        <w:ind w:left="2268"/>
        <w:rPr>
          <w:color w:val="000000"/>
          <w:szCs w:val="22"/>
        </w:rPr>
      </w:pPr>
      <w:r w:rsidRPr="00263DB9">
        <w:rPr>
          <w:color w:val="000000"/>
          <w:szCs w:val="22"/>
        </w:rPr>
        <w:t>Crospovidona</w:t>
      </w:r>
    </w:p>
    <w:p w14:paraId="375EB455" w14:textId="77777777" w:rsidR="00C124DD" w:rsidRPr="00263DB9" w:rsidRDefault="00C124DD" w:rsidP="003970DC">
      <w:pPr>
        <w:pStyle w:val="EndnoteText"/>
        <w:keepNext/>
        <w:tabs>
          <w:tab w:val="clear" w:pos="567"/>
        </w:tabs>
        <w:suppressAutoHyphens/>
        <w:ind w:left="2268"/>
        <w:rPr>
          <w:color w:val="000000"/>
          <w:szCs w:val="22"/>
        </w:rPr>
      </w:pPr>
      <w:r w:rsidRPr="00263DB9">
        <w:rPr>
          <w:color w:val="000000"/>
          <w:szCs w:val="22"/>
        </w:rPr>
        <w:t>Estearato de magnésio</w:t>
      </w:r>
    </w:p>
    <w:p w14:paraId="375EB456" w14:textId="77777777" w:rsidR="00C124DD" w:rsidRPr="00263DB9" w:rsidRDefault="00C124DD" w:rsidP="00E51817">
      <w:pPr>
        <w:pStyle w:val="EndnoteText"/>
        <w:tabs>
          <w:tab w:val="clear" w:pos="567"/>
        </w:tabs>
        <w:suppressAutoHyphens/>
        <w:ind w:left="1701" w:firstLine="567"/>
        <w:rPr>
          <w:color w:val="000000"/>
          <w:szCs w:val="22"/>
        </w:rPr>
      </w:pPr>
      <w:r w:rsidRPr="00263DB9">
        <w:rPr>
          <w:color w:val="000000"/>
          <w:szCs w:val="22"/>
        </w:rPr>
        <w:t>Sílica coloidal anidra</w:t>
      </w:r>
    </w:p>
    <w:p w14:paraId="375EB457" w14:textId="77777777" w:rsidR="00C124DD" w:rsidRPr="00263DB9" w:rsidRDefault="00C124DD" w:rsidP="00E51817">
      <w:pPr>
        <w:pStyle w:val="EndnoteText"/>
        <w:tabs>
          <w:tab w:val="clear" w:pos="567"/>
        </w:tabs>
        <w:suppressAutoHyphens/>
        <w:rPr>
          <w:color w:val="000000"/>
          <w:szCs w:val="22"/>
        </w:rPr>
      </w:pPr>
    </w:p>
    <w:p w14:paraId="375EB458" w14:textId="77777777" w:rsidR="00C124DD" w:rsidRPr="00263DB9" w:rsidRDefault="00C124DD" w:rsidP="003970DC">
      <w:pPr>
        <w:pStyle w:val="EndnoteText"/>
        <w:keepNext/>
        <w:tabs>
          <w:tab w:val="clear" w:pos="567"/>
          <w:tab w:val="left" w:pos="2268"/>
        </w:tabs>
        <w:suppressAutoHyphens/>
        <w:rPr>
          <w:color w:val="000000"/>
          <w:szCs w:val="22"/>
        </w:rPr>
      </w:pPr>
      <w:r w:rsidRPr="00263DB9">
        <w:rPr>
          <w:color w:val="000000"/>
          <w:szCs w:val="22"/>
        </w:rPr>
        <w:t>Invólucro da cápsula:</w:t>
      </w:r>
      <w:r w:rsidRPr="00263DB9">
        <w:rPr>
          <w:color w:val="000000"/>
          <w:szCs w:val="22"/>
        </w:rPr>
        <w:tab/>
        <w:t>Gelatina</w:t>
      </w:r>
    </w:p>
    <w:p w14:paraId="375EB459" w14:textId="77777777" w:rsidR="00C124DD" w:rsidRPr="00263DB9" w:rsidRDefault="00C124DD" w:rsidP="003970DC">
      <w:pPr>
        <w:pStyle w:val="EndnoteText"/>
        <w:keepNext/>
        <w:tabs>
          <w:tab w:val="clear" w:pos="567"/>
        </w:tabs>
        <w:suppressAutoHyphens/>
        <w:ind w:left="1548" w:firstLine="720"/>
        <w:rPr>
          <w:color w:val="000000"/>
          <w:szCs w:val="22"/>
        </w:rPr>
      </w:pPr>
      <w:r w:rsidRPr="00263DB9">
        <w:rPr>
          <w:color w:val="000000"/>
          <w:szCs w:val="22"/>
        </w:rPr>
        <w:t>Óxido de ferro vermelho (E172)</w:t>
      </w:r>
    </w:p>
    <w:p w14:paraId="375EB45A" w14:textId="77777777" w:rsidR="00C124DD" w:rsidRPr="00263DB9" w:rsidRDefault="00C124DD" w:rsidP="003970DC">
      <w:pPr>
        <w:pStyle w:val="EndnoteText"/>
        <w:keepNext/>
        <w:tabs>
          <w:tab w:val="clear" w:pos="567"/>
        </w:tabs>
        <w:suppressAutoHyphens/>
        <w:ind w:left="2268"/>
        <w:rPr>
          <w:color w:val="000000"/>
          <w:szCs w:val="22"/>
        </w:rPr>
      </w:pPr>
      <w:r w:rsidRPr="00263DB9">
        <w:rPr>
          <w:color w:val="000000"/>
          <w:szCs w:val="22"/>
        </w:rPr>
        <w:t>Óxido de ferro amarelo (E172)</w:t>
      </w:r>
    </w:p>
    <w:p w14:paraId="375EB45B" w14:textId="77777777" w:rsidR="00C124DD" w:rsidRPr="00263DB9" w:rsidRDefault="00C124DD" w:rsidP="00E51817">
      <w:pPr>
        <w:pStyle w:val="EndnoteText"/>
        <w:tabs>
          <w:tab w:val="clear" w:pos="567"/>
        </w:tabs>
        <w:suppressAutoHyphens/>
        <w:ind w:left="2268"/>
        <w:rPr>
          <w:color w:val="000000"/>
          <w:szCs w:val="22"/>
        </w:rPr>
      </w:pPr>
      <w:r w:rsidRPr="00263DB9">
        <w:rPr>
          <w:color w:val="000000"/>
          <w:szCs w:val="22"/>
        </w:rPr>
        <w:t>Dióxido de titânio (E171)</w:t>
      </w:r>
    </w:p>
    <w:p w14:paraId="375EB45C" w14:textId="77777777" w:rsidR="00C124DD" w:rsidRPr="00263DB9" w:rsidRDefault="00C124DD" w:rsidP="00E51817">
      <w:pPr>
        <w:pStyle w:val="EndnoteText"/>
        <w:tabs>
          <w:tab w:val="clear" w:pos="567"/>
        </w:tabs>
        <w:suppressAutoHyphens/>
        <w:rPr>
          <w:color w:val="000000"/>
          <w:szCs w:val="22"/>
        </w:rPr>
      </w:pPr>
    </w:p>
    <w:p w14:paraId="375EB45D" w14:textId="77777777" w:rsidR="00C124DD" w:rsidRPr="00263DB9" w:rsidRDefault="00C124DD" w:rsidP="003970DC">
      <w:pPr>
        <w:keepNext/>
        <w:widowControl w:val="0"/>
        <w:tabs>
          <w:tab w:val="left" w:pos="2268"/>
        </w:tabs>
        <w:suppressAutoHyphens/>
        <w:rPr>
          <w:color w:val="000000"/>
          <w:szCs w:val="22"/>
        </w:rPr>
      </w:pPr>
      <w:r w:rsidRPr="00263DB9">
        <w:rPr>
          <w:color w:val="000000"/>
          <w:szCs w:val="22"/>
        </w:rPr>
        <w:t>Tinta de impressão:</w:t>
      </w:r>
      <w:r w:rsidRPr="00263DB9">
        <w:rPr>
          <w:color w:val="000000"/>
          <w:szCs w:val="22"/>
        </w:rPr>
        <w:tab/>
        <w:t>Óxido de ferro vermelho (E172)</w:t>
      </w:r>
    </w:p>
    <w:p w14:paraId="375EB45E" w14:textId="77777777" w:rsidR="00C124DD" w:rsidRPr="00263DB9" w:rsidRDefault="00C124DD" w:rsidP="00E51817">
      <w:pPr>
        <w:widowControl w:val="0"/>
        <w:suppressAutoHyphens/>
        <w:ind w:left="2268"/>
        <w:rPr>
          <w:color w:val="000000"/>
          <w:szCs w:val="22"/>
        </w:rPr>
      </w:pPr>
      <w:r w:rsidRPr="00263DB9">
        <w:rPr>
          <w:color w:val="000000"/>
          <w:szCs w:val="22"/>
        </w:rPr>
        <w:t>Shellac</w:t>
      </w:r>
    </w:p>
    <w:p w14:paraId="375EB45F" w14:textId="77777777" w:rsidR="00906898" w:rsidRPr="00263DB9" w:rsidRDefault="00906898" w:rsidP="00E51817">
      <w:pPr>
        <w:widowControl w:val="0"/>
        <w:suppressAutoHyphens/>
        <w:rPr>
          <w:color w:val="000000"/>
          <w:szCs w:val="22"/>
        </w:rPr>
      </w:pPr>
    </w:p>
    <w:p w14:paraId="375EB460"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6.2</w:t>
      </w:r>
      <w:r w:rsidRPr="00263DB9">
        <w:rPr>
          <w:b/>
          <w:color w:val="000000"/>
          <w:szCs w:val="22"/>
        </w:rPr>
        <w:tab/>
        <w:t>Incompatibilidades</w:t>
      </w:r>
    </w:p>
    <w:p w14:paraId="375EB461" w14:textId="77777777" w:rsidR="00906898" w:rsidRPr="00263DB9" w:rsidRDefault="00906898" w:rsidP="003970DC">
      <w:pPr>
        <w:keepNext/>
        <w:widowControl w:val="0"/>
        <w:suppressAutoHyphens/>
        <w:rPr>
          <w:color w:val="000000"/>
          <w:szCs w:val="22"/>
        </w:rPr>
      </w:pPr>
    </w:p>
    <w:p w14:paraId="375EB462" w14:textId="77777777" w:rsidR="00906898" w:rsidRPr="00263DB9" w:rsidRDefault="00906898" w:rsidP="00E51817">
      <w:pPr>
        <w:widowControl w:val="0"/>
        <w:suppressAutoHyphens/>
        <w:rPr>
          <w:color w:val="000000"/>
          <w:szCs w:val="22"/>
        </w:rPr>
      </w:pPr>
      <w:r w:rsidRPr="00263DB9">
        <w:rPr>
          <w:color w:val="000000"/>
          <w:szCs w:val="22"/>
        </w:rPr>
        <w:t>Não aplicável.</w:t>
      </w:r>
    </w:p>
    <w:p w14:paraId="375EB463" w14:textId="77777777" w:rsidR="00906898" w:rsidRPr="00263DB9" w:rsidRDefault="00906898" w:rsidP="00E51817">
      <w:pPr>
        <w:widowControl w:val="0"/>
        <w:suppressAutoHyphens/>
        <w:rPr>
          <w:color w:val="000000"/>
          <w:szCs w:val="22"/>
        </w:rPr>
      </w:pPr>
    </w:p>
    <w:p w14:paraId="375EB464"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6.3</w:t>
      </w:r>
      <w:r w:rsidRPr="00263DB9">
        <w:rPr>
          <w:b/>
          <w:color w:val="000000"/>
          <w:szCs w:val="22"/>
        </w:rPr>
        <w:tab/>
        <w:t>Prazo de validade</w:t>
      </w:r>
    </w:p>
    <w:p w14:paraId="375EB465" w14:textId="77777777" w:rsidR="00906898" w:rsidRPr="00263DB9" w:rsidRDefault="00906898" w:rsidP="003970DC">
      <w:pPr>
        <w:keepNext/>
        <w:widowControl w:val="0"/>
        <w:suppressAutoHyphens/>
        <w:rPr>
          <w:color w:val="000000"/>
          <w:szCs w:val="22"/>
        </w:rPr>
      </w:pPr>
    </w:p>
    <w:p w14:paraId="375EB466" w14:textId="77777777" w:rsidR="00906898" w:rsidRPr="00263DB9" w:rsidRDefault="00906898" w:rsidP="00E51817">
      <w:pPr>
        <w:widowControl w:val="0"/>
        <w:suppressAutoHyphens/>
        <w:rPr>
          <w:color w:val="000000"/>
          <w:szCs w:val="22"/>
        </w:rPr>
      </w:pPr>
      <w:r w:rsidRPr="00263DB9">
        <w:rPr>
          <w:color w:val="000000"/>
          <w:szCs w:val="22"/>
        </w:rPr>
        <w:t>2 anos</w:t>
      </w:r>
    </w:p>
    <w:p w14:paraId="375EB467" w14:textId="77777777" w:rsidR="00906898" w:rsidRPr="00263DB9" w:rsidRDefault="00906898" w:rsidP="00E51817">
      <w:pPr>
        <w:widowControl w:val="0"/>
        <w:suppressAutoHyphens/>
        <w:rPr>
          <w:color w:val="000000"/>
          <w:szCs w:val="22"/>
        </w:rPr>
      </w:pPr>
    </w:p>
    <w:p w14:paraId="375EB468"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6.4</w:t>
      </w:r>
      <w:r w:rsidRPr="00263DB9">
        <w:rPr>
          <w:b/>
          <w:color w:val="000000"/>
          <w:szCs w:val="22"/>
        </w:rPr>
        <w:tab/>
        <w:t>Precauções especiais de conservação</w:t>
      </w:r>
    </w:p>
    <w:p w14:paraId="375EB469" w14:textId="77777777" w:rsidR="00906898" w:rsidRPr="00263DB9" w:rsidRDefault="00906898" w:rsidP="003970DC">
      <w:pPr>
        <w:keepNext/>
        <w:widowControl w:val="0"/>
        <w:suppressAutoHyphens/>
        <w:rPr>
          <w:color w:val="000000"/>
          <w:szCs w:val="22"/>
        </w:rPr>
      </w:pPr>
    </w:p>
    <w:p w14:paraId="375EB46A" w14:textId="77777777" w:rsidR="00906898" w:rsidRPr="00263DB9" w:rsidRDefault="00906898" w:rsidP="00E51817">
      <w:pPr>
        <w:widowControl w:val="0"/>
        <w:suppressAutoHyphens/>
        <w:rPr>
          <w:color w:val="000000"/>
          <w:szCs w:val="22"/>
        </w:rPr>
      </w:pPr>
      <w:r w:rsidRPr="00263DB9">
        <w:rPr>
          <w:color w:val="000000"/>
          <w:szCs w:val="22"/>
        </w:rPr>
        <w:t>Não conservar acima de 30°C.</w:t>
      </w:r>
    </w:p>
    <w:p w14:paraId="375EB46B" w14:textId="77777777" w:rsidR="00906898" w:rsidRPr="00263DB9" w:rsidRDefault="00906898" w:rsidP="00E51817">
      <w:pPr>
        <w:widowControl w:val="0"/>
        <w:suppressAutoHyphens/>
        <w:rPr>
          <w:color w:val="000000"/>
          <w:szCs w:val="22"/>
        </w:rPr>
      </w:pPr>
    </w:p>
    <w:p w14:paraId="375EB46C" w14:textId="77777777" w:rsidR="00906898" w:rsidRPr="00263DB9" w:rsidRDefault="00906898" w:rsidP="00E51817">
      <w:pPr>
        <w:widowControl w:val="0"/>
        <w:suppressAutoHyphens/>
        <w:rPr>
          <w:color w:val="000000"/>
          <w:szCs w:val="22"/>
        </w:rPr>
      </w:pPr>
      <w:r w:rsidRPr="00263DB9">
        <w:rPr>
          <w:color w:val="000000"/>
          <w:szCs w:val="22"/>
        </w:rPr>
        <w:t xml:space="preserve">Conservar na embalagem de origem </w:t>
      </w:r>
      <w:r w:rsidRPr="00263DB9">
        <w:rPr>
          <w:noProof/>
          <w:color w:val="000000"/>
          <w:szCs w:val="22"/>
        </w:rPr>
        <w:t>para proteger da humidade</w:t>
      </w:r>
      <w:r w:rsidRPr="00263DB9">
        <w:rPr>
          <w:color w:val="000000"/>
          <w:szCs w:val="22"/>
        </w:rPr>
        <w:t>.</w:t>
      </w:r>
    </w:p>
    <w:p w14:paraId="375EB46D" w14:textId="77777777" w:rsidR="00906898" w:rsidRPr="00263DB9" w:rsidRDefault="00906898" w:rsidP="00E51817">
      <w:pPr>
        <w:widowControl w:val="0"/>
        <w:suppressAutoHyphens/>
        <w:rPr>
          <w:color w:val="000000"/>
          <w:szCs w:val="22"/>
        </w:rPr>
      </w:pPr>
    </w:p>
    <w:p w14:paraId="375EB46E"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6.5</w:t>
      </w:r>
      <w:r w:rsidRPr="00263DB9">
        <w:rPr>
          <w:b/>
          <w:color w:val="000000"/>
          <w:szCs w:val="22"/>
        </w:rPr>
        <w:tab/>
        <w:t>Natureza e conteúdo do recipiente</w:t>
      </w:r>
    </w:p>
    <w:p w14:paraId="375EB46F" w14:textId="77777777" w:rsidR="00906898" w:rsidRPr="00263DB9" w:rsidRDefault="00906898" w:rsidP="003970DC">
      <w:pPr>
        <w:keepNext/>
        <w:widowControl w:val="0"/>
        <w:suppressAutoHyphens/>
        <w:rPr>
          <w:color w:val="000000"/>
          <w:szCs w:val="22"/>
        </w:rPr>
      </w:pPr>
    </w:p>
    <w:p w14:paraId="375EB470" w14:textId="77777777" w:rsidR="00906898" w:rsidRPr="00263DB9" w:rsidRDefault="00906898" w:rsidP="003970DC">
      <w:pPr>
        <w:keepNext/>
        <w:widowControl w:val="0"/>
        <w:suppressAutoHyphens/>
        <w:rPr>
          <w:color w:val="000000"/>
          <w:szCs w:val="22"/>
        </w:rPr>
      </w:pPr>
      <w:r w:rsidRPr="00263DB9">
        <w:rPr>
          <w:color w:val="000000"/>
          <w:szCs w:val="22"/>
        </w:rPr>
        <w:t>Blisters em PVC/alumínio.</w:t>
      </w:r>
    </w:p>
    <w:p w14:paraId="375EB471" w14:textId="77777777" w:rsidR="00906898" w:rsidRPr="00263DB9" w:rsidRDefault="00906898" w:rsidP="003970DC">
      <w:pPr>
        <w:keepNext/>
        <w:widowControl w:val="0"/>
        <w:suppressAutoHyphens/>
        <w:rPr>
          <w:color w:val="000000"/>
          <w:szCs w:val="22"/>
        </w:rPr>
      </w:pPr>
    </w:p>
    <w:p w14:paraId="375EB476" w14:textId="77777777" w:rsidR="00C124DD" w:rsidRPr="00263DB9" w:rsidRDefault="00C124DD" w:rsidP="00E51817">
      <w:pPr>
        <w:widowControl w:val="0"/>
        <w:suppressAutoHyphens/>
        <w:rPr>
          <w:color w:val="000000"/>
          <w:szCs w:val="22"/>
        </w:rPr>
      </w:pPr>
      <w:r w:rsidRPr="00263DB9">
        <w:rPr>
          <w:color w:val="000000"/>
          <w:szCs w:val="22"/>
        </w:rPr>
        <w:t>Embalagens contendo 24, 48, 96, 120 e 180 cápsulas.</w:t>
      </w:r>
    </w:p>
    <w:p w14:paraId="375EB477" w14:textId="77777777" w:rsidR="00C124DD" w:rsidRPr="00263DB9" w:rsidRDefault="00C124DD" w:rsidP="00E51817">
      <w:pPr>
        <w:widowControl w:val="0"/>
        <w:suppressAutoHyphens/>
        <w:rPr>
          <w:color w:val="000000"/>
          <w:szCs w:val="22"/>
        </w:rPr>
      </w:pPr>
    </w:p>
    <w:p w14:paraId="375EB478" w14:textId="77777777" w:rsidR="004D43E8" w:rsidRPr="00263DB9" w:rsidRDefault="004D43E8" w:rsidP="00E51817">
      <w:pPr>
        <w:widowControl w:val="0"/>
      </w:pPr>
      <w:r w:rsidRPr="00263DB9">
        <w:t>É possível que não sejam comercializadas todas as apresentações.</w:t>
      </w:r>
    </w:p>
    <w:p w14:paraId="375EB479" w14:textId="77777777" w:rsidR="004D43E8" w:rsidRPr="00263DB9" w:rsidRDefault="004D43E8" w:rsidP="00E51817">
      <w:pPr>
        <w:widowControl w:val="0"/>
        <w:suppressAutoHyphens/>
        <w:rPr>
          <w:color w:val="000000"/>
          <w:szCs w:val="22"/>
        </w:rPr>
      </w:pPr>
    </w:p>
    <w:p w14:paraId="375EB47A"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6.6</w:t>
      </w:r>
      <w:r w:rsidRPr="00263DB9">
        <w:rPr>
          <w:b/>
          <w:color w:val="000000"/>
          <w:szCs w:val="22"/>
        </w:rPr>
        <w:tab/>
        <w:t>Precauções especiais de eliminação</w:t>
      </w:r>
    </w:p>
    <w:p w14:paraId="375EB47B" w14:textId="77777777" w:rsidR="00906898" w:rsidRPr="00263DB9" w:rsidRDefault="00906898" w:rsidP="003970DC">
      <w:pPr>
        <w:keepNext/>
        <w:widowControl w:val="0"/>
        <w:suppressAutoHyphens/>
        <w:rPr>
          <w:color w:val="000000"/>
          <w:szCs w:val="22"/>
        </w:rPr>
      </w:pPr>
    </w:p>
    <w:p w14:paraId="375EB47C" w14:textId="77777777" w:rsidR="00E56751" w:rsidRPr="00263DB9" w:rsidRDefault="00E56751" w:rsidP="00E51817">
      <w:pPr>
        <w:widowControl w:val="0"/>
        <w:suppressAutoHyphens/>
        <w:rPr>
          <w:szCs w:val="24"/>
        </w:rPr>
      </w:pPr>
      <w:r w:rsidRPr="00263DB9">
        <w:rPr>
          <w:szCs w:val="22"/>
        </w:rPr>
        <w:t xml:space="preserve">Qualquer </w:t>
      </w:r>
      <w:r w:rsidRPr="00263DB9">
        <w:rPr>
          <w:szCs w:val="24"/>
        </w:rPr>
        <w:t>medicamento não utilizado ou resíduos devem ser eliminados de acordo com as exigências locais.</w:t>
      </w:r>
    </w:p>
    <w:p w14:paraId="375EB47D" w14:textId="77777777" w:rsidR="002B2D68" w:rsidRPr="00263DB9" w:rsidRDefault="002B2D68" w:rsidP="00E51817">
      <w:pPr>
        <w:widowControl w:val="0"/>
        <w:suppressAutoHyphens/>
        <w:rPr>
          <w:szCs w:val="24"/>
        </w:rPr>
      </w:pPr>
    </w:p>
    <w:p w14:paraId="375EB47E" w14:textId="77777777" w:rsidR="00906898" w:rsidRPr="00263DB9" w:rsidRDefault="00906898" w:rsidP="00E51817">
      <w:pPr>
        <w:widowControl w:val="0"/>
        <w:suppressAutoHyphens/>
        <w:rPr>
          <w:color w:val="000000"/>
          <w:szCs w:val="22"/>
        </w:rPr>
      </w:pPr>
    </w:p>
    <w:p w14:paraId="375EB47F"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7.</w:t>
      </w:r>
      <w:r w:rsidRPr="00263DB9">
        <w:rPr>
          <w:b/>
          <w:color w:val="000000"/>
          <w:szCs w:val="22"/>
        </w:rPr>
        <w:tab/>
        <w:t>TITULAR DA AUTORIZAÇÃO DE INTRODUÇÃO NO MERCADO</w:t>
      </w:r>
    </w:p>
    <w:p w14:paraId="375EB480" w14:textId="77777777" w:rsidR="00906898" w:rsidRPr="00263DB9" w:rsidRDefault="00906898" w:rsidP="003970DC">
      <w:pPr>
        <w:keepNext/>
        <w:widowControl w:val="0"/>
        <w:suppressAutoHyphens/>
        <w:rPr>
          <w:color w:val="000000"/>
          <w:szCs w:val="22"/>
        </w:rPr>
      </w:pPr>
    </w:p>
    <w:p w14:paraId="375EB481" w14:textId="77777777" w:rsidR="00906898" w:rsidRPr="00263DB9" w:rsidRDefault="00906898" w:rsidP="003970DC">
      <w:pPr>
        <w:keepNext/>
        <w:widowControl w:val="0"/>
        <w:suppressAutoHyphens/>
        <w:rPr>
          <w:color w:val="000000"/>
          <w:szCs w:val="22"/>
          <w:lang w:val="en-US"/>
        </w:rPr>
      </w:pPr>
      <w:r w:rsidRPr="00263DB9">
        <w:rPr>
          <w:color w:val="000000"/>
          <w:szCs w:val="22"/>
          <w:lang w:val="en-US"/>
        </w:rPr>
        <w:t>Novartis Europharm Limited</w:t>
      </w:r>
    </w:p>
    <w:p w14:paraId="375EB482" w14:textId="77777777" w:rsidR="009C587B" w:rsidRPr="00263DB9" w:rsidRDefault="009C587B" w:rsidP="00E51817">
      <w:pPr>
        <w:keepNext/>
        <w:widowControl w:val="0"/>
        <w:rPr>
          <w:color w:val="000000"/>
          <w:lang w:val="en-US"/>
        </w:rPr>
      </w:pPr>
      <w:r w:rsidRPr="00263DB9">
        <w:rPr>
          <w:color w:val="000000"/>
          <w:lang w:val="en-US"/>
        </w:rPr>
        <w:t>Vista Building</w:t>
      </w:r>
    </w:p>
    <w:p w14:paraId="375EB483" w14:textId="77777777" w:rsidR="009C587B" w:rsidRPr="00263DB9" w:rsidRDefault="009C587B" w:rsidP="00E51817">
      <w:pPr>
        <w:keepNext/>
        <w:widowControl w:val="0"/>
        <w:rPr>
          <w:color w:val="000000"/>
          <w:lang w:val="en-US"/>
        </w:rPr>
      </w:pPr>
      <w:r w:rsidRPr="00263DB9">
        <w:rPr>
          <w:color w:val="000000"/>
          <w:lang w:val="en-US"/>
        </w:rPr>
        <w:t>Elm Park, Merrion Road</w:t>
      </w:r>
    </w:p>
    <w:p w14:paraId="375EB484" w14:textId="77777777" w:rsidR="009C587B" w:rsidRPr="00263DB9" w:rsidRDefault="009C587B" w:rsidP="00E51817">
      <w:pPr>
        <w:keepNext/>
        <w:widowControl w:val="0"/>
        <w:rPr>
          <w:color w:val="000000"/>
        </w:rPr>
      </w:pPr>
      <w:r w:rsidRPr="00263DB9">
        <w:rPr>
          <w:color w:val="000000"/>
        </w:rPr>
        <w:t>Dublin 4</w:t>
      </w:r>
    </w:p>
    <w:p w14:paraId="375EB485" w14:textId="77777777" w:rsidR="009C587B" w:rsidRPr="00263DB9" w:rsidRDefault="009C587B" w:rsidP="00E51817">
      <w:pPr>
        <w:widowControl w:val="0"/>
        <w:rPr>
          <w:color w:val="000000"/>
        </w:rPr>
      </w:pPr>
      <w:r w:rsidRPr="00263DB9">
        <w:rPr>
          <w:color w:val="000000"/>
        </w:rPr>
        <w:t>Irlanda</w:t>
      </w:r>
    </w:p>
    <w:p w14:paraId="375EB486" w14:textId="77777777" w:rsidR="00906898" w:rsidRPr="00263DB9" w:rsidRDefault="00906898" w:rsidP="00E51817">
      <w:pPr>
        <w:widowControl w:val="0"/>
        <w:suppressAutoHyphens/>
        <w:rPr>
          <w:color w:val="000000"/>
          <w:szCs w:val="22"/>
        </w:rPr>
      </w:pPr>
    </w:p>
    <w:p w14:paraId="375EB487" w14:textId="77777777" w:rsidR="00906898" w:rsidRPr="00263DB9" w:rsidRDefault="00906898" w:rsidP="00E51817">
      <w:pPr>
        <w:widowControl w:val="0"/>
        <w:suppressAutoHyphens/>
        <w:rPr>
          <w:color w:val="000000"/>
          <w:szCs w:val="22"/>
        </w:rPr>
      </w:pPr>
    </w:p>
    <w:p w14:paraId="375EB488" w14:textId="77777777" w:rsidR="00906898" w:rsidRPr="00263DB9" w:rsidRDefault="00906898" w:rsidP="003970DC">
      <w:pPr>
        <w:keepNext/>
        <w:widowControl w:val="0"/>
        <w:suppressAutoHyphens/>
        <w:ind w:left="567" w:hanging="567"/>
        <w:rPr>
          <w:b/>
          <w:color w:val="000000"/>
          <w:szCs w:val="22"/>
        </w:rPr>
      </w:pPr>
      <w:r w:rsidRPr="00263DB9">
        <w:rPr>
          <w:b/>
          <w:color w:val="000000"/>
          <w:szCs w:val="22"/>
        </w:rPr>
        <w:t>8.</w:t>
      </w:r>
      <w:r w:rsidRPr="00263DB9">
        <w:rPr>
          <w:b/>
          <w:color w:val="000000"/>
          <w:szCs w:val="22"/>
        </w:rPr>
        <w:tab/>
        <w:t>NÚMERO(S) DA AUTORIZAÇÃO DE INTRODUÇÃO NO MERCADO</w:t>
      </w:r>
    </w:p>
    <w:p w14:paraId="375EB489" w14:textId="77777777" w:rsidR="00906898" w:rsidRPr="00263DB9" w:rsidRDefault="00906898" w:rsidP="003970DC">
      <w:pPr>
        <w:keepNext/>
        <w:widowControl w:val="0"/>
        <w:suppressAutoHyphens/>
        <w:rPr>
          <w:color w:val="000000"/>
          <w:szCs w:val="22"/>
        </w:rPr>
      </w:pPr>
    </w:p>
    <w:p w14:paraId="375EB48E" w14:textId="77777777" w:rsidR="00C124DD" w:rsidRPr="00263DB9" w:rsidRDefault="00C124DD" w:rsidP="00E51817">
      <w:pPr>
        <w:widowControl w:val="0"/>
        <w:suppressAutoHyphens/>
        <w:rPr>
          <w:color w:val="000000"/>
          <w:szCs w:val="22"/>
        </w:rPr>
      </w:pPr>
      <w:r w:rsidRPr="00263DB9">
        <w:rPr>
          <w:color w:val="000000"/>
          <w:szCs w:val="22"/>
        </w:rPr>
        <w:t>EU/1/01/198/002-006</w:t>
      </w:r>
    </w:p>
    <w:p w14:paraId="375EB48F" w14:textId="77777777" w:rsidR="001104DD" w:rsidRPr="00263DB9" w:rsidRDefault="001104DD" w:rsidP="00E51817">
      <w:pPr>
        <w:widowControl w:val="0"/>
        <w:suppressAutoHyphens/>
        <w:rPr>
          <w:color w:val="000000"/>
          <w:szCs w:val="22"/>
        </w:rPr>
      </w:pPr>
    </w:p>
    <w:p w14:paraId="375EB490" w14:textId="77777777" w:rsidR="00906898" w:rsidRPr="00263DB9" w:rsidRDefault="00906898" w:rsidP="00E51817">
      <w:pPr>
        <w:widowControl w:val="0"/>
        <w:suppressAutoHyphens/>
        <w:rPr>
          <w:color w:val="000000"/>
          <w:szCs w:val="22"/>
        </w:rPr>
      </w:pPr>
    </w:p>
    <w:p w14:paraId="375EB491" w14:textId="77777777" w:rsidR="00906898" w:rsidRPr="00263DB9" w:rsidRDefault="00906898" w:rsidP="003970DC">
      <w:pPr>
        <w:keepNext/>
        <w:keepLines/>
        <w:widowControl w:val="0"/>
        <w:suppressAutoHyphens/>
        <w:ind w:left="567" w:hanging="567"/>
        <w:rPr>
          <w:b/>
          <w:color w:val="000000"/>
          <w:szCs w:val="22"/>
        </w:rPr>
      </w:pPr>
      <w:r w:rsidRPr="00263DB9">
        <w:rPr>
          <w:b/>
          <w:color w:val="000000"/>
          <w:szCs w:val="22"/>
        </w:rPr>
        <w:t>9.</w:t>
      </w:r>
      <w:r w:rsidRPr="00263DB9">
        <w:rPr>
          <w:b/>
          <w:color w:val="000000"/>
          <w:szCs w:val="22"/>
        </w:rPr>
        <w:tab/>
        <w:t>DATA DA PRIMEIRA AUTORIZAÇÃO/RENOVAÇÃO DA AUTORIZAÇÃO DE INTRODUÇÃO NO MERCADO</w:t>
      </w:r>
    </w:p>
    <w:p w14:paraId="375EB492" w14:textId="77777777" w:rsidR="00906898" w:rsidRPr="00263DB9" w:rsidRDefault="00906898" w:rsidP="003970DC">
      <w:pPr>
        <w:keepNext/>
        <w:keepLines/>
        <w:widowControl w:val="0"/>
        <w:suppressAutoHyphens/>
        <w:rPr>
          <w:color w:val="000000"/>
          <w:szCs w:val="22"/>
        </w:rPr>
      </w:pPr>
    </w:p>
    <w:p w14:paraId="375EB493" w14:textId="77777777" w:rsidR="00906898" w:rsidRPr="00263DB9" w:rsidRDefault="00906898" w:rsidP="003970DC">
      <w:pPr>
        <w:keepNext/>
        <w:keepLines/>
        <w:widowControl w:val="0"/>
        <w:suppressAutoHyphens/>
        <w:rPr>
          <w:color w:val="000000"/>
          <w:szCs w:val="22"/>
        </w:rPr>
      </w:pPr>
      <w:r w:rsidRPr="00263DB9">
        <w:rPr>
          <w:color w:val="000000"/>
          <w:szCs w:val="22"/>
        </w:rPr>
        <w:t>Data da primeira autorização: 07 de novembro de 2001</w:t>
      </w:r>
    </w:p>
    <w:p w14:paraId="375EB494" w14:textId="77777777" w:rsidR="00906898" w:rsidRPr="00263DB9" w:rsidRDefault="00906898" w:rsidP="00E51817">
      <w:pPr>
        <w:widowControl w:val="0"/>
        <w:suppressAutoHyphens/>
        <w:rPr>
          <w:color w:val="000000"/>
          <w:szCs w:val="22"/>
        </w:rPr>
      </w:pPr>
      <w:r w:rsidRPr="00263DB9">
        <w:rPr>
          <w:color w:val="000000"/>
          <w:szCs w:val="22"/>
        </w:rPr>
        <w:t>Data da última renovação: 07 de novembro de 2006</w:t>
      </w:r>
    </w:p>
    <w:p w14:paraId="375EB495" w14:textId="77777777" w:rsidR="00906898" w:rsidRPr="00263DB9" w:rsidRDefault="00906898" w:rsidP="00E51817">
      <w:pPr>
        <w:widowControl w:val="0"/>
        <w:suppressAutoHyphens/>
        <w:rPr>
          <w:color w:val="000000"/>
          <w:szCs w:val="22"/>
        </w:rPr>
      </w:pPr>
    </w:p>
    <w:p w14:paraId="375EB496" w14:textId="77777777" w:rsidR="00906898" w:rsidRPr="00263DB9" w:rsidRDefault="00906898" w:rsidP="00E51817">
      <w:pPr>
        <w:widowControl w:val="0"/>
        <w:suppressAutoHyphens/>
        <w:rPr>
          <w:color w:val="000000"/>
          <w:szCs w:val="22"/>
        </w:rPr>
      </w:pPr>
    </w:p>
    <w:p w14:paraId="375EB497" w14:textId="77777777" w:rsidR="00906898" w:rsidRPr="00263DB9" w:rsidRDefault="00906898" w:rsidP="00E51817">
      <w:pPr>
        <w:widowControl w:val="0"/>
        <w:suppressAutoHyphens/>
        <w:ind w:left="567" w:hanging="567"/>
        <w:rPr>
          <w:b/>
          <w:color w:val="000000"/>
          <w:szCs w:val="22"/>
        </w:rPr>
      </w:pPr>
      <w:r w:rsidRPr="00263DB9">
        <w:rPr>
          <w:b/>
          <w:color w:val="000000"/>
          <w:szCs w:val="22"/>
        </w:rPr>
        <w:t>10.</w:t>
      </w:r>
      <w:r w:rsidRPr="00263DB9">
        <w:rPr>
          <w:b/>
          <w:color w:val="000000"/>
          <w:szCs w:val="22"/>
        </w:rPr>
        <w:tab/>
        <w:t>DATA DA REVISÃO DO TEXTO</w:t>
      </w:r>
    </w:p>
    <w:p w14:paraId="375EB498" w14:textId="77777777" w:rsidR="00906898" w:rsidRPr="00263DB9" w:rsidRDefault="00906898" w:rsidP="00E51817">
      <w:pPr>
        <w:widowControl w:val="0"/>
        <w:suppressAutoHyphens/>
        <w:ind w:left="567" w:hanging="567"/>
        <w:rPr>
          <w:bCs/>
          <w:color w:val="000000"/>
          <w:szCs w:val="22"/>
        </w:rPr>
      </w:pPr>
    </w:p>
    <w:p w14:paraId="375EB499" w14:textId="77777777" w:rsidR="00906898" w:rsidRPr="00263DB9" w:rsidRDefault="00906898" w:rsidP="00E51817">
      <w:pPr>
        <w:widowControl w:val="0"/>
        <w:suppressAutoHyphens/>
        <w:ind w:left="567" w:hanging="567"/>
        <w:rPr>
          <w:bCs/>
          <w:color w:val="000000"/>
          <w:szCs w:val="22"/>
        </w:rPr>
      </w:pPr>
    </w:p>
    <w:p w14:paraId="375EB49A" w14:textId="77777777" w:rsidR="00906898" w:rsidRPr="00263DB9" w:rsidRDefault="00906898" w:rsidP="003970DC">
      <w:pPr>
        <w:keepLines/>
        <w:widowControl w:val="0"/>
        <w:suppressAutoHyphens/>
        <w:rPr>
          <w:color w:val="000000"/>
          <w:szCs w:val="22"/>
        </w:rPr>
      </w:pPr>
      <w:r w:rsidRPr="00263DB9">
        <w:rPr>
          <w:noProof/>
          <w:color w:val="000000"/>
        </w:rPr>
        <w:t>Está disponível informação pormenorizada sobre este medicamento no sítio da internet da Agência Europeia de Medicamentos: http://www.ema.europa.eu</w:t>
      </w:r>
    </w:p>
    <w:p w14:paraId="375EB49B" w14:textId="77777777" w:rsidR="00022E28" w:rsidRPr="00263DB9" w:rsidRDefault="00906898" w:rsidP="00E51817">
      <w:pPr>
        <w:widowControl w:val="0"/>
        <w:suppressAutoHyphens/>
        <w:ind w:right="14"/>
        <w:rPr>
          <w:szCs w:val="22"/>
        </w:rPr>
      </w:pPr>
      <w:r w:rsidRPr="00263DB9">
        <w:rPr>
          <w:color w:val="000000"/>
          <w:szCs w:val="22"/>
        </w:rPr>
        <w:br w:type="page"/>
      </w:r>
      <w:r w:rsidR="006B5399" w:rsidRPr="00263DB9">
        <w:rPr>
          <w:noProof/>
          <w:lang w:val="en-GB" w:eastAsia="en-GB"/>
        </w:rPr>
        <w:lastRenderedPageBreak/>
        <w:drawing>
          <wp:inline distT="0" distB="0" distL="0" distR="0" wp14:anchorId="375EC36D" wp14:editId="375EC36E">
            <wp:extent cx="201295" cy="173990"/>
            <wp:effectExtent l="0" t="0" r="0" b="0"/>
            <wp:docPr id="4" name="Picture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_1000x858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022E28" w:rsidRPr="00263DB9">
        <w:rPr>
          <w:noProof/>
          <w:szCs w:val="22"/>
        </w:rPr>
        <w:t>Este medicamento está sujeito a monitorização adicional. Isto irá permitir a rápida identificação de nova informação de segurança.</w:t>
      </w:r>
      <w:r w:rsidR="00022E28" w:rsidRPr="00263DB9">
        <w:rPr>
          <w:szCs w:val="22"/>
        </w:rPr>
        <w:t xml:space="preserve"> </w:t>
      </w:r>
      <w:r w:rsidR="00022E28" w:rsidRPr="00263DB9">
        <w:rPr>
          <w:noProof/>
          <w:szCs w:val="22"/>
        </w:rPr>
        <w:t>Pede-se aos profissionais de saúde que notifiquem quaisquer suspeitas de reações adversas.</w:t>
      </w:r>
      <w:r w:rsidR="00022E28" w:rsidRPr="00263DB9">
        <w:rPr>
          <w:szCs w:val="22"/>
        </w:rPr>
        <w:t xml:space="preserve"> Para saber como notificar reações adversas, ver secção 4.8.</w:t>
      </w:r>
    </w:p>
    <w:p w14:paraId="375EB49C" w14:textId="77777777" w:rsidR="00022E28" w:rsidRPr="00263DB9" w:rsidRDefault="00022E28" w:rsidP="00E51817">
      <w:pPr>
        <w:widowControl w:val="0"/>
        <w:suppressAutoHyphens/>
        <w:ind w:right="14"/>
        <w:rPr>
          <w:szCs w:val="22"/>
        </w:rPr>
      </w:pPr>
    </w:p>
    <w:p w14:paraId="375EB49D" w14:textId="77777777" w:rsidR="00022E28" w:rsidRPr="00263DB9" w:rsidRDefault="00022E28" w:rsidP="00E51817">
      <w:pPr>
        <w:widowControl w:val="0"/>
        <w:tabs>
          <w:tab w:val="left" w:pos="0"/>
        </w:tabs>
        <w:suppressAutoHyphens/>
        <w:rPr>
          <w:szCs w:val="22"/>
        </w:rPr>
      </w:pPr>
    </w:p>
    <w:p w14:paraId="375EB49E" w14:textId="77777777" w:rsidR="00906898" w:rsidRPr="00263DB9" w:rsidRDefault="00906898" w:rsidP="00E51817">
      <w:pPr>
        <w:widowControl w:val="0"/>
        <w:suppressAutoHyphens/>
        <w:rPr>
          <w:color w:val="000000"/>
          <w:szCs w:val="22"/>
        </w:rPr>
      </w:pPr>
      <w:r w:rsidRPr="00263DB9">
        <w:rPr>
          <w:b/>
          <w:color w:val="000000"/>
          <w:szCs w:val="22"/>
        </w:rPr>
        <w:t>1.</w:t>
      </w:r>
      <w:r w:rsidRPr="00263DB9">
        <w:rPr>
          <w:b/>
          <w:color w:val="000000"/>
          <w:szCs w:val="22"/>
        </w:rPr>
        <w:tab/>
        <w:t>NOME DO MEDICAMENTO</w:t>
      </w:r>
    </w:p>
    <w:p w14:paraId="375EB49F" w14:textId="77777777" w:rsidR="00906898" w:rsidRPr="00263DB9" w:rsidRDefault="00906898" w:rsidP="00E51817">
      <w:pPr>
        <w:widowControl w:val="0"/>
        <w:suppressAutoHyphens/>
        <w:rPr>
          <w:color w:val="000000"/>
          <w:szCs w:val="22"/>
        </w:rPr>
      </w:pPr>
    </w:p>
    <w:p w14:paraId="375EB4A0"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Glivec 100 mg comprimidos revestidos por película</w:t>
      </w:r>
    </w:p>
    <w:p w14:paraId="375EB4A1" w14:textId="77777777" w:rsidR="00C124DD" w:rsidRPr="00263DB9" w:rsidRDefault="00C124DD" w:rsidP="00E51817">
      <w:pPr>
        <w:widowControl w:val="0"/>
        <w:suppressAutoHyphens/>
        <w:rPr>
          <w:color w:val="000000"/>
          <w:szCs w:val="22"/>
        </w:rPr>
      </w:pPr>
      <w:r w:rsidRPr="00263DB9">
        <w:rPr>
          <w:color w:val="000000"/>
          <w:szCs w:val="22"/>
        </w:rPr>
        <w:t>Glivec 400 mg comprimidos revestidos por película</w:t>
      </w:r>
    </w:p>
    <w:p w14:paraId="375EB4A2" w14:textId="77777777" w:rsidR="00906898" w:rsidRPr="00263DB9" w:rsidRDefault="00906898" w:rsidP="00E51817">
      <w:pPr>
        <w:widowControl w:val="0"/>
        <w:suppressAutoHyphens/>
        <w:rPr>
          <w:color w:val="000000"/>
          <w:szCs w:val="22"/>
        </w:rPr>
      </w:pPr>
    </w:p>
    <w:p w14:paraId="375EB4A3" w14:textId="77777777" w:rsidR="00906898" w:rsidRPr="00263DB9" w:rsidRDefault="00906898" w:rsidP="00E51817">
      <w:pPr>
        <w:widowControl w:val="0"/>
        <w:suppressAutoHyphens/>
        <w:rPr>
          <w:color w:val="000000"/>
          <w:szCs w:val="22"/>
        </w:rPr>
      </w:pPr>
    </w:p>
    <w:p w14:paraId="375EB4A4"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2.</w:t>
      </w:r>
      <w:r w:rsidRPr="00263DB9">
        <w:rPr>
          <w:b/>
          <w:color w:val="000000"/>
          <w:szCs w:val="22"/>
        </w:rPr>
        <w:tab/>
        <w:t>COMPOSIÇÃO QUALITATIVA E QUANTITATIVA</w:t>
      </w:r>
    </w:p>
    <w:p w14:paraId="375EB4A5" w14:textId="77777777" w:rsidR="00906898" w:rsidRPr="00263DB9" w:rsidRDefault="00906898" w:rsidP="003970DC">
      <w:pPr>
        <w:keepNext/>
        <w:widowControl w:val="0"/>
        <w:suppressAutoHyphens/>
        <w:rPr>
          <w:color w:val="000000"/>
          <w:szCs w:val="22"/>
        </w:rPr>
      </w:pPr>
    </w:p>
    <w:p w14:paraId="375EB4A6" w14:textId="77777777" w:rsidR="00C124DD" w:rsidRPr="00263DB9" w:rsidRDefault="00C124DD" w:rsidP="003970DC">
      <w:pPr>
        <w:pStyle w:val="EndnoteText"/>
        <w:keepNext/>
        <w:tabs>
          <w:tab w:val="clear" w:pos="567"/>
        </w:tabs>
        <w:suppressAutoHyphens/>
        <w:rPr>
          <w:color w:val="000000"/>
          <w:szCs w:val="22"/>
          <w:u w:val="single"/>
        </w:rPr>
      </w:pPr>
      <w:r w:rsidRPr="00263DB9">
        <w:rPr>
          <w:color w:val="000000"/>
          <w:szCs w:val="22"/>
          <w:u w:val="single"/>
        </w:rPr>
        <w:t>Glivec 100 mg comprimidos revestidos por película</w:t>
      </w:r>
    </w:p>
    <w:p w14:paraId="375EB4A7"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Cada comprimido revestido por película contém 100 mg de imatinib (sob a forma de mesilato).</w:t>
      </w:r>
    </w:p>
    <w:p w14:paraId="375EB4A8" w14:textId="77777777" w:rsidR="00906898" w:rsidRPr="00263DB9" w:rsidRDefault="00906898" w:rsidP="00E51817">
      <w:pPr>
        <w:widowControl w:val="0"/>
        <w:suppressAutoHyphens/>
        <w:rPr>
          <w:color w:val="000000"/>
          <w:szCs w:val="22"/>
        </w:rPr>
      </w:pPr>
    </w:p>
    <w:p w14:paraId="375EB4A9" w14:textId="77777777" w:rsidR="00C124DD" w:rsidRPr="00263DB9" w:rsidRDefault="00C124DD" w:rsidP="003970DC">
      <w:pPr>
        <w:keepNext/>
        <w:widowControl w:val="0"/>
        <w:suppressAutoHyphens/>
        <w:rPr>
          <w:color w:val="000000"/>
          <w:szCs w:val="22"/>
          <w:u w:val="single"/>
        </w:rPr>
      </w:pPr>
      <w:r w:rsidRPr="00263DB9">
        <w:rPr>
          <w:color w:val="000000"/>
          <w:szCs w:val="22"/>
          <w:u w:val="single"/>
        </w:rPr>
        <w:t>Glivec 400 mg comprimidos revestidos por película</w:t>
      </w:r>
    </w:p>
    <w:p w14:paraId="375EB4AA" w14:textId="77777777" w:rsidR="00C124DD" w:rsidRPr="00263DB9" w:rsidRDefault="00C124DD" w:rsidP="00E51817">
      <w:pPr>
        <w:widowControl w:val="0"/>
        <w:suppressAutoHyphens/>
        <w:rPr>
          <w:color w:val="000000"/>
          <w:szCs w:val="22"/>
        </w:rPr>
      </w:pPr>
      <w:r w:rsidRPr="00263DB9">
        <w:rPr>
          <w:color w:val="000000"/>
          <w:szCs w:val="22"/>
        </w:rPr>
        <w:t>Cada comprimido revestido por película contém 400 mg de imatinib (sob a forma de mesilato).</w:t>
      </w:r>
    </w:p>
    <w:p w14:paraId="375EB4AB" w14:textId="77777777" w:rsidR="00C124DD" w:rsidRPr="00263DB9" w:rsidRDefault="00C124DD" w:rsidP="00E51817">
      <w:pPr>
        <w:widowControl w:val="0"/>
        <w:suppressAutoHyphens/>
        <w:rPr>
          <w:color w:val="000000"/>
          <w:szCs w:val="22"/>
        </w:rPr>
      </w:pPr>
    </w:p>
    <w:p w14:paraId="375EB4AC" w14:textId="77777777" w:rsidR="00906898" w:rsidRPr="00263DB9" w:rsidRDefault="00906898" w:rsidP="00E51817">
      <w:pPr>
        <w:widowControl w:val="0"/>
        <w:suppressAutoHyphens/>
        <w:rPr>
          <w:color w:val="000000"/>
          <w:szCs w:val="22"/>
        </w:rPr>
      </w:pPr>
      <w:r w:rsidRPr="00263DB9">
        <w:rPr>
          <w:color w:val="000000"/>
          <w:szCs w:val="22"/>
        </w:rPr>
        <w:t>Lista completa de excipientes, ver secção 6.1.</w:t>
      </w:r>
    </w:p>
    <w:p w14:paraId="375EB4AD" w14:textId="77777777" w:rsidR="00906898" w:rsidRPr="00263DB9" w:rsidRDefault="00906898" w:rsidP="00E51817">
      <w:pPr>
        <w:widowControl w:val="0"/>
        <w:suppressAutoHyphens/>
        <w:rPr>
          <w:color w:val="000000"/>
          <w:szCs w:val="22"/>
        </w:rPr>
      </w:pPr>
    </w:p>
    <w:p w14:paraId="375EB4AE" w14:textId="77777777" w:rsidR="00906898" w:rsidRPr="00263DB9" w:rsidRDefault="00906898" w:rsidP="00E51817">
      <w:pPr>
        <w:widowControl w:val="0"/>
        <w:suppressAutoHyphens/>
        <w:rPr>
          <w:color w:val="000000"/>
          <w:szCs w:val="22"/>
        </w:rPr>
      </w:pPr>
    </w:p>
    <w:p w14:paraId="375EB4AF"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3.</w:t>
      </w:r>
      <w:r w:rsidRPr="00263DB9">
        <w:rPr>
          <w:b/>
          <w:color w:val="000000"/>
          <w:szCs w:val="22"/>
        </w:rPr>
        <w:tab/>
        <w:t>FORMA FARMACÊUTICA</w:t>
      </w:r>
    </w:p>
    <w:p w14:paraId="375EB4B0" w14:textId="77777777" w:rsidR="00906898" w:rsidRPr="00263DB9" w:rsidRDefault="00906898" w:rsidP="003970DC">
      <w:pPr>
        <w:keepNext/>
        <w:widowControl w:val="0"/>
        <w:suppressAutoHyphens/>
        <w:rPr>
          <w:color w:val="000000"/>
          <w:szCs w:val="22"/>
        </w:rPr>
      </w:pPr>
    </w:p>
    <w:p w14:paraId="375EB4B1" w14:textId="77777777" w:rsidR="00906898" w:rsidRPr="00263DB9" w:rsidRDefault="00906898" w:rsidP="00E51817">
      <w:pPr>
        <w:widowControl w:val="0"/>
        <w:suppressAutoHyphens/>
        <w:rPr>
          <w:color w:val="000000"/>
          <w:szCs w:val="22"/>
        </w:rPr>
      </w:pPr>
      <w:r w:rsidRPr="00263DB9">
        <w:rPr>
          <w:color w:val="000000"/>
          <w:szCs w:val="22"/>
        </w:rPr>
        <w:t>Comprimido revestido por película</w:t>
      </w:r>
    </w:p>
    <w:p w14:paraId="375EB4B2" w14:textId="77777777" w:rsidR="00906898" w:rsidRPr="00263DB9" w:rsidRDefault="00906898" w:rsidP="00E51817">
      <w:pPr>
        <w:widowControl w:val="0"/>
        <w:suppressAutoHyphens/>
        <w:rPr>
          <w:color w:val="000000"/>
          <w:szCs w:val="22"/>
        </w:rPr>
      </w:pPr>
    </w:p>
    <w:p w14:paraId="375EB4B3" w14:textId="77777777" w:rsidR="00C124DD" w:rsidRPr="00263DB9" w:rsidRDefault="00C124DD" w:rsidP="003970DC">
      <w:pPr>
        <w:pStyle w:val="EndnoteText"/>
        <w:keepNext/>
        <w:tabs>
          <w:tab w:val="clear" w:pos="567"/>
        </w:tabs>
        <w:suppressAutoHyphens/>
        <w:rPr>
          <w:color w:val="000000"/>
          <w:szCs w:val="22"/>
          <w:u w:val="single"/>
        </w:rPr>
      </w:pPr>
      <w:r w:rsidRPr="00263DB9">
        <w:rPr>
          <w:color w:val="000000"/>
          <w:szCs w:val="22"/>
          <w:u w:val="single"/>
        </w:rPr>
        <w:t>Glivec 100 mg comprimidos revestidos por película</w:t>
      </w:r>
    </w:p>
    <w:p w14:paraId="375EB4B4" w14:textId="77777777" w:rsidR="00906898" w:rsidRPr="00263DB9" w:rsidRDefault="00906898" w:rsidP="00E51817">
      <w:pPr>
        <w:widowControl w:val="0"/>
        <w:suppressAutoHyphens/>
        <w:rPr>
          <w:color w:val="000000"/>
          <w:szCs w:val="22"/>
        </w:rPr>
      </w:pPr>
      <w:r w:rsidRPr="00263DB9">
        <w:rPr>
          <w:color w:val="000000"/>
          <w:szCs w:val="22"/>
        </w:rPr>
        <w:t>Comprimido revestido por película de cor amarelo muito escuro a laranja acastanhado, redondo com “NVR” numa face e “SA” e uma ranhura na outra face.</w:t>
      </w:r>
    </w:p>
    <w:p w14:paraId="375EB4B5" w14:textId="77777777" w:rsidR="00906898" w:rsidRPr="00263DB9" w:rsidRDefault="00906898" w:rsidP="00E51817">
      <w:pPr>
        <w:widowControl w:val="0"/>
        <w:suppressAutoHyphens/>
        <w:rPr>
          <w:color w:val="000000"/>
          <w:szCs w:val="22"/>
        </w:rPr>
      </w:pPr>
    </w:p>
    <w:p w14:paraId="375EB4B6" w14:textId="77777777" w:rsidR="00C124DD" w:rsidRPr="00263DB9" w:rsidRDefault="00C124DD" w:rsidP="003970DC">
      <w:pPr>
        <w:keepNext/>
        <w:widowControl w:val="0"/>
        <w:suppressAutoHyphens/>
        <w:rPr>
          <w:color w:val="000000"/>
          <w:szCs w:val="22"/>
          <w:u w:val="single"/>
        </w:rPr>
      </w:pPr>
      <w:r w:rsidRPr="00263DB9">
        <w:rPr>
          <w:color w:val="000000"/>
          <w:szCs w:val="22"/>
          <w:u w:val="single"/>
        </w:rPr>
        <w:t>Glivec 400 mg comprimidos revestidos por película</w:t>
      </w:r>
    </w:p>
    <w:p w14:paraId="375EB4B7" w14:textId="77777777" w:rsidR="00C124DD" w:rsidRPr="00263DB9" w:rsidRDefault="00C124DD" w:rsidP="00E51817">
      <w:pPr>
        <w:widowControl w:val="0"/>
        <w:suppressAutoHyphens/>
        <w:rPr>
          <w:color w:val="000000"/>
          <w:szCs w:val="22"/>
        </w:rPr>
      </w:pPr>
      <w:r w:rsidRPr="00263DB9">
        <w:rPr>
          <w:color w:val="000000"/>
          <w:szCs w:val="22"/>
        </w:rPr>
        <w:t>Comprimido revestido por película de cor amarelo muito escuro a laranja acastanhado, ovalóide, biconvexo, com bordos biselados, com gravação “glivec” numa face.</w:t>
      </w:r>
    </w:p>
    <w:p w14:paraId="375EB4B8" w14:textId="77777777" w:rsidR="001104DD" w:rsidRPr="00263DB9" w:rsidRDefault="001104DD" w:rsidP="00E51817">
      <w:pPr>
        <w:widowControl w:val="0"/>
        <w:suppressAutoHyphens/>
        <w:rPr>
          <w:color w:val="000000"/>
          <w:szCs w:val="22"/>
        </w:rPr>
      </w:pPr>
    </w:p>
    <w:p w14:paraId="375EB4B9" w14:textId="77777777" w:rsidR="00906898" w:rsidRPr="00263DB9" w:rsidRDefault="00906898" w:rsidP="00E51817">
      <w:pPr>
        <w:widowControl w:val="0"/>
        <w:suppressAutoHyphens/>
        <w:rPr>
          <w:color w:val="000000"/>
          <w:szCs w:val="22"/>
        </w:rPr>
      </w:pPr>
    </w:p>
    <w:p w14:paraId="375EB4BA"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4.</w:t>
      </w:r>
      <w:r w:rsidRPr="00263DB9">
        <w:rPr>
          <w:b/>
          <w:color w:val="000000"/>
          <w:szCs w:val="22"/>
        </w:rPr>
        <w:tab/>
        <w:t>INFORMAÇÕES CLÍNICAS</w:t>
      </w:r>
    </w:p>
    <w:p w14:paraId="375EB4BB" w14:textId="77777777" w:rsidR="00906898" w:rsidRPr="00263DB9" w:rsidRDefault="00906898" w:rsidP="003970DC">
      <w:pPr>
        <w:keepNext/>
        <w:widowControl w:val="0"/>
        <w:suppressAutoHyphens/>
        <w:rPr>
          <w:color w:val="000000"/>
          <w:szCs w:val="22"/>
        </w:rPr>
      </w:pPr>
    </w:p>
    <w:p w14:paraId="375EB4BC"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4.1</w:t>
      </w:r>
      <w:r w:rsidRPr="00263DB9">
        <w:rPr>
          <w:b/>
          <w:color w:val="000000"/>
          <w:szCs w:val="22"/>
        </w:rPr>
        <w:tab/>
        <w:t>Indicações terapêuticas</w:t>
      </w:r>
    </w:p>
    <w:p w14:paraId="375EB4BD" w14:textId="77777777" w:rsidR="00906898" w:rsidRPr="00263DB9" w:rsidRDefault="00906898" w:rsidP="003970DC">
      <w:pPr>
        <w:keepNext/>
        <w:widowControl w:val="0"/>
        <w:suppressAutoHyphens/>
        <w:rPr>
          <w:color w:val="000000"/>
          <w:szCs w:val="22"/>
        </w:rPr>
      </w:pPr>
    </w:p>
    <w:p w14:paraId="375EB4BE" w14:textId="77777777" w:rsidR="00906898" w:rsidRPr="00263DB9" w:rsidRDefault="00906898" w:rsidP="003970DC">
      <w:pPr>
        <w:keepNext/>
        <w:widowControl w:val="0"/>
        <w:suppressAutoHyphens/>
        <w:rPr>
          <w:color w:val="000000"/>
          <w:szCs w:val="22"/>
        </w:rPr>
      </w:pPr>
      <w:r w:rsidRPr="00263DB9">
        <w:rPr>
          <w:color w:val="000000"/>
          <w:szCs w:val="22"/>
        </w:rPr>
        <w:t>Glivec está indicado para o tratamento de:</w:t>
      </w:r>
    </w:p>
    <w:p w14:paraId="375EB4BF" w14:textId="77777777" w:rsidR="00906898" w:rsidRPr="00263DB9" w:rsidRDefault="00906898" w:rsidP="00E51817">
      <w:pPr>
        <w:widowControl w:val="0"/>
        <w:numPr>
          <w:ilvl w:val="0"/>
          <w:numId w:val="10"/>
        </w:numPr>
        <w:tabs>
          <w:tab w:val="clear" w:pos="780"/>
        </w:tabs>
        <w:suppressAutoHyphens/>
        <w:ind w:left="567" w:hanging="567"/>
        <w:rPr>
          <w:color w:val="000000"/>
          <w:szCs w:val="22"/>
        </w:rPr>
      </w:pPr>
      <w:r w:rsidRPr="00263DB9">
        <w:rPr>
          <w:color w:val="000000"/>
          <w:szCs w:val="22"/>
        </w:rPr>
        <w:t>doentes adultos e pediátricos diagnosticados de novo com leucemia mieloide crónica (LMC) positiva para o cromossoma Filadélfia (bcr-abl) (Ph+), para os quais o transplante de medula óssea não é tratamento de primeira linha.</w:t>
      </w:r>
    </w:p>
    <w:p w14:paraId="375EB4C0" w14:textId="77777777" w:rsidR="00906898" w:rsidRPr="00263DB9" w:rsidRDefault="00906898" w:rsidP="00E51817">
      <w:pPr>
        <w:widowControl w:val="0"/>
        <w:numPr>
          <w:ilvl w:val="0"/>
          <w:numId w:val="10"/>
        </w:numPr>
        <w:tabs>
          <w:tab w:val="clear" w:pos="780"/>
        </w:tabs>
        <w:suppressAutoHyphens/>
        <w:ind w:left="567" w:hanging="567"/>
        <w:rPr>
          <w:color w:val="000000"/>
          <w:szCs w:val="22"/>
        </w:rPr>
      </w:pPr>
      <w:r w:rsidRPr="00263DB9">
        <w:rPr>
          <w:color w:val="000000"/>
          <w:szCs w:val="22"/>
        </w:rPr>
        <w:t>doentes adultos e pediátricos com LMC Ph+ em fase crónica após insucesso da terapêutica com alfa-interferão, ou em fase acelerada ou crise blástica.</w:t>
      </w:r>
    </w:p>
    <w:p w14:paraId="375EB4C1" w14:textId="77777777" w:rsidR="00906898" w:rsidRPr="00263DB9" w:rsidRDefault="00906898" w:rsidP="00E51817">
      <w:pPr>
        <w:widowControl w:val="0"/>
        <w:numPr>
          <w:ilvl w:val="0"/>
          <w:numId w:val="10"/>
        </w:numPr>
        <w:tabs>
          <w:tab w:val="clear" w:pos="780"/>
        </w:tabs>
        <w:suppressAutoHyphens/>
        <w:ind w:left="567" w:hanging="567"/>
        <w:rPr>
          <w:color w:val="000000"/>
          <w:szCs w:val="22"/>
        </w:rPr>
      </w:pPr>
      <w:r w:rsidRPr="00263DB9">
        <w:rPr>
          <w:color w:val="000000"/>
          <w:szCs w:val="22"/>
        </w:rPr>
        <w:t xml:space="preserve">doentes adultos </w:t>
      </w:r>
      <w:r w:rsidR="00F36686" w:rsidRPr="00263DB9">
        <w:rPr>
          <w:color w:val="000000"/>
          <w:szCs w:val="22"/>
        </w:rPr>
        <w:t xml:space="preserve">e pediátricos </w:t>
      </w:r>
      <w:r w:rsidRPr="00263DB9">
        <w:rPr>
          <w:color w:val="000000"/>
          <w:szCs w:val="22"/>
        </w:rPr>
        <w:t>diagnosticados de novo com leucemia linfoblástica aguda positiva para o cromossoma Filadélfia (LLA Ph+) integrado com quimioterapia.</w:t>
      </w:r>
    </w:p>
    <w:p w14:paraId="375EB4C2" w14:textId="77777777" w:rsidR="00906898" w:rsidRPr="00263DB9" w:rsidRDefault="00906898" w:rsidP="00E51817">
      <w:pPr>
        <w:widowControl w:val="0"/>
        <w:numPr>
          <w:ilvl w:val="0"/>
          <w:numId w:val="10"/>
        </w:numPr>
        <w:tabs>
          <w:tab w:val="clear" w:pos="780"/>
        </w:tabs>
        <w:suppressAutoHyphens/>
        <w:ind w:left="567" w:hanging="567"/>
        <w:rPr>
          <w:color w:val="000000"/>
          <w:szCs w:val="22"/>
        </w:rPr>
      </w:pPr>
      <w:r w:rsidRPr="00263DB9">
        <w:rPr>
          <w:color w:val="000000"/>
          <w:szCs w:val="22"/>
        </w:rPr>
        <w:t>doentes adultos com LLA Ph+ recorrente ou refratária em monoterapia.</w:t>
      </w:r>
    </w:p>
    <w:p w14:paraId="375EB4C3" w14:textId="77777777" w:rsidR="00906898" w:rsidRPr="00263DB9" w:rsidRDefault="00906898" w:rsidP="00E51817">
      <w:pPr>
        <w:widowControl w:val="0"/>
        <w:numPr>
          <w:ilvl w:val="0"/>
          <w:numId w:val="10"/>
        </w:numPr>
        <w:tabs>
          <w:tab w:val="clear" w:pos="780"/>
        </w:tabs>
        <w:suppressAutoHyphens/>
        <w:ind w:left="567" w:hanging="567"/>
        <w:rPr>
          <w:color w:val="000000"/>
          <w:szCs w:val="22"/>
        </w:rPr>
      </w:pPr>
      <w:r w:rsidRPr="00263DB9">
        <w:rPr>
          <w:color w:val="000000"/>
          <w:szCs w:val="22"/>
        </w:rPr>
        <w:t>doentes adultos com síndrome mielodisplásica/doenças mieloproliferativas (MDS/MPD) associadas com re-arranjos do gene do recetor do fator de crescimento derivado das plaquetas (PDGFR).</w:t>
      </w:r>
    </w:p>
    <w:p w14:paraId="375EB4C4" w14:textId="77777777" w:rsidR="00906898" w:rsidRPr="00263DB9" w:rsidRDefault="00906898" w:rsidP="00E51817">
      <w:pPr>
        <w:widowControl w:val="0"/>
        <w:numPr>
          <w:ilvl w:val="0"/>
          <w:numId w:val="10"/>
        </w:numPr>
        <w:tabs>
          <w:tab w:val="clear" w:pos="780"/>
        </w:tabs>
        <w:suppressAutoHyphens/>
        <w:ind w:left="567" w:hanging="567"/>
        <w:rPr>
          <w:color w:val="000000"/>
          <w:szCs w:val="22"/>
        </w:rPr>
      </w:pPr>
      <w:r w:rsidRPr="00263DB9">
        <w:rPr>
          <w:color w:val="000000"/>
          <w:szCs w:val="22"/>
        </w:rPr>
        <w:t>doentes adultos com síndrome hipereosinofílica avançada e/ou leucemia eosinofílica crónica com rearranjo FIP1L1-PDGFR</w:t>
      </w:r>
      <w:r w:rsidRPr="00263DB9">
        <w:rPr>
          <w:color w:val="000000"/>
        </w:rPr>
        <w:sym w:font="Symbol" w:char="F061"/>
      </w:r>
      <w:r w:rsidRPr="00263DB9">
        <w:rPr>
          <w:color w:val="000000"/>
        </w:rPr>
        <w:t>.</w:t>
      </w:r>
    </w:p>
    <w:p w14:paraId="375EB4C5" w14:textId="77777777" w:rsidR="00906898" w:rsidRPr="00263DB9" w:rsidRDefault="00906898" w:rsidP="00E51817">
      <w:pPr>
        <w:widowControl w:val="0"/>
        <w:suppressAutoHyphens/>
        <w:rPr>
          <w:color w:val="000000"/>
          <w:szCs w:val="22"/>
        </w:rPr>
      </w:pPr>
    </w:p>
    <w:p w14:paraId="375EB4C6" w14:textId="77777777" w:rsidR="00906898" w:rsidRPr="00263DB9" w:rsidRDefault="00906898" w:rsidP="00E51817">
      <w:pPr>
        <w:widowControl w:val="0"/>
        <w:suppressAutoHyphens/>
        <w:rPr>
          <w:color w:val="000000"/>
          <w:szCs w:val="22"/>
        </w:rPr>
      </w:pPr>
      <w:r w:rsidRPr="00263DB9">
        <w:rPr>
          <w:color w:val="000000"/>
          <w:szCs w:val="22"/>
        </w:rPr>
        <w:t>Não foi determinado o efeito do tratamento com Glivec sobre os resultados do transplante de medula óssea.</w:t>
      </w:r>
    </w:p>
    <w:p w14:paraId="375EB4C7" w14:textId="77777777" w:rsidR="00906898" w:rsidRPr="00263DB9" w:rsidRDefault="00906898" w:rsidP="00E51817">
      <w:pPr>
        <w:widowControl w:val="0"/>
        <w:suppressAutoHyphens/>
        <w:rPr>
          <w:color w:val="000000"/>
          <w:szCs w:val="22"/>
        </w:rPr>
      </w:pPr>
    </w:p>
    <w:p w14:paraId="375EB4C8" w14:textId="77777777" w:rsidR="00906898" w:rsidRPr="00263DB9" w:rsidRDefault="00906898" w:rsidP="003970DC">
      <w:pPr>
        <w:keepNext/>
        <w:widowControl w:val="0"/>
        <w:suppressAutoHyphens/>
        <w:rPr>
          <w:color w:val="000000"/>
          <w:szCs w:val="22"/>
        </w:rPr>
      </w:pPr>
      <w:r w:rsidRPr="00263DB9">
        <w:rPr>
          <w:color w:val="000000"/>
          <w:szCs w:val="22"/>
        </w:rPr>
        <w:t>Glivec está também indicado para</w:t>
      </w:r>
    </w:p>
    <w:p w14:paraId="375EB4C9" w14:textId="77777777" w:rsidR="00906898" w:rsidRPr="00263DB9" w:rsidRDefault="00906898" w:rsidP="00E51817">
      <w:pPr>
        <w:widowControl w:val="0"/>
        <w:numPr>
          <w:ilvl w:val="0"/>
          <w:numId w:val="11"/>
        </w:numPr>
        <w:tabs>
          <w:tab w:val="clear" w:pos="720"/>
        </w:tabs>
        <w:suppressAutoHyphens/>
        <w:ind w:left="567" w:hanging="567"/>
        <w:rPr>
          <w:color w:val="000000"/>
          <w:szCs w:val="22"/>
        </w:rPr>
      </w:pPr>
      <w:r w:rsidRPr="00263DB9">
        <w:rPr>
          <w:color w:val="000000"/>
          <w:szCs w:val="22"/>
        </w:rPr>
        <w:t>o tratamento de doentes adultos com tumores malignos do estroma gastrintestinal (GIST) Kit (CD117) positivos metastáticos e/ou irressecáveis.</w:t>
      </w:r>
    </w:p>
    <w:p w14:paraId="375EB4CA" w14:textId="77777777" w:rsidR="00906898" w:rsidRPr="00263DB9" w:rsidRDefault="00906898" w:rsidP="00E51817">
      <w:pPr>
        <w:widowControl w:val="0"/>
        <w:numPr>
          <w:ilvl w:val="0"/>
          <w:numId w:val="11"/>
        </w:numPr>
        <w:tabs>
          <w:tab w:val="clear" w:pos="720"/>
        </w:tabs>
        <w:suppressAutoHyphens/>
        <w:ind w:left="567" w:hanging="567"/>
        <w:rPr>
          <w:color w:val="000000"/>
          <w:szCs w:val="22"/>
        </w:rPr>
      </w:pPr>
      <w:r w:rsidRPr="00263DB9">
        <w:rPr>
          <w:color w:val="000000"/>
          <w:szCs w:val="22"/>
        </w:rPr>
        <w:t>o tratamento adjuvante de doentes adultos que estejam em risco significativo de recorrência após ressecção de GIST Kit (CD117) positivos. Os doentes que tenham um risco baixo ou muito baixo de recorrência não deverão receber tratamento adjuvante.</w:t>
      </w:r>
    </w:p>
    <w:p w14:paraId="375EB4CB" w14:textId="77777777" w:rsidR="00906898" w:rsidRPr="00263DB9" w:rsidRDefault="00906898" w:rsidP="00E51817">
      <w:pPr>
        <w:widowControl w:val="0"/>
        <w:numPr>
          <w:ilvl w:val="0"/>
          <w:numId w:val="11"/>
        </w:numPr>
        <w:tabs>
          <w:tab w:val="clear" w:pos="720"/>
        </w:tabs>
        <w:suppressAutoHyphens/>
        <w:ind w:left="567" w:hanging="567"/>
        <w:rPr>
          <w:color w:val="000000"/>
          <w:szCs w:val="22"/>
        </w:rPr>
      </w:pPr>
      <w:r w:rsidRPr="00263DB9">
        <w:rPr>
          <w:color w:val="000000"/>
          <w:szCs w:val="22"/>
        </w:rPr>
        <w:t>o tratamento de doentes adultos com dermatofibrossarcoma protuberans não resseccionáveis (DFSP) e doentes adultos com DFSP recorrente e/ou metastáticos que não são elegíveis para cirurgia.</w:t>
      </w:r>
    </w:p>
    <w:p w14:paraId="375EB4CC" w14:textId="77777777" w:rsidR="00906898" w:rsidRPr="00263DB9" w:rsidRDefault="00906898" w:rsidP="00E51817">
      <w:pPr>
        <w:widowControl w:val="0"/>
        <w:suppressAutoHyphens/>
        <w:rPr>
          <w:color w:val="000000"/>
          <w:szCs w:val="22"/>
        </w:rPr>
      </w:pPr>
    </w:p>
    <w:p w14:paraId="375EB4CD" w14:textId="77777777" w:rsidR="00906898" w:rsidRPr="00263DB9" w:rsidRDefault="00906898" w:rsidP="00E51817">
      <w:pPr>
        <w:widowControl w:val="0"/>
        <w:suppressAutoHyphens/>
        <w:rPr>
          <w:color w:val="000000"/>
          <w:szCs w:val="22"/>
        </w:rPr>
      </w:pPr>
      <w:r w:rsidRPr="00263DB9">
        <w:rPr>
          <w:color w:val="000000"/>
          <w:szCs w:val="22"/>
        </w:rPr>
        <w:t xml:space="preserve">Em doentes adultos e pediátricos, a eficácia de Glivec baseia-se em taxas de resposta hematológica e citogenética globais e na </w:t>
      </w:r>
      <w:r w:rsidR="006D6E0D" w:rsidRPr="00263DB9">
        <w:rPr>
          <w:color w:val="000000"/>
          <w:szCs w:val="22"/>
        </w:rPr>
        <w:t>sobrevivência</w:t>
      </w:r>
      <w:r w:rsidRPr="00263DB9">
        <w:rPr>
          <w:color w:val="000000"/>
          <w:szCs w:val="22"/>
        </w:rPr>
        <w:t xml:space="preserve"> sem progressão da doença na LMC, em taxas de resposta hematológica e citogenética na LLA Ph+, MDS/MPD, nas taxas de resposta hematológica na síndrome hipereosinofílica avançada/leucemia eosinofílica crónica e em taxas de resposta objetiva em doentes adultos com GIST metastáticos e/ou irressecáveis e DFSP e na </w:t>
      </w:r>
      <w:r w:rsidR="006D6E0D" w:rsidRPr="00263DB9">
        <w:rPr>
          <w:color w:val="000000"/>
          <w:szCs w:val="22"/>
        </w:rPr>
        <w:t>sobrevivência</w:t>
      </w:r>
      <w:r w:rsidRPr="00263DB9">
        <w:rPr>
          <w:color w:val="000000"/>
          <w:szCs w:val="22"/>
        </w:rPr>
        <w:t xml:space="preserve"> livre de recorrência no GIST adjuvante. A experiência com Glivec em doentes com MDS/MPD associadas com rearranjos do gene PDGFR é muito limitada (ver secção 5.1). Exceto nos casos de LMC em fase crónica diagnosticados de novo, não há ensaios clínicos controlados demonstrativos de benefício clínico ou aumento da </w:t>
      </w:r>
      <w:r w:rsidR="006D6E0D" w:rsidRPr="00263DB9">
        <w:rPr>
          <w:color w:val="000000"/>
          <w:szCs w:val="22"/>
        </w:rPr>
        <w:t>sobrevivência</w:t>
      </w:r>
      <w:r w:rsidRPr="00263DB9">
        <w:rPr>
          <w:color w:val="000000"/>
          <w:szCs w:val="22"/>
        </w:rPr>
        <w:t xml:space="preserve"> para estas doenças.</w:t>
      </w:r>
    </w:p>
    <w:p w14:paraId="375EB4CE" w14:textId="77777777" w:rsidR="00906898" w:rsidRPr="00263DB9" w:rsidRDefault="00906898" w:rsidP="00E51817">
      <w:pPr>
        <w:widowControl w:val="0"/>
        <w:suppressAutoHyphens/>
        <w:rPr>
          <w:color w:val="000000"/>
          <w:szCs w:val="22"/>
        </w:rPr>
      </w:pPr>
    </w:p>
    <w:p w14:paraId="375EB4CF" w14:textId="77777777" w:rsidR="00906898" w:rsidRPr="00263DB9" w:rsidRDefault="00906898" w:rsidP="003970DC">
      <w:pPr>
        <w:keepNext/>
        <w:widowControl w:val="0"/>
        <w:suppressAutoHyphens/>
        <w:ind w:left="567" w:hanging="567"/>
        <w:rPr>
          <w:color w:val="000000"/>
          <w:szCs w:val="22"/>
        </w:rPr>
      </w:pPr>
      <w:r w:rsidRPr="00263DB9">
        <w:rPr>
          <w:b/>
          <w:color w:val="000000"/>
          <w:szCs w:val="22"/>
        </w:rPr>
        <w:t>4.2</w:t>
      </w:r>
      <w:r w:rsidRPr="00263DB9">
        <w:rPr>
          <w:b/>
          <w:color w:val="000000"/>
          <w:szCs w:val="22"/>
        </w:rPr>
        <w:tab/>
        <w:t>Posologia e modo de administração</w:t>
      </w:r>
    </w:p>
    <w:p w14:paraId="375EB4D0" w14:textId="77777777" w:rsidR="00906898" w:rsidRPr="00263DB9" w:rsidRDefault="00906898" w:rsidP="003970DC">
      <w:pPr>
        <w:keepNext/>
        <w:widowControl w:val="0"/>
        <w:suppressAutoHyphens/>
        <w:rPr>
          <w:color w:val="000000"/>
          <w:szCs w:val="22"/>
        </w:rPr>
      </w:pPr>
    </w:p>
    <w:p w14:paraId="375EB4D1" w14:textId="77777777" w:rsidR="00906898" w:rsidRPr="00263DB9" w:rsidRDefault="00906898" w:rsidP="00E51817">
      <w:pPr>
        <w:widowControl w:val="0"/>
        <w:suppressAutoHyphens/>
        <w:rPr>
          <w:color w:val="000000"/>
          <w:szCs w:val="22"/>
        </w:rPr>
      </w:pPr>
      <w:r w:rsidRPr="00263DB9">
        <w:rPr>
          <w:color w:val="000000"/>
          <w:szCs w:val="22"/>
        </w:rPr>
        <w:t>A terapêutica deve ser iniciada por um médico com experiência no tratamento de doentes com neoplasias hematológicas e sarcomas malignos, conforme o adequado.</w:t>
      </w:r>
    </w:p>
    <w:p w14:paraId="375EB4D2" w14:textId="77777777" w:rsidR="00906898" w:rsidRPr="00263DB9" w:rsidRDefault="00906898" w:rsidP="00E51817">
      <w:pPr>
        <w:widowControl w:val="0"/>
        <w:suppressAutoHyphens/>
        <w:rPr>
          <w:color w:val="000000"/>
          <w:szCs w:val="22"/>
        </w:rPr>
      </w:pPr>
    </w:p>
    <w:p w14:paraId="375EB4D3" w14:textId="77777777" w:rsidR="002F2D88" w:rsidRPr="00263DB9" w:rsidRDefault="002F2D88" w:rsidP="00E51817">
      <w:pPr>
        <w:widowControl w:val="0"/>
        <w:suppressAutoHyphens/>
        <w:rPr>
          <w:color w:val="000000"/>
          <w:szCs w:val="22"/>
        </w:rPr>
      </w:pPr>
      <w:r w:rsidRPr="00263DB9">
        <w:rPr>
          <w:color w:val="000000"/>
          <w:szCs w:val="22"/>
        </w:rPr>
        <w:t>Para outras doses que não 400 mg e 800 mg (ver recomendação posológica abaixo) está disponível um comprimido divisível de 100 mg.</w:t>
      </w:r>
    </w:p>
    <w:p w14:paraId="375EB4D4" w14:textId="77777777" w:rsidR="00906898" w:rsidRPr="00263DB9" w:rsidRDefault="00906898" w:rsidP="00E51817">
      <w:pPr>
        <w:widowControl w:val="0"/>
        <w:suppressAutoHyphens/>
        <w:rPr>
          <w:color w:val="000000"/>
          <w:szCs w:val="22"/>
        </w:rPr>
      </w:pPr>
      <w:r w:rsidRPr="00263DB9">
        <w:rPr>
          <w:color w:val="000000"/>
          <w:szCs w:val="22"/>
        </w:rPr>
        <w:t>Para doses de 400 mg e superiores (ver recomendação posológica abaixo) está disponível um comprimido de 400 mg (não divisível).</w:t>
      </w:r>
    </w:p>
    <w:p w14:paraId="375EB4D5" w14:textId="77777777" w:rsidR="00906898" w:rsidRPr="00263DB9" w:rsidRDefault="00906898" w:rsidP="00E51817">
      <w:pPr>
        <w:widowControl w:val="0"/>
        <w:suppressAutoHyphens/>
        <w:rPr>
          <w:color w:val="000000"/>
          <w:szCs w:val="22"/>
        </w:rPr>
      </w:pPr>
    </w:p>
    <w:p w14:paraId="375EB4D6" w14:textId="77777777" w:rsidR="00906898" w:rsidRPr="00263DB9" w:rsidRDefault="00906898" w:rsidP="00E51817">
      <w:pPr>
        <w:widowControl w:val="0"/>
        <w:suppressAutoHyphens/>
        <w:rPr>
          <w:color w:val="000000"/>
          <w:szCs w:val="22"/>
        </w:rPr>
      </w:pPr>
      <w:r w:rsidRPr="00263DB9">
        <w:rPr>
          <w:color w:val="000000"/>
          <w:szCs w:val="22"/>
        </w:rPr>
        <w:t>A dose prescrita deve ser administrada oralmente, com uma refeição e um grande copo de água para minimizar o risco de irritação gastrintestinal. As doses de 400 mg ou 600 mg devem ser administradas uma vez por dia, enquanto que a dose de 800 mg deve ser administrada como 400 mg duas vezes por dia, de manhã e à noite.</w:t>
      </w:r>
    </w:p>
    <w:p w14:paraId="375EB4D7" w14:textId="77777777" w:rsidR="00906898" w:rsidRPr="00263DB9" w:rsidRDefault="00906898" w:rsidP="00E51817">
      <w:pPr>
        <w:widowControl w:val="0"/>
        <w:suppressAutoHyphens/>
        <w:rPr>
          <w:color w:val="000000"/>
          <w:szCs w:val="22"/>
        </w:rPr>
      </w:pPr>
    </w:p>
    <w:p w14:paraId="375EB4D8" w14:textId="77777777" w:rsidR="00906898" w:rsidRPr="00263DB9" w:rsidRDefault="00906898" w:rsidP="00E51817">
      <w:pPr>
        <w:widowControl w:val="0"/>
        <w:suppressAutoHyphens/>
        <w:rPr>
          <w:color w:val="000000"/>
          <w:szCs w:val="22"/>
        </w:rPr>
      </w:pPr>
      <w:r w:rsidRPr="00263DB9">
        <w:rPr>
          <w:color w:val="000000"/>
          <w:szCs w:val="22"/>
        </w:rPr>
        <w:t xml:space="preserve">Para os doentes que não possam engolir os comprimidos revestidos por película, os comprimidos podem ser dissolvidos num copo de água </w:t>
      </w:r>
      <w:r w:rsidR="0032275B" w:rsidRPr="00263DB9">
        <w:rPr>
          <w:color w:val="000000"/>
          <w:szCs w:val="22"/>
        </w:rPr>
        <w:t xml:space="preserve">não gaseificada </w:t>
      </w:r>
      <w:r w:rsidRPr="00263DB9">
        <w:rPr>
          <w:color w:val="000000"/>
          <w:szCs w:val="22"/>
        </w:rPr>
        <w:t>ou sumo de fruta. O número necessário de comprimidos deve ser colocado no volume de bebida apropriado (aproximadamente 50 ml para um comprimido de 100 mg e 200 ml para um comprimido de 400 mg) e mexido com uma colher. A suspensão deve ser administrada imediatamente após a completa desintegração do(s) comprimido(s).</w:t>
      </w:r>
    </w:p>
    <w:p w14:paraId="375EB4D9" w14:textId="77777777" w:rsidR="00906898" w:rsidRPr="00263DB9" w:rsidRDefault="00906898" w:rsidP="00E51817">
      <w:pPr>
        <w:widowControl w:val="0"/>
        <w:suppressAutoHyphens/>
        <w:rPr>
          <w:color w:val="000000"/>
          <w:szCs w:val="22"/>
        </w:rPr>
      </w:pPr>
    </w:p>
    <w:p w14:paraId="375EB4DA" w14:textId="77777777" w:rsidR="00906898" w:rsidRPr="00263DB9" w:rsidRDefault="00906898" w:rsidP="003970DC">
      <w:pPr>
        <w:keepNext/>
        <w:widowControl w:val="0"/>
        <w:suppressAutoHyphens/>
        <w:rPr>
          <w:color w:val="000000"/>
          <w:szCs w:val="22"/>
          <w:u w:val="single"/>
        </w:rPr>
      </w:pPr>
      <w:r w:rsidRPr="00263DB9">
        <w:rPr>
          <w:color w:val="000000"/>
          <w:szCs w:val="22"/>
          <w:u w:val="single"/>
        </w:rPr>
        <w:t>Posologia para LMC em doentes adultos</w:t>
      </w:r>
    </w:p>
    <w:p w14:paraId="375EB4DB" w14:textId="77777777" w:rsidR="00906898" w:rsidRPr="00263DB9" w:rsidRDefault="00906898" w:rsidP="00E51817">
      <w:pPr>
        <w:widowControl w:val="0"/>
        <w:suppressAutoHyphens/>
        <w:rPr>
          <w:color w:val="000000"/>
          <w:szCs w:val="22"/>
        </w:rPr>
      </w:pPr>
      <w:r w:rsidRPr="00263DB9">
        <w:rPr>
          <w:color w:val="000000"/>
          <w:szCs w:val="22"/>
        </w:rPr>
        <w:t>A dose recomendada de Glivec é 400 mg por dia em doentes adultos com LMC em fase crónica. Define-se fase crónica da LMC pela ocorrência de todos os seguintes critérios: blastos &lt; 15% no sangue e medula óssea, basófilos no sangue periférico &lt; 20%, plaquetas &gt; 100 x 10</w:t>
      </w:r>
      <w:r w:rsidRPr="00263DB9">
        <w:rPr>
          <w:color w:val="000000"/>
          <w:szCs w:val="22"/>
          <w:vertAlign w:val="superscript"/>
        </w:rPr>
        <w:t>9</w:t>
      </w:r>
      <w:r w:rsidRPr="00263DB9">
        <w:rPr>
          <w:color w:val="000000"/>
          <w:szCs w:val="22"/>
        </w:rPr>
        <w:t>/l.</w:t>
      </w:r>
    </w:p>
    <w:p w14:paraId="375EB4DC" w14:textId="77777777" w:rsidR="00906898" w:rsidRPr="00263DB9" w:rsidRDefault="00906898" w:rsidP="00E51817">
      <w:pPr>
        <w:widowControl w:val="0"/>
        <w:suppressAutoHyphens/>
        <w:rPr>
          <w:color w:val="000000"/>
          <w:szCs w:val="22"/>
        </w:rPr>
      </w:pPr>
    </w:p>
    <w:p w14:paraId="375EB4DD" w14:textId="77777777" w:rsidR="00906898" w:rsidRPr="00263DB9" w:rsidRDefault="00906898" w:rsidP="00E51817">
      <w:pPr>
        <w:widowControl w:val="0"/>
        <w:suppressAutoHyphens/>
        <w:rPr>
          <w:color w:val="000000"/>
          <w:szCs w:val="22"/>
        </w:rPr>
      </w:pPr>
      <w:r w:rsidRPr="00263DB9">
        <w:rPr>
          <w:color w:val="000000"/>
          <w:szCs w:val="22"/>
        </w:rPr>
        <w:t xml:space="preserve">A dose recomendada de Glivec é 600 mg por dia em doentes adultos em fase acelerada. Define-se fase acelerada pela ocorrência de qualquer dos seguintes critérios: blastos no sangue ou medula óssea </w:t>
      </w:r>
      <w:r w:rsidRPr="00263DB9">
        <w:rPr>
          <w:color w:val="000000"/>
          <w:szCs w:val="22"/>
        </w:rPr>
        <w:sym w:font="Symbol" w:char="F0B3"/>
      </w:r>
      <w:r w:rsidRPr="00263DB9">
        <w:rPr>
          <w:color w:val="000000"/>
          <w:szCs w:val="22"/>
        </w:rPr>
        <w:t xml:space="preserve"> 15% mas &lt; 30%, blastos + promielócitos </w:t>
      </w:r>
      <w:r w:rsidRPr="00263DB9">
        <w:rPr>
          <w:color w:val="000000"/>
          <w:szCs w:val="22"/>
        </w:rPr>
        <w:sym w:font="Symbol" w:char="F0B3"/>
      </w:r>
      <w:r w:rsidRPr="00263DB9">
        <w:rPr>
          <w:color w:val="000000"/>
          <w:szCs w:val="22"/>
        </w:rPr>
        <w:t xml:space="preserve"> 30% no sangue ou medula óssea (desde que blastos &lt; 30%), basófilos no sangue periférico </w:t>
      </w:r>
      <w:r w:rsidRPr="00263DB9">
        <w:rPr>
          <w:color w:val="000000"/>
          <w:szCs w:val="22"/>
        </w:rPr>
        <w:sym w:font="Symbol" w:char="F0B3"/>
      </w:r>
      <w:r w:rsidRPr="00263DB9">
        <w:rPr>
          <w:color w:val="000000"/>
          <w:szCs w:val="22"/>
        </w:rPr>
        <w:t> 20%, plaquetas &lt; 100 x 10</w:t>
      </w:r>
      <w:r w:rsidRPr="00263DB9">
        <w:rPr>
          <w:color w:val="000000"/>
          <w:szCs w:val="22"/>
          <w:vertAlign w:val="superscript"/>
        </w:rPr>
        <w:t>9</w:t>
      </w:r>
      <w:r w:rsidRPr="00263DB9">
        <w:rPr>
          <w:color w:val="000000"/>
          <w:szCs w:val="22"/>
        </w:rPr>
        <w:t>/l independentemente da terapêutica.</w:t>
      </w:r>
    </w:p>
    <w:p w14:paraId="375EB4DE" w14:textId="77777777" w:rsidR="00906898" w:rsidRPr="00263DB9" w:rsidRDefault="00906898" w:rsidP="00E51817">
      <w:pPr>
        <w:widowControl w:val="0"/>
        <w:suppressAutoHyphens/>
        <w:rPr>
          <w:color w:val="000000"/>
          <w:szCs w:val="22"/>
        </w:rPr>
      </w:pPr>
    </w:p>
    <w:p w14:paraId="375EB4DF" w14:textId="77777777" w:rsidR="00906898" w:rsidRPr="00263DB9" w:rsidRDefault="00906898" w:rsidP="00E51817">
      <w:pPr>
        <w:widowControl w:val="0"/>
        <w:suppressAutoHyphens/>
        <w:rPr>
          <w:color w:val="000000"/>
          <w:szCs w:val="22"/>
        </w:rPr>
      </w:pPr>
      <w:r w:rsidRPr="00263DB9">
        <w:rPr>
          <w:color w:val="000000"/>
          <w:szCs w:val="22"/>
        </w:rPr>
        <w:t xml:space="preserve">A dose recomendada de Glivec é 600 mg por dia em doentes adultos em crise blástica. Define-se crise blástica como blastos </w:t>
      </w:r>
      <w:r w:rsidRPr="00263DB9">
        <w:rPr>
          <w:color w:val="000000"/>
          <w:szCs w:val="22"/>
        </w:rPr>
        <w:sym w:font="Symbol" w:char="F0B3"/>
      </w:r>
      <w:r w:rsidRPr="00263DB9">
        <w:rPr>
          <w:color w:val="000000"/>
          <w:szCs w:val="22"/>
        </w:rPr>
        <w:t> 30% no sangue, medula óssea ou doença extramedular que não hepatosplenomegalia.</w:t>
      </w:r>
    </w:p>
    <w:p w14:paraId="375EB4E0" w14:textId="77777777" w:rsidR="00906898" w:rsidRPr="00263DB9" w:rsidRDefault="00906898" w:rsidP="00E51817">
      <w:pPr>
        <w:widowControl w:val="0"/>
        <w:suppressAutoHyphens/>
        <w:rPr>
          <w:color w:val="000000"/>
          <w:szCs w:val="22"/>
        </w:rPr>
      </w:pPr>
    </w:p>
    <w:p w14:paraId="375EB4E1" w14:textId="77777777" w:rsidR="00906898" w:rsidRPr="00263DB9" w:rsidRDefault="00906898" w:rsidP="00E51817">
      <w:pPr>
        <w:widowControl w:val="0"/>
        <w:suppressAutoHyphens/>
        <w:rPr>
          <w:color w:val="000000"/>
          <w:szCs w:val="22"/>
        </w:rPr>
      </w:pPr>
      <w:r w:rsidRPr="00263DB9">
        <w:rPr>
          <w:color w:val="000000"/>
          <w:szCs w:val="22"/>
        </w:rPr>
        <w:lastRenderedPageBreak/>
        <w:t>Duração do tratamento: nos ensaios clínicos, o tratamento com Glivec foi mantido até progressão da doença. não foi estudado o efeito de interromper o tratamento após obtenção de resposta citogenética completa.</w:t>
      </w:r>
    </w:p>
    <w:p w14:paraId="375EB4E2" w14:textId="77777777" w:rsidR="00906898" w:rsidRPr="00263DB9" w:rsidRDefault="00906898" w:rsidP="00E51817">
      <w:pPr>
        <w:pStyle w:val="EndnoteText"/>
        <w:tabs>
          <w:tab w:val="clear" w:pos="567"/>
        </w:tabs>
        <w:suppressAutoHyphens/>
        <w:rPr>
          <w:color w:val="000000"/>
          <w:szCs w:val="22"/>
        </w:rPr>
      </w:pPr>
    </w:p>
    <w:p w14:paraId="375EB4E3" w14:textId="77777777" w:rsidR="00906898" w:rsidRPr="00263DB9" w:rsidRDefault="00906898" w:rsidP="00E51817">
      <w:pPr>
        <w:widowControl w:val="0"/>
        <w:suppressAutoHyphens/>
        <w:rPr>
          <w:color w:val="000000"/>
          <w:szCs w:val="22"/>
        </w:rPr>
      </w:pPr>
      <w:r w:rsidRPr="00263DB9">
        <w:rPr>
          <w:color w:val="000000"/>
          <w:szCs w:val="22"/>
        </w:rPr>
        <w:t>Pode ser considerado um aumento da dose de 400 mg para 600 mg ou 800 mg em doentes em fase crónica da doença, ou de 600 mg para 800 mg no máximo (administrados em 400 mg duas vezes por dia) em doentes em fase acelerada ou crise blástica, na ausência de reação adversa grave ao medicamento e neutropenia ou trombocitopenia graves não relacionadas com a leucemia, nas seguintes circunstâncias: progressão da doença (em qualquer altura); insucesso em atingir uma resposta hematológica satisfatória após, pelo menos, 3 meses de tratamento; insucesso na obtenção de resposta citogenética após 12 meses de tratamento; ou perda de uma resposta hematológica e/uo citogenética atingida anteriormente. Os doentes devem ser monitorizados rigorosamente após escalonamento da dose devido ao potencial para aumento da incidência de reações indesejáveis com doses superiores.</w:t>
      </w:r>
    </w:p>
    <w:p w14:paraId="375EB4E4" w14:textId="77777777" w:rsidR="00906898" w:rsidRPr="00263DB9" w:rsidRDefault="00906898" w:rsidP="00E51817">
      <w:pPr>
        <w:widowControl w:val="0"/>
        <w:suppressAutoHyphens/>
        <w:rPr>
          <w:color w:val="000000"/>
          <w:szCs w:val="22"/>
        </w:rPr>
      </w:pPr>
    </w:p>
    <w:p w14:paraId="375EB4E5" w14:textId="77777777" w:rsidR="00906898" w:rsidRPr="00263DB9" w:rsidRDefault="00906898" w:rsidP="003970DC">
      <w:pPr>
        <w:keepNext/>
        <w:widowControl w:val="0"/>
        <w:suppressAutoHyphens/>
        <w:rPr>
          <w:color w:val="000000"/>
          <w:szCs w:val="22"/>
          <w:u w:val="single"/>
        </w:rPr>
      </w:pPr>
      <w:r w:rsidRPr="00263DB9">
        <w:rPr>
          <w:color w:val="000000"/>
          <w:szCs w:val="22"/>
          <w:u w:val="single"/>
        </w:rPr>
        <w:t>Posologia para LMC em crianças</w:t>
      </w:r>
    </w:p>
    <w:p w14:paraId="375EB4E6" w14:textId="77777777" w:rsidR="00906898" w:rsidRPr="00263DB9" w:rsidRDefault="00906898" w:rsidP="00E51817">
      <w:pPr>
        <w:widowControl w:val="0"/>
        <w:suppressAutoHyphens/>
        <w:rPr>
          <w:color w:val="000000"/>
          <w:szCs w:val="22"/>
        </w:rPr>
      </w:pPr>
      <w:r w:rsidRPr="00263DB9">
        <w:rPr>
          <w:color w:val="000000"/>
          <w:szCs w:val="22"/>
        </w:rPr>
        <w:t>A posologia em crianças deverá ser estabelecida com base na superfície corporal (mg/m</w:t>
      </w:r>
      <w:r w:rsidRPr="00263DB9">
        <w:rPr>
          <w:color w:val="000000"/>
          <w:szCs w:val="22"/>
          <w:vertAlign w:val="superscript"/>
        </w:rPr>
        <w:t>2</w:t>
      </w:r>
      <w:r w:rsidRPr="00263DB9">
        <w:rPr>
          <w:color w:val="000000"/>
          <w:szCs w:val="22"/>
        </w:rPr>
        <w:t>). Em crianças com LMC em fase crónica ou em fase avançada, é recomendada a administração da dose de 340 mg/m</w:t>
      </w:r>
      <w:r w:rsidRPr="00263DB9">
        <w:rPr>
          <w:color w:val="000000"/>
          <w:szCs w:val="22"/>
          <w:vertAlign w:val="superscript"/>
        </w:rPr>
        <w:t>2</w:t>
      </w:r>
      <w:r w:rsidRPr="00263DB9">
        <w:rPr>
          <w:color w:val="000000"/>
          <w:szCs w:val="22"/>
        </w:rPr>
        <w:t xml:space="preserve"> por dia (não exceder a dose total de 800 mg). O tratamento pode ser administrado como uma dose diária única ou, em alternativa, a dose diária poderá ser dividida em duas administrações – uma de manhã e uma à noite. A posologia recomendada baseia-se, atualmente, num pequeno número de doentes pediátricos (ver secções 5.1 e 5.2). Não há experiência de tratamento de crianças de idade inferior a 2 anos.</w:t>
      </w:r>
    </w:p>
    <w:p w14:paraId="375EB4E7" w14:textId="77777777" w:rsidR="00906898" w:rsidRPr="00263DB9" w:rsidRDefault="00906898" w:rsidP="00E51817">
      <w:pPr>
        <w:widowControl w:val="0"/>
        <w:suppressAutoHyphens/>
        <w:rPr>
          <w:color w:val="000000"/>
          <w:szCs w:val="22"/>
        </w:rPr>
      </w:pPr>
    </w:p>
    <w:p w14:paraId="375EB4E8" w14:textId="77777777" w:rsidR="00906898" w:rsidRPr="00263DB9" w:rsidRDefault="00906898" w:rsidP="00E51817">
      <w:pPr>
        <w:widowControl w:val="0"/>
        <w:suppressAutoHyphens/>
        <w:rPr>
          <w:color w:val="000000"/>
          <w:szCs w:val="22"/>
        </w:rPr>
      </w:pPr>
      <w:r w:rsidRPr="00263DB9">
        <w:rPr>
          <w:color w:val="000000"/>
          <w:szCs w:val="22"/>
        </w:rPr>
        <w:t>O aumento da dose de 340 mg/m</w:t>
      </w:r>
      <w:r w:rsidRPr="00263DB9">
        <w:rPr>
          <w:color w:val="000000"/>
          <w:szCs w:val="22"/>
          <w:vertAlign w:val="superscript"/>
        </w:rPr>
        <w:t>2</w:t>
      </w:r>
      <w:r w:rsidRPr="00263DB9">
        <w:rPr>
          <w:color w:val="000000"/>
          <w:szCs w:val="22"/>
        </w:rPr>
        <w:t xml:space="preserve"> por dia para 570 mg/m</w:t>
      </w:r>
      <w:r w:rsidRPr="00263DB9">
        <w:rPr>
          <w:color w:val="000000"/>
          <w:szCs w:val="22"/>
          <w:vertAlign w:val="superscript"/>
        </w:rPr>
        <w:t>2</w:t>
      </w:r>
      <w:r w:rsidRPr="00263DB9">
        <w:rPr>
          <w:color w:val="000000"/>
          <w:szCs w:val="22"/>
        </w:rPr>
        <w:t xml:space="preserve"> por dia (não exceder uma dose total de 800 mg) pode ser considerado em crianças na ausência de reações adversas medicamentosas graves e neutropenia grave não relacionada com leucemia ou trombocitopenia nas seguintes circunstâncias: progressão da doença (em qualquer altura), falha em alcançar uma resposta hematológica satisfatória após pelo menos 3 meses de tratamento, falha em alcançar uma resposta citogenética após 12 meses de tratamento, ou perda de uma resposta hematológica e/ou citogenética previamente alcançada. Os doentes devem ser monitorizados de perto após o escalonamento da dose dado o potencial das doses elevadas para um aumento da incidência de ocorrência de reações adversas.</w:t>
      </w:r>
    </w:p>
    <w:p w14:paraId="375EB4E9" w14:textId="77777777" w:rsidR="00906898" w:rsidRPr="00263DB9" w:rsidRDefault="00906898" w:rsidP="00E51817">
      <w:pPr>
        <w:widowControl w:val="0"/>
        <w:suppressAutoHyphens/>
        <w:rPr>
          <w:color w:val="000000"/>
          <w:szCs w:val="22"/>
          <w:u w:val="single"/>
        </w:rPr>
      </w:pPr>
    </w:p>
    <w:p w14:paraId="375EB4EA" w14:textId="77777777" w:rsidR="00906898" w:rsidRPr="00263DB9" w:rsidRDefault="00906898" w:rsidP="003970DC">
      <w:pPr>
        <w:keepNext/>
        <w:widowControl w:val="0"/>
        <w:suppressAutoHyphens/>
        <w:rPr>
          <w:color w:val="000000"/>
          <w:szCs w:val="22"/>
          <w:u w:val="single"/>
        </w:rPr>
      </w:pPr>
      <w:r w:rsidRPr="00263DB9">
        <w:rPr>
          <w:color w:val="000000"/>
          <w:szCs w:val="22"/>
          <w:u w:val="single"/>
        </w:rPr>
        <w:t>Posologia para LLA Ph+</w:t>
      </w:r>
      <w:r w:rsidR="00F36686" w:rsidRPr="00263DB9">
        <w:rPr>
          <w:color w:val="000000"/>
          <w:szCs w:val="22"/>
          <w:u w:val="single"/>
        </w:rPr>
        <w:t xml:space="preserve"> em doentes adultos</w:t>
      </w:r>
    </w:p>
    <w:p w14:paraId="375EB4EB" w14:textId="77777777" w:rsidR="00906898" w:rsidRPr="00263DB9" w:rsidRDefault="00906898" w:rsidP="00E51817">
      <w:pPr>
        <w:widowControl w:val="0"/>
        <w:suppressAutoHyphens/>
        <w:rPr>
          <w:color w:val="000000"/>
          <w:szCs w:val="22"/>
        </w:rPr>
      </w:pPr>
      <w:r w:rsidRPr="00263DB9">
        <w:rPr>
          <w:color w:val="000000"/>
          <w:szCs w:val="22"/>
        </w:rPr>
        <w:t>A dose recomendada de Glivec é 600 mg por dia em doentes adultos com LLA Ph+. Os peritos hematológicos na gestão da doença devem monitorizar o tratamento ao longo de todas as fases do tratamento.</w:t>
      </w:r>
    </w:p>
    <w:p w14:paraId="375EB4EC" w14:textId="77777777" w:rsidR="00906898" w:rsidRPr="00263DB9" w:rsidRDefault="00906898" w:rsidP="00E51817">
      <w:pPr>
        <w:widowControl w:val="0"/>
        <w:suppressAutoHyphens/>
        <w:rPr>
          <w:color w:val="000000"/>
          <w:szCs w:val="22"/>
        </w:rPr>
      </w:pPr>
    </w:p>
    <w:p w14:paraId="375EB4ED" w14:textId="77777777" w:rsidR="00906898" w:rsidRPr="00263DB9" w:rsidRDefault="00906898" w:rsidP="00E51817">
      <w:pPr>
        <w:widowControl w:val="0"/>
        <w:suppressAutoHyphens/>
        <w:rPr>
          <w:color w:val="000000"/>
          <w:szCs w:val="22"/>
        </w:rPr>
      </w:pPr>
      <w:r w:rsidRPr="00263DB9">
        <w:rPr>
          <w:color w:val="000000"/>
          <w:szCs w:val="22"/>
        </w:rPr>
        <w:t>Tratamento: Com base na informação existente, Glivec mostrou ser eficaz e seguro quando administrado em 600 mg por dia em associação com a quimioterapia na fase de indução, nas fases de consolidação e manutenção da quimioterapia (ver secção 5.1) para doentes adultos diagnosticados de novo com LLA Ph+. A duração do tratamento de Glivec pode variar com o programa do tratamento selecionado, mas em geral as exposições a longo termo com Glivec obtiveram melhores resultados.</w:t>
      </w:r>
    </w:p>
    <w:p w14:paraId="375EB4EE" w14:textId="77777777" w:rsidR="00906898" w:rsidRPr="00263DB9" w:rsidRDefault="00906898" w:rsidP="00E51817">
      <w:pPr>
        <w:widowControl w:val="0"/>
        <w:suppressAutoHyphens/>
        <w:rPr>
          <w:color w:val="000000"/>
          <w:szCs w:val="22"/>
        </w:rPr>
      </w:pPr>
    </w:p>
    <w:p w14:paraId="375EB4EF" w14:textId="77777777" w:rsidR="00906898" w:rsidRPr="00263DB9" w:rsidRDefault="00906898" w:rsidP="00E51817">
      <w:pPr>
        <w:widowControl w:val="0"/>
        <w:suppressAutoHyphens/>
        <w:rPr>
          <w:color w:val="000000"/>
          <w:szCs w:val="22"/>
        </w:rPr>
      </w:pPr>
      <w:r w:rsidRPr="00263DB9">
        <w:rPr>
          <w:color w:val="000000"/>
          <w:szCs w:val="22"/>
        </w:rPr>
        <w:t>Para os doentes adultos com LLA Ph+ recorrente ou refratária o Glivec em monoterapia a 600 mg/dia é seguro e efetivo e pode ser administrado até ocorrer a progressão da doença.</w:t>
      </w:r>
    </w:p>
    <w:p w14:paraId="375EB4F0" w14:textId="77777777" w:rsidR="00906898" w:rsidRPr="00263DB9" w:rsidRDefault="00906898" w:rsidP="00E51817">
      <w:pPr>
        <w:widowControl w:val="0"/>
        <w:suppressAutoHyphens/>
        <w:rPr>
          <w:color w:val="000000"/>
          <w:szCs w:val="22"/>
          <w:u w:val="single"/>
        </w:rPr>
      </w:pPr>
    </w:p>
    <w:p w14:paraId="375EB4F1" w14:textId="77777777" w:rsidR="00F36686" w:rsidRPr="00263DB9" w:rsidRDefault="00F36686" w:rsidP="003970DC">
      <w:pPr>
        <w:keepNext/>
        <w:widowControl w:val="0"/>
        <w:suppressAutoHyphens/>
        <w:rPr>
          <w:color w:val="000000"/>
          <w:szCs w:val="22"/>
          <w:u w:val="single"/>
        </w:rPr>
      </w:pPr>
      <w:r w:rsidRPr="00263DB9">
        <w:rPr>
          <w:color w:val="000000"/>
          <w:szCs w:val="22"/>
          <w:u w:val="single"/>
        </w:rPr>
        <w:t>Posologia para LLA Ph+ em crianças</w:t>
      </w:r>
    </w:p>
    <w:p w14:paraId="375EB4F2" w14:textId="77777777" w:rsidR="00F36686" w:rsidRPr="00263DB9" w:rsidRDefault="00F36686" w:rsidP="00E51817">
      <w:pPr>
        <w:widowControl w:val="0"/>
        <w:suppressAutoHyphens/>
        <w:rPr>
          <w:color w:val="000000"/>
          <w:szCs w:val="22"/>
        </w:rPr>
      </w:pPr>
      <w:r w:rsidRPr="00263DB9">
        <w:rPr>
          <w:color w:val="000000"/>
          <w:szCs w:val="22"/>
        </w:rPr>
        <w:t>A dose para crianças deve ser calculada com base na área de superfície corporal (mg/m</w:t>
      </w:r>
      <w:r w:rsidRPr="00263DB9">
        <w:rPr>
          <w:color w:val="000000"/>
          <w:szCs w:val="22"/>
          <w:vertAlign w:val="superscript"/>
        </w:rPr>
        <w:t>2</w:t>
      </w:r>
      <w:r w:rsidRPr="00263DB9">
        <w:rPr>
          <w:color w:val="000000"/>
          <w:szCs w:val="22"/>
        </w:rPr>
        <w:t>). A dose recomendada é de 340 mg/m</w:t>
      </w:r>
      <w:r w:rsidRPr="00263DB9">
        <w:rPr>
          <w:color w:val="000000"/>
          <w:szCs w:val="22"/>
          <w:vertAlign w:val="superscript"/>
        </w:rPr>
        <w:t>2</w:t>
      </w:r>
      <w:r w:rsidRPr="00263DB9">
        <w:rPr>
          <w:color w:val="000000"/>
          <w:szCs w:val="22"/>
        </w:rPr>
        <w:t xml:space="preserve"> por dia para crianças com LLA Ph+ (não excedendo a dose total de 600 mg).</w:t>
      </w:r>
    </w:p>
    <w:p w14:paraId="375EB4F3" w14:textId="77777777" w:rsidR="00F36686" w:rsidRPr="00263DB9" w:rsidRDefault="00F36686" w:rsidP="00E51817">
      <w:pPr>
        <w:widowControl w:val="0"/>
        <w:suppressAutoHyphens/>
        <w:rPr>
          <w:color w:val="000000"/>
          <w:szCs w:val="22"/>
          <w:u w:val="single"/>
        </w:rPr>
      </w:pPr>
    </w:p>
    <w:p w14:paraId="375EB4F4" w14:textId="77777777" w:rsidR="00906898" w:rsidRPr="00263DB9" w:rsidRDefault="00906898" w:rsidP="003970DC">
      <w:pPr>
        <w:keepNext/>
        <w:widowControl w:val="0"/>
        <w:suppressAutoHyphens/>
        <w:rPr>
          <w:color w:val="000000"/>
          <w:szCs w:val="22"/>
          <w:u w:val="single"/>
        </w:rPr>
      </w:pPr>
      <w:r w:rsidRPr="00263DB9">
        <w:rPr>
          <w:color w:val="000000"/>
          <w:szCs w:val="22"/>
          <w:u w:val="single"/>
        </w:rPr>
        <w:t>Posologia para MDS/MPD</w:t>
      </w:r>
    </w:p>
    <w:p w14:paraId="375EB4F5" w14:textId="77777777" w:rsidR="00906898" w:rsidRPr="00263DB9" w:rsidRDefault="00906898" w:rsidP="00E51817">
      <w:pPr>
        <w:widowControl w:val="0"/>
        <w:suppressAutoHyphens/>
        <w:rPr>
          <w:color w:val="000000"/>
          <w:szCs w:val="22"/>
        </w:rPr>
      </w:pPr>
      <w:r w:rsidRPr="00263DB9">
        <w:rPr>
          <w:color w:val="000000"/>
          <w:szCs w:val="22"/>
        </w:rPr>
        <w:t>A dose recomendada de Glivec é 400 mg por dia em doentes adultos com MDS/MPD.</w:t>
      </w:r>
    </w:p>
    <w:p w14:paraId="375EB4F6" w14:textId="77777777" w:rsidR="00906898" w:rsidRPr="00263DB9" w:rsidRDefault="00906898" w:rsidP="00E51817">
      <w:pPr>
        <w:widowControl w:val="0"/>
        <w:suppressAutoHyphens/>
        <w:rPr>
          <w:color w:val="000000"/>
          <w:szCs w:val="22"/>
        </w:rPr>
      </w:pPr>
    </w:p>
    <w:p w14:paraId="375EB4F7" w14:textId="77777777" w:rsidR="00906898" w:rsidRPr="00263DB9" w:rsidRDefault="00906898" w:rsidP="00E51817">
      <w:pPr>
        <w:widowControl w:val="0"/>
        <w:suppressAutoHyphens/>
        <w:rPr>
          <w:color w:val="000000"/>
          <w:szCs w:val="22"/>
        </w:rPr>
      </w:pPr>
      <w:r w:rsidRPr="00263DB9">
        <w:rPr>
          <w:color w:val="000000"/>
          <w:szCs w:val="22"/>
        </w:rPr>
        <w:t xml:space="preserve">Duração do tratamento: No único ensaio clínico efetuado até à data, o tratamento com Glivec continuou até à progressão da doença (ver secção 5.1). Na altura da análise, a mediana da duração do </w:t>
      </w:r>
      <w:r w:rsidRPr="00263DB9">
        <w:rPr>
          <w:color w:val="000000"/>
          <w:szCs w:val="22"/>
        </w:rPr>
        <w:lastRenderedPageBreak/>
        <w:t>tratamento foi de 47 meses (24 dias – 60 meses).</w:t>
      </w:r>
    </w:p>
    <w:p w14:paraId="375EB4F8" w14:textId="77777777" w:rsidR="00906898" w:rsidRPr="00263DB9" w:rsidRDefault="00906898" w:rsidP="00E51817">
      <w:pPr>
        <w:pStyle w:val="EndnoteText"/>
        <w:tabs>
          <w:tab w:val="clear" w:pos="567"/>
        </w:tabs>
        <w:rPr>
          <w:color w:val="000000"/>
          <w:szCs w:val="22"/>
        </w:rPr>
      </w:pPr>
    </w:p>
    <w:p w14:paraId="375EB4F9" w14:textId="77777777" w:rsidR="00906898" w:rsidRPr="00263DB9" w:rsidRDefault="00906898" w:rsidP="003970DC">
      <w:pPr>
        <w:pStyle w:val="EndnoteText"/>
        <w:keepNext/>
        <w:tabs>
          <w:tab w:val="clear" w:pos="567"/>
        </w:tabs>
        <w:rPr>
          <w:color w:val="000000"/>
          <w:szCs w:val="22"/>
          <w:u w:val="single"/>
        </w:rPr>
      </w:pPr>
      <w:r w:rsidRPr="00263DB9">
        <w:rPr>
          <w:color w:val="000000"/>
          <w:szCs w:val="22"/>
          <w:u w:val="single"/>
        </w:rPr>
        <w:t>Posologia para síndrome hipereosinofílica avançada/leucemia eosinofílica crónica</w:t>
      </w:r>
    </w:p>
    <w:p w14:paraId="375EB4FA" w14:textId="77777777" w:rsidR="00906898" w:rsidRPr="00263DB9" w:rsidRDefault="00906898" w:rsidP="00E51817">
      <w:pPr>
        <w:pStyle w:val="Text"/>
        <w:widowControl w:val="0"/>
        <w:spacing w:before="0"/>
        <w:jc w:val="left"/>
        <w:rPr>
          <w:color w:val="000000"/>
          <w:sz w:val="22"/>
          <w:szCs w:val="22"/>
          <w:lang w:val="pt-PT"/>
        </w:rPr>
      </w:pPr>
      <w:r w:rsidRPr="00263DB9">
        <w:rPr>
          <w:color w:val="000000"/>
          <w:sz w:val="22"/>
          <w:szCs w:val="22"/>
          <w:lang w:val="pt-PT"/>
        </w:rPr>
        <w:t>A dose recomendada de Glivec é 100 mg/dia em doentes adultos</w:t>
      </w:r>
      <w:r w:rsidRPr="00263DB9">
        <w:rPr>
          <w:color w:val="000000"/>
          <w:szCs w:val="22"/>
          <w:lang w:val="pt-PT"/>
        </w:rPr>
        <w:t xml:space="preserve"> </w:t>
      </w:r>
      <w:r w:rsidRPr="00263DB9">
        <w:rPr>
          <w:color w:val="000000"/>
          <w:sz w:val="22"/>
          <w:szCs w:val="22"/>
          <w:lang w:val="pt-PT"/>
        </w:rPr>
        <w:t>com síndrome hipereosinofílica avançada/leucemia eosinofílica crónica.</w:t>
      </w:r>
    </w:p>
    <w:p w14:paraId="375EB4FB" w14:textId="77777777" w:rsidR="00906898" w:rsidRPr="00263DB9" w:rsidRDefault="00906898" w:rsidP="00E51817">
      <w:pPr>
        <w:pStyle w:val="Text"/>
        <w:widowControl w:val="0"/>
        <w:spacing w:before="0"/>
        <w:jc w:val="left"/>
        <w:rPr>
          <w:rFonts w:eastAsia="MS Mincho"/>
          <w:color w:val="000000"/>
          <w:sz w:val="22"/>
          <w:szCs w:val="22"/>
          <w:lang w:val="pt-PT" w:eastAsia="ja-JP"/>
        </w:rPr>
      </w:pPr>
    </w:p>
    <w:p w14:paraId="375EB4FC" w14:textId="77777777" w:rsidR="00906898" w:rsidRPr="00263DB9" w:rsidRDefault="00906898" w:rsidP="00E51817">
      <w:pPr>
        <w:pStyle w:val="Text"/>
        <w:widowControl w:val="0"/>
        <w:spacing w:before="0"/>
        <w:jc w:val="left"/>
        <w:rPr>
          <w:color w:val="000000"/>
          <w:sz w:val="22"/>
          <w:szCs w:val="22"/>
          <w:lang w:val="pt-PT"/>
        </w:rPr>
      </w:pPr>
      <w:r w:rsidRPr="00263DB9">
        <w:rPr>
          <w:rFonts w:eastAsia="MS Mincho"/>
          <w:color w:val="000000"/>
          <w:sz w:val="22"/>
          <w:szCs w:val="22"/>
          <w:lang w:val="pt-PT" w:eastAsia="ja-JP"/>
        </w:rPr>
        <w:t>Pode ser considerado o aumento da dose</w:t>
      </w:r>
      <w:r w:rsidRPr="00263DB9">
        <w:rPr>
          <w:color w:val="000000"/>
          <w:sz w:val="22"/>
          <w:szCs w:val="22"/>
          <w:lang w:val="pt-PT"/>
        </w:rPr>
        <w:t xml:space="preserve"> de 100 mg para 400 mg</w:t>
      </w:r>
      <w:r w:rsidRPr="00263DB9">
        <w:rPr>
          <w:rFonts w:eastAsia="MS Mincho"/>
          <w:color w:val="000000"/>
          <w:sz w:val="22"/>
          <w:szCs w:val="22"/>
          <w:lang w:val="pt-PT" w:eastAsia="ja-JP"/>
        </w:rPr>
        <w:t xml:space="preserve"> na ausência de reações adversas medicamentosas, se as avaliações demonstrarem uma resposta insuficiente à terapêutica</w:t>
      </w:r>
      <w:r w:rsidRPr="00263DB9">
        <w:rPr>
          <w:color w:val="000000"/>
          <w:sz w:val="22"/>
          <w:szCs w:val="22"/>
          <w:lang w:val="pt-PT"/>
        </w:rPr>
        <w:t>.</w:t>
      </w:r>
    </w:p>
    <w:p w14:paraId="375EB4FD" w14:textId="77777777" w:rsidR="00906898" w:rsidRPr="00263DB9" w:rsidRDefault="00906898" w:rsidP="00E51817">
      <w:pPr>
        <w:widowControl w:val="0"/>
        <w:suppressAutoHyphens/>
        <w:rPr>
          <w:color w:val="000000"/>
          <w:szCs w:val="22"/>
        </w:rPr>
      </w:pPr>
    </w:p>
    <w:p w14:paraId="375EB4FE" w14:textId="77777777" w:rsidR="00906898" w:rsidRPr="00263DB9" w:rsidRDefault="00906898" w:rsidP="00E51817">
      <w:pPr>
        <w:widowControl w:val="0"/>
        <w:suppressAutoHyphens/>
        <w:rPr>
          <w:color w:val="000000"/>
          <w:szCs w:val="22"/>
        </w:rPr>
      </w:pPr>
      <w:r w:rsidRPr="00263DB9">
        <w:rPr>
          <w:color w:val="000000"/>
          <w:szCs w:val="22"/>
        </w:rPr>
        <w:t>O tratamento deve continuar enquanto o doente beneficiar.</w:t>
      </w:r>
    </w:p>
    <w:p w14:paraId="375EB4FF" w14:textId="77777777" w:rsidR="00906898" w:rsidRPr="00263DB9" w:rsidRDefault="00906898" w:rsidP="00E51817">
      <w:pPr>
        <w:widowControl w:val="0"/>
        <w:suppressAutoHyphens/>
        <w:rPr>
          <w:color w:val="000000"/>
          <w:szCs w:val="22"/>
        </w:rPr>
      </w:pPr>
    </w:p>
    <w:p w14:paraId="375EB500" w14:textId="77777777" w:rsidR="00906898" w:rsidRPr="00263DB9" w:rsidRDefault="00906898" w:rsidP="003970DC">
      <w:pPr>
        <w:keepNext/>
        <w:widowControl w:val="0"/>
        <w:suppressAutoHyphens/>
        <w:rPr>
          <w:color w:val="000000"/>
          <w:szCs w:val="22"/>
          <w:u w:val="single"/>
        </w:rPr>
      </w:pPr>
      <w:r w:rsidRPr="00263DB9">
        <w:rPr>
          <w:color w:val="000000"/>
          <w:szCs w:val="22"/>
          <w:u w:val="single"/>
        </w:rPr>
        <w:t>Posologia para GIST</w:t>
      </w:r>
    </w:p>
    <w:p w14:paraId="375EB501" w14:textId="77777777" w:rsidR="00906898" w:rsidRPr="00263DB9" w:rsidRDefault="00906898" w:rsidP="00E51817">
      <w:pPr>
        <w:widowControl w:val="0"/>
        <w:suppressAutoHyphens/>
        <w:rPr>
          <w:color w:val="000000"/>
          <w:szCs w:val="22"/>
        </w:rPr>
      </w:pPr>
      <w:r w:rsidRPr="00263DB9">
        <w:rPr>
          <w:color w:val="000000"/>
          <w:szCs w:val="22"/>
        </w:rPr>
        <w:t>A dose recomendada de Glivec é 400 mg por dia em doentes adultos com GIST malignos metastáticos e/ou irressecáveis.</w:t>
      </w:r>
    </w:p>
    <w:p w14:paraId="375EB502" w14:textId="77777777" w:rsidR="00906898" w:rsidRPr="00263DB9" w:rsidRDefault="00906898" w:rsidP="00E51817">
      <w:pPr>
        <w:widowControl w:val="0"/>
        <w:suppressAutoHyphens/>
        <w:rPr>
          <w:color w:val="000000"/>
          <w:szCs w:val="22"/>
        </w:rPr>
      </w:pPr>
    </w:p>
    <w:p w14:paraId="375EB503" w14:textId="77777777" w:rsidR="00906898" w:rsidRPr="00263DB9" w:rsidRDefault="00906898" w:rsidP="00E51817">
      <w:pPr>
        <w:widowControl w:val="0"/>
        <w:suppressAutoHyphens/>
        <w:rPr>
          <w:color w:val="000000"/>
          <w:szCs w:val="22"/>
        </w:rPr>
      </w:pPr>
      <w:r w:rsidRPr="00263DB9">
        <w:rPr>
          <w:color w:val="000000"/>
          <w:szCs w:val="22"/>
        </w:rPr>
        <w:t>A informação sobre o efeito do aumento da dose de 400 mg para 600 mg ou 800 mg em doentes com progressão da doença após tratamento com a dose inferior é limitada (ver secção 5.1).</w:t>
      </w:r>
    </w:p>
    <w:p w14:paraId="375EB504" w14:textId="77777777" w:rsidR="00906898" w:rsidRPr="00263DB9" w:rsidRDefault="00906898" w:rsidP="00E51817">
      <w:pPr>
        <w:widowControl w:val="0"/>
        <w:suppressAutoHyphens/>
        <w:rPr>
          <w:color w:val="000000"/>
          <w:szCs w:val="22"/>
        </w:rPr>
      </w:pPr>
    </w:p>
    <w:p w14:paraId="375EB505" w14:textId="77777777" w:rsidR="00906898" w:rsidRPr="00263DB9" w:rsidRDefault="00906898" w:rsidP="00E51817">
      <w:pPr>
        <w:widowControl w:val="0"/>
        <w:suppressAutoHyphens/>
        <w:rPr>
          <w:color w:val="000000"/>
          <w:szCs w:val="22"/>
        </w:rPr>
      </w:pPr>
      <w:r w:rsidRPr="00263DB9">
        <w:rPr>
          <w:color w:val="000000"/>
          <w:szCs w:val="22"/>
        </w:rPr>
        <w:t>Duração do tratamento: nos ensaios clínicos em doentes com GIST, o tratamento com Glivec foi mantido até progressão da doença. Na altura da análise dos resultados, o tratamento tinha uma duração mediana de 7 meses (7 dias a 13 meses). Não foi estudado o efeito da interrupção do tratamento após obtenção de resposta terapêutica.</w:t>
      </w:r>
    </w:p>
    <w:p w14:paraId="375EB506" w14:textId="77777777" w:rsidR="00906898" w:rsidRPr="00263DB9" w:rsidRDefault="00906898" w:rsidP="00E51817">
      <w:pPr>
        <w:widowControl w:val="0"/>
        <w:suppressAutoHyphens/>
        <w:rPr>
          <w:color w:val="000000"/>
          <w:szCs w:val="22"/>
        </w:rPr>
      </w:pPr>
    </w:p>
    <w:p w14:paraId="375EB507" w14:textId="77777777" w:rsidR="00906898" w:rsidRPr="00263DB9" w:rsidRDefault="00906898" w:rsidP="00E51817">
      <w:pPr>
        <w:widowControl w:val="0"/>
        <w:suppressAutoHyphens/>
        <w:rPr>
          <w:color w:val="000000"/>
          <w:szCs w:val="22"/>
        </w:rPr>
      </w:pPr>
      <w:r w:rsidRPr="00263DB9">
        <w:rPr>
          <w:color w:val="000000"/>
          <w:szCs w:val="22"/>
        </w:rPr>
        <w:t xml:space="preserve">A dose recomendada de Glivec é 400 mg/dia para o tratamento adjuvante em doentes adultos após ressecção de GIST. A duração óptima do tratamento ainda não foi estabelecida. A duração do tratamento no ensaio clínico que suporta esta indicação terapêutica foi de </w:t>
      </w:r>
      <w:r w:rsidR="00010145" w:rsidRPr="00263DB9">
        <w:rPr>
          <w:color w:val="000000"/>
          <w:szCs w:val="22"/>
        </w:rPr>
        <w:t>36 </w:t>
      </w:r>
      <w:r w:rsidRPr="00263DB9">
        <w:rPr>
          <w:color w:val="000000"/>
          <w:szCs w:val="22"/>
        </w:rPr>
        <w:t>meses</w:t>
      </w:r>
      <w:r w:rsidR="00010145" w:rsidRPr="00263DB9">
        <w:rPr>
          <w:color w:val="000000"/>
          <w:szCs w:val="22"/>
        </w:rPr>
        <w:t xml:space="preserve"> (ver secção 5.1)</w:t>
      </w:r>
      <w:r w:rsidRPr="00263DB9">
        <w:rPr>
          <w:color w:val="000000"/>
          <w:szCs w:val="22"/>
        </w:rPr>
        <w:t>.</w:t>
      </w:r>
    </w:p>
    <w:p w14:paraId="375EB508" w14:textId="77777777" w:rsidR="00906898" w:rsidRPr="00263DB9" w:rsidRDefault="00906898" w:rsidP="00E51817">
      <w:pPr>
        <w:widowControl w:val="0"/>
        <w:suppressAutoHyphens/>
        <w:rPr>
          <w:color w:val="000000"/>
          <w:szCs w:val="22"/>
        </w:rPr>
      </w:pPr>
    </w:p>
    <w:p w14:paraId="375EB509" w14:textId="77777777" w:rsidR="00906898" w:rsidRPr="00263DB9" w:rsidRDefault="00906898" w:rsidP="003970DC">
      <w:pPr>
        <w:keepNext/>
        <w:widowControl w:val="0"/>
        <w:suppressAutoHyphens/>
        <w:rPr>
          <w:color w:val="000000"/>
          <w:szCs w:val="22"/>
          <w:u w:val="single"/>
        </w:rPr>
      </w:pPr>
      <w:r w:rsidRPr="00263DB9">
        <w:rPr>
          <w:color w:val="000000"/>
          <w:szCs w:val="22"/>
          <w:u w:val="single"/>
        </w:rPr>
        <w:t>Posologia para DFPS</w:t>
      </w:r>
    </w:p>
    <w:p w14:paraId="375EB50A" w14:textId="77777777" w:rsidR="00906898" w:rsidRPr="00263DB9" w:rsidRDefault="00906898" w:rsidP="00E51817">
      <w:pPr>
        <w:widowControl w:val="0"/>
        <w:suppressAutoHyphens/>
        <w:rPr>
          <w:color w:val="000000"/>
          <w:szCs w:val="22"/>
        </w:rPr>
      </w:pPr>
      <w:r w:rsidRPr="00263DB9">
        <w:rPr>
          <w:color w:val="000000"/>
          <w:szCs w:val="22"/>
        </w:rPr>
        <w:t>A dose recomendada de Glivec é 800 mg por dia em doentes adultos com DFSP.</w:t>
      </w:r>
    </w:p>
    <w:p w14:paraId="375EB50B" w14:textId="77777777" w:rsidR="00906898" w:rsidRPr="00263DB9" w:rsidRDefault="00906898" w:rsidP="00E51817">
      <w:pPr>
        <w:widowControl w:val="0"/>
        <w:suppressAutoHyphens/>
        <w:rPr>
          <w:color w:val="000000"/>
          <w:szCs w:val="22"/>
        </w:rPr>
      </w:pPr>
    </w:p>
    <w:p w14:paraId="375EB50C" w14:textId="77777777" w:rsidR="00906898" w:rsidRPr="00263DB9" w:rsidRDefault="00906898" w:rsidP="003970DC">
      <w:pPr>
        <w:keepNext/>
        <w:widowControl w:val="0"/>
        <w:suppressAutoHyphens/>
        <w:rPr>
          <w:color w:val="000000"/>
          <w:szCs w:val="22"/>
          <w:u w:val="single"/>
        </w:rPr>
      </w:pPr>
      <w:r w:rsidRPr="00263DB9">
        <w:rPr>
          <w:color w:val="000000"/>
          <w:szCs w:val="22"/>
          <w:u w:val="single"/>
        </w:rPr>
        <w:t>Ajuste de dose em caso de reações adversas</w:t>
      </w:r>
    </w:p>
    <w:p w14:paraId="375EB50D" w14:textId="77777777" w:rsidR="00906898" w:rsidRPr="00263DB9" w:rsidRDefault="00906898" w:rsidP="003970DC">
      <w:pPr>
        <w:pStyle w:val="Heading6"/>
        <w:widowControl w:val="0"/>
        <w:tabs>
          <w:tab w:val="clear" w:pos="-720"/>
          <w:tab w:val="clear" w:pos="567"/>
          <w:tab w:val="clear" w:pos="4536"/>
        </w:tabs>
        <w:spacing w:line="240" w:lineRule="auto"/>
        <w:rPr>
          <w:color w:val="000000"/>
          <w:szCs w:val="22"/>
          <w:lang w:val="pt-PT"/>
        </w:rPr>
      </w:pPr>
      <w:r w:rsidRPr="00263DB9">
        <w:rPr>
          <w:color w:val="000000"/>
          <w:szCs w:val="22"/>
          <w:lang w:val="pt-PT"/>
        </w:rPr>
        <w:t>Reações adversas não-hematológicas</w:t>
      </w:r>
    </w:p>
    <w:p w14:paraId="375EB50E" w14:textId="77777777" w:rsidR="00906898" w:rsidRPr="00263DB9" w:rsidRDefault="00906898" w:rsidP="00E51817">
      <w:pPr>
        <w:widowControl w:val="0"/>
        <w:suppressAutoHyphens/>
        <w:rPr>
          <w:color w:val="000000"/>
          <w:szCs w:val="22"/>
        </w:rPr>
      </w:pPr>
      <w:r w:rsidRPr="00263DB9">
        <w:rPr>
          <w:color w:val="000000"/>
          <w:szCs w:val="22"/>
        </w:rPr>
        <w:t>Se se desenvolver uma reação adversa não-hematológica grave com a utilização de Glivec, o tratamento deve ser interrompido até esta ter desaparecido. Depois disso, o tratamento pode ser reiniciado conforme apropriado, dependendo da gravidade inicial da reação.</w:t>
      </w:r>
    </w:p>
    <w:p w14:paraId="375EB50F" w14:textId="77777777" w:rsidR="00906898" w:rsidRPr="00263DB9" w:rsidRDefault="00906898" w:rsidP="00E51817">
      <w:pPr>
        <w:widowControl w:val="0"/>
        <w:suppressAutoHyphens/>
        <w:rPr>
          <w:color w:val="000000"/>
          <w:szCs w:val="22"/>
        </w:rPr>
      </w:pPr>
    </w:p>
    <w:p w14:paraId="375EB510" w14:textId="77777777" w:rsidR="00906898" w:rsidRPr="00263DB9" w:rsidRDefault="00906898" w:rsidP="00E51817">
      <w:pPr>
        <w:widowControl w:val="0"/>
        <w:suppressAutoHyphens/>
        <w:rPr>
          <w:color w:val="000000"/>
          <w:szCs w:val="22"/>
        </w:rPr>
      </w:pPr>
      <w:r w:rsidRPr="00263DB9">
        <w:rPr>
          <w:color w:val="000000"/>
          <w:szCs w:val="22"/>
        </w:rPr>
        <w:t>Caso ocorra aumento dos níveis de bilirrubina &gt; 3 x limite superior padrão (IULN) ou das transaminases hepáticas &gt; 5 x IULN, o tratamento com Glivec deve ser interrompido até que os níveis de bilirrubina regressem a valores &lt; 1,5 x IULN e os das transaminases a valores &lt; 2,5 x IULN. O tratamento com Glivec pode depois ser mantido duma dose diária reduzida. Em adultos, a dose deverá ser reduzida de 400 para 300 mg ou de 600 para 400 mg, ou de 800 mg para 600 mg e, em crianças, de 340 para 260 mg/m</w:t>
      </w:r>
      <w:r w:rsidRPr="00263DB9">
        <w:rPr>
          <w:color w:val="000000"/>
          <w:szCs w:val="22"/>
          <w:vertAlign w:val="superscript"/>
        </w:rPr>
        <w:t>2</w:t>
      </w:r>
      <w:r w:rsidRPr="00263DB9">
        <w:rPr>
          <w:color w:val="000000"/>
          <w:szCs w:val="22"/>
        </w:rPr>
        <w:t>/dia.</w:t>
      </w:r>
    </w:p>
    <w:p w14:paraId="375EB511" w14:textId="77777777" w:rsidR="00906898" w:rsidRPr="00263DB9" w:rsidRDefault="00906898" w:rsidP="00E51817">
      <w:pPr>
        <w:widowControl w:val="0"/>
        <w:suppressAutoHyphens/>
        <w:rPr>
          <w:color w:val="000000"/>
          <w:szCs w:val="22"/>
        </w:rPr>
      </w:pPr>
    </w:p>
    <w:p w14:paraId="375EB512" w14:textId="77777777" w:rsidR="00906898" w:rsidRPr="00263DB9" w:rsidRDefault="00906898" w:rsidP="003970DC">
      <w:pPr>
        <w:pStyle w:val="Heading6"/>
        <w:widowControl w:val="0"/>
        <w:tabs>
          <w:tab w:val="clear" w:pos="-720"/>
          <w:tab w:val="clear" w:pos="567"/>
          <w:tab w:val="clear" w:pos="4536"/>
        </w:tabs>
        <w:spacing w:line="240" w:lineRule="auto"/>
        <w:rPr>
          <w:color w:val="000000"/>
          <w:szCs w:val="22"/>
          <w:lang w:val="pt-PT"/>
        </w:rPr>
      </w:pPr>
      <w:r w:rsidRPr="00263DB9">
        <w:rPr>
          <w:color w:val="000000"/>
          <w:szCs w:val="22"/>
          <w:lang w:val="pt-PT"/>
        </w:rPr>
        <w:t>Reações adversas hematológicas</w:t>
      </w:r>
    </w:p>
    <w:p w14:paraId="375EB513" w14:textId="77777777" w:rsidR="00906898" w:rsidRPr="00263DB9" w:rsidRDefault="00906898" w:rsidP="00E51817">
      <w:pPr>
        <w:widowControl w:val="0"/>
        <w:suppressAutoHyphens/>
        <w:rPr>
          <w:color w:val="000000"/>
          <w:szCs w:val="22"/>
        </w:rPr>
      </w:pPr>
      <w:r w:rsidRPr="00263DB9">
        <w:rPr>
          <w:color w:val="000000"/>
          <w:szCs w:val="22"/>
        </w:rPr>
        <w:t>Para a neutropenia e trombocitopenia graves, são recomendadas a redução da dose ou a interrupção do tratamento, tal como indicado na tabela seguinte.</w:t>
      </w:r>
    </w:p>
    <w:p w14:paraId="375EB514" w14:textId="77777777" w:rsidR="00906898" w:rsidRPr="00263DB9" w:rsidRDefault="00906898" w:rsidP="00E51817">
      <w:pPr>
        <w:widowControl w:val="0"/>
        <w:suppressAutoHyphens/>
        <w:rPr>
          <w:color w:val="000000"/>
          <w:szCs w:val="22"/>
        </w:rPr>
      </w:pPr>
    </w:p>
    <w:p w14:paraId="375EB515" w14:textId="77777777" w:rsidR="00906898" w:rsidRPr="00263DB9" w:rsidRDefault="00906898" w:rsidP="003970DC">
      <w:pPr>
        <w:keepNext/>
        <w:widowControl w:val="0"/>
        <w:suppressAutoHyphens/>
        <w:jc w:val="both"/>
        <w:rPr>
          <w:color w:val="000000"/>
          <w:szCs w:val="22"/>
        </w:rPr>
      </w:pPr>
      <w:r w:rsidRPr="00263DB9">
        <w:rPr>
          <w:color w:val="000000"/>
          <w:szCs w:val="22"/>
        </w:rPr>
        <w:lastRenderedPageBreak/>
        <w:t>Ajustes da dose para a neutropenia e trombocitopenia:</w:t>
      </w:r>
    </w:p>
    <w:p w14:paraId="375EB516" w14:textId="77777777" w:rsidR="00906898" w:rsidRPr="00263DB9" w:rsidRDefault="00906898" w:rsidP="003970DC">
      <w:pPr>
        <w:keepNext/>
        <w:widowControl w:val="0"/>
        <w:suppressAutoHyphens/>
        <w:jc w:val="both"/>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268"/>
        <w:gridCol w:w="4490"/>
      </w:tblGrid>
      <w:tr w:rsidR="00906898" w:rsidRPr="00263DB9" w14:paraId="375EB51D" w14:textId="77777777" w:rsidTr="003970DC">
        <w:trPr>
          <w:cantSplit/>
        </w:trPr>
        <w:tc>
          <w:tcPr>
            <w:tcW w:w="2518" w:type="dxa"/>
          </w:tcPr>
          <w:p w14:paraId="375EB517" w14:textId="77777777" w:rsidR="00906898" w:rsidRPr="00263DB9" w:rsidRDefault="00906898" w:rsidP="003970DC">
            <w:pPr>
              <w:keepNext/>
              <w:widowControl w:val="0"/>
              <w:suppressAutoHyphens/>
              <w:rPr>
                <w:color w:val="000000"/>
                <w:szCs w:val="22"/>
              </w:rPr>
            </w:pPr>
            <w:r w:rsidRPr="00263DB9">
              <w:rPr>
                <w:color w:val="000000"/>
                <w:szCs w:val="22"/>
              </w:rPr>
              <w:t>Síndrome hipereosinofílica avançada/leucemia eosinofílica crónica (dose inicial 100 mg)</w:t>
            </w:r>
          </w:p>
        </w:tc>
        <w:tc>
          <w:tcPr>
            <w:tcW w:w="2268" w:type="dxa"/>
          </w:tcPr>
          <w:p w14:paraId="375EB518"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ANC &lt; 1,0 x 10</w:t>
            </w:r>
            <w:r w:rsidRPr="00263DB9">
              <w:rPr>
                <w:rFonts w:ascii="Times New Roman" w:hAnsi="Times New Roman"/>
                <w:color w:val="000000"/>
                <w:szCs w:val="22"/>
                <w:vertAlign w:val="superscript"/>
                <w:lang w:val="pt-PT"/>
              </w:rPr>
              <w:t>9</w:t>
            </w:r>
            <w:r w:rsidRPr="00263DB9">
              <w:rPr>
                <w:rFonts w:ascii="Times New Roman" w:hAnsi="Times New Roman"/>
                <w:color w:val="000000"/>
                <w:szCs w:val="22"/>
                <w:lang w:val="pt-PT"/>
              </w:rPr>
              <w:t>/l</w:t>
            </w:r>
          </w:p>
          <w:p w14:paraId="375EB519" w14:textId="77777777" w:rsidR="00906898" w:rsidRPr="00263DB9" w:rsidRDefault="00906898" w:rsidP="003970DC">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e/ou</w:t>
            </w:r>
          </w:p>
          <w:p w14:paraId="375EB51A" w14:textId="77777777" w:rsidR="00906898" w:rsidRPr="00263DB9" w:rsidRDefault="00906898" w:rsidP="003970DC">
            <w:pPr>
              <w:keepNext/>
              <w:widowControl w:val="0"/>
              <w:suppressAutoHyphens/>
              <w:jc w:val="both"/>
              <w:rPr>
                <w:color w:val="000000"/>
                <w:szCs w:val="22"/>
              </w:rPr>
            </w:pPr>
            <w:r w:rsidRPr="00263DB9">
              <w:rPr>
                <w:color w:val="000000"/>
                <w:szCs w:val="22"/>
              </w:rPr>
              <w:t>plaquetas &lt; 50 x 10</w:t>
            </w:r>
            <w:r w:rsidRPr="00263DB9">
              <w:rPr>
                <w:color w:val="000000"/>
                <w:szCs w:val="22"/>
                <w:vertAlign w:val="superscript"/>
              </w:rPr>
              <w:t>9</w:t>
            </w:r>
            <w:r w:rsidRPr="00263DB9">
              <w:rPr>
                <w:color w:val="000000"/>
                <w:szCs w:val="22"/>
              </w:rPr>
              <w:t>/l</w:t>
            </w:r>
          </w:p>
        </w:tc>
        <w:tc>
          <w:tcPr>
            <w:tcW w:w="4490" w:type="dxa"/>
          </w:tcPr>
          <w:p w14:paraId="375EB51B" w14:textId="77777777" w:rsidR="00906898" w:rsidRPr="00263DB9" w:rsidRDefault="00906898" w:rsidP="003970DC">
            <w:pPr>
              <w:keepNext/>
              <w:widowControl w:val="0"/>
              <w:suppressAutoHyphens/>
              <w:ind w:left="394" w:hanging="437"/>
              <w:rPr>
                <w:color w:val="000000"/>
                <w:szCs w:val="22"/>
              </w:rPr>
            </w:pPr>
            <w:r w:rsidRPr="00263DB9">
              <w:rPr>
                <w:color w:val="000000"/>
                <w:szCs w:val="22"/>
              </w:rPr>
              <w:t>1.</w:t>
            </w:r>
            <w:r w:rsidRPr="00263DB9">
              <w:rPr>
                <w:color w:val="000000"/>
                <w:szCs w:val="22"/>
              </w:rPr>
              <w:tab/>
              <w:t xml:space="preserve">Interromper Glivec até ANC </w:t>
            </w:r>
            <w:r w:rsidRPr="00263DB9">
              <w:rPr>
                <w:color w:val="000000"/>
                <w:szCs w:val="22"/>
              </w:rPr>
              <w:sym w:font="Symbol" w:char="F0B3"/>
            </w:r>
            <w:r w:rsidRPr="00263DB9">
              <w:rPr>
                <w:color w:val="000000"/>
                <w:szCs w:val="22"/>
              </w:rPr>
              <w:t> 1,5 x 10</w:t>
            </w:r>
            <w:r w:rsidRPr="00263DB9">
              <w:rPr>
                <w:color w:val="000000"/>
                <w:szCs w:val="22"/>
                <w:vertAlign w:val="superscript"/>
              </w:rPr>
              <w:t>9</w:t>
            </w:r>
            <w:r w:rsidRPr="00263DB9">
              <w:rPr>
                <w:color w:val="000000"/>
                <w:szCs w:val="22"/>
              </w:rPr>
              <w:t xml:space="preserve">/l e plaquetas </w:t>
            </w:r>
            <w:r w:rsidRPr="00263DB9">
              <w:rPr>
                <w:color w:val="000000"/>
                <w:szCs w:val="22"/>
              </w:rPr>
              <w:sym w:font="Symbol" w:char="F0B3"/>
            </w:r>
            <w:r w:rsidRPr="00263DB9">
              <w:rPr>
                <w:color w:val="000000"/>
                <w:szCs w:val="22"/>
              </w:rPr>
              <w:t> 75 x 10</w:t>
            </w:r>
            <w:r w:rsidRPr="00263DB9">
              <w:rPr>
                <w:color w:val="000000"/>
                <w:szCs w:val="22"/>
                <w:vertAlign w:val="superscript"/>
              </w:rPr>
              <w:t>9</w:t>
            </w:r>
            <w:r w:rsidRPr="00263DB9">
              <w:rPr>
                <w:color w:val="000000"/>
                <w:szCs w:val="22"/>
              </w:rPr>
              <w:t>/l.</w:t>
            </w:r>
          </w:p>
          <w:p w14:paraId="375EB51C" w14:textId="77777777" w:rsidR="00906898" w:rsidRPr="00263DB9" w:rsidRDefault="00906898" w:rsidP="003970DC">
            <w:pPr>
              <w:keepNext/>
              <w:widowControl w:val="0"/>
              <w:suppressAutoHyphens/>
              <w:ind w:left="394" w:hanging="437"/>
              <w:rPr>
                <w:color w:val="000000"/>
                <w:szCs w:val="22"/>
              </w:rPr>
            </w:pPr>
            <w:r w:rsidRPr="00263DB9">
              <w:rPr>
                <w:color w:val="000000"/>
                <w:szCs w:val="22"/>
              </w:rPr>
              <w:t>2.</w:t>
            </w:r>
            <w:r w:rsidRPr="00263DB9">
              <w:rPr>
                <w:color w:val="000000"/>
                <w:szCs w:val="22"/>
              </w:rPr>
              <w:tab/>
              <w:t>Reiniciar o tratamento com Glivec na dose anterior (i.e. antes da reação adversa grave).</w:t>
            </w:r>
          </w:p>
        </w:tc>
      </w:tr>
      <w:tr w:rsidR="00906898" w:rsidRPr="00263DB9" w14:paraId="375EB526" w14:textId="77777777" w:rsidTr="003970DC">
        <w:trPr>
          <w:cantSplit/>
        </w:trPr>
        <w:tc>
          <w:tcPr>
            <w:tcW w:w="2518" w:type="dxa"/>
          </w:tcPr>
          <w:p w14:paraId="375EB51E" w14:textId="77777777" w:rsidR="00906898" w:rsidRPr="00263DB9" w:rsidRDefault="00906898" w:rsidP="00E51817">
            <w:pPr>
              <w:widowControl w:val="0"/>
              <w:suppressAutoHyphens/>
              <w:rPr>
                <w:color w:val="000000"/>
                <w:szCs w:val="22"/>
              </w:rPr>
            </w:pPr>
            <w:r w:rsidRPr="00263DB9">
              <w:rPr>
                <w:color w:val="000000"/>
                <w:szCs w:val="22"/>
              </w:rPr>
              <w:t>LMC em fase crónica, MDS/MPD e GIST (dose inicial 400 mg)</w:t>
            </w:r>
          </w:p>
          <w:p w14:paraId="375EB51F" w14:textId="77777777" w:rsidR="00906898" w:rsidRPr="00263DB9" w:rsidRDefault="00906898" w:rsidP="00E51817">
            <w:pPr>
              <w:widowControl w:val="0"/>
              <w:suppressAutoHyphens/>
              <w:rPr>
                <w:color w:val="000000"/>
                <w:szCs w:val="22"/>
              </w:rPr>
            </w:pPr>
            <w:r w:rsidRPr="00263DB9">
              <w:rPr>
                <w:color w:val="000000"/>
                <w:szCs w:val="22"/>
              </w:rPr>
              <w:t>Síndrome hipereosinofílica avançada/leucemia eosinofílica crónica (na dose de 400 mg)</w:t>
            </w:r>
          </w:p>
        </w:tc>
        <w:tc>
          <w:tcPr>
            <w:tcW w:w="2268" w:type="dxa"/>
          </w:tcPr>
          <w:p w14:paraId="375EB520" w14:textId="77777777" w:rsidR="00906898" w:rsidRPr="00263DB9" w:rsidRDefault="00906898" w:rsidP="00E51817">
            <w:pPr>
              <w:widowControl w:val="0"/>
              <w:suppressAutoHyphens/>
              <w:jc w:val="both"/>
              <w:rPr>
                <w:color w:val="000000"/>
                <w:szCs w:val="22"/>
              </w:rPr>
            </w:pPr>
            <w:r w:rsidRPr="00263DB9">
              <w:rPr>
                <w:color w:val="000000"/>
                <w:szCs w:val="22"/>
              </w:rPr>
              <w:t>ANC &lt; 1,0 x 10</w:t>
            </w:r>
            <w:r w:rsidRPr="00263DB9">
              <w:rPr>
                <w:color w:val="000000"/>
                <w:szCs w:val="22"/>
                <w:vertAlign w:val="superscript"/>
              </w:rPr>
              <w:t>9</w:t>
            </w:r>
            <w:r w:rsidRPr="00263DB9">
              <w:rPr>
                <w:color w:val="000000"/>
                <w:szCs w:val="22"/>
              </w:rPr>
              <w:t>/l</w:t>
            </w:r>
          </w:p>
          <w:p w14:paraId="375EB521" w14:textId="77777777" w:rsidR="00906898" w:rsidRPr="00263DB9" w:rsidRDefault="00906898" w:rsidP="00E51817">
            <w:pPr>
              <w:widowControl w:val="0"/>
              <w:suppressAutoHyphens/>
              <w:jc w:val="both"/>
              <w:rPr>
                <w:color w:val="000000"/>
                <w:szCs w:val="22"/>
              </w:rPr>
            </w:pPr>
            <w:r w:rsidRPr="00263DB9">
              <w:rPr>
                <w:color w:val="000000"/>
                <w:szCs w:val="22"/>
              </w:rPr>
              <w:t>e/ou</w:t>
            </w:r>
          </w:p>
          <w:p w14:paraId="375EB522" w14:textId="77777777" w:rsidR="00906898" w:rsidRPr="00263DB9" w:rsidRDefault="00906898" w:rsidP="00E51817">
            <w:pPr>
              <w:widowControl w:val="0"/>
              <w:suppressAutoHyphens/>
              <w:jc w:val="both"/>
              <w:rPr>
                <w:color w:val="000000"/>
                <w:szCs w:val="22"/>
              </w:rPr>
            </w:pPr>
            <w:r w:rsidRPr="00263DB9">
              <w:rPr>
                <w:color w:val="000000"/>
                <w:szCs w:val="22"/>
              </w:rPr>
              <w:t>plaquetas &lt; 50 x 10</w:t>
            </w:r>
            <w:r w:rsidRPr="00263DB9">
              <w:rPr>
                <w:color w:val="000000"/>
                <w:szCs w:val="22"/>
                <w:vertAlign w:val="superscript"/>
              </w:rPr>
              <w:t>9</w:t>
            </w:r>
            <w:r w:rsidRPr="00263DB9">
              <w:rPr>
                <w:color w:val="000000"/>
                <w:szCs w:val="22"/>
              </w:rPr>
              <w:t>/l</w:t>
            </w:r>
          </w:p>
        </w:tc>
        <w:tc>
          <w:tcPr>
            <w:tcW w:w="4490" w:type="dxa"/>
          </w:tcPr>
          <w:p w14:paraId="375EB523" w14:textId="77777777" w:rsidR="00906898" w:rsidRPr="00263DB9" w:rsidRDefault="00906898" w:rsidP="00E51817">
            <w:pPr>
              <w:widowControl w:val="0"/>
              <w:suppressAutoHyphens/>
              <w:ind w:left="408" w:hanging="408"/>
              <w:rPr>
                <w:color w:val="000000"/>
                <w:szCs w:val="22"/>
              </w:rPr>
            </w:pPr>
            <w:r w:rsidRPr="00263DB9">
              <w:rPr>
                <w:color w:val="000000"/>
                <w:szCs w:val="22"/>
              </w:rPr>
              <w:t>1.</w:t>
            </w:r>
            <w:r w:rsidRPr="00263DB9">
              <w:rPr>
                <w:color w:val="000000"/>
                <w:szCs w:val="22"/>
              </w:rPr>
              <w:tab/>
              <w:t xml:space="preserve">Interromper Glivec até ANC </w:t>
            </w:r>
            <w:r w:rsidRPr="00263DB9">
              <w:rPr>
                <w:color w:val="000000"/>
                <w:szCs w:val="22"/>
              </w:rPr>
              <w:sym w:font="Symbol" w:char="F0B3"/>
            </w:r>
            <w:r w:rsidRPr="00263DB9">
              <w:rPr>
                <w:color w:val="000000"/>
                <w:szCs w:val="22"/>
              </w:rPr>
              <w:t> 1,5 x 10</w:t>
            </w:r>
            <w:r w:rsidRPr="00263DB9">
              <w:rPr>
                <w:color w:val="000000"/>
                <w:szCs w:val="22"/>
                <w:vertAlign w:val="superscript"/>
              </w:rPr>
              <w:t>9</w:t>
            </w:r>
            <w:r w:rsidRPr="00263DB9">
              <w:rPr>
                <w:color w:val="000000"/>
                <w:szCs w:val="22"/>
              </w:rPr>
              <w:t xml:space="preserve">/l e plaquetas </w:t>
            </w:r>
            <w:r w:rsidRPr="00263DB9">
              <w:rPr>
                <w:color w:val="000000"/>
                <w:szCs w:val="22"/>
              </w:rPr>
              <w:sym w:font="Symbol" w:char="F0B3"/>
            </w:r>
            <w:r w:rsidRPr="00263DB9">
              <w:rPr>
                <w:color w:val="000000"/>
                <w:szCs w:val="22"/>
              </w:rPr>
              <w:t> 75 x 10</w:t>
            </w:r>
            <w:r w:rsidRPr="00263DB9">
              <w:rPr>
                <w:color w:val="000000"/>
                <w:szCs w:val="22"/>
                <w:vertAlign w:val="superscript"/>
              </w:rPr>
              <w:t>9</w:t>
            </w:r>
            <w:r w:rsidRPr="00263DB9">
              <w:rPr>
                <w:color w:val="000000"/>
                <w:szCs w:val="22"/>
              </w:rPr>
              <w:t>/l.</w:t>
            </w:r>
          </w:p>
          <w:p w14:paraId="375EB524" w14:textId="77777777" w:rsidR="00906898" w:rsidRPr="00263DB9" w:rsidRDefault="00906898" w:rsidP="00E51817">
            <w:pPr>
              <w:widowControl w:val="0"/>
              <w:suppressAutoHyphens/>
              <w:ind w:left="408" w:hanging="408"/>
              <w:rPr>
                <w:color w:val="000000"/>
                <w:szCs w:val="22"/>
              </w:rPr>
            </w:pPr>
            <w:r w:rsidRPr="00263DB9">
              <w:rPr>
                <w:color w:val="000000"/>
                <w:szCs w:val="22"/>
              </w:rPr>
              <w:t>2.</w:t>
            </w:r>
            <w:r w:rsidRPr="00263DB9">
              <w:rPr>
                <w:color w:val="000000"/>
                <w:szCs w:val="22"/>
              </w:rPr>
              <w:tab/>
              <w:t>Reiniciar o tratamento com Glivec na dose anterior (i.e. antes da reação adversa grave).</w:t>
            </w:r>
          </w:p>
          <w:p w14:paraId="375EB525" w14:textId="77777777" w:rsidR="00906898" w:rsidRPr="00263DB9" w:rsidRDefault="00906898" w:rsidP="00E51817">
            <w:pPr>
              <w:widowControl w:val="0"/>
              <w:suppressAutoHyphens/>
              <w:ind w:left="408" w:hanging="408"/>
              <w:rPr>
                <w:color w:val="000000"/>
                <w:szCs w:val="22"/>
              </w:rPr>
            </w:pPr>
            <w:r w:rsidRPr="00263DB9">
              <w:rPr>
                <w:color w:val="000000"/>
                <w:szCs w:val="22"/>
              </w:rPr>
              <w:t>3.</w:t>
            </w:r>
            <w:r w:rsidRPr="00263DB9">
              <w:rPr>
                <w:color w:val="000000"/>
                <w:szCs w:val="22"/>
              </w:rPr>
              <w:tab/>
              <w:t>No caso de recorrência de ANC &lt; 1,0 x 10</w:t>
            </w:r>
            <w:r w:rsidRPr="00263DB9">
              <w:rPr>
                <w:color w:val="000000"/>
                <w:szCs w:val="22"/>
                <w:vertAlign w:val="superscript"/>
              </w:rPr>
              <w:t>9</w:t>
            </w:r>
            <w:r w:rsidRPr="00263DB9">
              <w:rPr>
                <w:color w:val="000000"/>
                <w:szCs w:val="22"/>
              </w:rPr>
              <w:t>/l e/ou plaquetas &lt; 50 x 10</w:t>
            </w:r>
            <w:r w:rsidRPr="00263DB9">
              <w:rPr>
                <w:color w:val="000000"/>
                <w:szCs w:val="22"/>
                <w:vertAlign w:val="superscript"/>
              </w:rPr>
              <w:t>9</w:t>
            </w:r>
            <w:r w:rsidRPr="00263DB9">
              <w:rPr>
                <w:color w:val="000000"/>
                <w:szCs w:val="22"/>
              </w:rPr>
              <w:t>/l, repetir o passo 1 e reiniciar Glivec numa dose reduzida de 300 mg.</w:t>
            </w:r>
          </w:p>
        </w:tc>
      </w:tr>
      <w:tr w:rsidR="00906898" w:rsidRPr="00263DB9" w14:paraId="375EB52F" w14:textId="77777777" w:rsidTr="003970DC">
        <w:trPr>
          <w:cantSplit/>
        </w:trPr>
        <w:tc>
          <w:tcPr>
            <w:tcW w:w="2518" w:type="dxa"/>
          </w:tcPr>
          <w:p w14:paraId="375EB527" w14:textId="77777777" w:rsidR="00906898" w:rsidRPr="00263DB9" w:rsidRDefault="00906898" w:rsidP="00E51817">
            <w:pPr>
              <w:widowControl w:val="0"/>
              <w:suppressAutoHyphens/>
              <w:rPr>
                <w:color w:val="000000"/>
                <w:szCs w:val="22"/>
              </w:rPr>
            </w:pPr>
            <w:r w:rsidRPr="00263DB9">
              <w:rPr>
                <w:color w:val="000000"/>
                <w:szCs w:val="22"/>
              </w:rPr>
              <w:t>Crianças com LMC em fase crónica</w:t>
            </w:r>
          </w:p>
          <w:p w14:paraId="375EB528" w14:textId="77777777" w:rsidR="00906898" w:rsidRPr="00263DB9" w:rsidRDefault="00906898" w:rsidP="00E51817">
            <w:pPr>
              <w:widowControl w:val="0"/>
              <w:suppressAutoHyphens/>
              <w:rPr>
                <w:color w:val="000000"/>
                <w:szCs w:val="22"/>
              </w:rPr>
            </w:pPr>
            <w:r w:rsidRPr="00263DB9">
              <w:rPr>
                <w:color w:val="000000"/>
                <w:szCs w:val="22"/>
              </w:rPr>
              <w:t>(na dose de 340 mg/m</w:t>
            </w:r>
            <w:r w:rsidRPr="00263DB9">
              <w:rPr>
                <w:color w:val="000000"/>
                <w:szCs w:val="22"/>
                <w:vertAlign w:val="superscript"/>
              </w:rPr>
              <w:t>2</w:t>
            </w:r>
            <w:r w:rsidRPr="00263DB9">
              <w:rPr>
                <w:color w:val="000000"/>
                <w:szCs w:val="22"/>
              </w:rPr>
              <w:t>)</w:t>
            </w:r>
          </w:p>
        </w:tc>
        <w:tc>
          <w:tcPr>
            <w:tcW w:w="2268" w:type="dxa"/>
          </w:tcPr>
          <w:p w14:paraId="375EB529" w14:textId="77777777" w:rsidR="00906898" w:rsidRPr="00263DB9" w:rsidRDefault="00906898" w:rsidP="00E51817">
            <w:pPr>
              <w:widowControl w:val="0"/>
              <w:suppressAutoHyphens/>
              <w:jc w:val="both"/>
              <w:rPr>
                <w:color w:val="000000"/>
                <w:szCs w:val="22"/>
              </w:rPr>
            </w:pPr>
            <w:r w:rsidRPr="00263DB9">
              <w:rPr>
                <w:color w:val="000000"/>
                <w:szCs w:val="22"/>
              </w:rPr>
              <w:t>ANC &lt; 1,0 x 10</w:t>
            </w:r>
            <w:r w:rsidRPr="00263DB9">
              <w:rPr>
                <w:color w:val="000000"/>
                <w:szCs w:val="22"/>
                <w:vertAlign w:val="superscript"/>
              </w:rPr>
              <w:t>9</w:t>
            </w:r>
            <w:r w:rsidRPr="00263DB9">
              <w:rPr>
                <w:color w:val="000000"/>
                <w:szCs w:val="22"/>
              </w:rPr>
              <w:t>/l</w:t>
            </w:r>
          </w:p>
          <w:p w14:paraId="375EB52A" w14:textId="77777777" w:rsidR="00906898" w:rsidRPr="00263DB9" w:rsidRDefault="00906898" w:rsidP="00E51817">
            <w:pPr>
              <w:widowControl w:val="0"/>
              <w:suppressAutoHyphens/>
              <w:jc w:val="both"/>
              <w:rPr>
                <w:color w:val="000000"/>
                <w:szCs w:val="22"/>
              </w:rPr>
            </w:pPr>
            <w:r w:rsidRPr="00263DB9">
              <w:rPr>
                <w:color w:val="000000"/>
                <w:szCs w:val="22"/>
              </w:rPr>
              <w:t>e/ou</w:t>
            </w:r>
          </w:p>
          <w:p w14:paraId="375EB52B" w14:textId="77777777" w:rsidR="00906898" w:rsidRPr="00263DB9" w:rsidRDefault="00906898" w:rsidP="00E51817">
            <w:pPr>
              <w:widowControl w:val="0"/>
              <w:suppressAutoHyphens/>
              <w:jc w:val="both"/>
              <w:rPr>
                <w:color w:val="000000"/>
                <w:szCs w:val="22"/>
              </w:rPr>
            </w:pPr>
            <w:r w:rsidRPr="00263DB9">
              <w:rPr>
                <w:color w:val="000000"/>
                <w:szCs w:val="22"/>
              </w:rPr>
              <w:t>plaquetas &lt; 50 x 10</w:t>
            </w:r>
            <w:r w:rsidRPr="00263DB9">
              <w:rPr>
                <w:color w:val="000000"/>
                <w:szCs w:val="22"/>
                <w:vertAlign w:val="superscript"/>
              </w:rPr>
              <w:t>9</w:t>
            </w:r>
            <w:r w:rsidRPr="00263DB9">
              <w:rPr>
                <w:color w:val="000000"/>
                <w:szCs w:val="22"/>
              </w:rPr>
              <w:t>/l</w:t>
            </w:r>
          </w:p>
        </w:tc>
        <w:tc>
          <w:tcPr>
            <w:tcW w:w="4490" w:type="dxa"/>
          </w:tcPr>
          <w:p w14:paraId="375EB52C" w14:textId="77777777" w:rsidR="00906898" w:rsidRPr="00263DB9" w:rsidRDefault="00906898" w:rsidP="00E51817">
            <w:pPr>
              <w:widowControl w:val="0"/>
              <w:suppressAutoHyphens/>
              <w:ind w:left="408" w:hanging="408"/>
              <w:rPr>
                <w:color w:val="000000"/>
                <w:szCs w:val="22"/>
              </w:rPr>
            </w:pPr>
            <w:r w:rsidRPr="00263DB9">
              <w:rPr>
                <w:color w:val="000000"/>
                <w:szCs w:val="22"/>
              </w:rPr>
              <w:t>1.</w:t>
            </w:r>
            <w:r w:rsidRPr="00263DB9">
              <w:rPr>
                <w:color w:val="000000"/>
                <w:szCs w:val="22"/>
              </w:rPr>
              <w:tab/>
              <w:t xml:space="preserve">Interromper Glivec até ANC </w:t>
            </w:r>
            <w:r w:rsidRPr="00263DB9">
              <w:rPr>
                <w:color w:val="000000"/>
                <w:szCs w:val="22"/>
              </w:rPr>
              <w:sym w:font="Symbol" w:char="F0B3"/>
            </w:r>
            <w:r w:rsidRPr="00263DB9">
              <w:rPr>
                <w:color w:val="000000"/>
                <w:szCs w:val="22"/>
              </w:rPr>
              <w:t> 1,5 x 10</w:t>
            </w:r>
            <w:r w:rsidRPr="00263DB9">
              <w:rPr>
                <w:color w:val="000000"/>
                <w:szCs w:val="22"/>
                <w:vertAlign w:val="superscript"/>
              </w:rPr>
              <w:t>9</w:t>
            </w:r>
            <w:r w:rsidRPr="00263DB9">
              <w:rPr>
                <w:color w:val="000000"/>
                <w:szCs w:val="22"/>
              </w:rPr>
              <w:t xml:space="preserve">/l e plaquetas </w:t>
            </w:r>
            <w:r w:rsidRPr="00263DB9">
              <w:rPr>
                <w:color w:val="000000"/>
                <w:szCs w:val="22"/>
              </w:rPr>
              <w:sym w:font="Symbol" w:char="F0B3"/>
            </w:r>
            <w:r w:rsidRPr="00263DB9">
              <w:rPr>
                <w:color w:val="000000"/>
                <w:szCs w:val="22"/>
              </w:rPr>
              <w:t> 75 x 10</w:t>
            </w:r>
            <w:r w:rsidRPr="00263DB9">
              <w:rPr>
                <w:color w:val="000000"/>
                <w:szCs w:val="22"/>
                <w:vertAlign w:val="superscript"/>
              </w:rPr>
              <w:t>9</w:t>
            </w:r>
            <w:r w:rsidRPr="00263DB9">
              <w:rPr>
                <w:color w:val="000000"/>
                <w:szCs w:val="22"/>
              </w:rPr>
              <w:t>/l.</w:t>
            </w:r>
          </w:p>
          <w:p w14:paraId="375EB52D" w14:textId="77777777" w:rsidR="00906898" w:rsidRPr="00263DB9" w:rsidRDefault="00906898" w:rsidP="00E51817">
            <w:pPr>
              <w:widowControl w:val="0"/>
              <w:suppressAutoHyphens/>
              <w:ind w:left="408" w:hanging="408"/>
              <w:rPr>
                <w:color w:val="000000"/>
                <w:szCs w:val="22"/>
              </w:rPr>
            </w:pPr>
            <w:r w:rsidRPr="00263DB9">
              <w:rPr>
                <w:color w:val="000000"/>
                <w:szCs w:val="22"/>
              </w:rPr>
              <w:t>2.</w:t>
            </w:r>
            <w:r w:rsidRPr="00263DB9">
              <w:rPr>
                <w:color w:val="000000"/>
                <w:szCs w:val="22"/>
              </w:rPr>
              <w:tab/>
              <w:t>Reiniciar o tratamento com Glivec na dose anterior (i.e. antes da reação adversa grave).</w:t>
            </w:r>
          </w:p>
          <w:p w14:paraId="375EB52E" w14:textId="77777777" w:rsidR="00906898" w:rsidRPr="00263DB9" w:rsidRDefault="00906898" w:rsidP="00E51817">
            <w:pPr>
              <w:widowControl w:val="0"/>
              <w:suppressAutoHyphens/>
              <w:ind w:left="408" w:hanging="408"/>
              <w:rPr>
                <w:color w:val="000000"/>
                <w:szCs w:val="22"/>
              </w:rPr>
            </w:pPr>
            <w:r w:rsidRPr="00263DB9">
              <w:rPr>
                <w:color w:val="000000"/>
                <w:szCs w:val="22"/>
              </w:rPr>
              <w:t>3.</w:t>
            </w:r>
            <w:r w:rsidRPr="00263DB9">
              <w:rPr>
                <w:color w:val="000000"/>
                <w:szCs w:val="22"/>
              </w:rPr>
              <w:tab/>
              <w:t>No caso de recorrência de ANC &lt; 1,0 x 10</w:t>
            </w:r>
            <w:r w:rsidRPr="00263DB9">
              <w:rPr>
                <w:color w:val="000000"/>
                <w:szCs w:val="22"/>
                <w:vertAlign w:val="superscript"/>
              </w:rPr>
              <w:t>9</w:t>
            </w:r>
            <w:r w:rsidRPr="00263DB9">
              <w:rPr>
                <w:color w:val="000000"/>
                <w:szCs w:val="22"/>
              </w:rPr>
              <w:t>/l e/ou plaquetas &lt; 50 x 10</w:t>
            </w:r>
            <w:r w:rsidRPr="00263DB9">
              <w:rPr>
                <w:color w:val="000000"/>
                <w:szCs w:val="22"/>
                <w:vertAlign w:val="superscript"/>
              </w:rPr>
              <w:t>9</w:t>
            </w:r>
            <w:r w:rsidRPr="00263DB9">
              <w:rPr>
                <w:color w:val="000000"/>
                <w:szCs w:val="22"/>
              </w:rPr>
              <w:t>/l, repetir o passo 1 e reiniciar Glivec numa dose reduzida de 260 mg/m</w:t>
            </w:r>
            <w:r w:rsidRPr="00263DB9">
              <w:rPr>
                <w:color w:val="000000"/>
                <w:szCs w:val="22"/>
                <w:vertAlign w:val="superscript"/>
              </w:rPr>
              <w:t>2</w:t>
            </w:r>
            <w:r w:rsidRPr="00263DB9">
              <w:rPr>
                <w:color w:val="000000"/>
                <w:szCs w:val="22"/>
              </w:rPr>
              <w:t>.</w:t>
            </w:r>
          </w:p>
        </w:tc>
      </w:tr>
      <w:tr w:rsidR="00906898" w:rsidRPr="00263DB9" w14:paraId="375EB539" w14:textId="77777777" w:rsidTr="003970DC">
        <w:trPr>
          <w:cantSplit/>
        </w:trPr>
        <w:tc>
          <w:tcPr>
            <w:tcW w:w="2518" w:type="dxa"/>
          </w:tcPr>
          <w:p w14:paraId="375EB530" w14:textId="77777777" w:rsidR="00906898" w:rsidRPr="00263DB9" w:rsidRDefault="00906898" w:rsidP="00E51817">
            <w:pPr>
              <w:widowControl w:val="0"/>
              <w:suppressAutoHyphens/>
              <w:jc w:val="both"/>
              <w:rPr>
                <w:color w:val="000000"/>
                <w:szCs w:val="22"/>
              </w:rPr>
            </w:pPr>
            <w:r w:rsidRPr="00263DB9">
              <w:rPr>
                <w:color w:val="000000"/>
                <w:szCs w:val="22"/>
              </w:rPr>
              <w:t>LMC em fase acelerada e crise blástica e LLA Ph+</w:t>
            </w:r>
          </w:p>
          <w:p w14:paraId="375EB531" w14:textId="77777777" w:rsidR="00906898" w:rsidRPr="00263DB9" w:rsidRDefault="00906898" w:rsidP="00E51817">
            <w:pPr>
              <w:widowControl w:val="0"/>
              <w:suppressAutoHyphens/>
              <w:jc w:val="both"/>
              <w:rPr>
                <w:color w:val="000000"/>
                <w:szCs w:val="22"/>
              </w:rPr>
            </w:pPr>
            <w:r w:rsidRPr="00263DB9">
              <w:rPr>
                <w:color w:val="000000"/>
                <w:szCs w:val="22"/>
              </w:rPr>
              <w:t>(dose inicial 600 mg)</w:t>
            </w:r>
          </w:p>
        </w:tc>
        <w:tc>
          <w:tcPr>
            <w:tcW w:w="2268" w:type="dxa"/>
          </w:tcPr>
          <w:p w14:paraId="375EB532" w14:textId="77777777" w:rsidR="00906898" w:rsidRPr="00263DB9" w:rsidRDefault="00906898" w:rsidP="00E51817">
            <w:pPr>
              <w:widowControl w:val="0"/>
              <w:suppressAutoHyphens/>
              <w:jc w:val="both"/>
              <w:rPr>
                <w:color w:val="000000"/>
                <w:szCs w:val="22"/>
              </w:rPr>
            </w:pPr>
            <w:r w:rsidRPr="00263DB9">
              <w:rPr>
                <w:color w:val="000000"/>
                <w:szCs w:val="22"/>
                <w:vertAlign w:val="superscript"/>
              </w:rPr>
              <w:t>a</w:t>
            </w:r>
            <w:r w:rsidRPr="00263DB9">
              <w:rPr>
                <w:color w:val="000000"/>
                <w:szCs w:val="22"/>
              </w:rPr>
              <w:t>ANC &lt; 0,5 x 10</w:t>
            </w:r>
            <w:r w:rsidRPr="00263DB9">
              <w:rPr>
                <w:color w:val="000000"/>
                <w:szCs w:val="22"/>
                <w:vertAlign w:val="superscript"/>
              </w:rPr>
              <w:t>9</w:t>
            </w:r>
            <w:r w:rsidRPr="00263DB9">
              <w:rPr>
                <w:color w:val="000000"/>
                <w:szCs w:val="22"/>
              </w:rPr>
              <w:t>/l</w:t>
            </w:r>
          </w:p>
          <w:p w14:paraId="375EB533" w14:textId="77777777" w:rsidR="00906898" w:rsidRPr="00263DB9" w:rsidRDefault="00906898" w:rsidP="00E51817">
            <w:pPr>
              <w:widowControl w:val="0"/>
              <w:suppressAutoHyphens/>
              <w:jc w:val="both"/>
              <w:rPr>
                <w:color w:val="000000"/>
                <w:szCs w:val="22"/>
              </w:rPr>
            </w:pPr>
            <w:r w:rsidRPr="00263DB9">
              <w:rPr>
                <w:color w:val="000000"/>
                <w:szCs w:val="22"/>
              </w:rPr>
              <w:t>e/ou</w:t>
            </w:r>
          </w:p>
          <w:p w14:paraId="375EB534" w14:textId="77777777" w:rsidR="00906898" w:rsidRPr="00263DB9" w:rsidRDefault="00906898" w:rsidP="00E51817">
            <w:pPr>
              <w:widowControl w:val="0"/>
              <w:suppressAutoHyphens/>
              <w:jc w:val="both"/>
              <w:rPr>
                <w:color w:val="000000"/>
                <w:szCs w:val="22"/>
              </w:rPr>
            </w:pPr>
            <w:r w:rsidRPr="00263DB9">
              <w:rPr>
                <w:color w:val="000000"/>
                <w:szCs w:val="22"/>
              </w:rPr>
              <w:t>plaquetas &lt; 10 x 10</w:t>
            </w:r>
            <w:r w:rsidRPr="00263DB9">
              <w:rPr>
                <w:color w:val="000000"/>
                <w:szCs w:val="22"/>
                <w:vertAlign w:val="superscript"/>
              </w:rPr>
              <w:t>9</w:t>
            </w:r>
            <w:r w:rsidRPr="00263DB9">
              <w:rPr>
                <w:color w:val="000000"/>
                <w:szCs w:val="22"/>
              </w:rPr>
              <w:t>/l</w:t>
            </w:r>
          </w:p>
        </w:tc>
        <w:tc>
          <w:tcPr>
            <w:tcW w:w="4490" w:type="dxa"/>
          </w:tcPr>
          <w:p w14:paraId="375EB535" w14:textId="77777777" w:rsidR="00906898" w:rsidRPr="00263DB9" w:rsidRDefault="00906898" w:rsidP="00E51817">
            <w:pPr>
              <w:widowControl w:val="0"/>
              <w:suppressAutoHyphens/>
              <w:ind w:left="408" w:hanging="408"/>
              <w:rPr>
                <w:color w:val="000000"/>
                <w:szCs w:val="22"/>
              </w:rPr>
            </w:pPr>
            <w:r w:rsidRPr="00263DB9">
              <w:rPr>
                <w:color w:val="000000"/>
                <w:szCs w:val="22"/>
              </w:rPr>
              <w:t>1.</w:t>
            </w:r>
            <w:r w:rsidRPr="00263DB9">
              <w:rPr>
                <w:color w:val="000000"/>
                <w:szCs w:val="22"/>
              </w:rPr>
              <w:tab/>
              <w:t>Verificar se a citopenia está relacionada com a leucemia (aspiração ou biópsia da medula).</w:t>
            </w:r>
          </w:p>
          <w:p w14:paraId="375EB536" w14:textId="77777777" w:rsidR="00906898" w:rsidRPr="00263DB9" w:rsidRDefault="00906898" w:rsidP="00E51817">
            <w:pPr>
              <w:widowControl w:val="0"/>
              <w:suppressAutoHyphens/>
              <w:ind w:left="408" w:hanging="408"/>
              <w:rPr>
                <w:color w:val="000000"/>
                <w:szCs w:val="22"/>
              </w:rPr>
            </w:pPr>
            <w:r w:rsidRPr="00263DB9">
              <w:rPr>
                <w:color w:val="000000"/>
                <w:szCs w:val="22"/>
              </w:rPr>
              <w:t>2.</w:t>
            </w:r>
            <w:r w:rsidRPr="00263DB9">
              <w:rPr>
                <w:color w:val="000000"/>
                <w:szCs w:val="22"/>
              </w:rPr>
              <w:tab/>
              <w:t>Se a citopenia não estiver relacionada com a leucemia, reduzir a dose de Glivec para 400 mg.</w:t>
            </w:r>
          </w:p>
          <w:p w14:paraId="375EB537" w14:textId="77777777" w:rsidR="00906898" w:rsidRPr="00263DB9" w:rsidRDefault="00906898" w:rsidP="00E51817">
            <w:pPr>
              <w:widowControl w:val="0"/>
              <w:suppressAutoHyphens/>
              <w:ind w:left="408" w:hanging="408"/>
              <w:rPr>
                <w:color w:val="000000"/>
                <w:szCs w:val="22"/>
              </w:rPr>
            </w:pPr>
            <w:r w:rsidRPr="00263DB9">
              <w:rPr>
                <w:color w:val="000000"/>
                <w:szCs w:val="22"/>
              </w:rPr>
              <w:t>3.</w:t>
            </w:r>
            <w:r w:rsidRPr="00263DB9">
              <w:rPr>
                <w:color w:val="000000"/>
                <w:szCs w:val="22"/>
              </w:rPr>
              <w:tab/>
              <w:t>Se a citopenia persistir durante 2 semanas, reduzir ainda mais para 300 mg.</w:t>
            </w:r>
          </w:p>
          <w:p w14:paraId="375EB538" w14:textId="77777777" w:rsidR="00906898" w:rsidRPr="00263DB9" w:rsidRDefault="00906898" w:rsidP="00E51817">
            <w:pPr>
              <w:widowControl w:val="0"/>
              <w:suppressAutoHyphens/>
              <w:ind w:left="408" w:hanging="408"/>
              <w:rPr>
                <w:color w:val="000000"/>
                <w:szCs w:val="22"/>
              </w:rPr>
            </w:pPr>
            <w:r w:rsidRPr="00263DB9">
              <w:rPr>
                <w:color w:val="000000"/>
                <w:szCs w:val="22"/>
              </w:rPr>
              <w:t>4.</w:t>
            </w:r>
            <w:r w:rsidRPr="00263DB9">
              <w:rPr>
                <w:color w:val="000000"/>
                <w:szCs w:val="22"/>
              </w:rPr>
              <w:tab/>
              <w:t xml:space="preserve">Se a citopenia persistir durante 4 semanas e ainda não estiver relacionada com a leucemia, interromper Glivec até ANC </w:t>
            </w:r>
            <w:r w:rsidRPr="00263DB9">
              <w:rPr>
                <w:color w:val="000000"/>
                <w:szCs w:val="22"/>
              </w:rPr>
              <w:sym w:font="Symbol" w:char="F0B3"/>
            </w:r>
            <w:r w:rsidRPr="00263DB9">
              <w:rPr>
                <w:color w:val="000000"/>
                <w:szCs w:val="22"/>
              </w:rPr>
              <w:t> 1 x 10</w:t>
            </w:r>
            <w:r w:rsidRPr="00263DB9">
              <w:rPr>
                <w:color w:val="000000"/>
                <w:szCs w:val="22"/>
                <w:vertAlign w:val="superscript"/>
              </w:rPr>
              <w:t>9</w:t>
            </w:r>
            <w:r w:rsidRPr="00263DB9">
              <w:rPr>
                <w:color w:val="000000"/>
                <w:szCs w:val="22"/>
              </w:rPr>
              <w:t xml:space="preserve">/l e as plaquetas </w:t>
            </w:r>
            <w:r w:rsidRPr="00263DB9">
              <w:rPr>
                <w:color w:val="000000"/>
                <w:szCs w:val="22"/>
              </w:rPr>
              <w:sym w:font="Symbol" w:char="F0B3"/>
            </w:r>
            <w:r w:rsidRPr="00263DB9">
              <w:rPr>
                <w:color w:val="000000"/>
                <w:szCs w:val="22"/>
              </w:rPr>
              <w:t> 20 x 10</w:t>
            </w:r>
            <w:r w:rsidRPr="00263DB9">
              <w:rPr>
                <w:color w:val="000000"/>
                <w:szCs w:val="22"/>
                <w:vertAlign w:val="superscript"/>
              </w:rPr>
              <w:t>9</w:t>
            </w:r>
            <w:r w:rsidRPr="00263DB9">
              <w:rPr>
                <w:color w:val="000000"/>
                <w:szCs w:val="22"/>
              </w:rPr>
              <w:t>/l e, depois, reiniciar o tratamento com 300 mg.</w:t>
            </w:r>
          </w:p>
        </w:tc>
      </w:tr>
      <w:tr w:rsidR="00906898" w:rsidRPr="00263DB9" w14:paraId="375EB542" w14:textId="77777777" w:rsidTr="003970DC">
        <w:trPr>
          <w:cantSplit/>
        </w:trPr>
        <w:tc>
          <w:tcPr>
            <w:tcW w:w="2518" w:type="dxa"/>
          </w:tcPr>
          <w:p w14:paraId="375EB53A" w14:textId="77777777" w:rsidR="00906898" w:rsidRPr="00263DB9" w:rsidRDefault="00906898" w:rsidP="00E51817">
            <w:pPr>
              <w:widowControl w:val="0"/>
              <w:suppressAutoHyphens/>
              <w:rPr>
                <w:color w:val="000000"/>
                <w:szCs w:val="22"/>
              </w:rPr>
            </w:pPr>
            <w:r w:rsidRPr="00263DB9">
              <w:rPr>
                <w:color w:val="000000"/>
                <w:szCs w:val="22"/>
              </w:rPr>
              <w:t>Crianças com LMC em fase acelerada e crise blástica (dose inicial 340 mg/m</w:t>
            </w:r>
            <w:r w:rsidRPr="00263DB9">
              <w:rPr>
                <w:color w:val="000000"/>
                <w:szCs w:val="22"/>
                <w:vertAlign w:val="superscript"/>
              </w:rPr>
              <w:t>2</w:t>
            </w:r>
            <w:r w:rsidRPr="00263DB9">
              <w:rPr>
                <w:color w:val="000000"/>
                <w:szCs w:val="22"/>
              </w:rPr>
              <w:t>)</w:t>
            </w:r>
          </w:p>
        </w:tc>
        <w:tc>
          <w:tcPr>
            <w:tcW w:w="2268" w:type="dxa"/>
          </w:tcPr>
          <w:p w14:paraId="375EB53B" w14:textId="77777777" w:rsidR="00906898" w:rsidRPr="00263DB9" w:rsidRDefault="00906898" w:rsidP="00E51817">
            <w:pPr>
              <w:widowControl w:val="0"/>
              <w:suppressAutoHyphens/>
              <w:jc w:val="both"/>
              <w:rPr>
                <w:color w:val="000000"/>
                <w:szCs w:val="22"/>
              </w:rPr>
            </w:pPr>
            <w:r w:rsidRPr="00263DB9">
              <w:rPr>
                <w:color w:val="000000"/>
                <w:szCs w:val="22"/>
                <w:vertAlign w:val="superscript"/>
              </w:rPr>
              <w:t>a</w:t>
            </w:r>
            <w:r w:rsidRPr="00263DB9">
              <w:rPr>
                <w:color w:val="000000"/>
                <w:szCs w:val="22"/>
              </w:rPr>
              <w:t>ANC &lt; 1,0 x 10</w:t>
            </w:r>
            <w:r w:rsidRPr="00263DB9">
              <w:rPr>
                <w:color w:val="000000"/>
                <w:szCs w:val="22"/>
                <w:vertAlign w:val="superscript"/>
              </w:rPr>
              <w:t>9</w:t>
            </w:r>
            <w:r w:rsidRPr="00263DB9">
              <w:rPr>
                <w:color w:val="000000"/>
                <w:szCs w:val="22"/>
              </w:rPr>
              <w:t>/l</w:t>
            </w:r>
          </w:p>
          <w:p w14:paraId="375EB53C" w14:textId="77777777" w:rsidR="00906898" w:rsidRPr="00263DB9" w:rsidRDefault="00906898" w:rsidP="00E51817">
            <w:pPr>
              <w:widowControl w:val="0"/>
              <w:suppressAutoHyphens/>
              <w:jc w:val="both"/>
              <w:rPr>
                <w:color w:val="000000"/>
                <w:szCs w:val="22"/>
              </w:rPr>
            </w:pPr>
            <w:r w:rsidRPr="00263DB9">
              <w:rPr>
                <w:color w:val="000000"/>
                <w:szCs w:val="22"/>
              </w:rPr>
              <w:t>e/ou</w:t>
            </w:r>
          </w:p>
          <w:p w14:paraId="375EB53D" w14:textId="77777777" w:rsidR="00906898" w:rsidRPr="00263DB9" w:rsidRDefault="00906898" w:rsidP="00E51817">
            <w:pPr>
              <w:widowControl w:val="0"/>
              <w:suppressAutoHyphens/>
              <w:jc w:val="both"/>
              <w:rPr>
                <w:color w:val="000000"/>
                <w:szCs w:val="22"/>
              </w:rPr>
            </w:pPr>
            <w:r w:rsidRPr="00263DB9">
              <w:rPr>
                <w:color w:val="000000"/>
                <w:szCs w:val="22"/>
              </w:rPr>
              <w:t>plaquetas &lt; 50 x 10</w:t>
            </w:r>
            <w:r w:rsidRPr="00263DB9">
              <w:rPr>
                <w:color w:val="000000"/>
                <w:szCs w:val="22"/>
                <w:vertAlign w:val="superscript"/>
              </w:rPr>
              <w:t>9</w:t>
            </w:r>
            <w:r w:rsidRPr="00263DB9">
              <w:rPr>
                <w:color w:val="000000"/>
                <w:szCs w:val="22"/>
              </w:rPr>
              <w:t>/l</w:t>
            </w:r>
          </w:p>
        </w:tc>
        <w:tc>
          <w:tcPr>
            <w:tcW w:w="4490" w:type="dxa"/>
          </w:tcPr>
          <w:p w14:paraId="375EB53E" w14:textId="77777777" w:rsidR="00906898" w:rsidRPr="00263DB9" w:rsidRDefault="00906898" w:rsidP="00E51817">
            <w:pPr>
              <w:widowControl w:val="0"/>
              <w:suppressAutoHyphens/>
              <w:ind w:left="408" w:hanging="408"/>
              <w:rPr>
                <w:color w:val="000000"/>
                <w:szCs w:val="22"/>
              </w:rPr>
            </w:pPr>
            <w:r w:rsidRPr="00263DB9">
              <w:rPr>
                <w:color w:val="000000"/>
                <w:szCs w:val="22"/>
              </w:rPr>
              <w:t>1.</w:t>
            </w:r>
            <w:r w:rsidRPr="00263DB9">
              <w:rPr>
                <w:color w:val="000000"/>
                <w:szCs w:val="22"/>
              </w:rPr>
              <w:tab/>
              <w:t>Verificar se a citopenia está relacionada com a leucemia (aspiração ou biópsia da medula).</w:t>
            </w:r>
          </w:p>
          <w:p w14:paraId="375EB53F" w14:textId="77777777" w:rsidR="00906898" w:rsidRPr="00263DB9" w:rsidRDefault="00906898" w:rsidP="00E51817">
            <w:pPr>
              <w:widowControl w:val="0"/>
              <w:suppressAutoHyphens/>
              <w:ind w:left="408" w:hanging="408"/>
              <w:rPr>
                <w:color w:val="000000"/>
                <w:szCs w:val="22"/>
              </w:rPr>
            </w:pPr>
            <w:r w:rsidRPr="00263DB9">
              <w:rPr>
                <w:color w:val="000000"/>
                <w:szCs w:val="22"/>
              </w:rPr>
              <w:t>2.</w:t>
            </w:r>
            <w:r w:rsidRPr="00263DB9">
              <w:rPr>
                <w:color w:val="000000"/>
                <w:szCs w:val="22"/>
              </w:rPr>
              <w:tab/>
              <w:t>Se a citopenia não estiver relacionada com a leucemia, reduzir a dose de Glivec para 260 mg/m</w:t>
            </w:r>
            <w:r w:rsidRPr="00263DB9">
              <w:rPr>
                <w:color w:val="000000"/>
                <w:szCs w:val="22"/>
                <w:vertAlign w:val="superscript"/>
              </w:rPr>
              <w:t>2</w:t>
            </w:r>
            <w:r w:rsidRPr="00263DB9">
              <w:rPr>
                <w:color w:val="000000"/>
                <w:szCs w:val="22"/>
              </w:rPr>
              <w:t>.</w:t>
            </w:r>
          </w:p>
          <w:p w14:paraId="375EB540" w14:textId="77777777" w:rsidR="00906898" w:rsidRPr="00263DB9" w:rsidRDefault="00906898" w:rsidP="00E51817">
            <w:pPr>
              <w:widowControl w:val="0"/>
              <w:suppressAutoHyphens/>
              <w:ind w:left="408" w:hanging="408"/>
              <w:rPr>
                <w:color w:val="000000"/>
                <w:szCs w:val="22"/>
              </w:rPr>
            </w:pPr>
            <w:r w:rsidRPr="00263DB9">
              <w:rPr>
                <w:color w:val="000000"/>
                <w:szCs w:val="22"/>
              </w:rPr>
              <w:t>3.</w:t>
            </w:r>
            <w:r w:rsidRPr="00263DB9">
              <w:rPr>
                <w:color w:val="000000"/>
                <w:szCs w:val="22"/>
              </w:rPr>
              <w:tab/>
              <w:t>Se a citopenia persistir durante 2 semanas, reduzir ainda mais para 200 mg/m</w:t>
            </w:r>
            <w:r w:rsidRPr="00263DB9">
              <w:rPr>
                <w:color w:val="000000"/>
                <w:szCs w:val="22"/>
                <w:vertAlign w:val="superscript"/>
              </w:rPr>
              <w:t>2</w:t>
            </w:r>
            <w:r w:rsidRPr="00263DB9">
              <w:rPr>
                <w:color w:val="000000"/>
                <w:szCs w:val="22"/>
              </w:rPr>
              <w:t>.</w:t>
            </w:r>
          </w:p>
          <w:p w14:paraId="375EB541" w14:textId="77777777" w:rsidR="00906898" w:rsidRPr="00263DB9" w:rsidRDefault="00906898" w:rsidP="00E51817">
            <w:pPr>
              <w:widowControl w:val="0"/>
              <w:suppressAutoHyphens/>
              <w:ind w:left="408" w:hanging="408"/>
              <w:rPr>
                <w:color w:val="000000"/>
                <w:szCs w:val="22"/>
              </w:rPr>
            </w:pPr>
            <w:r w:rsidRPr="00263DB9">
              <w:rPr>
                <w:color w:val="000000"/>
                <w:szCs w:val="22"/>
              </w:rPr>
              <w:t>4.</w:t>
            </w:r>
            <w:r w:rsidRPr="00263DB9">
              <w:rPr>
                <w:color w:val="000000"/>
                <w:szCs w:val="22"/>
              </w:rPr>
              <w:tab/>
              <w:t xml:space="preserve">Se a citopenia persistir durante 4 semanas e ainda não estiver relacionada com a leucemia, interromper Glivec até ANC </w:t>
            </w:r>
            <w:r w:rsidRPr="00263DB9">
              <w:rPr>
                <w:color w:val="000000"/>
                <w:szCs w:val="22"/>
              </w:rPr>
              <w:sym w:font="Symbol" w:char="F0B3"/>
            </w:r>
            <w:r w:rsidRPr="00263DB9">
              <w:rPr>
                <w:color w:val="000000"/>
                <w:szCs w:val="22"/>
              </w:rPr>
              <w:t> 1 x 10</w:t>
            </w:r>
            <w:r w:rsidRPr="00263DB9">
              <w:rPr>
                <w:color w:val="000000"/>
                <w:szCs w:val="22"/>
                <w:vertAlign w:val="superscript"/>
              </w:rPr>
              <w:t>9</w:t>
            </w:r>
            <w:r w:rsidRPr="00263DB9">
              <w:rPr>
                <w:color w:val="000000"/>
                <w:szCs w:val="22"/>
              </w:rPr>
              <w:t xml:space="preserve">/l e as plaquetas </w:t>
            </w:r>
            <w:r w:rsidRPr="00263DB9">
              <w:rPr>
                <w:color w:val="000000"/>
                <w:szCs w:val="22"/>
              </w:rPr>
              <w:sym w:font="Symbol" w:char="F0B3"/>
            </w:r>
            <w:r w:rsidRPr="00263DB9">
              <w:rPr>
                <w:color w:val="000000"/>
                <w:szCs w:val="22"/>
              </w:rPr>
              <w:t> 20 x 10</w:t>
            </w:r>
            <w:r w:rsidRPr="00263DB9">
              <w:rPr>
                <w:color w:val="000000"/>
                <w:szCs w:val="22"/>
                <w:vertAlign w:val="superscript"/>
              </w:rPr>
              <w:t>9</w:t>
            </w:r>
            <w:r w:rsidRPr="00263DB9">
              <w:rPr>
                <w:color w:val="000000"/>
                <w:szCs w:val="22"/>
              </w:rPr>
              <w:t>/l e, depois, reiniciar o tratamento com 200 mg/m</w:t>
            </w:r>
            <w:r w:rsidRPr="00263DB9">
              <w:rPr>
                <w:color w:val="000000"/>
                <w:szCs w:val="22"/>
                <w:vertAlign w:val="superscript"/>
              </w:rPr>
              <w:t>2</w:t>
            </w:r>
            <w:r w:rsidRPr="00263DB9">
              <w:rPr>
                <w:color w:val="000000"/>
                <w:szCs w:val="22"/>
              </w:rPr>
              <w:t>.</w:t>
            </w:r>
          </w:p>
        </w:tc>
      </w:tr>
      <w:tr w:rsidR="00906898" w:rsidRPr="00263DB9" w14:paraId="375EB54B" w14:textId="77777777" w:rsidTr="003970DC">
        <w:trPr>
          <w:cantSplit/>
        </w:trPr>
        <w:tc>
          <w:tcPr>
            <w:tcW w:w="2518" w:type="dxa"/>
            <w:tcBorders>
              <w:top w:val="single" w:sz="4" w:space="0" w:color="auto"/>
              <w:left w:val="single" w:sz="4" w:space="0" w:color="auto"/>
              <w:bottom w:val="single" w:sz="4" w:space="0" w:color="auto"/>
              <w:right w:val="single" w:sz="4" w:space="0" w:color="auto"/>
            </w:tcBorders>
          </w:tcPr>
          <w:p w14:paraId="375EB543" w14:textId="77777777" w:rsidR="00906898" w:rsidRPr="00263DB9" w:rsidRDefault="00906898" w:rsidP="003970DC">
            <w:pPr>
              <w:keepNext/>
              <w:keepLines/>
              <w:widowControl w:val="0"/>
              <w:suppressAutoHyphens/>
              <w:jc w:val="both"/>
              <w:rPr>
                <w:color w:val="000000"/>
                <w:szCs w:val="22"/>
              </w:rPr>
            </w:pPr>
            <w:r w:rsidRPr="00263DB9">
              <w:rPr>
                <w:color w:val="000000"/>
                <w:szCs w:val="22"/>
              </w:rPr>
              <w:lastRenderedPageBreak/>
              <w:t>DFSP</w:t>
            </w:r>
          </w:p>
          <w:p w14:paraId="375EB544" w14:textId="77777777" w:rsidR="00906898" w:rsidRPr="00263DB9" w:rsidRDefault="00906898" w:rsidP="003970DC">
            <w:pPr>
              <w:keepNext/>
              <w:keepLines/>
              <w:widowControl w:val="0"/>
              <w:suppressAutoHyphens/>
              <w:jc w:val="both"/>
              <w:rPr>
                <w:color w:val="000000"/>
                <w:szCs w:val="22"/>
              </w:rPr>
            </w:pPr>
            <w:r w:rsidRPr="00263DB9">
              <w:rPr>
                <w:color w:val="000000"/>
                <w:szCs w:val="22"/>
              </w:rPr>
              <w:t>(numa dose 800 mg)</w:t>
            </w:r>
          </w:p>
        </w:tc>
        <w:tc>
          <w:tcPr>
            <w:tcW w:w="2268" w:type="dxa"/>
            <w:tcBorders>
              <w:top w:val="single" w:sz="4" w:space="0" w:color="auto"/>
              <w:left w:val="single" w:sz="4" w:space="0" w:color="auto"/>
              <w:bottom w:val="single" w:sz="4" w:space="0" w:color="auto"/>
              <w:right w:val="single" w:sz="4" w:space="0" w:color="auto"/>
            </w:tcBorders>
          </w:tcPr>
          <w:p w14:paraId="375EB545" w14:textId="77777777" w:rsidR="00906898" w:rsidRPr="00263DB9" w:rsidRDefault="00906898" w:rsidP="003970DC">
            <w:pPr>
              <w:keepNext/>
              <w:keepLines/>
              <w:widowControl w:val="0"/>
              <w:suppressAutoHyphens/>
              <w:jc w:val="both"/>
              <w:rPr>
                <w:color w:val="000000"/>
                <w:szCs w:val="22"/>
              </w:rPr>
            </w:pPr>
            <w:r w:rsidRPr="00263DB9">
              <w:rPr>
                <w:color w:val="000000"/>
                <w:szCs w:val="22"/>
              </w:rPr>
              <w:t>ANC &lt; 1,0 x 10</w:t>
            </w:r>
            <w:r w:rsidRPr="00263DB9">
              <w:rPr>
                <w:color w:val="000000"/>
                <w:szCs w:val="22"/>
                <w:vertAlign w:val="superscript"/>
              </w:rPr>
              <w:t>9</w:t>
            </w:r>
            <w:r w:rsidRPr="00263DB9">
              <w:rPr>
                <w:color w:val="000000"/>
                <w:szCs w:val="22"/>
              </w:rPr>
              <w:t>/l</w:t>
            </w:r>
          </w:p>
          <w:p w14:paraId="375EB546" w14:textId="77777777" w:rsidR="00906898" w:rsidRPr="00263DB9" w:rsidRDefault="00906898" w:rsidP="003970DC">
            <w:pPr>
              <w:keepNext/>
              <w:keepLines/>
              <w:widowControl w:val="0"/>
              <w:suppressAutoHyphens/>
              <w:jc w:val="both"/>
              <w:rPr>
                <w:color w:val="000000"/>
                <w:szCs w:val="22"/>
              </w:rPr>
            </w:pPr>
            <w:r w:rsidRPr="00263DB9">
              <w:rPr>
                <w:color w:val="000000"/>
                <w:szCs w:val="22"/>
              </w:rPr>
              <w:t>e/ou</w:t>
            </w:r>
          </w:p>
          <w:p w14:paraId="375EB547" w14:textId="77777777" w:rsidR="00906898" w:rsidRPr="00263DB9" w:rsidRDefault="00906898" w:rsidP="003970DC">
            <w:pPr>
              <w:keepNext/>
              <w:keepLines/>
              <w:widowControl w:val="0"/>
              <w:suppressAutoHyphens/>
              <w:jc w:val="both"/>
              <w:rPr>
                <w:color w:val="000000"/>
                <w:szCs w:val="22"/>
                <w:vertAlign w:val="superscript"/>
              </w:rPr>
            </w:pPr>
            <w:r w:rsidRPr="00263DB9">
              <w:rPr>
                <w:color w:val="000000"/>
                <w:szCs w:val="22"/>
              </w:rPr>
              <w:t>plaquetas &lt; 50 x 10</w:t>
            </w:r>
            <w:r w:rsidRPr="00263DB9">
              <w:rPr>
                <w:color w:val="000000"/>
                <w:szCs w:val="22"/>
                <w:vertAlign w:val="superscript"/>
              </w:rPr>
              <w:t>9</w:t>
            </w:r>
            <w:r w:rsidRPr="00263DB9">
              <w:rPr>
                <w:color w:val="000000"/>
                <w:szCs w:val="22"/>
              </w:rPr>
              <w:t>/l</w:t>
            </w:r>
          </w:p>
        </w:tc>
        <w:tc>
          <w:tcPr>
            <w:tcW w:w="4490" w:type="dxa"/>
            <w:tcBorders>
              <w:top w:val="single" w:sz="4" w:space="0" w:color="auto"/>
              <w:left w:val="single" w:sz="4" w:space="0" w:color="auto"/>
              <w:bottom w:val="single" w:sz="4" w:space="0" w:color="auto"/>
              <w:right w:val="single" w:sz="4" w:space="0" w:color="auto"/>
            </w:tcBorders>
          </w:tcPr>
          <w:p w14:paraId="375EB548" w14:textId="77777777" w:rsidR="00906898" w:rsidRPr="00263DB9" w:rsidRDefault="00906898" w:rsidP="003970DC">
            <w:pPr>
              <w:keepNext/>
              <w:keepLines/>
              <w:widowControl w:val="0"/>
              <w:suppressAutoHyphens/>
              <w:ind w:left="408" w:hanging="408"/>
              <w:rPr>
                <w:color w:val="000000"/>
                <w:szCs w:val="22"/>
              </w:rPr>
            </w:pPr>
            <w:r w:rsidRPr="00263DB9">
              <w:rPr>
                <w:color w:val="000000"/>
                <w:szCs w:val="22"/>
              </w:rPr>
              <w:t>1.</w:t>
            </w:r>
            <w:r w:rsidRPr="00263DB9">
              <w:rPr>
                <w:color w:val="000000"/>
                <w:szCs w:val="22"/>
              </w:rPr>
              <w:tab/>
              <w:t xml:space="preserve">Interromper Glivec até ANC </w:t>
            </w:r>
            <w:r w:rsidRPr="00263DB9">
              <w:rPr>
                <w:color w:val="000000"/>
                <w:szCs w:val="22"/>
              </w:rPr>
              <w:sym w:font="Symbol" w:char="F0B3"/>
            </w:r>
            <w:r w:rsidRPr="00263DB9">
              <w:rPr>
                <w:color w:val="000000"/>
                <w:szCs w:val="22"/>
              </w:rPr>
              <w:t xml:space="preserve"> 1,5 x 109/l e plaquetas </w:t>
            </w:r>
            <w:r w:rsidRPr="00263DB9">
              <w:rPr>
                <w:color w:val="000000"/>
                <w:szCs w:val="22"/>
              </w:rPr>
              <w:sym w:font="Symbol" w:char="F0B3"/>
            </w:r>
            <w:r w:rsidRPr="00263DB9">
              <w:rPr>
                <w:color w:val="000000"/>
                <w:szCs w:val="22"/>
              </w:rPr>
              <w:t> 75 x 10</w:t>
            </w:r>
            <w:r w:rsidRPr="00263DB9">
              <w:rPr>
                <w:color w:val="000000"/>
                <w:szCs w:val="22"/>
                <w:vertAlign w:val="superscript"/>
              </w:rPr>
              <w:t>9</w:t>
            </w:r>
            <w:r w:rsidRPr="00263DB9">
              <w:rPr>
                <w:color w:val="000000"/>
                <w:szCs w:val="22"/>
              </w:rPr>
              <w:t>/l.</w:t>
            </w:r>
          </w:p>
          <w:p w14:paraId="375EB549" w14:textId="77777777" w:rsidR="00906898" w:rsidRPr="00263DB9" w:rsidRDefault="00906898" w:rsidP="003970DC">
            <w:pPr>
              <w:keepNext/>
              <w:keepLines/>
              <w:widowControl w:val="0"/>
              <w:suppressAutoHyphens/>
              <w:ind w:left="408" w:hanging="408"/>
              <w:rPr>
                <w:color w:val="000000"/>
                <w:szCs w:val="22"/>
              </w:rPr>
            </w:pPr>
            <w:r w:rsidRPr="00263DB9">
              <w:rPr>
                <w:color w:val="000000"/>
                <w:szCs w:val="22"/>
              </w:rPr>
              <w:t>2.</w:t>
            </w:r>
            <w:r w:rsidRPr="00263DB9">
              <w:rPr>
                <w:color w:val="000000"/>
                <w:szCs w:val="22"/>
              </w:rPr>
              <w:tab/>
              <w:t>Reiniciar o tratamento com Glivec com 600 mg.</w:t>
            </w:r>
          </w:p>
          <w:p w14:paraId="375EB54A" w14:textId="77777777" w:rsidR="00906898" w:rsidRPr="00263DB9" w:rsidRDefault="00906898" w:rsidP="003970DC">
            <w:pPr>
              <w:keepNext/>
              <w:keepLines/>
              <w:widowControl w:val="0"/>
              <w:suppressAutoHyphens/>
              <w:ind w:left="408" w:hanging="408"/>
              <w:rPr>
                <w:color w:val="000000"/>
                <w:szCs w:val="22"/>
              </w:rPr>
            </w:pPr>
            <w:r w:rsidRPr="00263DB9">
              <w:rPr>
                <w:color w:val="000000"/>
                <w:szCs w:val="22"/>
              </w:rPr>
              <w:t>3.</w:t>
            </w:r>
            <w:r w:rsidRPr="00263DB9">
              <w:rPr>
                <w:color w:val="000000"/>
                <w:szCs w:val="22"/>
              </w:rPr>
              <w:tab/>
              <w:t>No caso de recorrência de ANC &lt; 1,0 x 10</w:t>
            </w:r>
            <w:r w:rsidRPr="00263DB9">
              <w:rPr>
                <w:color w:val="000000"/>
                <w:szCs w:val="22"/>
                <w:vertAlign w:val="superscript"/>
              </w:rPr>
              <w:t>9</w:t>
            </w:r>
            <w:r w:rsidRPr="00263DB9">
              <w:rPr>
                <w:color w:val="000000"/>
                <w:szCs w:val="22"/>
              </w:rPr>
              <w:t>/l e/ou plaquetas &lt; 50 x 10</w:t>
            </w:r>
            <w:r w:rsidRPr="00263DB9">
              <w:rPr>
                <w:color w:val="000000"/>
                <w:szCs w:val="22"/>
                <w:vertAlign w:val="superscript"/>
              </w:rPr>
              <w:t>9</w:t>
            </w:r>
            <w:r w:rsidRPr="00263DB9">
              <w:rPr>
                <w:color w:val="000000"/>
                <w:szCs w:val="22"/>
              </w:rPr>
              <w:t>/l, repetir o passo 1 e reiniciar Glivec numa dose reduzida de 400 mg.</w:t>
            </w:r>
          </w:p>
        </w:tc>
      </w:tr>
      <w:tr w:rsidR="00906898" w:rsidRPr="00263DB9" w14:paraId="375EB54E" w14:textId="77777777" w:rsidTr="003970DC">
        <w:trPr>
          <w:cantSplit/>
        </w:trPr>
        <w:tc>
          <w:tcPr>
            <w:tcW w:w="9276" w:type="dxa"/>
            <w:gridSpan w:val="3"/>
          </w:tcPr>
          <w:p w14:paraId="375EB54C" w14:textId="77777777" w:rsidR="00906898" w:rsidRPr="00263DB9" w:rsidRDefault="00906898" w:rsidP="003970DC">
            <w:pPr>
              <w:keepNext/>
              <w:keepLines/>
              <w:widowControl w:val="0"/>
              <w:suppressAutoHyphens/>
              <w:jc w:val="both"/>
              <w:rPr>
                <w:color w:val="000000"/>
                <w:szCs w:val="22"/>
              </w:rPr>
            </w:pPr>
            <w:r w:rsidRPr="00263DB9">
              <w:rPr>
                <w:color w:val="000000"/>
                <w:szCs w:val="22"/>
              </w:rPr>
              <w:t>ANC = Contagem absoluta de neutrófilos</w:t>
            </w:r>
          </w:p>
          <w:p w14:paraId="375EB54D" w14:textId="77777777" w:rsidR="00906898" w:rsidRPr="00263DB9" w:rsidRDefault="00906898" w:rsidP="003970DC">
            <w:pPr>
              <w:keepNext/>
              <w:keepLines/>
              <w:widowControl w:val="0"/>
              <w:suppressAutoHyphens/>
              <w:jc w:val="both"/>
              <w:rPr>
                <w:color w:val="000000"/>
                <w:szCs w:val="22"/>
              </w:rPr>
            </w:pPr>
            <w:r w:rsidRPr="00263DB9">
              <w:rPr>
                <w:color w:val="000000"/>
                <w:szCs w:val="22"/>
                <w:vertAlign w:val="superscript"/>
              </w:rPr>
              <w:t>a</w:t>
            </w:r>
            <w:r w:rsidRPr="00263DB9">
              <w:rPr>
                <w:color w:val="000000"/>
                <w:szCs w:val="22"/>
              </w:rPr>
              <w:t xml:space="preserve"> ocorrendo após, pelo menos, 1 mês de tratamento</w:t>
            </w:r>
          </w:p>
        </w:tc>
      </w:tr>
    </w:tbl>
    <w:p w14:paraId="375EB54F" w14:textId="77777777" w:rsidR="00906898" w:rsidRPr="00263DB9" w:rsidRDefault="00906898" w:rsidP="00E51817">
      <w:pPr>
        <w:widowControl w:val="0"/>
        <w:suppressAutoHyphens/>
        <w:rPr>
          <w:color w:val="000000"/>
          <w:szCs w:val="22"/>
        </w:rPr>
      </w:pPr>
    </w:p>
    <w:p w14:paraId="375EB550" w14:textId="77777777" w:rsidR="00906898" w:rsidRPr="00263DB9" w:rsidRDefault="00906898" w:rsidP="003970DC">
      <w:pPr>
        <w:keepNext/>
        <w:widowControl w:val="0"/>
        <w:suppressAutoHyphens/>
        <w:rPr>
          <w:color w:val="000000"/>
          <w:szCs w:val="22"/>
          <w:u w:val="single"/>
        </w:rPr>
      </w:pPr>
      <w:r w:rsidRPr="00263DB9">
        <w:rPr>
          <w:color w:val="000000"/>
          <w:szCs w:val="22"/>
          <w:u w:val="single"/>
        </w:rPr>
        <w:t>Populações especiais</w:t>
      </w:r>
    </w:p>
    <w:p w14:paraId="375EB551" w14:textId="77777777" w:rsidR="00906898" w:rsidRPr="00263DB9" w:rsidRDefault="00906898" w:rsidP="00E51817">
      <w:pPr>
        <w:widowControl w:val="0"/>
        <w:suppressAutoHyphens/>
        <w:rPr>
          <w:color w:val="000000"/>
          <w:szCs w:val="22"/>
        </w:rPr>
      </w:pPr>
      <w:r w:rsidRPr="00263DB9">
        <w:rPr>
          <w:i/>
          <w:color w:val="000000"/>
          <w:szCs w:val="22"/>
        </w:rPr>
        <w:t>Uso pediátrico:</w:t>
      </w:r>
      <w:r w:rsidRPr="00263DB9">
        <w:rPr>
          <w:color w:val="000000"/>
          <w:szCs w:val="22"/>
        </w:rPr>
        <w:t xml:space="preserve"> Não existe experiência em crianças com menos de 2 anos de idade com LMC </w:t>
      </w:r>
      <w:r w:rsidR="00F36686" w:rsidRPr="00263DB9">
        <w:rPr>
          <w:color w:val="000000"/>
          <w:szCs w:val="22"/>
        </w:rPr>
        <w:t xml:space="preserve">e com LLA Ph+ com menos de 1 ano de idade </w:t>
      </w:r>
      <w:r w:rsidRPr="00263DB9">
        <w:rPr>
          <w:color w:val="000000"/>
          <w:szCs w:val="22"/>
        </w:rPr>
        <w:t>(ver secção 5.1). A experiência é muito limitada em crianças com MDS/MPD</w:t>
      </w:r>
      <w:r w:rsidR="007D568C" w:rsidRPr="00263DB9">
        <w:rPr>
          <w:color w:val="000000"/>
          <w:szCs w:val="22"/>
        </w:rPr>
        <w:t>,</w:t>
      </w:r>
      <w:r w:rsidRPr="00263DB9">
        <w:rPr>
          <w:color w:val="000000"/>
          <w:szCs w:val="22"/>
        </w:rPr>
        <w:t xml:space="preserve"> DFSP</w:t>
      </w:r>
      <w:r w:rsidR="007D568C" w:rsidRPr="00263DB9">
        <w:rPr>
          <w:color w:val="000000"/>
          <w:szCs w:val="22"/>
        </w:rPr>
        <w:t>,</w:t>
      </w:r>
      <w:r w:rsidR="00AA4FA6" w:rsidRPr="00263DB9">
        <w:rPr>
          <w:color w:val="000000"/>
          <w:szCs w:val="22"/>
        </w:rPr>
        <w:t xml:space="preserve"> </w:t>
      </w:r>
      <w:r w:rsidRPr="00263DB9">
        <w:rPr>
          <w:color w:val="000000"/>
          <w:szCs w:val="22"/>
        </w:rPr>
        <w:t>GIST e síndrome hipereosinofílica avançada/leucemia eosinofílica crónica.</w:t>
      </w:r>
    </w:p>
    <w:p w14:paraId="375EB552" w14:textId="77777777" w:rsidR="00906898" w:rsidRPr="00263DB9" w:rsidRDefault="00906898" w:rsidP="00E51817">
      <w:pPr>
        <w:widowControl w:val="0"/>
        <w:suppressAutoHyphens/>
        <w:rPr>
          <w:color w:val="000000"/>
          <w:szCs w:val="22"/>
        </w:rPr>
      </w:pPr>
    </w:p>
    <w:p w14:paraId="375EB553" w14:textId="77777777" w:rsidR="007D568C" w:rsidRPr="00263DB9" w:rsidRDefault="007D568C" w:rsidP="00E51817">
      <w:pPr>
        <w:widowControl w:val="0"/>
        <w:suppressAutoHyphens/>
        <w:rPr>
          <w:color w:val="000000"/>
          <w:szCs w:val="22"/>
        </w:rPr>
      </w:pPr>
      <w:r w:rsidRPr="00263DB9">
        <w:rPr>
          <w:color w:val="000000"/>
          <w:szCs w:val="22"/>
        </w:rPr>
        <w:t xml:space="preserve">A segurança e eficácia de imatinib em crianças com menos de 18 anos de idade, com MDS/MPD, DFSP,GIST e síndrome hipereosinofílica avançada/leucemia eosinofílica crónica não foi estabelecida em ensaios clínicos. </w:t>
      </w:r>
      <w:r w:rsidRPr="00263DB9">
        <w:rPr>
          <w:szCs w:val="24"/>
        </w:rPr>
        <w:t xml:space="preserve">Os dados publicados atualmente disponíveis encontram-se </w:t>
      </w:r>
      <w:r w:rsidRPr="00263DB9">
        <w:rPr>
          <w:color w:val="000000"/>
          <w:szCs w:val="22"/>
        </w:rPr>
        <w:t>resumidos na secção 5.1 mas não pode ser feita qualquer recomendação posológica.</w:t>
      </w:r>
    </w:p>
    <w:p w14:paraId="375EB554" w14:textId="77777777" w:rsidR="007D568C" w:rsidRPr="00263DB9" w:rsidRDefault="007D568C" w:rsidP="00E51817">
      <w:pPr>
        <w:widowControl w:val="0"/>
        <w:suppressAutoHyphens/>
        <w:rPr>
          <w:color w:val="000000"/>
          <w:szCs w:val="22"/>
        </w:rPr>
      </w:pPr>
    </w:p>
    <w:p w14:paraId="375EB555" w14:textId="77777777" w:rsidR="00906898" w:rsidRPr="00263DB9" w:rsidRDefault="00906898" w:rsidP="00E51817">
      <w:pPr>
        <w:widowControl w:val="0"/>
        <w:suppressAutoHyphens/>
        <w:rPr>
          <w:color w:val="000000"/>
          <w:szCs w:val="22"/>
        </w:rPr>
      </w:pPr>
      <w:r w:rsidRPr="00263DB9">
        <w:rPr>
          <w:i/>
          <w:color w:val="000000"/>
          <w:szCs w:val="22"/>
        </w:rPr>
        <w:t>Insuficiência hepática:</w:t>
      </w:r>
      <w:r w:rsidRPr="00263DB9">
        <w:rPr>
          <w:color w:val="000000"/>
          <w:szCs w:val="22"/>
        </w:rPr>
        <w:t xml:space="preserve"> o imatinib é principalmente metabolizado por via hepática. Os doentes com disfunção hepática ligeira, moderada ou grave deverão ser tratados com a dose mínima recomendada de 400 mg por dia. A dose pode ser reduzida se não for tolerada (ver secções 4.4, 4.8 e 5.2).</w:t>
      </w:r>
    </w:p>
    <w:p w14:paraId="375EB556" w14:textId="77777777" w:rsidR="00906898" w:rsidRPr="00263DB9" w:rsidRDefault="00906898" w:rsidP="00E51817">
      <w:pPr>
        <w:widowControl w:val="0"/>
        <w:suppressAutoHyphens/>
        <w:rPr>
          <w:color w:val="000000"/>
          <w:szCs w:val="22"/>
        </w:rPr>
      </w:pPr>
    </w:p>
    <w:p w14:paraId="375EB557" w14:textId="77777777" w:rsidR="00906898" w:rsidRPr="00263DB9" w:rsidRDefault="00906898" w:rsidP="003970DC">
      <w:pPr>
        <w:keepNext/>
        <w:keepLines/>
        <w:widowControl w:val="0"/>
        <w:suppressAutoHyphens/>
        <w:rPr>
          <w:color w:val="000000"/>
          <w:szCs w:val="22"/>
        </w:rPr>
      </w:pPr>
      <w:r w:rsidRPr="00263DB9">
        <w:rPr>
          <w:color w:val="000000"/>
          <w:szCs w:val="22"/>
        </w:rPr>
        <w:t>Classificação da disfunção hepática:</w:t>
      </w:r>
    </w:p>
    <w:p w14:paraId="375EB558" w14:textId="77777777" w:rsidR="00906898" w:rsidRPr="00263DB9" w:rsidRDefault="00906898" w:rsidP="003970DC">
      <w:pPr>
        <w:keepNext/>
        <w:keepLines/>
        <w:widowControl w:val="0"/>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440"/>
      </w:tblGrid>
      <w:tr w:rsidR="00906898" w:rsidRPr="00263DB9" w14:paraId="375EB55B" w14:textId="77777777" w:rsidTr="003970DC">
        <w:trPr>
          <w:cantSplit/>
        </w:trPr>
        <w:tc>
          <w:tcPr>
            <w:tcW w:w="2660" w:type="dxa"/>
          </w:tcPr>
          <w:p w14:paraId="375EB559" w14:textId="77777777" w:rsidR="00906898" w:rsidRPr="00263DB9" w:rsidRDefault="00906898" w:rsidP="003970DC">
            <w:pPr>
              <w:keepNext/>
              <w:keepLines/>
              <w:widowControl w:val="0"/>
              <w:suppressAutoHyphens/>
              <w:rPr>
                <w:color w:val="000000"/>
                <w:szCs w:val="22"/>
              </w:rPr>
            </w:pPr>
            <w:r w:rsidRPr="00263DB9">
              <w:rPr>
                <w:color w:val="000000"/>
                <w:szCs w:val="22"/>
              </w:rPr>
              <w:t>Disfunção hepática</w:t>
            </w:r>
          </w:p>
        </w:tc>
        <w:tc>
          <w:tcPr>
            <w:tcW w:w="6616" w:type="dxa"/>
          </w:tcPr>
          <w:p w14:paraId="375EB55A" w14:textId="77777777" w:rsidR="00906898" w:rsidRPr="00263DB9" w:rsidRDefault="00906898" w:rsidP="003970DC">
            <w:pPr>
              <w:keepNext/>
              <w:keepLines/>
              <w:widowControl w:val="0"/>
              <w:suppressAutoHyphens/>
              <w:rPr>
                <w:color w:val="000000"/>
                <w:szCs w:val="22"/>
              </w:rPr>
            </w:pPr>
            <w:r w:rsidRPr="00263DB9">
              <w:rPr>
                <w:color w:val="000000"/>
                <w:szCs w:val="22"/>
              </w:rPr>
              <w:t>Testes da função hepática</w:t>
            </w:r>
          </w:p>
        </w:tc>
      </w:tr>
      <w:tr w:rsidR="00906898" w:rsidRPr="00263DB9" w14:paraId="375EB55F" w14:textId="77777777" w:rsidTr="003970DC">
        <w:trPr>
          <w:cantSplit/>
        </w:trPr>
        <w:tc>
          <w:tcPr>
            <w:tcW w:w="2660" w:type="dxa"/>
          </w:tcPr>
          <w:p w14:paraId="375EB55C" w14:textId="77777777" w:rsidR="00906898" w:rsidRPr="00263DB9" w:rsidRDefault="00906898" w:rsidP="003970DC">
            <w:pPr>
              <w:keepNext/>
              <w:keepLines/>
              <w:widowControl w:val="0"/>
              <w:suppressAutoHyphens/>
              <w:rPr>
                <w:color w:val="000000"/>
                <w:szCs w:val="22"/>
              </w:rPr>
            </w:pPr>
            <w:r w:rsidRPr="00263DB9">
              <w:rPr>
                <w:color w:val="000000"/>
                <w:szCs w:val="22"/>
              </w:rPr>
              <w:t>Ligeira</w:t>
            </w:r>
          </w:p>
        </w:tc>
        <w:tc>
          <w:tcPr>
            <w:tcW w:w="6616" w:type="dxa"/>
          </w:tcPr>
          <w:p w14:paraId="375EB55D" w14:textId="77777777" w:rsidR="00906898" w:rsidRPr="00263DB9" w:rsidRDefault="00906898" w:rsidP="003970DC">
            <w:pPr>
              <w:keepNext/>
              <w:keepLines/>
              <w:widowControl w:val="0"/>
              <w:suppressAutoHyphens/>
              <w:rPr>
                <w:color w:val="000000"/>
                <w:szCs w:val="22"/>
              </w:rPr>
            </w:pPr>
            <w:r w:rsidRPr="00263DB9">
              <w:rPr>
                <w:color w:val="000000"/>
                <w:szCs w:val="22"/>
              </w:rPr>
              <w:t>Bilirrubina total = 1,5 ULN</w:t>
            </w:r>
          </w:p>
          <w:p w14:paraId="375EB55E" w14:textId="77777777" w:rsidR="00906898" w:rsidRPr="00263DB9" w:rsidRDefault="00906898" w:rsidP="003970DC">
            <w:pPr>
              <w:keepNext/>
              <w:keepLines/>
              <w:widowControl w:val="0"/>
              <w:suppressAutoHyphens/>
              <w:rPr>
                <w:color w:val="000000"/>
                <w:szCs w:val="22"/>
              </w:rPr>
            </w:pPr>
            <w:r w:rsidRPr="00263DB9">
              <w:rPr>
                <w:color w:val="000000"/>
                <w:szCs w:val="22"/>
              </w:rPr>
              <w:t>AST: &gt; ULN (pode ser normal ou &lt; ULN se a bilirrubina total for &gt; ULN)</w:t>
            </w:r>
          </w:p>
        </w:tc>
      </w:tr>
      <w:tr w:rsidR="00906898" w:rsidRPr="00263DB9" w14:paraId="375EB563" w14:textId="77777777" w:rsidTr="003970DC">
        <w:trPr>
          <w:cantSplit/>
        </w:trPr>
        <w:tc>
          <w:tcPr>
            <w:tcW w:w="2660" w:type="dxa"/>
          </w:tcPr>
          <w:p w14:paraId="375EB560" w14:textId="77777777" w:rsidR="00906898" w:rsidRPr="00263DB9" w:rsidRDefault="00906898" w:rsidP="003970DC">
            <w:pPr>
              <w:keepNext/>
              <w:keepLines/>
              <w:widowControl w:val="0"/>
              <w:suppressAutoHyphens/>
              <w:rPr>
                <w:color w:val="000000"/>
                <w:szCs w:val="22"/>
              </w:rPr>
            </w:pPr>
            <w:r w:rsidRPr="00263DB9">
              <w:rPr>
                <w:color w:val="000000"/>
                <w:szCs w:val="22"/>
              </w:rPr>
              <w:t>Moderada</w:t>
            </w:r>
          </w:p>
        </w:tc>
        <w:tc>
          <w:tcPr>
            <w:tcW w:w="6616" w:type="dxa"/>
          </w:tcPr>
          <w:p w14:paraId="375EB561" w14:textId="77777777" w:rsidR="00906898" w:rsidRPr="00263DB9" w:rsidRDefault="00906898" w:rsidP="003970DC">
            <w:pPr>
              <w:keepNext/>
              <w:keepLines/>
              <w:widowControl w:val="0"/>
              <w:suppressAutoHyphens/>
              <w:rPr>
                <w:color w:val="000000"/>
                <w:szCs w:val="22"/>
              </w:rPr>
            </w:pPr>
            <w:r w:rsidRPr="00263DB9">
              <w:rPr>
                <w:color w:val="000000"/>
                <w:szCs w:val="22"/>
              </w:rPr>
              <w:t>Bilirrubina total: &gt; 1,5–3,0 ULN</w:t>
            </w:r>
          </w:p>
          <w:p w14:paraId="375EB562" w14:textId="77777777" w:rsidR="00906898" w:rsidRPr="00263DB9" w:rsidRDefault="00906898" w:rsidP="003970DC">
            <w:pPr>
              <w:keepNext/>
              <w:keepLines/>
              <w:widowControl w:val="0"/>
              <w:suppressAutoHyphens/>
              <w:rPr>
                <w:color w:val="000000"/>
                <w:szCs w:val="22"/>
              </w:rPr>
            </w:pPr>
            <w:r w:rsidRPr="00263DB9">
              <w:rPr>
                <w:color w:val="000000"/>
                <w:szCs w:val="22"/>
              </w:rPr>
              <w:t>AST: qualquer valor</w:t>
            </w:r>
          </w:p>
        </w:tc>
      </w:tr>
      <w:tr w:rsidR="00906898" w:rsidRPr="00263DB9" w14:paraId="375EB567" w14:textId="77777777" w:rsidTr="003970DC">
        <w:trPr>
          <w:cantSplit/>
        </w:trPr>
        <w:tc>
          <w:tcPr>
            <w:tcW w:w="2660" w:type="dxa"/>
          </w:tcPr>
          <w:p w14:paraId="375EB564" w14:textId="77777777" w:rsidR="00906898" w:rsidRPr="00263DB9" w:rsidRDefault="00906898" w:rsidP="003970DC">
            <w:pPr>
              <w:keepNext/>
              <w:keepLines/>
              <w:widowControl w:val="0"/>
              <w:suppressAutoHyphens/>
              <w:rPr>
                <w:color w:val="000000"/>
                <w:szCs w:val="22"/>
              </w:rPr>
            </w:pPr>
            <w:r w:rsidRPr="00263DB9">
              <w:rPr>
                <w:color w:val="000000"/>
                <w:szCs w:val="22"/>
              </w:rPr>
              <w:t>Grave</w:t>
            </w:r>
          </w:p>
        </w:tc>
        <w:tc>
          <w:tcPr>
            <w:tcW w:w="6616" w:type="dxa"/>
          </w:tcPr>
          <w:p w14:paraId="375EB565" w14:textId="77777777" w:rsidR="00906898" w:rsidRPr="00263DB9" w:rsidRDefault="00906898" w:rsidP="003970DC">
            <w:pPr>
              <w:keepNext/>
              <w:keepLines/>
              <w:widowControl w:val="0"/>
              <w:suppressAutoHyphens/>
              <w:rPr>
                <w:color w:val="000000"/>
                <w:szCs w:val="22"/>
              </w:rPr>
            </w:pPr>
            <w:r w:rsidRPr="00263DB9">
              <w:rPr>
                <w:color w:val="000000"/>
                <w:szCs w:val="22"/>
              </w:rPr>
              <w:t>Bilirrubina total: &gt; 3–10 ULN</w:t>
            </w:r>
          </w:p>
          <w:p w14:paraId="375EB566" w14:textId="77777777" w:rsidR="00906898" w:rsidRPr="00263DB9" w:rsidRDefault="00906898" w:rsidP="003970DC">
            <w:pPr>
              <w:keepNext/>
              <w:keepLines/>
              <w:widowControl w:val="0"/>
              <w:suppressAutoHyphens/>
              <w:rPr>
                <w:color w:val="000000"/>
                <w:szCs w:val="22"/>
              </w:rPr>
            </w:pPr>
            <w:r w:rsidRPr="00263DB9">
              <w:rPr>
                <w:color w:val="000000"/>
                <w:szCs w:val="22"/>
              </w:rPr>
              <w:t>AST: qualquer valor</w:t>
            </w:r>
          </w:p>
        </w:tc>
      </w:tr>
    </w:tbl>
    <w:p w14:paraId="375EB568" w14:textId="77777777" w:rsidR="00906898" w:rsidRPr="00263DB9" w:rsidRDefault="00906898" w:rsidP="003970DC">
      <w:pPr>
        <w:keepNext/>
        <w:keepLines/>
        <w:widowControl w:val="0"/>
        <w:suppressAutoHyphens/>
        <w:rPr>
          <w:color w:val="000000"/>
          <w:szCs w:val="22"/>
        </w:rPr>
      </w:pPr>
      <w:r w:rsidRPr="00263DB9">
        <w:rPr>
          <w:color w:val="000000"/>
          <w:szCs w:val="22"/>
        </w:rPr>
        <w:t>ULN = limite superior do intervalo padrão</w:t>
      </w:r>
    </w:p>
    <w:p w14:paraId="375EB569" w14:textId="77777777" w:rsidR="00906898" w:rsidRPr="00263DB9" w:rsidRDefault="00906898" w:rsidP="003970DC">
      <w:pPr>
        <w:keepNext/>
        <w:keepLines/>
        <w:widowControl w:val="0"/>
        <w:suppressAutoHyphens/>
        <w:rPr>
          <w:color w:val="000000"/>
          <w:szCs w:val="22"/>
        </w:rPr>
      </w:pPr>
      <w:r w:rsidRPr="00263DB9">
        <w:rPr>
          <w:color w:val="000000"/>
          <w:szCs w:val="22"/>
        </w:rPr>
        <w:t>AST = aspartato aminotransferase</w:t>
      </w:r>
    </w:p>
    <w:p w14:paraId="375EB56A" w14:textId="77777777" w:rsidR="00906898" w:rsidRPr="00263DB9" w:rsidRDefault="00906898" w:rsidP="00E51817">
      <w:pPr>
        <w:widowControl w:val="0"/>
        <w:suppressAutoHyphens/>
        <w:rPr>
          <w:color w:val="000000"/>
          <w:szCs w:val="22"/>
        </w:rPr>
      </w:pPr>
    </w:p>
    <w:p w14:paraId="375EB56B" w14:textId="77777777" w:rsidR="00906898" w:rsidRPr="00263DB9" w:rsidRDefault="00906898" w:rsidP="00E51817">
      <w:pPr>
        <w:widowControl w:val="0"/>
        <w:suppressAutoHyphens/>
        <w:rPr>
          <w:color w:val="000000"/>
          <w:szCs w:val="22"/>
        </w:rPr>
      </w:pPr>
      <w:r w:rsidRPr="00263DB9">
        <w:rPr>
          <w:i/>
          <w:color w:val="000000"/>
          <w:szCs w:val="22"/>
        </w:rPr>
        <w:t>Insuficiência renal:</w:t>
      </w:r>
      <w:r w:rsidRPr="00263DB9">
        <w:rPr>
          <w:color w:val="000000"/>
          <w:szCs w:val="22"/>
        </w:rPr>
        <w:t xml:space="preserve"> Recomenda-se a administração da dose mínima de 400</w:t>
      </w:r>
      <w:r w:rsidRPr="00263DB9">
        <w:rPr>
          <w:rFonts w:eastAsia="SimSun"/>
          <w:color w:val="000000"/>
          <w:szCs w:val="22"/>
          <w:lang w:eastAsia="zh-CN"/>
        </w:rPr>
        <w:t> </w:t>
      </w:r>
      <w:r w:rsidRPr="00263DB9">
        <w:rPr>
          <w:color w:val="000000"/>
          <w:szCs w:val="22"/>
        </w:rPr>
        <w:t>mg por dia como dose inicial em doentes com disfunção renal ou em diálise. No entanto, recomenda-se precaução nestes doentes. A dose pode ser reduzida se não for tolerada. Se for tolerada, a dose pode ser aumentada em caso de falta de eficácia (ver secções 4.4 e 5.2).</w:t>
      </w:r>
    </w:p>
    <w:p w14:paraId="375EB56C" w14:textId="77777777" w:rsidR="00906898" w:rsidRPr="00263DB9" w:rsidRDefault="00906898" w:rsidP="00E51817">
      <w:pPr>
        <w:widowControl w:val="0"/>
        <w:suppressAutoHyphens/>
        <w:rPr>
          <w:color w:val="000000"/>
          <w:szCs w:val="22"/>
        </w:rPr>
      </w:pPr>
    </w:p>
    <w:p w14:paraId="375EB56D" w14:textId="77777777" w:rsidR="00906898" w:rsidRPr="00263DB9" w:rsidRDefault="00C97CCE" w:rsidP="00E51817">
      <w:pPr>
        <w:widowControl w:val="0"/>
        <w:suppressAutoHyphens/>
        <w:rPr>
          <w:color w:val="000000"/>
          <w:szCs w:val="22"/>
        </w:rPr>
      </w:pPr>
      <w:r w:rsidRPr="00263DB9">
        <w:rPr>
          <w:i/>
          <w:color w:val="000000"/>
          <w:szCs w:val="22"/>
        </w:rPr>
        <w:t>Pessoas</w:t>
      </w:r>
      <w:r w:rsidR="00906898" w:rsidRPr="00263DB9">
        <w:rPr>
          <w:i/>
          <w:color w:val="000000"/>
          <w:szCs w:val="22"/>
        </w:rPr>
        <w:t xml:space="preserve"> idos</w:t>
      </w:r>
      <w:r w:rsidRPr="00263DB9">
        <w:rPr>
          <w:i/>
          <w:color w:val="000000"/>
          <w:szCs w:val="22"/>
        </w:rPr>
        <w:t>a</w:t>
      </w:r>
      <w:r w:rsidR="00906898" w:rsidRPr="00263DB9">
        <w:rPr>
          <w:i/>
          <w:color w:val="000000"/>
          <w:szCs w:val="22"/>
        </w:rPr>
        <w:t>s:</w:t>
      </w:r>
      <w:r w:rsidR="00906898" w:rsidRPr="00263DB9">
        <w:rPr>
          <w:color w:val="000000"/>
          <w:szCs w:val="22"/>
        </w:rPr>
        <w:t xml:space="preserve"> a farmacocinética do imatinib não foi especificamente estudada em </w:t>
      </w:r>
      <w:r w:rsidRPr="00263DB9">
        <w:rPr>
          <w:color w:val="000000"/>
          <w:szCs w:val="22"/>
        </w:rPr>
        <w:t xml:space="preserve">pessoas </w:t>
      </w:r>
      <w:r w:rsidR="00906898" w:rsidRPr="00263DB9">
        <w:rPr>
          <w:color w:val="000000"/>
          <w:szCs w:val="22"/>
        </w:rPr>
        <w:t>idos</w:t>
      </w:r>
      <w:r w:rsidRPr="00263DB9">
        <w:rPr>
          <w:color w:val="000000"/>
          <w:szCs w:val="22"/>
        </w:rPr>
        <w:t>a</w:t>
      </w:r>
      <w:r w:rsidR="00906898" w:rsidRPr="00263DB9">
        <w:rPr>
          <w:color w:val="000000"/>
          <w:szCs w:val="22"/>
        </w:rPr>
        <w:t xml:space="preserve">s. Nos ensaios clínicos em doentes adultos, nos quais mais de 20% dos doentes incluídos tinham idade igual ou superior a 65 anos, não foram observadas diferenças farmacocinéticas relevantes relacionadas com a idade. Não são necessárias recomendações posológicas específicas em </w:t>
      </w:r>
      <w:r w:rsidRPr="00263DB9">
        <w:rPr>
          <w:color w:val="000000"/>
          <w:szCs w:val="22"/>
        </w:rPr>
        <w:t>pessoas</w:t>
      </w:r>
      <w:r w:rsidR="00906898" w:rsidRPr="00263DB9">
        <w:rPr>
          <w:color w:val="000000"/>
          <w:szCs w:val="22"/>
        </w:rPr>
        <w:t xml:space="preserve"> idos</w:t>
      </w:r>
      <w:r w:rsidRPr="00263DB9">
        <w:rPr>
          <w:color w:val="000000"/>
          <w:szCs w:val="22"/>
        </w:rPr>
        <w:t>a</w:t>
      </w:r>
      <w:r w:rsidR="00906898" w:rsidRPr="00263DB9">
        <w:rPr>
          <w:color w:val="000000"/>
          <w:szCs w:val="22"/>
        </w:rPr>
        <w:t>s.</w:t>
      </w:r>
    </w:p>
    <w:p w14:paraId="375EB56E" w14:textId="77777777" w:rsidR="00906898" w:rsidRPr="00263DB9" w:rsidRDefault="00906898" w:rsidP="00E51817">
      <w:pPr>
        <w:widowControl w:val="0"/>
        <w:suppressAutoHyphens/>
        <w:rPr>
          <w:color w:val="000000"/>
          <w:szCs w:val="22"/>
        </w:rPr>
      </w:pPr>
    </w:p>
    <w:p w14:paraId="375EB56F" w14:textId="77777777" w:rsidR="00C91F25" w:rsidRPr="00263DB9" w:rsidRDefault="00C91F25" w:rsidP="003970DC">
      <w:pPr>
        <w:keepNext/>
        <w:widowControl w:val="0"/>
        <w:suppressAutoHyphens/>
        <w:ind w:left="567" w:hanging="567"/>
        <w:rPr>
          <w:color w:val="000000"/>
          <w:szCs w:val="22"/>
        </w:rPr>
      </w:pPr>
      <w:r w:rsidRPr="00263DB9">
        <w:rPr>
          <w:b/>
          <w:color w:val="000000"/>
          <w:szCs w:val="22"/>
        </w:rPr>
        <w:t>4.3</w:t>
      </w:r>
      <w:r w:rsidRPr="00263DB9">
        <w:rPr>
          <w:b/>
          <w:color w:val="000000"/>
          <w:szCs w:val="22"/>
        </w:rPr>
        <w:tab/>
        <w:t>Contraindicações</w:t>
      </w:r>
    </w:p>
    <w:p w14:paraId="375EB570" w14:textId="77777777" w:rsidR="00C91F25" w:rsidRPr="00263DB9" w:rsidRDefault="00C91F25" w:rsidP="003970DC">
      <w:pPr>
        <w:pStyle w:val="EndnoteText"/>
        <w:keepNext/>
        <w:tabs>
          <w:tab w:val="clear" w:pos="567"/>
        </w:tabs>
        <w:suppressAutoHyphens/>
        <w:rPr>
          <w:color w:val="000000"/>
          <w:szCs w:val="22"/>
        </w:rPr>
      </w:pPr>
    </w:p>
    <w:p w14:paraId="375EB571" w14:textId="77777777" w:rsidR="00C91F25" w:rsidRPr="00263DB9" w:rsidRDefault="00C91F25" w:rsidP="00E51817">
      <w:pPr>
        <w:widowControl w:val="0"/>
        <w:suppressAutoHyphens/>
        <w:rPr>
          <w:color w:val="000000"/>
          <w:szCs w:val="22"/>
        </w:rPr>
      </w:pPr>
      <w:r w:rsidRPr="00263DB9">
        <w:rPr>
          <w:color w:val="000000"/>
          <w:szCs w:val="22"/>
        </w:rPr>
        <w:t xml:space="preserve">Hipersensibilidade à substância ativa ou a qualquer um dos excipientes </w:t>
      </w:r>
      <w:r w:rsidRPr="00263DB9">
        <w:rPr>
          <w:szCs w:val="24"/>
        </w:rPr>
        <w:t>mencionados na secção 6.1</w:t>
      </w:r>
      <w:r w:rsidRPr="00263DB9">
        <w:rPr>
          <w:color w:val="000000"/>
          <w:szCs w:val="22"/>
        </w:rPr>
        <w:t>.</w:t>
      </w:r>
    </w:p>
    <w:p w14:paraId="375EB572" w14:textId="77777777" w:rsidR="00C91F25" w:rsidRPr="00263DB9" w:rsidRDefault="00C91F25" w:rsidP="00E51817">
      <w:pPr>
        <w:widowControl w:val="0"/>
        <w:suppressAutoHyphens/>
        <w:rPr>
          <w:color w:val="000000"/>
          <w:szCs w:val="22"/>
        </w:rPr>
      </w:pPr>
    </w:p>
    <w:p w14:paraId="375EB573" w14:textId="77777777" w:rsidR="00C91F25" w:rsidRPr="00263DB9" w:rsidRDefault="00C91F25" w:rsidP="003970DC">
      <w:pPr>
        <w:keepNext/>
        <w:widowControl w:val="0"/>
        <w:suppressAutoHyphens/>
        <w:ind w:left="567" w:hanging="567"/>
        <w:rPr>
          <w:color w:val="000000"/>
          <w:szCs w:val="22"/>
        </w:rPr>
      </w:pPr>
      <w:r w:rsidRPr="00263DB9">
        <w:rPr>
          <w:b/>
          <w:color w:val="000000"/>
          <w:szCs w:val="22"/>
        </w:rPr>
        <w:t>4.4</w:t>
      </w:r>
      <w:r w:rsidRPr="00263DB9">
        <w:rPr>
          <w:b/>
          <w:color w:val="000000"/>
          <w:szCs w:val="22"/>
        </w:rPr>
        <w:tab/>
        <w:t>Advertências e precauções especiais de utilização</w:t>
      </w:r>
    </w:p>
    <w:p w14:paraId="375EB574" w14:textId="77777777" w:rsidR="00C91F25" w:rsidRPr="00263DB9" w:rsidRDefault="00C91F25" w:rsidP="003970DC">
      <w:pPr>
        <w:keepNext/>
        <w:widowControl w:val="0"/>
        <w:suppressAutoHyphens/>
        <w:rPr>
          <w:color w:val="000000"/>
          <w:szCs w:val="22"/>
        </w:rPr>
      </w:pPr>
    </w:p>
    <w:p w14:paraId="375EB575" w14:textId="77777777" w:rsidR="00C91F25" w:rsidRPr="00263DB9" w:rsidRDefault="00C91F25" w:rsidP="00E51817">
      <w:pPr>
        <w:widowControl w:val="0"/>
        <w:suppressAutoHyphens/>
        <w:rPr>
          <w:color w:val="000000"/>
          <w:szCs w:val="22"/>
        </w:rPr>
      </w:pPr>
      <w:r w:rsidRPr="00263DB9">
        <w:rPr>
          <w:color w:val="000000"/>
          <w:szCs w:val="22"/>
        </w:rPr>
        <w:t xml:space="preserve">Quando Glivec for administrado concomitantemente com outros medicamentos, há potencial para interações medicamentosas. Recomenda-se precaução quando se toma Glivec com inibidores da protease, antifúngicos azois, alguns macrólidos (ver secção 4.5), substratos da CYP3A4 com uma </w:t>
      </w:r>
      <w:r w:rsidRPr="00263DB9">
        <w:rPr>
          <w:color w:val="000000"/>
          <w:szCs w:val="22"/>
        </w:rPr>
        <w:lastRenderedPageBreak/>
        <w:t>janela terapêutica estreita (por exemplo, ciclosporina, pimozida, tacrolímus, sirolímus, diergotamina, fentanil, alfentanil, terfenadina, bortezomib, docetaxel, quinidina) ou varfarina e outros derivados cumarínicos (ver secção 4.5).</w:t>
      </w:r>
    </w:p>
    <w:p w14:paraId="375EB576" w14:textId="77777777" w:rsidR="00C91F25" w:rsidRPr="00263DB9" w:rsidRDefault="00C91F25" w:rsidP="00E51817">
      <w:pPr>
        <w:widowControl w:val="0"/>
        <w:suppressAutoHyphens/>
        <w:rPr>
          <w:color w:val="000000"/>
          <w:szCs w:val="22"/>
        </w:rPr>
      </w:pPr>
    </w:p>
    <w:p w14:paraId="375EB577" w14:textId="77777777" w:rsidR="00C91F25" w:rsidRPr="00263DB9" w:rsidRDefault="00C91F25" w:rsidP="00E51817">
      <w:pPr>
        <w:widowControl w:val="0"/>
        <w:suppressAutoHyphens/>
        <w:rPr>
          <w:color w:val="000000"/>
          <w:szCs w:val="22"/>
        </w:rPr>
      </w:pPr>
      <w:r w:rsidRPr="00263DB9">
        <w:rPr>
          <w:color w:val="000000"/>
          <w:szCs w:val="22"/>
        </w:rPr>
        <w:t xml:space="preserve">A utilização concomitante de imatinib e produtos medicamentosos indutores da CYP3A4 (por ex. dexametasona, fenitoína, carbamazepina, rifampicina, fenobarbital ou </w:t>
      </w:r>
      <w:r w:rsidRPr="00263DB9">
        <w:rPr>
          <w:i/>
          <w:color w:val="000000"/>
          <w:szCs w:val="22"/>
        </w:rPr>
        <w:t>Hypericum perforatum</w:t>
      </w:r>
      <w:r w:rsidRPr="00263DB9">
        <w:rPr>
          <w:color w:val="000000"/>
          <w:szCs w:val="22"/>
        </w:rPr>
        <w:t>, também conhecido por hipericão) poderá reduzir significativamente a exposição a Glivec, aumentando potencialmente o risco de falência terapêutica. Portanto, deverá evitar-se a utilização concomitante de fortes indutores da CYP3A4 e imatinib (ver secção 4.5).</w:t>
      </w:r>
    </w:p>
    <w:p w14:paraId="375EB578" w14:textId="77777777" w:rsidR="00C91F25" w:rsidRPr="00263DB9" w:rsidRDefault="00C91F25" w:rsidP="00E51817">
      <w:pPr>
        <w:widowControl w:val="0"/>
        <w:suppressAutoHyphens/>
        <w:rPr>
          <w:color w:val="000000"/>
          <w:szCs w:val="22"/>
        </w:rPr>
      </w:pPr>
    </w:p>
    <w:p w14:paraId="375EB579" w14:textId="77777777" w:rsidR="00C91F25" w:rsidRPr="00263DB9" w:rsidRDefault="00C91F25" w:rsidP="003970DC">
      <w:pPr>
        <w:keepNext/>
        <w:widowControl w:val="0"/>
        <w:suppressAutoHyphens/>
        <w:rPr>
          <w:color w:val="000000"/>
          <w:szCs w:val="22"/>
          <w:u w:val="single"/>
        </w:rPr>
      </w:pPr>
      <w:r w:rsidRPr="00263DB9">
        <w:rPr>
          <w:color w:val="000000"/>
          <w:szCs w:val="22"/>
          <w:u w:val="single"/>
        </w:rPr>
        <w:t>Hipotiroidismo</w:t>
      </w:r>
    </w:p>
    <w:p w14:paraId="375EB57A" w14:textId="77777777" w:rsidR="00C91F25" w:rsidRPr="00263DB9" w:rsidRDefault="00C91F25" w:rsidP="00E51817">
      <w:pPr>
        <w:widowControl w:val="0"/>
        <w:suppressAutoHyphens/>
        <w:rPr>
          <w:color w:val="000000"/>
          <w:szCs w:val="22"/>
        </w:rPr>
      </w:pPr>
      <w:r w:rsidRPr="00263DB9">
        <w:rPr>
          <w:color w:val="000000"/>
          <w:szCs w:val="22"/>
        </w:rPr>
        <w:t xml:space="preserve">Durante o tratamento com Glivec, foram notificados casos de hipotiroidismo em doentes que sofreram tiroidectomia a fazer substituição com levotiroxina (ver secção 4.5). Os níveis da </w:t>
      </w:r>
      <w:r w:rsidRPr="00263DB9">
        <w:rPr>
          <w:szCs w:val="22"/>
        </w:rPr>
        <w:t>hormona estimulante da tiroide</w:t>
      </w:r>
      <w:r w:rsidRPr="00263DB9">
        <w:rPr>
          <w:color w:val="000000"/>
          <w:szCs w:val="22"/>
        </w:rPr>
        <w:t xml:space="preserve"> (TSH) devem ser cuidadosamente monitorizados nestes doentes.</w:t>
      </w:r>
    </w:p>
    <w:p w14:paraId="375EB57B" w14:textId="77777777" w:rsidR="00C91F25" w:rsidRPr="00263DB9" w:rsidRDefault="00C91F25" w:rsidP="00E51817">
      <w:pPr>
        <w:widowControl w:val="0"/>
        <w:suppressAutoHyphens/>
        <w:rPr>
          <w:color w:val="000000"/>
          <w:szCs w:val="22"/>
        </w:rPr>
      </w:pPr>
    </w:p>
    <w:p w14:paraId="375EB57C" w14:textId="77777777" w:rsidR="00C91F25" w:rsidRPr="00263DB9" w:rsidRDefault="00C91F25" w:rsidP="003970DC">
      <w:pPr>
        <w:keepNext/>
        <w:widowControl w:val="0"/>
        <w:suppressAutoHyphens/>
        <w:rPr>
          <w:color w:val="000000"/>
          <w:szCs w:val="22"/>
          <w:u w:val="single"/>
        </w:rPr>
      </w:pPr>
      <w:r w:rsidRPr="00263DB9">
        <w:rPr>
          <w:color w:val="000000"/>
          <w:szCs w:val="22"/>
          <w:u w:val="single"/>
        </w:rPr>
        <w:t>Hepatoxicidade</w:t>
      </w:r>
    </w:p>
    <w:p w14:paraId="375EB57D" w14:textId="77777777" w:rsidR="00C91F25" w:rsidRPr="00263DB9" w:rsidRDefault="00C91F25" w:rsidP="00E51817">
      <w:pPr>
        <w:widowControl w:val="0"/>
        <w:suppressAutoHyphens/>
        <w:rPr>
          <w:color w:val="000000"/>
          <w:szCs w:val="22"/>
        </w:rPr>
      </w:pPr>
      <w:r w:rsidRPr="00263DB9">
        <w:rPr>
          <w:color w:val="000000"/>
          <w:szCs w:val="22"/>
        </w:rPr>
        <w:t>Glivec é metabolizado principalmente por via hepática, sendo apenas 13% excretados pelo rim. Em doentes com disfunção hepática (ligeira, moderada ou grave), recomenda-se monitorização cuidadosa da contagem sanguínea e das enzimas hepáticas (ver secções 4.2, 4.8 e 5.2). De salientar que os doentes com GIST podem ter metástases hepáticas que poderão conduzir a compromisso hepático.</w:t>
      </w:r>
    </w:p>
    <w:p w14:paraId="375EB57E" w14:textId="77777777" w:rsidR="00C91F25" w:rsidRPr="00263DB9" w:rsidRDefault="00C91F25" w:rsidP="00E51817">
      <w:pPr>
        <w:widowControl w:val="0"/>
        <w:suppressAutoHyphens/>
        <w:rPr>
          <w:color w:val="000000"/>
          <w:szCs w:val="22"/>
        </w:rPr>
      </w:pPr>
    </w:p>
    <w:p w14:paraId="375EB57F" w14:textId="77777777" w:rsidR="00C91F25" w:rsidRPr="00263DB9" w:rsidRDefault="00C91F25" w:rsidP="00E51817">
      <w:pPr>
        <w:widowControl w:val="0"/>
        <w:suppressAutoHyphens/>
        <w:rPr>
          <w:color w:val="000000"/>
          <w:szCs w:val="22"/>
        </w:rPr>
      </w:pPr>
      <w:r w:rsidRPr="00263DB9">
        <w:rPr>
          <w:color w:val="000000"/>
          <w:szCs w:val="22"/>
        </w:rPr>
        <w:t>Foram observados casos de lesão hepática, incluindo insuficiência hepática e necrose hepática, com imatinib. Quando o imatinib é associado a tratamentos de quimioterapia em regimes de doses altas, foi detetado um aumento de reações hepáticas graves. A função hepática deve ser cuidadosamente monitorizada quando o imatinib é associado a tratamentos de quimioterapia que se sabe que estão associados a disfunção hepática (ver secção 4.5 e 4.8).</w:t>
      </w:r>
    </w:p>
    <w:p w14:paraId="375EB580" w14:textId="77777777" w:rsidR="00C91F25" w:rsidRPr="00263DB9" w:rsidRDefault="00C91F25" w:rsidP="00E51817">
      <w:pPr>
        <w:widowControl w:val="0"/>
        <w:suppressAutoHyphens/>
        <w:rPr>
          <w:color w:val="000000"/>
          <w:szCs w:val="22"/>
        </w:rPr>
      </w:pPr>
    </w:p>
    <w:p w14:paraId="375EB581" w14:textId="77777777" w:rsidR="00C91F25" w:rsidRPr="00263DB9" w:rsidRDefault="00C91F25" w:rsidP="003970DC">
      <w:pPr>
        <w:keepNext/>
        <w:widowControl w:val="0"/>
        <w:suppressAutoHyphens/>
        <w:rPr>
          <w:color w:val="000000"/>
          <w:szCs w:val="22"/>
          <w:u w:val="single"/>
        </w:rPr>
      </w:pPr>
      <w:r w:rsidRPr="00263DB9">
        <w:rPr>
          <w:color w:val="000000"/>
          <w:szCs w:val="22"/>
          <w:u w:val="single"/>
        </w:rPr>
        <w:t>Retenção de fluidos</w:t>
      </w:r>
    </w:p>
    <w:p w14:paraId="375EB582" w14:textId="77777777" w:rsidR="00C91F25" w:rsidRPr="00263DB9" w:rsidRDefault="00C91F25" w:rsidP="00E51817">
      <w:pPr>
        <w:widowControl w:val="0"/>
        <w:suppressAutoHyphens/>
        <w:rPr>
          <w:color w:val="000000"/>
          <w:szCs w:val="22"/>
        </w:rPr>
      </w:pPr>
      <w:r w:rsidRPr="00263DB9">
        <w:rPr>
          <w:color w:val="000000"/>
          <w:szCs w:val="22"/>
        </w:rPr>
        <w:t>Foram notificadas ocorrências de retenção grave de líquidos (derrame pleural, edema, edema pulmonar, ascite, edema superficial) em, aproximadamente, 2,5% dos doentes com LMC diagnosticados de novo tratados com Glivec. Como tal, é fortemente recomendado que os doentes sejam pesados regularmente. Um aumento rápido inesperado do peso deve ser cuidadosamente investigado e, se necessário, devem ser tomados os cuidados de suporte e medidas terapêuticas apropriados. Nos ensaios clínicos ocorreu aumento da incidência destes efeitos em pessoas idosas e em doentes com história prévia de doença cardíaca. Recomenda-se, portanto, precaução em doentes com insuficiência cardíaca.</w:t>
      </w:r>
    </w:p>
    <w:p w14:paraId="375EB583" w14:textId="77777777" w:rsidR="00C91F25" w:rsidRPr="00263DB9" w:rsidRDefault="00C91F25" w:rsidP="00E51817">
      <w:pPr>
        <w:widowControl w:val="0"/>
        <w:suppressAutoHyphens/>
        <w:rPr>
          <w:color w:val="000000"/>
          <w:szCs w:val="22"/>
        </w:rPr>
      </w:pPr>
    </w:p>
    <w:p w14:paraId="375EB584" w14:textId="77777777" w:rsidR="00C91F25" w:rsidRPr="00263DB9" w:rsidRDefault="00C91F25" w:rsidP="003970DC">
      <w:pPr>
        <w:keepNext/>
        <w:widowControl w:val="0"/>
        <w:suppressAutoHyphens/>
        <w:rPr>
          <w:color w:val="000000"/>
          <w:szCs w:val="22"/>
          <w:u w:val="single"/>
        </w:rPr>
      </w:pPr>
      <w:r w:rsidRPr="00263DB9">
        <w:rPr>
          <w:color w:val="000000"/>
          <w:szCs w:val="22"/>
          <w:u w:val="single"/>
        </w:rPr>
        <w:t>Doentes com doença cardíaca</w:t>
      </w:r>
    </w:p>
    <w:p w14:paraId="375EB585" w14:textId="77777777" w:rsidR="00C91F25" w:rsidRPr="00263DB9" w:rsidRDefault="00C91F25" w:rsidP="00E51817">
      <w:pPr>
        <w:widowControl w:val="0"/>
        <w:suppressAutoHyphens/>
        <w:rPr>
          <w:color w:val="000000"/>
          <w:szCs w:val="22"/>
        </w:rPr>
      </w:pPr>
      <w:r w:rsidRPr="00263DB9">
        <w:rPr>
          <w:color w:val="000000"/>
          <w:szCs w:val="22"/>
        </w:rPr>
        <w:t>Doentes com doença cardíaca, fatores de risco para insuficiência cardíaca ou história de insuficiência renal devem ser monitorizados cuidadosamente e qualquer doente com sinais ou sintomas consistentes com insuficiência cardíaca ou renal deve ser avaliado e tratado.</w:t>
      </w:r>
    </w:p>
    <w:p w14:paraId="375EB586" w14:textId="77777777" w:rsidR="00C91F25" w:rsidRPr="00263DB9" w:rsidRDefault="00C91F25" w:rsidP="00E51817">
      <w:pPr>
        <w:widowControl w:val="0"/>
        <w:suppressAutoHyphens/>
        <w:rPr>
          <w:color w:val="000000"/>
          <w:szCs w:val="22"/>
        </w:rPr>
      </w:pPr>
    </w:p>
    <w:p w14:paraId="375EB587" w14:textId="77777777" w:rsidR="00C91F25" w:rsidRPr="00263DB9" w:rsidRDefault="00C91F25" w:rsidP="00E51817">
      <w:pPr>
        <w:widowControl w:val="0"/>
        <w:suppressAutoHyphens/>
        <w:rPr>
          <w:color w:val="000000"/>
          <w:szCs w:val="22"/>
        </w:rPr>
      </w:pPr>
      <w:r w:rsidRPr="00263DB9">
        <w:rPr>
          <w:color w:val="000000"/>
          <w:szCs w:val="22"/>
        </w:rPr>
        <w:t>Em doentes com a síndrome hipereosinofílica (SHE) com infiltração oculta de células SHE no miocárdio, verificaram-se casos isolados de choque cardiogénico/disfunção ventricular esquerda em associação com a desgranulação de células SHE ao início do tratamento com imatinib. Esta situação foi notificada como sendo reversível com a administração de esteroides sistémicos, com medidas de suporte à circulação e suspensão temporária de imatinib. Como foram notificados acontecimentos adversos cardíacos pouco frequentes com imatinib, deve ser considerada uma avaliação cuidadosa do risco/benefício da terapêutica com imatinib na população com síndrome hipereosinofílica avançada/leucemia eosinofílica crónica antes do início do tratamento.</w:t>
      </w:r>
    </w:p>
    <w:p w14:paraId="375EB588" w14:textId="77777777" w:rsidR="00C91F25" w:rsidRPr="00263DB9" w:rsidRDefault="00C91F25" w:rsidP="00E51817">
      <w:pPr>
        <w:widowControl w:val="0"/>
        <w:suppressAutoHyphens/>
        <w:rPr>
          <w:color w:val="000000"/>
          <w:szCs w:val="22"/>
        </w:rPr>
      </w:pPr>
    </w:p>
    <w:p w14:paraId="375EB589" w14:textId="77777777" w:rsidR="00C91F25" w:rsidRPr="00263DB9" w:rsidRDefault="00C91F25" w:rsidP="00E51817">
      <w:pPr>
        <w:widowControl w:val="0"/>
        <w:suppressAutoHyphens/>
        <w:rPr>
          <w:color w:val="000000"/>
          <w:szCs w:val="22"/>
        </w:rPr>
      </w:pPr>
      <w:r w:rsidRPr="00263DB9">
        <w:rPr>
          <w:color w:val="000000"/>
          <w:szCs w:val="22"/>
        </w:rPr>
        <w:t xml:space="preserve">A síndrome mielodisplásica/doenças mieloproliferativas com re-arranjos do gene PDGFR associadas podem estar associadas com níveis elevados de eosinófilos. A avaliação por um cardiologista, a realização de um ecocardiograma e a determinação da troponina sérica devem ser consideradas em doentes com síndrome hipereosinofílica avançada/leucemia eosinofílica crónica e em doentes com MDS/MPD associadas a elevados níveis de eosinófilos antes da administração do imatinib. Se algum destes exames tiver anomalias, deve-se considerar o acompanhamento por um cardiologista e o uso </w:t>
      </w:r>
      <w:r w:rsidRPr="00263DB9">
        <w:rPr>
          <w:color w:val="000000"/>
          <w:szCs w:val="22"/>
        </w:rPr>
        <w:lastRenderedPageBreak/>
        <w:t>profilático de esteroides sistémicos (1</w:t>
      </w:r>
      <w:r w:rsidRPr="00263DB9">
        <w:rPr>
          <w:color w:val="000000"/>
          <w:szCs w:val="22"/>
        </w:rPr>
        <w:noBreakHyphen/>
        <w:t>2 mg/kg) durante uma ou duas semanas concomitantemente com o imatinib no início do tratamento.</w:t>
      </w:r>
    </w:p>
    <w:p w14:paraId="375EB58A" w14:textId="77777777" w:rsidR="00C91F25" w:rsidRPr="00263DB9" w:rsidRDefault="00C91F25" w:rsidP="00E51817">
      <w:pPr>
        <w:widowControl w:val="0"/>
        <w:suppressAutoHyphens/>
        <w:rPr>
          <w:color w:val="000000"/>
          <w:szCs w:val="22"/>
        </w:rPr>
      </w:pPr>
    </w:p>
    <w:p w14:paraId="375EB58B" w14:textId="77777777" w:rsidR="00C91F25" w:rsidRPr="00263DB9" w:rsidRDefault="00C91F25" w:rsidP="003970DC">
      <w:pPr>
        <w:keepNext/>
        <w:widowControl w:val="0"/>
        <w:suppressAutoHyphens/>
        <w:rPr>
          <w:color w:val="000000"/>
          <w:szCs w:val="22"/>
          <w:u w:val="single"/>
        </w:rPr>
      </w:pPr>
      <w:r w:rsidRPr="00263DB9">
        <w:rPr>
          <w:color w:val="000000"/>
          <w:szCs w:val="22"/>
          <w:u w:val="single"/>
        </w:rPr>
        <w:t>Hemorragia gastrintestinal</w:t>
      </w:r>
    </w:p>
    <w:p w14:paraId="375EB58C" w14:textId="77777777" w:rsidR="00C91F25" w:rsidRPr="00263DB9" w:rsidRDefault="00C91F25" w:rsidP="00E51817">
      <w:pPr>
        <w:widowControl w:val="0"/>
        <w:suppressAutoHyphens/>
        <w:rPr>
          <w:color w:val="000000"/>
          <w:szCs w:val="22"/>
        </w:rPr>
      </w:pPr>
      <w:r w:rsidRPr="00263DB9">
        <w:rPr>
          <w:color w:val="000000"/>
          <w:szCs w:val="22"/>
        </w:rPr>
        <w:t>No estudo em doentes com GIST metastáticos e/ou irressecáveis, foram notificadas hemorragias gastrintestinais e intratumorais (ver secção 4.8). Com base nos dados disponíveis, não foram identificados fatores predisponentes (por ex. tamanho do tumor, localização do tumor, alterações da coagulação) que aumentem o risco de ocorrência de qualquer das hemorragias em doentes com GIST. Visto o aumento da vascularização e a propensão para hemorragias ser parte da natureza e curso clínico dos GIST, recomendam-se os procedimentos e práticas padrão para monitorização e controlo da hemorragia em todos os doentes.</w:t>
      </w:r>
    </w:p>
    <w:p w14:paraId="375EB58D" w14:textId="77777777" w:rsidR="00022E28" w:rsidRPr="00263DB9" w:rsidRDefault="00022E28" w:rsidP="00E51817">
      <w:pPr>
        <w:widowControl w:val="0"/>
        <w:suppressAutoHyphens/>
        <w:rPr>
          <w:color w:val="000000"/>
          <w:szCs w:val="22"/>
        </w:rPr>
      </w:pPr>
    </w:p>
    <w:p w14:paraId="375EB58E" w14:textId="77777777" w:rsidR="00022E28" w:rsidRPr="00263DB9" w:rsidRDefault="00022E28" w:rsidP="00E51817">
      <w:pPr>
        <w:widowControl w:val="0"/>
        <w:suppressAutoHyphens/>
        <w:rPr>
          <w:color w:val="000000"/>
          <w:szCs w:val="22"/>
        </w:rPr>
      </w:pPr>
      <w:r w:rsidRPr="00263DB9">
        <w:rPr>
          <w:color w:val="000000"/>
          <w:szCs w:val="22"/>
        </w:rPr>
        <w:t>Além disso, tem sido notificada, ectasia vascular do antro gástrico (GAVE), uma causa rara de hemorragia gastrointestinal, na experiência pós-comercialização em doentes com LMC, LLA e outras doenças (ver secção 4.8). Quando necessário, pode ser considerada a interrupção do tratamento com Glivec.</w:t>
      </w:r>
    </w:p>
    <w:p w14:paraId="375EB58F" w14:textId="77777777" w:rsidR="00C91F25" w:rsidRPr="00263DB9" w:rsidRDefault="00C91F25" w:rsidP="00E51817">
      <w:pPr>
        <w:widowControl w:val="0"/>
        <w:textAlignment w:val="top"/>
        <w:rPr>
          <w:color w:val="000000"/>
          <w:szCs w:val="22"/>
        </w:rPr>
      </w:pPr>
    </w:p>
    <w:p w14:paraId="375EB590" w14:textId="77777777" w:rsidR="00C91F25" w:rsidRPr="00263DB9" w:rsidRDefault="00C91F25" w:rsidP="003970DC">
      <w:pPr>
        <w:keepNext/>
        <w:widowControl w:val="0"/>
        <w:textAlignment w:val="top"/>
        <w:rPr>
          <w:color w:val="000000"/>
          <w:szCs w:val="22"/>
          <w:u w:val="single"/>
        </w:rPr>
      </w:pPr>
      <w:r w:rsidRPr="00263DB9">
        <w:rPr>
          <w:color w:val="000000"/>
          <w:szCs w:val="22"/>
          <w:u w:val="single"/>
        </w:rPr>
        <w:t>Síndrome de lise tumoral</w:t>
      </w:r>
    </w:p>
    <w:p w14:paraId="375EB591" w14:textId="77777777" w:rsidR="00C91F25" w:rsidRPr="00263DB9" w:rsidRDefault="00C91F25" w:rsidP="00E51817">
      <w:pPr>
        <w:widowControl w:val="0"/>
        <w:textAlignment w:val="top"/>
        <w:rPr>
          <w:color w:val="000000"/>
          <w:szCs w:val="22"/>
        </w:rPr>
      </w:pPr>
      <w:r w:rsidRPr="00263DB9">
        <w:rPr>
          <w:color w:val="000000"/>
          <w:szCs w:val="22"/>
        </w:rPr>
        <w:t>Devido à possível ocorrência da síndrome de lise tumoral (SLT), a correção da desidratação clinicamente significativa e o tratamento de níveis elevados de ácido úrico são recomendados antes do início da terapêutica com Glivec (ver secção 4.8).</w:t>
      </w:r>
    </w:p>
    <w:p w14:paraId="375EB592" w14:textId="77777777" w:rsidR="00C91F25" w:rsidRPr="00263DB9" w:rsidRDefault="00C91F25" w:rsidP="00E51817">
      <w:pPr>
        <w:widowControl w:val="0"/>
        <w:suppressAutoHyphens/>
        <w:rPr>
          <w:color w:val="000000"/>
          <w:szCs w:val="22"/>
        </w:rPr>
      </w:pPr>
    </w:p>
    <w:p w14:paraId="375EB593" w14:textId="77777777" w:rsidR="007B4B31" w:rsidRPr="00263DB9" w:rsidRDefault="007B4B31" w:rsidP="003970DC">
      <w:pPr>
        <w:keepNext/>
        <w:widowControl w:val="0"/>
        <w:rPr>
          <w:color w:val="000000"/>
          <w:szCs w:val="22"/>
          <w:u w:val="single"/>
        </w:rPr>
      </w:pPr>
      <w:r w:rsidRPr="00263DB9">
        <w:rPr>
          <w:color w:val="000000"/>
          <w:szCs w:val="22"/>
          <w:u w:val="single"/>
        </w:rPr>
        <w:t>Reativação da Hepatite B</w:t>
      </w:r>
    </w:p>
    <w:p w14:paraId="375EB594" w14:textId="77777777" w:rsidR="007B4B31" w:rsidRPr="00263DB9" w:rsidRDefault="007B4B31" w:rsidP="00E51817">
      <w:pPr>
        <w:widowControl w:val="0"/>
        <w:suppressAutoHyphens/>
        <w:rPr>
          <w:color w:val="000000"/>
          <w:szCs w:val="22"/>
        </w:rPr>
      </w:pPr>
      <w:r w:rsidRPr="00263DB9">
        <w:rPr>
          <w:color w:val="000000"/>
          <w:szCs w:val="22"/>
        </w:rPr>
        <w:t>A reativação da Hepatite B ocorreu em doentes portadores crónicos do vírus depois de estes terem recebido tratamento com inibidores das tirosinacinases BCR-ABL. Alguns destes casos resultaram em insuficiência hepática aguda ou hepatite fulminante levando ao tr</w:t>
      </w:r>
      <w:r w:rsidR="002B5489" w:rsidRPr="00263DB9">
        <w:rPr>
          <w:color w:val="000000"/>
          <w:szCs w:val="22"/>
        </w:rPr>
        <w:t>ansplante do fígado ou à morte.</w:t>
      </w:r>
    </w:p>
    <w:p w14:paraId="375EB595" w14:textId="77777777" w:rsidR="007B4B31" w:rsidRPr="00263DB9" w:rsidRDefault="007B4B31" w:rsidP="00E51817">
      <w:pPr>
        <w:widowControl w:val="0"/>
        <w:suppressAutoHyphens/>
        <w:rPr>
          <w:color w:val="000000"/>
          <w:szCs w:val="22"/>
        </w:rPr>
      </w:pPr>
    </w:p>
    <w:p w14:paraId="375EB596" w14:textId="77777777" w:rsidR="007B4B31" w:rsidRPr="00263DB9" w:rsidRDefault="007B4B31" w:rsidP="00E51817">
      <w:pPr>
        <w:widowControl w:val="0"/>
        <w:suppressAutoHyphens/>
        <w:rPr>
          <w:color w:val="000000"/>
          <w:szCs w:val="22"/>
        </w:rPr>
      </w:pPr>
      <w:r w:rsidRPr="00263DB9">
        <w:rPr>
          <w:color w:val="000000"/>
          <w:szCs w:val="22"/>
        </w:rPr>
        <w:t>Antes de iniciarem o tratamento com Glivec os doentes devem realizar testes para a presença de infeção por VHB. Devem ser consultados especialistas em doenças hepáticas e no tratamento da Hepatite B antes de se iniciar o tratamento em doentes com serologia positiva para Hepatite B (incluindo os doentes com a doença ativa) e em doentes que obtenham um teste positivo de infeção por VHB durante o tratamento. Os portadores de VHB que necessitem de tratamento com Glivec devem ser cuidadosamente monitorizados para deteção de sinais e sintomas de infeção ativa por VHB ao longo de toda a terapêutica e durante vários meses após o</w:t>
      </w:r>
      <w:r w:rsidR="002B5489" w:rsidRPr="00263DB9">
        <w:rPr>
          <w:color w:val="000000"/>
          <w:szCs w:val="22"/>
        </w:rPr>
        <w:t xml:space="preserve"> fim da mesma (ver secção</w:t>
      </w:r>
      <w:r w:rsidR="00EF698C" w:rsidRPr="00263DB9">
        <w:rPr>
          <w:color w:val="000000"/>
          <w:szCs w:val="22"/>
        </w:rPr>
        <w:t> </w:t>
      </w:r>
      <w:r w:rsidR="002B5489" w:rsidRPr="00263DB9">
        <w:rPr>
          <w:color w:val="000000"/>
          <w:szCs w:val="22"/>
        </w:rPr>
        <w:t>4.8).</w:t>
      </w:r>
    </w:p>
    <w:p w14:paraId="375EB597" w14:textId="77777777" w:rsidR="00BB3028" w:rsidRPr="00263DB9" w:rsidRDefault="00BB3028" w:rsidP="00E51817">
      <w:pPr>
        <w:widowControl w:val="0"/>
        <w:suppressAutoHyphens/>
        <w:rPr>
          <w:color w:val="000000"/>
          <w:szCs w:val="22"/>
          <w:u w:val="single"/>
        </w:rPr>
      </w:pPr>
    </w:p>
    <w:p w14:paraId="375EB598" w14:textId="77777777" w:rsidR="00BB3028" w:rsidRPr="00263DB9" w:rsidRDefault="00BB3028" w:rsidP="003970DC">
      <w:pPr>
        <w:keepNext/>
        <w:widowControl w:val="0"/>
        <w:suppressAutoHyphens/>
        <w:rPr>
          <w:color w:val="000000"/>
          <w:szCs w:val="22"/>
          <w:u w:val="single"/>
        </w:rPr>
      </w:pPr>
      <w:r w:rsidRPr="00263DB9">
        <w:rPr>
          <w:color w:val="000000"/>
          <w:szCs w:val="22"/>
          <w:u w:val="single"/>
        </w:rPr>
        <w:t>Fototoxicidade</w:t>
      </w:r>
    </w:p>
    <w:p w14:paraId="375EB599" w14:textId="77777777" w:rsidR="00BB3028" w:rsidRPr="00263DB9" w:rsidRDefault="00BB3028" w:rsidP="00E51817">
      <w:pPr>
        <w:widowControl w:val="0"/>
        <w:suppressAutoHyphens/>
        <w:rPr>
          <w:color w:val="000000"/>
          <w:szCs w:val="22"/>
        </w:rPr>
      </w:pPr>
      <w:r w:rsidRPr="00263DB9">
        <w:rPr>
          <w:color w:val="000000"/>
          <w:szCs w:val="22"/>
        </w:rPr>
        <w:t xml:space="preserve">A exposição à luz solar direta deve ser evitada ou minimizada devido ao risco de fototoxicidade associado ao tratamento com imatinib. Os doentes devem ser aconselhados a adotar medidas como roupas protetoras e protetor solar com fator de proteção solar </w:t>
      </w:r>
      <w:r w:rsidR="008942BE" w:rsidRPr="00263DB9">
        <w:rPr>
          <w:color w:val="000000"/>
          <w:szCs w:val="22"/>
        </w:rPr>
        <w:t xml:space="preserve">(FPS) </w:t>
      </w:r>
      <w:r w:rsidRPr="00263DB9">
        <w:rPr>
          <w:color w:val="000000"/>
          <w:szCs w:val="22"/>
        </w:rPr>
        <w:t>elevado.</w:t>
      </w:r>
    </w:p>
    <w:p w14:paraId="375EB59A" w14:textId="77777777" w:rsidR="00950C2C" w:rsidRPr="00263DB9" w:rsidRDefault="00950C2C" w:rsidP="00E51817">
      <w:pPr>
        <w:widowControl w:val="0"/>
        <w:suppressAutoHyphens/>
        <w:rPr>
          <w:color w:val="000000"/>
          <w:szCs w:val="22"/>
          <w:u w:val="single"/>
        </w:rPr>
      </w:pPr>
    </w:p>
    <w:p w14:paraId="375EB59B" w14:textId="77777777" w:rsidR="00950C2C" w:rsidRPr="00263DB9" w:rsidRDefault="00950C2C" w:rsidP="003970DC">
      <w:pPr>
        <w:pStyle w:val="EndnoteText"/>
        <w:keepNext/>
        <w:tabs>
          <w:tab w:val="clear" w:pos="567"/>
        </w:tabs>
        <w:rPr>
          <w:snapToGrid w:val="0"/>
          <w:color w:val="000000"/>
          <w:szCs w:val="22"/>
          <w:u w:val="single"/>
        </w:rPr>
      </w:pPr>
      <w:r w:rsidRPr="00263DB9">
        <w:rPr>
          <w:snapToGrid w:val="0"/>
          <w:color w:val="000000"/>
          <w:szCs w:val="22"/>
          <w:u w:val="single"/>
        </w:rPr>
        <w:t>Microangiopatia trombótica</w:t>
      </w:r>
    </w:p>
    <w:p w14:paraId="375EB59C" w14:textId="77777777" w:rsidR="00950C2C" w:rsidRPr="00263DB9" w:rsidRDefault="00950C2C" w:rsidP="00E51817">
      <w:pPr>
        <w:pStyle w:val="EndnoteText"/>
        <w:tabs>
          <w:tab w:val="clear" w:pos="567"/>
        </w:tabs>
        <w:rPr>
          <w:color w:val="000000"/>
          <w:szCs w:val="22"/>
        </w:rPr>
      </w:pPr>
      <w:r w:rsidRPr="00263DB9">
        <w:rPr>
          <w:color w:val="000000"/>
          <w:szCs w:val="22"/>
        </w:rPr>
        <w:t xml:space="preserve">Os inibidores das tirosinacinases (TCI) BCR-ABL têm sido associados com microangiopatia trombótica (MAT), incluindo relatos de casos individuais para Glivec (ver secção 4.8). Se os achados laboratoriais ou clínicos </w:t>
      </w:r>
      <w:r w:rsidR="00AE74D9" w:rsidRPr="00263DB9">
        <w:rPr>
          <w:color w:val="000000"/>
          <w:szCs w:val="22"/>
        </w:rPr>
        <w:t>a</w:t>
      </w:r>
      <w:r w:rsidRPr="00263DB9">
        <w:rPr>
          <w:color w:val="000000"/>
          <w:szCs w:val="22"/>
        </w:rPr>
        <w:t xml:space="preserve">ssociados com TMA ocorrerem num doente a tomar Glivec, o tratamento deve ser descontinuado e deve ser completada uma avaliação detalhada para TMA, incluindo atividade ADAMTS13 e determinação de anticorpo anti-ADAMTS13. Se o anticorpo </w:t>
      </w:r>
      <w:r w:rsidR="00AE74D9" w:rsidRPr="00263DB9">
        <w:rPr>
          <w:color w:val="000000"/>
          <w:szCs w:val="22"/>
        </w:rPr>
        <w:t>anti-</w:t>
      </w:r>
      <w:r w:rsidRPr="00263DB9">
        <w:rPr>
          <w:color w:val="000000"/>
          <w:szCs w:val="22"/>
        </w:rPr>
        <w:t>ADAMTS13 estiver elevado, conjuntamente com baixa atividade ADAMTS13, o tratamento com Glivec não deve ser retomado.</w:t>
      </w:r>
    </w:p>
    <w:p w14:paraId="375EB59D" w14:textId="77777777" w:rsidR="00BB3028" w:rsidRPr="00263DB9" w:rsidRDefault="00BB3028" w:rsidP="00E51817">
      <w:pPr>
        <w:widowControl w:val="0"/>
        <w:suppressAutoHyphens/>
        <w:rPr>
          <w:color w:val="000000"/>
          <w:szCs w:val="22"/>
          <w:u w:val="single"/>
        </w:rPr>
      </w:pPr>
    </w:p>
    <w:p w14:paraId="375EB59E" w14:textId="77777777" w:rsidR="00C91F25" w:rsidRPr="00263DB9" w:rsidRDefault="00C91F25" w:rsidP="003970DC">
      <w:pPr>
        <w:keepNext/>
        <w:widowControl w:val="0"/>
        <w:suppressAutoHyphens/>
        <w:rPr>
          <w:color w:val="000000"/>
          <w:szCs w:val="22"/>
        </w:rPr>
      </w:pPr>
      <w:r w:rsidRPr="00263DB9">
        <w:rPr>
          <w:color w:val="000000"/>
          <w:szCs w:val="22"/>
          <w:u w:val="single"/>
        </w:rPr>
        <w:t>Exames laboratoriais</w:t>
      </w:r>
    </w:p>
    <w:p w14:paraId="375EB59F" w14:textId="77777777" w:rsidR="00C91F25" w:rsidRPr="00263DB9" w:rsidRDefault="00C91F25" w:rsidP="00E51817">
      <w:pPr>
        <w:widowControl w:val="0"/>
        <w:suppressAutoHyphens/>
        <w:rPr>
          <w:color w:val="000000"/>
          <w:szCs w:val="22"/>
        </w:rPr>
      </w:pPr>
      <w:r w:rsidRPr="00263DB9">
        <w:rPr>
          <w:color w:val="000000"/>
          <w:szCs w:val="22"/>
        </w:rPr>
        <w:t xml:space="preserve">Durante a terapêutica com Glivec, devem ser realizadas regularmente contagens sanguíneas completas. O tratamento de doentes com LMC com Glivec foi associado a neutropenia ou trombocitopenia. Contudo, é provável que a ocorrência destas citopenias esteja relacionada com a fase da doença que está a ser tratada, sendo mais frequentes em doentes com LMC em fase acelerada ou crise blástica quando comparados com doentes com LMC em fase crónica. </w:t>
      </w:r>
      <w:r w:rsidRPr="00263DB9">
        <w:rPr>
          <w:snapToGrid w:val="0"/>
          <w:color w:val="000000"/>
          <w:szCs w:val="22"/>
        </w:rPr>
        <w:t>O tratamento com Glivec poderá ser interrompido ou a dose reduzida, conforme recomendado na secção 4.2.</w:t>
      </w:r>
    </w:p>
    <w:p w14:paraId="375EB5A0" w14:textId="77777777" w:rsidR="00C91F25" w:rsidRPr="00263DB9" w:rsidRDefault="00C91F25" w:rsidP="00E51817">
      <w:pPr>
        <w:widowControl w:val="0"/>
        <w:suppressAutoHyphens/>
        <w:rPr>
          <w:color w:val="000000"/>
          <w:szCs w:val="22"/>
        </w:rPr>
      </w:pPr>
    </w:p>
    <w:p w14:paraId="375EB5A1" w14:textId="77777777" w:rsidR="00C91F25" w:rsidRPr="00263DB9" w:rsidRDefault="00C91F25" w:rsidP="00E51817">
      <w:pPr>
        <w:widowControl w:val="0"/>
        <w:suppressAutoHyphens/>
        <w:rPr>
          <w:color w:val="000000"/>
          <w:szCs w:val="22"/>
        </w:rPr>
      </w:pPr>
      <w:r w:rsidRPr="00263DB9">
        <w:rPr>
          <w:color w:val="000000"/>
          <w:szCs w:val="22"/>
        </w:rPr>
        <w:lastRenderedPageBreak/>
        <w:t>A função hepática (transaminases, bilirrubina, fosfatase alcalina) deve ser monitorizada regularmente nos doentes a fazer Glivec.</w:t>
      </w:r>
    </w:p>
    <w:p w14:paraId="375EB5A2" w14:textId="77777777" w:rsidR="00C91F25" w:rsidRPr="00263DB9" w:rsidRDefault="00C91F25" w:rsidP="00E51817">
      <w:pPr>
        <w:widowControl w:val="0"/>
        <w:suppressAutoHyphens/>
        <w:rPr>
          <w:color w:val="000000"/>
          <w:szCs w:val="22"/>
        </w:rPr>
      </w:pPr>
    </w:p>
    <w:p w14:paraId="375EB5A3" w14:textId="77777777" w:rsidR="00C91F25" w:rsidRPr="00263DB9" w:rsidRDefault="00C91F25" w:rsidP="00E51817">
      <w:pPr>
        <w:widowControl w:val="0"/>
        <w:suppressAutoHyphens/>
        <w:rPr>
          <w:color w:val="000000"/>
          <w:szCs w:val="22"/>
        </w:rPr>
      </w:pPr>
      <w:r w:rsidRPr="00263DB9">
        <w:rPr>
          <w:color w:val="000000"/>
          <w:szCs w:val="22"/>
        </w:rPr>
        <w:t xml:space="preserve">Em doentes com compromisso da função renal, a exposição plasmática ao imatinib parece ser superior do que em doentes com função renal normal, provavelmente devido a um nível plasmático elevado de </w:t>
      </w:r>
      <w:r w:rsidRPr="00263DB9">
        <w:rPr>
          <w:snapToGrid w:val="0"/>
          <w:color w:val="000000"/>
          <w:szCs w:val="22"/>
        </w:rPr>
        <w:t>alfa glicoproteína ácida</w:t>
      </w:r>
      <w:r w:rsidRPr="00263DB9">
        <w:rPr>
          <w:color w:val="000000"/>
          <w:szCs w:val="22"/>
        </w:rPr>
        <w:t xml:space="preserve"> (AGP), uma proteína ligante do imatinib, nestes doentes. Deve ser administrada a dose mínima inicial a doentes com compromisso renal. Os doentes com compromisso renal grave devem ser tratados com precaução. A dose pode ser reduzida se não for tolerada (ver secção 4.2 e 5.2).</w:t>
      </w:r>
    </w:p>
    <w:p w14:paraId="375EB5A4" w14:textId="77777777" w:rsidR="00C91F25" w:rsidRPr="00263DB9" w:rsidRDefault="00C91F25" w:rsidP="00E51817">
      <w:pPr>
        <w:widowControl w:val="0"/>
        <w:suppressAutoHyphens/>
        <w:rPr>
          <w:color w:val="000000"/>
          <w:szCs w:val="22"/>
        </w:rPr>
      </w:pPr>
    </w:p>
    <w:p w14:paraId="375EB5A5" w14:textId="77777777" w:rsidR="00A008A5" w:rsidRPr="00263DB9" w:rsidRDefault="00A008A5" w:rsidP="00E51817">
      <w:pPr>
        <w:widowControl w:val="0"/>
        <w:suppressAutoHyphens/>
        <w:rPr>
          <w:color w:val="000000"/>
          <w:szCs w:val="22"/>
        </w:rPr>
      </w:pPr>
      <w:r w:rsidRPr="00263DB9">
        <w:rPr>
          <w:color w:val="000000"/>
          <w:szCs w:val="22"/>
        </w:rPr>
        <w:t>O tratamento a longo prazo com o imatinib pode estar associado a uma diminuição clinicamente significativa da função renal. A função renal deve, portanto, ser avaliada antes do início do tratamento com imatinib e monitorizada cuidadosamente durante o tratamento, com especial atenção nos doentes que apresentem fatores de risco para disfunção renal. Se se observar disfunção renal, deve ser implementada gestão adequada e prescrição de tratamento de acordo com as diretrizes de terapêutica padrão.</w:t>
      </w:r>
    </w:p>
    <w:p w14:paraId="375EB5A6" w14:textId="77777777" w:rsidR="00A008A5" w:rsidRPr="00263DB9" w:rsidRDefault="00A008A5" w:rsidP="00E51817">
      <w:pPr>
        <w:widowControl w:val="0"/>
        <w:suppressAutoHyphens/>
        <w:rPr>
          <w:color w:val="000000"/>
          <w:szCs w:val="22"/>
        </w:rPr>
      </w:pPr>
    </w:p>
    <w:p w14:paraId="375EB5A7" w14:textId="77777777" w:rsidR="00C91F25" w:rsidRPr="00263DB9" w:rsidRDefault="00C91F25" w:rsidP="003970DC">
      <w:pPr>
        <w:keepNext/>
        <w:widowControl w:val="0"/>
        <w:suppressAutoHyphens/>
        <w:rPr>
          <w:color w:val="000000"/>
          <w:szCs w:val="22"/>
          <w:u w:val="single"/>
        </w:rPr>
      </w:pPr>
      <w:r w:rsidRPr="00263DB9">
        <w:rPr>
          <w:color w:val="000000"/>
          <w:szCs w:val="22"/>
          <w:u w:val="single"/>
        </w:rPr>
        <w:t>População pediátrica</w:t>
      </w:r>
    </w:p>
    <w:p w14:paraId="375EB5A8" w14:textId="77777777" w:rsidR="00C91F25" w:rsidRPr="00263DB9" w:rsidRDefault="00C91F25" w:rsidP="00E51817">
      <w:pPr>
        <w:widowControl w:val="0"/>
        <w:suppressAutoHyphens/>
        <w:rPr>
          <w:color w:val="000000"/>
          <w:szCs w:val="22"/>
        </w:rPr>
      </w:pPr>
      <w:r w:rsidRPr="00263DB9">
        <w:rPr>
          <w:color w:val="000000"/>
          <w:szCs w:val="22"/>
        </w:rPr>
        <w:t xml:space="preserve">Foram notificados casos de crescimento retardado em crianças e pré-adolescentes a receberem imatinib. </w:t>
      </w:r>
      <w:r w:rsidR="005635F0" w:rsidRPr="00263DB9">
        <w:rPr>
          <w:color w:val="000000"/>
          <w:szCs w:val="22"/>
        </w:rPr>
        <w:t xml:space="preserve">Num estudo observacional na população pediátrica com LMC, foi </w:t>
      </w:r>
      <w:r w:rsidR="00120A0C" w:rsidRPr="00263DB9">
        <w:rPr>
          <w:color w:val="000000"/>
          <w:szCs w:val="22"/>
        </w:rPr>
        <w:t>notificada</w:t>
      </w:r>
      <w:r w:rsidR="005635F0" w:rsidRPr="00263DB9">
        <w:rPr>
          <w:color w:val="000000"/>
          <w:szCs w:val="22"/>
        </w:rPr>
        <w:t xml:space="preserve"> uma </w:t>
      </w:r>
      <w:r w:rsidR="00F81E71" w:rsidRPr="00263DB9">
        <w:rPr>
          <w:color w:val="000000"/>
          <w:szCs w:val="22"/>
        </w:rPr>
        <w:t xml:space="preserve">redução estatisticamente significativa (mas com relevância clínica incerta) </w:t>
      </w:r>
      <w:r w:rsidR="005635F0" w:rsidRPr="00263DB9">
        <w:rPr>
          <w:color w:val="000000"/>
          <w:szCs w:val="22"/>
        </w:rPr>
        <w:t xml:space="preserve">nos </w:t>
      </w:r>
      <w:r w:rsidR="00120A0C" w:rsidRPr="00263DB9">
        <w:rPr>
          <w:color w:val="000000"/>
          <w:szCs w:val="22"/>
        </w:rPr>
        <w:t>valores</w:t>
      </w:r>
      <w:r w:rsidR="005635F0" w:rsidRPr="00263DB9">
        <w:rPr>
          <w:color w:val="000000"/>
          <w:szCs w:val="22"/>
        </w:rPr>
        <w:t xml:space="preserve"> </w:t>
      </w:r>
      <w:r w:rsidR="00120A0C" w:rsidRPr="00263DB9">
        <w:rPr>
          <w:color w:val="000000"/>
          <w:szCs w:val="22"/>
        </w:rPr>
        <w:t>do</w:t>
      </w:r>
      <w:r w:rsidR="005635F0" w:rsidRPr="00263DB9">
        <w:rPr>
          <w:color w:val="000000"/>
          <w:szCs w:val="22"/>
        </w:rPr>
        <w:t xml:space="preserve"> desvio padrão da </w:t>
      </w:r>
      <w:r w:rsidR="00120A0C" w:rsidRPr="00263DB9">
        <w:rPr>
          <w:color w:val="000000"/>
          <w:szCs w:val="22"/>
        </w:rPr>
        <w:t>estatura mediana</w:t>
      </w:r>
      <w:r w:rsidR="005635F0" w:rsidRPr="00263DB9">
        <w:rPr>
          <w:color w:val="000000"/>
          <w:szCs w:val="22"/>
        </w:rPr>
        <w:t xml:space="preserve"> ap</w:t>
      </w:r>
      <w:r w:rsidR="007C6B26" w:rsidRPr="00263DB9">
        <w:rPr>
          <w:color w:val="000000"/>
          <w:szCs w:val="22"/>
        </w:rPr>
        <w:t>ós 12 e 24 </w:t>
      </w:r>
      <w:r w:rsidR="005635F0" w:rsidRPr="00263DB9">
        <w:rPr>
          <w:color w:val="000000"/>
          <w:szCs w:val="22"/>
        </w:rPr>
        <w:t>meses de tratamento em dois pequenos sub-grupos independentemente do estado puber</w:t>
      </w:r>
      <w:r w:rsidR="00120A0C" w:rsidRPr="00263DB9">
        <w:rPr>
          <w:color w:val="000000"/>
          <w:szCs w:val="22"/>
        </w:rPr>
        <w:t>t</w:t>
      </w:r>
      <w:r w:rsidR="005635F0" w:rsidRPr="00263DB9">
        <w:rPr>
          <w:color w:val="000000"/>
          <w:szCs w:val="22"/>
        </w:rPr>
        <w:t xml:space="preserve">al ou do </w:t>
      </w:r>
      <w:r w:rsidR="00120A0C" w:rsidRPr="00263DB9">
        <w:rPr>
          <w:color w:val="000000"/>
          <w:szCs w:val="22"/>
        </w:rPr>
        <w:t>género</w:t>
      </w:r>
      <w:r w:rsidR="005635F0" w:rsidRPr="00263DB9">
        <w:rPr>
          <w:color w:val="000000"/>
          <w:szCs w:val="22"/>
        </w:rPr>
        <w:t xml:space="preserve">. </w:t>
      </w:r>
      <w:r w:rsidRPr="00263DB9">
        <w:rPr>
          <w:color w:val="000000"/>
          <w:szCs w:val="22"/>
        </w:rPr>
        <w:t>Recomenda-se</w:t>
      </w:r>
      <w:r w:rsidR="005635F0" w:rsidRPr="00263DB9">
        <w:rPr>
          <w:color w:val="000000"/>
          <w:szCs w:val="22"/>
        </w:rPr>
        <w:t xml:space="preserve"> </w:t>
      </w:r>
      <w:r w:rsidRPr="00263DB9">
        <w:rPr>
          <w:color w:val="000000"/>
          <w:szCs w:val="22"/>
        </w:rPr>
        <w:t>monitorização apertada do crescimento de crianças sob o tratamento de imatinib (ver secção</w:t>
      </w:r>
      <w:r w:rsidR="00791E60" w:rsidRPr="00263DB9">
        <w:rPr>
          <w:color w:val="000000"/>
          <w:szCs w:val="22"/>
        </w:rPr>
        <w:t> </w:t>
      </w:r>
      <w:r w:rsidRPr="00263DB9">
        <w:rPr>
          <w:color w:val="000000"/>
          <w:szCs w:val="22"/>
        </w:rPr>
        <w:t>4.8).</w:t>
      </w:r>
    </w:p>
    <w:p w14:paraId="375EB5A9" w14:textId="77777777" w:rsidR="00C91F25" w:rsidRPr="00263DB9" w:rsidRDefault="00C91F25" w:rsidP="00E51817">
      <w:pPr>
        <w:widowControl w:val="0"/>
        <w:suppressAutoHyphens/>
        <w:rPr>
          <w:color w:val="000000"/>
          <w:szCs w:val="22"/>
        </w:rPr>
      </w:pPr>
    </w:p>
    <w:p w14:paraId="375EB5AA" w14:textId="77777777" w:rsidR="00C91F25" w:rsidRPr="00263DB9" w:rsidRDefault="00C91F25" w:rsidP="003970DC">
      <w:pPr>
        <w:keepNext/>
        <w:widowControl w:val="0"/>
        <w:suppressAutoHyphens/>
        <w:ind w:left="567" w:hanging="567"/>
        <w:rPr>
          <w:b/>
          <w:color w:val="000000"/>
          <w:szCs w:val="22"/>
        </w:rPr>
      </w:pPr>
      <w:r w:rsidRPr="00263DB9">
        <w:rPr>
          <w:b/>
          <w:color w:val="000000"/>
          <w:szCs w:val="22"/>
        </w:rPr>
        <w:t>4.5</w:t>
      </w:r>
      <w:r w:rsidRPr="00263DB9">
        <w:rPr>
          <w:b/>
          <w:color w:val="000000"/>
          <w:szCs w:val="22"/>
        </w:rPr>
        <w:tab/>
        <w:t>Interações medicamentosas e outras formas de interação</w:t>
      </w:r>
    </w:p>
    <w:p w14:paraId="375EB5AB" w14:textId="77777777" w:rsidR="00C91F25" w:rsidRPr="00263DB9" w:rsidRDefault="00C91F25" w:rsidP="003970DC">
      <w:pPr>
        <w:keepNext/>
        <w:widowControl w:val="0"/>
        <w:suppressAutoHyphens/>
        <w:rPr>
          <w:color w:val="000000"/>
          <w:szCs w:val="22"/>
        </w:rPr>
      </w:pPr>
    </w:p>
    <w:p w14:paraId="375EB5AC" w14:textId="77777777" w:rsidR="00C91F25" w:rsidRPr="00263DB9" w:rsidRDefault="00C91F25" w:rsidP="003970DC">
      <w:pPr>
        <w:keepNext/>
        <w:widowControl w:val="0"/>
        <w:suppressAutoHyphens/>
        <w:rPr>
          <w:color w:val="000000"/>
          <w:szCs w:val="22"/>
          <w:u w:val="single"/>
        </w:rPr>
      </w:pPr>
      <w:r w:rsidRPr="00263DB9">
        <w:rPr>
          <w:color w:val="000000"/>
          <w:szCs w:val="22"/>
          <w:u w:val="single"/>
        </w:rPr>
        <w:t xml:space="preserve">Substâncias ativas que podem </w:t>
      </w:r>
      <w:r w:rsidRPr="00263DB9">
        <w:rPr>
          <w:b/>
          <w:color w:val="000000"/>
          <w:szCs w:val="22"/>
          <w:u w:val="single"/>
        </w:rPr>
        <w:t>aumentar</w:t>
      </w:r>
      <w:r w:rsidRPr="00263DB9">
        <w:rPr>
          <w:color w:val="000000"/>
          <w:szCs w:val="22"/>
          <w:u w:val="single"/>
        </w:rPr>
        <w:t xml:space="preserve"> as concentrações plasmáticas de imatinib:</w:t>
      </w:r>
    </w:p>
    <w:p w14:paraId="375EB5AD" w14:textId="77777777" w:rsidR="00C91F25" w:rsidRPr="00263DB9" w:rsidRDefault="00C91F25" w:rsidP="00E51817">
      <w:pPr>
        <w:widowControl w:val="0"/>
        <w:suppressAutoHyphens/>
        <w:rPr>
          <w:color w:val="000000"/>
          <w:szCs w:val="22"/>
        </w:rPr>
      </w:pPr>
      <w:r w:rsidRPr="00263DB9">
        <w:rPr>
          <w:color w:val="000000"/>
          <w:szCs w:val="22"/>
        </w:rPr>
        <w:t>As substâncias que inibem a atividade da isoenzima CYP3A4 do citocromo P450 (por ex. inibidores da protease tais como indinavir, lopinavir/ritonavir, ritonavir, saquinavir, telaprevir, nelfinavir, boceprevir; antifúngicos azois incluindo cetoconazol, itraconazol, posaconazol, voriconazol; alguns macrólidos tais como eritromicina, claritromicina e telitromicina) podem diminuir o metabolismo e aumentar as concentrações de imatinib. Houve um aumento significativo na exposição ao imatinib (a C</w:t>
      </w:r>
      <w:r w:rsidRPr="00263DB9">
        <w:rPr>
          <w:color w:val="000000"/>
          <w:szCs w:val="22"/>
          <w:vertAlign w:val="subscript"/>
        </w:rPr>
        <w:t>max</w:t>
      </w:r>
      <w:r w:rsidRPr="00263DB9">
        <w:rPr>
          <w:color w:val="000000"/>
          <w:szCs w:val="22"/>
        </w:rPr>
        <w:t xml:space="preserve"> e a AUC médias do imatinib aumentaram em 26% e 40%, respetivamente) em indivíduos saudáveis quando ele foi coadministrado com uma dose única de cetoconazole (um inibidor da CYP3A4). Devem ser tomadas precauções quando se administra Glivec com inibidores da família da CYP3A4.</w:t>
      </w:r>
    </w:p>
    <w:p w14:paraId="375EB5AE" w14:textId="77777777" w:rsidR="00C91F25" w:rsidRPr="00263DB9" w:rsidRDefault="00C91F25" w:rsidP="00E51817">
      <w:pPr>
        <w:widowControl w:val="0"/>
        <w:suppressAutoHyphens/>
        <w:rPr>
          <w:color w:val="000000"/>
          <w:szCs w:val="22"/>
        </w:rPr>
      </w:pPr>
    </w:p>
    <w:p w14:paraId="375EB5AF" w14:textId="77777777" w:rsidR="00C91F25" w:rsidRPr="00263DB9" w:rsidRDefault="00C91F25" w:rsidP="003970DC">
      <w:pPr>
        <w:keepNext/>
        <w:widowControl w:val="0"/>
        <w:suppressAutoHyphens/>
        <w:rPr>
          <w:color w:val="000000"/>
          <w:szCs w:val="22"/>
          <w:u w:val="single"/>
        </w:rPr>
      </w:pPr>
      <w:r w:rsidRPr="00263DB9">
        <w:rPr>
          <w:color w:val="000000"/>
          <w:szCs w:val="22"/>
          <w:u w:val="single"/>
        </w:rPr>
        <w:t xml:space="preserve">Substâncias ativas que podem </w:t>
      </w:r>
      <w:r w:rsidRPr="00263DB9">
        <w:rPr>
          <w:b/>
          <w:color w:val="000000"/>
          <w:szCs w:val="22"/>
          <w:u w:val="single"/>
        </w:rPr>
        <w:t>diminuir</w:t>
      </w:r>
      <w:r w:rsidRPr="00263DB9">
        <w:rPr>
          <w:color w:val="000000"/>
          <w:szCs w:val="22"/>
          <w:u w:val="single"/>
        </w:rPr>
        <w:t xml:space="preserve"> as concentrações plasmáticas de imatinib:</w:t>
      </w:r>
    </w:p>
    <w:p w14:paraId="375EB5B0" w14:textId="77777777" w:rsidR="00C91F25" w:rsidRPr="00263DB9" w:rsidRDefault="00C91F25" w:rsidP="00E51817">
      <w:pPr>
        <w:widowControl w:val="0"/>
        <w:suppressAutoHyphens/>
        <w:rPr>
          <w:color w:val="000000"/>
          <w:szCs w:val="22"/>
        </w:rPr>
      </w:pPr>
      <w:r w:rsidRPr="00263DB9">
        <w:rPr>
          <w:color w:val="000000"/>
          <w:szCs w:val="22"/>
        </w:rPr>
        <w:t xml:space="preserve">As substâncias que são indutoras da atividade da CYP3A4 (por ex. dexametasona, fenitoína, carbamazepina, rifampicina, fenobarbital, fosfenitoína, primidona ou </w:t>
      </w:r>
      <w:r w:rsidRPr="00263DB9">
        <w:rPr>
          <w:i/>
          <w:color w:val="000000"/>
          <w:szCs w:val="22"/>
        </w:rPr>
        <w:t>Hypericum perfuratum</w:t>
      </w:r>
      <w:r w:rsidRPr="00263DB9">
        <w:rPr>
          <w:color w:val="000000"/>
          <w:szCs w:val="22"/>
        </w:rPr>
        <w:t>, também conhecido como hipericão) podem reduzir significativamente a exposição a Glivec, aumentando potencialmente o risco de falência terapêutica. O tratamento prévio com doses múltiplas de 600 mg de rifampicina, seguido da administração de uma dose única de 400 mg de Glivec, resultou numa diminuição na C</w:t>
      </w:r>
      <w:r w:rsidRPr="00263DB9">
        <w:rPr>
          <w:color w:val="000000"/>
          <w:szCs w:val="22"/>
          <w:vertAlign w:val="subscript"/>
        </w:rPr>
        <w:t>max</w:t>
      </w:r>
      <w:r w:rsidRPr="00263DB9">
        <w:rPr>
          <w:color w:val="000000"/>
          <w:szCs w:val="22"/>
        </w:rPr>
        <w:t xml:space="preserve"> e na AUC</w:t>
      </w:r>
      <w:r w:rsidRPr="00263DB9">
        <w:rPr>
          <w:color w:val="000000"/>
          <w:szCs w:val="22"/>
          <w:vertAlign w:val="subscript"/>
        </w:rPr>
        <w:t>(0-</w:t>
      </w:r>
      <w:r w:rsidRPr="00263DB9">
        <w:rPr>
          <w:color w:val="000000"/>
          <w:szCs w:val="22"/>
          <w:vertAlign w:val="subscript"/>
        </w:rPr>
        <w:sym w:font="Symbol" w:char="F0A5"/>
      </w:r>
      <w:r w:rsidRPr="00263DB9">
        <w:rPr>
          <w:color w:val="000000"/>
          <w:szCs w:val="22"/>
          <w:vertAlign w:val="subscript"/>
        </w:rPr>
        <w:t>)</w:t>
      </w:r>
      <w:r w:rsidRPr="00263DB9">
        <w:rPr>
          <w:color w:val="000000"/>
          <w:szCs w:val="22"/>
        </w:rPr>
        <w:t xml:space="preserve"> de, pelo menos, 54% e 74% dos valores correspondentes obtidos na ausência de tratamento com rifampicina. Foram observados resultados semelhantes em doentes com gliomas malignos tratados com Glivec simultaneamente com fármacos anti-epilépticos indutores enzimáticos (EIAED), tais como carbamazepina, oxcarbazepina e fenitoína. A AUC plasmática do imatinib diminuiu em 73% comparativamente com doentes não tratados com EIAED. Deverá evitar-se a utilização concomitante de rifampicina, ou outros fortes indutores da CYP3A4, e imatinib.</w:t>
      </w:r>
    </w:p>
    <w:p w14:paraId="375EB5B1" w14:textId="77777777" w:rsidR="00C91F25" w:rsidRPr="00263DB9" w:rsidRDefault="00C91F25" w:rsidP="00E51817">
      <w:pPr>
        <w:widowControl w:val="0"/>
        <w:suppressAutoHyphens/>
        <w:rPr>
          <w:color w:val="000000"/>
          <w:szCs w:val="22"/>
        </w:rPr>
      </w:pPr>
    </w:p>
    <w:p w14:paraId="375EB5B2" w14:textId="77777777" w:rsidR="00C91F25" w:rsidRPr="00263DB9" w:rsidRDefault="00C91F25" w:rsidP="003970DC">
      <w:pPr>
        <w:pStyle w:val="Heading5"/>
        <w:widowControl w:val="0"/>
        <w:rPr>
          <w:color w:val="000000"/>
          <w:szCs w:val="22"/>
        </w:rPr>
      </w:pPr>
      <w:r w:rsidRPr="00263DB9">
        <w:rPr>
          <w:color w:val="000000"/>
          <w:szCs w:val="22"/>
        </w:rPr>
        <w:t>Substâncias ativas cuja concentração plasmática pode ser alterada pelo Glivec</w:t>
      </w:r>
    </w:p>
    <w:p w14:paraId="375EB5B3" w14:textId="77777777" w:rsidR="00C91F25" w:rsidRPr="00263DB9" w:rsidRDefault="00C91F25" w:rsidP="00E51817">
      <w:pPr>
        <w:widowControl w:val="0"/>
        <w:suppressAutoHyphens/>
        <w:rPr>
          <w:color w:val="000000"/>
          <w:szCs w:val="22"/>
        </w:rPr>
      </w:pPr>
      <w:r w:rsidRPr="00263DB9">
        <w:rPr>
          <w:color w:val="000000"/>
          <w:szCs w:val="22"/>
        </w:rPr>
        <w:t>O imatinib aumenta a C</w:t>
      </w:r>
      <w:r w:rsidRPr="00263DB9">
        <w:rPr>
          <w:color w:val="000000"/>
          <w:szCs w:val="22"/>
          <w:vertAlign w:val="subscript"/>
        </w:rPr>
        <w:t>max</w:t>
      </w:r>
      <w:r w:rsidRPr="00263DB9">
        <w:rPr>
          <w:color w:val="000000"/>
          <w:szCs w:val="22"/>
        </w:rPr>
        <w:t xml:space="preserve"> e a AUC da simvastatina (substrato da CYP3A4) em 2 e 3,5 vezes, respetivamente, indicando uma inibição da CYP3A4 pelo imatinib. Como tal, é recomendada precaução quando se administra Glivec com substratos da CYP3A4 com uma janela terapêutica estreita (por ex. ciclosporina, pimozida, tacrolímus, sirolímus, ergotamina, diergotamina, fentanil, alfentanil, terfenadina, bortezomib, docetaxel e quinidina). Glivec pode aumentar as concentrações </w:t>
      </w:r>
      <w:r w:rsidRPr="00263DB9">
        <w:rPr>
          <w:color w:val="000000"/>
          <w:szCs w:val="22"/>
        </w:rPr>
        <w:lastRenderedPageBreak/>
        <w:t>plasmáticas de outros fármacos metabolizados pela CYP3A4 (por ex. triazolo-benzodiazepinas, bloqueadores dos canais de cálcio dihidropiridinicos, determinados inibidores da redutase da HMG-CoA, i.e. estatinas, etc.).</w:t>
      </w:r>
    </w:p>
    <w:p w14:paraId="375EB5B4" w14:textId="77777777" w:rsidR="00C91F25" w:rsidRPr="00263DB9" w:rsidRDefault="00C91F25" w:rsidP="00E51817">
      <w:pPr>
        <w:widowControl w:val="0"/>
        <w:suppressAutoHyphens/>
        <w:rPr>
          <w:color w:val="000000"/>
          <w:szCs w:val="22"/>
        </w:rPr>
      </w:pPr>
    </w:p>
    <w:p w14:paraId="375EB5B5" w14:textId="77777777" w:rsidR="00C91F25" w:rsidRPr="00263DB9" w:rsidRDefault="00C91F25" w:rsidP="00E51817">
      <w:pPr>
        <w:widowControl w:val="0"/>
        <w:suppressAutoHyphens/>
        <w:rPr>
          <w:color w:val="000000"/>
          <w:szCs w:val="22"/>
        </w:rPr>
      </w:pPr>
      <w:r w:rsidRPr="00263DB9">
        <w:rPr>
          <w:color w:val="000000"/>
          <w:szCs w:val="22"/>
        </w:rPr>
        <w:t>Devido ao risco aumentado de sangramento associado com a utilização de imatinib (por ex. hemorragia), doentes que necessitem de terapêutica anticoagulante deverão ser tratados com heparinas de baixo peso molecular ou heparinas padrão, em vez de derivados cumarínicos tais como a varfarina.</w:t>
      </w:r>
    </w:p>
    <w:p w14:paraId="375EB5B6" w14:textId="77777777" w:rsidR="00C91F25" w:rsidRPr="00263DB9" w:rsidRDefault="00C91F25" w:rsidP="00E51817">
      <w:pPr>
        <w:widowControl w:val="0"/>
        <w:suppressAutoHyphens/>
        <w:rPr>
          <w:i/>
          <w:color w:val="000000"/>
          <w:szCs w:val="22"/>
        </w:rPr>
      </w:pPr>
    </w:p>
    <w:p w14:paraId="375EB5B7" w14:textId="77777777" w:rsidR="00C91F25" w:rsidRPr="00263DB9" w:rsidRDefault="00C91F25" w:rsidP="00E51817">
      <w:pPr>
        <w:widowControl w:val="0"/>
        <w:suppressAutoHyphens/>
        <w:rPr>
          <w:color w:val="000000"/>
          <w:szCs w:val="22"/>
        </w:rPr>
      </w:pPr>
      <w:r w:rsidRPr="00263DB9">
        <w:rPr>
          <w:i/>
          <w:color w:val="000000"/>
          <w:szCs w:val="22"/>
        </w:rPr>
        <w:t>In vitro</w:t>
      </w:r>
      <w:r w:rsidRPr="00263DB9">
        <w:rPr>
          <w:color w:val="000000"/>
          <w:szCs w:val="22"/>
        </w:rPr>
        <w:t>, o Glivec inibe a atividade da isoenzima CYP2D6 do citocromo P450 em concentrações semelhantes às que afetam a atividade da CYP3A4. O imatinib, em doses de 400</w:t>
      </w:r>
      <w:r w:rsidRPr="00263DB9">
        <w:rPr>
          <w:color w:val="000000"/>
        </w:rPr>
        <w:t> mg duas vezes por dia, teve um efeito inibitório sobre o metabolismo do metoprolol mediado pela CYP2D6, com as C</w:t>
      </w:r>
      <w:r w:rsidRPr="00263DB9">
        <w:rPr>
          <w:color w:val="000000"/>
          <w:vertAlign w:val="subscript"/>
        </w:rPr>
        <w:t>max</w:t>
      </w:r>
      <w:r w:rsidRPr="00263DB9">
        <w:rPr>
          <w:color w:val="000000"/>
        </w:rPr>
        <w:t xml:space="preserve"> e AUC do metoprolol a aumentarem aproximadamente 23% (90% IC [1,16</w:t>
      </w:r>
      <w:r w:rsidRPr="00263DB9">
        <w:rPr>
          <w:color w:val="000000"/>
        </w:rPr>
        <w:noBreakHyphen/>
        <w:t>1,30]). Não parecem ser necessários ajustes de dose quando o imatinib é coadministrado com substratos da CYP2D6; no entanto, recomenda-se precaução em caso de substratos da CYP2D6 com uma janela terapêutica estreita como o metoprolol. Deve ser considerada monitorização clínica em doentes tratados com metoprolol.</w:t>
      </w:r>
    </w:p>
    <w:p w14:paraId="375EB5B8" w14:textId="77777777" w:rsidR="00C91F25" w:rsidRPr="00263DB9" w:rsidRDefault="00C91F25" w:rsidP="00E51817">
      <w:pPr>
        <w:widowControl w:val="0"/>
        <w:suppressAutoHyphens/>
        <w:rPr>
          <w:color w:val="000000"/>
          <w:szCs w:val="22"/>
        </w:rPr>
      </w:pPr>
    </w:p>
    <w:p w14:paraId="375EB5B9" w14:textId="77777777" w:rsidR="00C91F25" w:rsidRPr="00263DB9" w:rsidRDefault="00C91F25" w:rsidP="00E51817">
      <w:pPr>
        <w:widowControl w:val="0"/>
        <w:suppressAutoHyphens/>
        <w:rPr>
          <w:color w:val="000000"/>
          <w:szCs w:val="22"/>
        </w:rPr>
      </w:pPr>
      <w:r w:rsidRPr="00263DB9">
        <w:rPr>
          <w:color w:val="000000"/>
          <w:szCs w:val="22"/>
        </w:rPr>
        <w:t xml:space="preserve">Glivec inibe a o-glucoronidação do paracetamol </w:t>
      </w:r>
      <w:r w:rsidRPr="00263DB9">
        <w:rPr>
          <w:i/>
          <w:color w:val="000000"/>
          <w:szCs w:val="22"/>
        </w:rPr>
        <w:t>in vitro</w:t>
      </w:r>
      <w:r w:rsidRPr="00263DB9">
        <w:rPr>
          <w:color w:val="000000"/>
          <w:szCs w:val="22"/>
        </w:rPr>
        <w:t xml:space="preserve"> com Ki de 58,5 micromol/l. </w:t>
      </w:r>
      <w:r w:rsidRPr="00263DB9">
        <w:rPr>
          <w:color w:val="000000"/>
        </w:rPr>
        <w:t xml:space="preserve">Esta inibição não foi observada </w:t>
      </w:r>
      <w:r w:rsidRPr="00263DB9">
        <w:rPr>
          <w:i/>
          <w:color w:val="000000"/>
        </w:rPr>
        <w:t>in vivo</w:t>
      </w:r>
      <w:r w:rsidRPr="00263DB9">
        <w:rPr>
          <w:color w:val="000000"/>
        </w:rPr>
        <w:t xml:space="preserve"> após a administração de Glivec 400 mg e de paracetamol </w:t>
      </w:r>
      <w:r w:rsidRPr="00263DB9">
        <w:rPr>
          <w:iCs/>
          <w:color w:val="000000"/>
          <w:szCs w:val="22"/>
        </w:rPr>
        <w:t>1000 mg</w:t>
      </w:r>
      <w:r w:rsidRPr="00263DB9">
        <w:rPr>
          <w:color w:val="000000"/>
        </w:rPr>
        <w:t>. Não foram estudadas doses mais elevadas de Glivec e paracetamol.</w:t>
      </w:r>
    </w:p>
    <w:p w14:paraId="375EB5BA" w14:textId="77777777" w:rsidR="00C91F25" w:rsidRPr="00263DB9" w:rsidRDefault="00C91F25" w:rsidP="00E51817">
      <w:pPr>
        <w:widowControl w:val="0"/>
        <w:suppressAutoHyphens/>
        <w:rPr>
          <w:color w:val="000000"/>
          <w:szCs w:val="22"/>
        </w:rPr>
      </w:pPr>
    </w:p>
    <w:p w14:paraId="375EB5BB" w14:textId="77777777" w:rsidR="00C91F25" w:rsidRPr="00263DB9" w:rsidRDefault="00C91F25" w:rsidP="00E51817">
      <w:pPr>
        <w:widowControl w:val="0"/>
        <w:suppressAutoHyphens/>
        <w:rPr>
          <w:color w:val="000000"/>
          <w:szCs w:val="22"/>
        </w:rPr>
      </w:pPr>
      <w:r w:rsidRPr="00263DB9">
        <w:rPr>
          <w:color w:val="000000"/>
          <w:szCs w:val="22"/>
        </w:rPr>
        <w:t>Recomenda-se, portanto, precaução na utilização concomitante de doses elevadas de Glivec e paracetamol.</w:t>
      </w:r>
    </w:p>
    <w:p w14:paraId="375EB5BC" w14:textId="77777777" w:rsidR="00C91F25" w:rsidRPr="00263DB9" w:rsidRDefault="00C91F25" w:rsidP="00E51817">
      <w:pPr>
        <w:widowControl w:val="0"/>
        <w:suppressAutoHyphens/>
        <w:rPr>
          <w:color w:val="000000"/>
          <w:szCs w:val="22"/>
        </w:rPr>
      </w:pPr>
    </w:p>
    <w:p w14:paraId="375EB5BD" w14:textId="77777777" w:rsidR="00C91F25" w:rsidRPr="00263DB9" w:rsidRDefault="00C91F25" w:rsidP="00E51817">
      <w:pPr>
        <w:widowControl w:val="0"/>
        <w:suppressAutoHyphens/>
        <w:rPr>
          <w:color w:val="000000"/>
          <w:szCs w:val="22"/>
        </w:rPr>
      </w:pPr>
      <w:r w:rsidRPr="00263DB9">
        <w:rPr>
          <w:color w:val="000000"/>
          <w:szCs w:val="22"/>
        </w:rPr>
        <w:t>Em doentes que sofreram tiroidectomia a receber levotiroxina, a exposição plasmática à levotiroxina pode ser diminuída quando se coadministra Glivec (ver secção 4.4). Recomenda-se, portanto, precaução. No entanto, o mecanismo da interação observada é atualmente desconhecido.</w:t>
      </w:r>
    </w:p>
    <w:p w14:paraId="375EB5BE" w14:textId="77777777" w:rsidR="00C91F25" w:rsidRPr="00263DB9" w:rsidRDefault="00C91F25" w:rsidP="00E51817">
      <w:pPr>
        <w:widowControl w:val="0"/>
        <w:suppressAutoHyphens/>
        <w:rPr>
          <w:color w:val="000000"/>
          <w:szCs w:val="22"/>
        </w:rPr>
      </w:pPr>
    </w:p>
    <w:p w14:paraId="375EB5BF" w14:textId="77777777" w:rsidR="00C91F25" w:rsidRPr="00263DB9" w:rsidRDefault="00C91F25" w:rsidP="00E51817">
      <w:pPr>
        <w:widowControl w:val="0"/>
        <w:suppressAutoHyphens/>
        <w:rPr>
          <w:color w:val="000000"/>
          <w:szCs w:val="22"/>
        </w:rPr>
      </w:pPr>
      <w:r w:rsidRPr="00263DB9">
        <w:rPr>
          <w:color w:val="000000"/>
          <w:szCs w:val="22"/>
        </w:rPr>
        <w:t>Em doentes LLA Ph+, existe experiência clínica na coadministração de Glivec com quimioterapia (ver secção 5.1), mas as interações fármaco-fármaco entre imatinib e os regimes de quimioterapia não estão bem caracterizadas. As reações adversas de imatinib, i.e. hepatotoxicidade, mielosupressão ou outras, podem aumentar e foi notificado que o uso concomitante de L-asparaginase pode estar associado com o aumento de hepatotoxicidade (ver secção 4.8). Como tal, a utilização concomitante com Glivec requer uma precaução especial.</w:t>
      </w:r>
    </w:p>
    <w:p w14:paraId="375EB5C0" w14:textId="77777777" w:rsidR="00C91F25" w:rsidRPr="00263DB9" w:rsidRDefault="00C91F25" w:rsidP="00E51817">
      <w:pPr>
        <w:widowControl w:val="0"/>
        <w:suppressAutoHyphens/>
        <w:rPr>
          <w:color w:val="000000"/>
          <w:szCs w:val="22"/>
        </w:rPr>
      </w:pPr>
    </w:p>
    <w:p w14:paraId="375EB5C1" w14:textId="77777777" w:rsidR="00C91F25" w:rsidRPr="00263DB9" w:rsidRDefault="00C91F25" w:rsidP="008303F6">
      <w:pPr>
        <w:keepNext/>
        <w:widowControl w:val="0"/>
        <w:suppressAutoHyphens/>
        <w:rPr>
          <w:b/>
          <w:color w:val="000000"/>
          <w:szCs w:val="22"/>
        </w:rPr>
      </w:pPr>
      <w:r w:rsidRPr="00263DB9">
        <w:rPr>
          <w:b/>
          <w:color w:val="000000"/>
          <w:szCs w:val="22"/>
        </w:rPr>
        <w:t>4.6</w:t>
      </w:r>
      <w:r w:rsidRPr="00263DB9">
        <w:rPr>
          <w:b/>
          <w:color w:val="000000"/>
          <w:szCs w:val="22"/>
        </w:rPr>
        <w:tab/>
        <w:t>Fertilidade, gravidez e aleitamento</w:t>
      </w:r>
    </w:p>
    <w:p w14:paraId="375EB5C2" w14:textId="77777777" w:rsidR="00C91F25" w:rsidRPr="00263DB9" w:rsidRDefault="00C91F25" w:rsidP="008303F6">
      <w:pPr>
        <w:pStyle w:val="EndnoteText"/>
        <w:keepNext/>
        <w:tabs>
          <w:tab w:val="clear" w:pos="567"/>
        </w:tabs>
        <w:suppressAutoHyphens/>
        <w:rPr>
          <w:color w:val="000000"/>
          <w:szCs w:val="22"/>
        </w:rPr>
      </w:pPr>
    </w:p>
    <w:p w14:paraId="375EB5C3" w14:textId="77777777" w:rsidR="00C91F25" w:rsidRPr="00263DB9" w:rsidRDefault="00C91F25" w:rsidP="008303F6">
      <w:pPr>
        <w:keepNext/>
        <w:widowControl w:val="0"/>
        <w:suppressAutoHyphens/>
        <w:rPr>
          <w:color w:val="000000"/>
          <w:szCs w:val="22"/>
          <w:u w:val="single"/>
        </w:rPr>
      </w:pPr>
      <w:r w:rsidRPr="00263DB9">
        <w:rPr>
          <w:color w:val="000000"/>
          <w:szCs w:val="22"/>
          <w:u w:val="single"/>
        </w:rPr>
        <w:t>Mulheres com potencial para engravidar</w:t>
      </w:r>
    </w:p>
    <w:p w14:paraId="375EB5C4" w14:textId="77777777" w:rsidR="00C91F25" w:rsidRPr="00263DB9" w:rsidRDefault="00C91F25" w:rsidP="00E51817">
      <w:pPr>
        <w:widowControl w:val="0"/>
        <w:suppressAutoHyphens/>
        <w:rPr>
          <w:color w:val="000000"/>
          <w:szCs w:val="22"/>
        </w:rPr>
      </w:pPr>
      <w:r w:rsidRPr="00263DB9">
        <w:rPr>
          <w:color w:val="000000"/>
          <w:szCs w:val="22"/>
        </w:rPr>
        <w:t xml:space="preserve">As mulheres </w:t>
      </w:r>
      <w:r w:rsidRPr="00263DB9">
        <w:t>com potencial para</w:t>
      </w:r>
      <w:r w:rsidRPr="00263DB9">
        <w:rPr>
          <w:color w:val="000000"/>
          <w:szCs w:val="22"/>
        </w:rPr>
        <w:t xml:space="preserve"> engravidar deverão ser aconselhadas a utilizar métodos contracetivos eficazes durante o tratamento</w:t>
      </w:r>
      <w:r w:rsidR="002A7C87" w:rsidRPr="00263DB9">
        <w:rPr>
          <w:color w:val="000000"/>
          <w:szCs w:val="22"/>
        </w:rPr>
        <w:t xml:space="preserve"> e durante pelo menos 15 dias após parar o tratamento com Glivec</w:t>
      </w:r>
      <w:r w:rsidRPr="00263DB9">
        <w:rPr>
          <w:color w:val="000000"/>
          <w:szCs w:val="22"/>
        </w:rPr>
        <w:t>.</w:t>
      </w:r>
    </w:p>
    <w:p w14:paraId="375EB5C5" w14:textId="77777777" w:rsidR="00C91F25" w:rsidRPr="00263DB9" w:rsidRDefault="00C91F25" w:rsidP="00E51817">
      <w:pPr>
        <w:pStyle w:val="EndnoteText"/>
        <w:tabs>
          <w:tab w:val="clear" w:pos="567"/>
        </w:tabs>
        <w:suppressAutoHyphens/>
        <w:rPr>
          <w:color w:val="000000"/>
          <w:szCs w:val="22"/>
        </w:rPr>
      </w:pPr>
    </w:p>
    <w:p w14:paraId="375EB5C6" w14:textId="77777777" w:rsidR="00C91F25" w:rsidRPr="00263DB9" w:rsidRDefault="00C91F25" w:rsidP="008303F6">
      <w:pPr>
        <w:keepNext/>
        <w:widowControl w:val="0"/>
        <w:suppressAutoHyphens/>
        <w:rPr>
          <w:color w:val="000000"/>
          <w:szCs w:val="22"/>
        </w:rPr>
      </w:pPr>
      <w:r w:rsidRPr="00263DB9">
        <w:rPr>
          <w:color w:val="000000"/>
          <w:szCs w:val="22"/>
          <w:u w:val="single"/>
        </w:rPr>
        <w:t>Gravidez</w:t>
      </w:r>
    </w:p>
    <w:p w14:paraId="375EB5C7" w14:textId="77777777" w:rsidR="00C91F25" w:rsidRPr="00263DB9" w:rsidRDefault="00C91F25" w:rsidP="00E51817">
      <w:pPr>
        <w:widowControl w:val="0"/>
        <w:suppressAutoHyphens/>
        <w:rPr>
          <w:color w:val="000000"/>
          <w:szCs w:val="22"/>
        </w:rPr>
      </w:pPr>
      <w:r w:rsidRPr="00263DB9">
        <w:rPr>
          <w:color w:val="000000"/>
          <w:szCs w:val="22"/>
        </w:rPr>
        <w:t>Existem dados limitados sobre a utilização de imatinib em mulheres grávidas.</w:t>
      </w:r>
      <w:r w:rsidR="00051370" w:rsidRPr="00263DB9">
        <w:rPr>
          <w:color w:val="000000"/>
          <w:szCs w:val="22"/>
        </w:rPr>
        <w:t xml:space="preserve"> Tem havido notificações pós-comercialização de abortos espontâneos e anomalias congénitas em recém-nascidos em mulheres que tonaram Glivec.</w:t>
      </w:r>
      <w:r w:rsidRPr="00263DB9">
        <w:rPr>
          <w:color w:val="000000"/>
          <w:szCs w:val="22"/>
        </w:rPr>
        <w:t xml:space="preserve"> Contudo, estudos em animais revelaram toxicidade reprodutiva (ver secção 5.3) desconhecendo-se o risco potencial para o feto. Glivec não deve ser utilizado durante a gravidez a menos que tal seja claramente necessário. Se for utilizado durante a gravidez, a doente deve ser informada do risco potencial para o feto.</w:t>
      </w:r>
    </w:p>
    <w:p w14:paraId="375EB5C8" w14:textId="77777777" w:rsidR="00C91F25" w:rsidRPr="00263DB9" w:rsidRDefault="00C91F25" w:rsidP="00E51817">
      <w:pPr>
        <w:widowControl w:val="0"/>
        <w:suppressAutoHyphens/>
        <w:rPr>
          <w:color w:val="000000"/>
          <w:szCs w:val="22"/>
        </w:rPr>
      </w:pPr>
    </w:p>
    <w:p w14:paraId="375EB5C9" w14:textId="77777777" w:rsidR="00C91F25" w:rsidRPr="00263DB9" w:rsidRDefault="00C91F25" w:rsidP="008303F6">
      <w:pPr>
        <w:keepNext/>
        <w:widowControl w:val="0"/>
        <w:suppressAutoHyphens/>
        <w:rPr>
          <w:color w:val="000000"/>
          <w:szCs w:val="22"/>
        </w:rPr>
      </w:pPr>
      <w:r w:rsidRPr="00263DB9">
        <w:rPr>
          <w:color w:val="000000"/>
          <w:szCs w:val="22"/>
          <w:u w:val="single"/>
        </w:rPr>
        <w:t>Amamentação</w:t>
      </w:r>
    </w:p>
    <w:p w14:paraId="375EB5CA" w14:textId="59475666" w:rsidR="00C91F25" w:rsidRPr="00263DB9" w:rsidRDefault="00C91F25" w:rsidP="00E51817">
      <w:pPr>
        <w:widowControl w:val="0"/>
        <w:suppressAutoHyphens/>
        <w:rPr>
          <w:color w:val="000000"/>
          <w:szCs w:val="22"/>
        </w:rPr>
      </w:pPr>
      <w:r w:rsidRPr="00263DB9">
        <w:rPr>
          <w:color w:val="000000"/>
          <w:szCs w:val="22"/>
        </w:rPr>
        <w:t xml:space="preserve">A informação sobre a distribuição de imatinib no leite humano é limitada. Estudos realizados em duas mulheres a amamentar revelaram que tanto o imatinib como o seu metabolito ativo podem ser distribuídos no leite humano. A razão leite plasma, estudada num único doente, determinou-se ser 0,5 para o imatinib e 0,9 para o metabolito, sugerindo maior distribuição do metabolito no leite. Considerando a concentração combinada de imatinib e do metabolito e a ingestão máxima diária de leite por crianças, a exposição total seria, expectavelmente, baixa (~10% de uma dose terapêutica). No entanto, uma vez que os efeitos da exposição de lactentes a baixas doses de imatinib são </w:t>
      </w:r>
      <w:r w:rsidRPr="00263DB9">
        <w:rPr>
          <w:color w:val="000000"/>
          <w:szCs w:val="22"/>
        </w:rPr>
        <w:lastRenderedPageBreak/>
        <w:t>desconhecidos, as mulheres a tomar imatinib não devem amamentar</w:t>
      </w:r>
      <w:r w:rsidR="00503571" w:rsidRPr="00263DB9">
        <w:rPr>
          <w:color w:val="000000"/>
          <w:szCs w:val="22"/>
        </w:rPr>
        <w:t xml:space="preserve"> durante o tratamento e durante </w:t>
      </w:r>
      <w:r w:rsidR="002405D7" w:rsidRPr="00263DB9">
        <w:rPr>
          <w:color w:val="000000"/>
          <w:szCs w:val="22"/>
        </w:rPr>
        <w:t xml:space="preserve">pelo menos </w:t>
      </w:r>
      <w:r w:rsidR="00503571" w:rsidRPr="00263DB9">
        <w:rPr>
          <w:color w:val="000000"/>
          <w:szCs w:val="22"/>
        </w:rPr>
        <w:t>15 dias após parar o tratamento com Glivec</w:t>
      </w:r>
      <w:r w:rsidRPr="00263DB9">
        <w:rPr>
          <w:color w:val="000000"/>
          <w:szCs w:val="22"/>
        </w:rPr>
        <w:t>.</w:t>
      </w:r>
    </w:p>
    <w:p w14:paraId="375EB5CB" w14:textId="77777777" w:rsidR="00C91F25" w:rsidRPr="00263DB9" w:rsidRDefault="00C91F25" w:rsidP="00E51817">
      <w:pPr>
        <w:widowControl w:val="0"/>
        <w:suppressAutoHyphens/>
        <w:rPr>
          <w:color w:val="000000"/>
          <w:szCs w:val="22"/>
        </w:rPr>
      </w:pPr>
    </w:p>
    <w:p w14:paraId="375EB5CC" w14:textId="77777777" w:rsidR="00C91F25" w:rsidRPr="00263DB9" w:rsidRDefault="00C91F25" w:rsidP="008303F6">
      <w:pPr>
        <w:keepNext/>
        <w:widowControl w:val="0"/>
        <w:suppressAutoHyphens/>
        <w:rPr>
          <w:u w:val="single"/>
        </w:rPr>
      </w:pPr>
      <w:r w:rsidRPr="00263DB9">
        <w:rPr>
          <w:u w:val="single"/>
        </w:rPr>
        <w:t>Fertilidade</w:t>
      </w:r>
    </w:p>
    <w:p w14:paraId="375EB5CD" w14:textId="77777777" w:rsidR="00C91F25" w:rsidRPr="00263DB9" w:rsidRDefault="00C91F25" w:rsidP="00E51817">
      <w:pPr>
        <w:widowControl w:val="0"/>
        <w:suppressAutoHyphens/>
        <w:rPr>
          <w:color w:val="000000"/>
          <w:szCs w:val="22"/>
        </w:rPr>
      </w:pPr>
      <w:r w:rsidRPr="00263DB9">
        <w:t>Em estudos não clínicos, a fertilidade de ratos machos e fêmeas não foi afetada</w:t>
      </w:r>
      <w:r w:rsidR="00503571" w:rsidRPr="00263DB9">
        <w:t>, apesar de terem sido observados efeitos sobre os parâmetros reprodutivos</w:t>
      </w:r>
      <w:r w:rsidRPr="00263DB9">
        <w:t xml:space="preserve"> (ver secção 5.3). Não foram realizados estudos em doentes a receber Glivec e o seu efeito na fertilidade e gametogénese. Durante o tratamento com Glivec, os doentes preocupados com a sua fertilidade devem consultar o seu médico.</w:t>
      </w:r>
    </w:p>
    <w:p w14:paraId="375EB5CE" w14:textId="77777777" w:rsidR="00C91F25" w:rsidRPr="00263DB9" w:rsidRDefault="00C91F25" w:rsidP="00E51817">
      <w:pPr>
        <w:widowControl w:val="0"/>
        <w:suppressAutoHyphens/>
        <w:rPr>
          <w:color w:val="000000"/>
          <w:szCs w:val="22"/>
        </w:rPr>
      </w:pPr>
    </w:p>
    <w:p w14:paraId="375EB5CF" w14:textId="77777777" w:rsidR="00C91F25" w:rsidRPr="00263DB9" w:rsidRDefault="00C91F25" w:rsidP="008303F6">
      <w:pPr>
        <w:keepNext/>
        <w:widowControl w:val="0"/>
        <w:suppressAutoHyphens/>
        <w:rPr>
          <w:b/>
          <w:color w:val="000000"/>
          <w:szCs w:val="22"/>
        </w:rPr>
      </w:pPr>
      <w:r w:rsidRPr="00263DB9">
        <w:rPr>
          <w:b/>
          <w:color w:val="000000"/>
          <w:szCs w:val="22"/>
        </w:rPr>
        <w:t>4.7</w:t>
      </w:r>
      <w:r w:rsidRPr="00263DB9">
        <w:rPr>
          <w:b/>
          <w:color w:val="000000"/>
          <w:szCs w:val="22"/>
        </w:rPr>
        <w:tab/>
        <w:t>Efeitos sobre a capacidade de conduzir e utilizar máquinas</w:t>
      </w:r>
    </w:p>
    <w:p w14:paraId="375EB5D0" w14:textId="77777777" w:rsidR="00C91F25" w:rsidRPr="00263DB9" w:rsidRDefault="00C91F25" w:rsidP="008303F6">
      <w:pPr>
        <w:keepNext/>
        <w:widowControl w:val="0"/>
        <w:suppressAutoHyphens/>
        <w:rPr>
          <w:color w:val="000000"/>
          <w:szCs w:val="22"/>
        </w:rPr>
      </w:pPr>
    </w:p>
    <w:p w14:paraId="375EB5D1" w14:textId="77777777" w:rsidR="00C91F25" w:rsidRPr="00263DB9" w:rsidRDefault="00C91F25" w:rsidP="00E51817">
      <w:pPr>
        <w:widowControl w:val="0"/>
        <w:suppressAutoHyphens/>
        <w:rPr>
          <w:snapToGrid w:val="0"/>
          <w:color w:val="000000"/>
          <w:szCs w:val="22"/>
        </w:rPr>
      </w:pPr>
      <w:r w:rsidRPr="00263DB9">
        <w:rPr>
          <w:snapToGrid w:val="0"/>
          <w:color w:val="000000"/>
          <w:szCs w:val="22"/>
        </w:rPr>
        <w:t>Os doentes deverão ser alertados para a possibilidade de ocorrerem efeitos indesejáveis tais como tonturas, perturbações da visão ou sonolência durante o tratamento com imatinib. Portanto, deverá recomendar-se precaução na condução de veículos ou utilização de máquinas.</w:t>
      </w:r>
    </w:p>
    <w:p w14:paraId="375EB5D2" w14:textId="77777777" w:rsidR="00C91F25" w:rsidRPr="00263DB9" w:rsidRDefault="00C91F25" w:rsidP="00E51817">
      <w:pPr>
        <w:widowControl w:val="0"/>
        <w:suppressAutoHyphens/>
        <w:rPr>
          <w:color w:val="000000"/>
          <w:szCs w:val="22"/>
        </w:rPr>
      </w:pPr>
    </w:p>
    <w:p w14:paraId="375EB5D3" w14:textId="77777777" w:rsidR="00C91F25" w:rsidRPr="00263DB9" w:rsidRDefault="00C91F25" w:rsidP="008303F6">
      <w:pPr>
        <w:pStyle w:val="Heading5"/>
        <w:widowControl w:val="0"/>
        <w:rPr>
          <w:color w:val="000000"/>
          <w:szCs w:val="22"/>
        </w:rPr>
      </w:pPr>
      <w:r w:rsidRPr="00263DB9">
        <w:rPr>
          <w:color w:val="000000"/>
          <w:szCs w:val="22"/>
        </w:rPr>
        <w:t>4.8</w:t>
      </w:r>
      <w:r w:rsidRPr="00263DB9">
        <w:rPr>
          <w:color w:val="000000"/>
          <w:szCs w:val="22"/>
        </w:rPr>
        <w:tab/>
        <w:t>Efeitos indesejáveis</w:t>
      </w:r>
    </w:p>
    <w:p w14:paraId="375EB5D4" w14:textId="77777777" w:rsidR="00C91F25" w:rsidRPr="00263DB9" w:rsidRDefault="00C91F25" w:rsidP="008303F6">
      <w:pPr>
        <w:keepNext/>
        <w:widowControl w:val="0"/>
        <w:suppressAutoHyphens/>
        <w:rPr>
          <w:color w:val="000000"/>
          <w:szCs w:val="22"/>
        </w:rPr>
      </w:pPr>
    </w:p>
    <w:p w14:paraId="375EB5D5" w14:textId="77777777" w:rsidR="00C91F25" w:rsidRPr="00263DB9" w:rsidRDefault="00C91F25" w:rsidP="00E51817">
      <w:pPr>
        <w:widowControl w:val="0"/>
        <w:suppressAutoHyphens/>
        <w:rPr>
          <w:color w:val="000000"/>
          <w:szCs w:val="22"/>
        </w:rPr>
      </w:pPr>
      <w:r w:rsidRPr="00263DB9">
        <w:rPr>
          <w:color w:val="000000"/>
          <w:szCs w:val="22"/>
        </w:rPr>
        <w:t>Os doentes em fases avançadas de neoplasias podem ter numerosas condições médicas confusas que fazem com que a causalidade das reações adversas seja difícil de avaliar devido à variedade de sintomas relacionados com a doença subjacente, com a sua progressão e com a coadministração de numerosos medicamentos.</w:t>
      </w:r>
    </w:p>
    <w:p w14:paraId="375EB5D6" w14:textId="77777777" w:rsidR="00C91F25" w:rsidRPr="00263DB9" w:rsidRDefault="00C91F25" w:rsidP="00E51817">
      <w:pPr>
        <w:widowControl w:val="0"/>
        <w:suppressAutoHyphens/>
        <w:rPr>
          <w:color w:val="000000"/>
          <w:szCs w:val="22"/>
        </w:rPr>
      </w:pPr>
    </w:p>
    <w:p w14:paraId="375EB5D7" w14:textId="77777777" w:rsidR="00C91F25" w:rsidRPr="00263DB9" w:rsidRDefault="00C91F25" w:rsidP="00E51817">
      <w:pPr>
        <w:widowControl w:val="0"/>
        <w:rPr>
          <w:color w:val="000000"/>
          <w:szCs w:val="22"/>
        </w:rPr>
      </w:pPr>
      <w:r w:rsidRPr="00263DB9">
        <w:rPr>
          <w:color w:val="000000"/>
          <w:szCs w:val="22"/>
        </w:rPr>
        <w:t>Nos ensaios clínicos na LMC, a interrupção do tratamento devido a reações adversas relacionadas com o medicamento foi observada em 2,4% dos doentes diagnosticados de novo, em 4% dos doentes em fase crónica tardia após falência da terapêutica com interferão, em 4% dos doentes em fase acelerada após falência da terapêutica com interferão e em 5% dos doentes com crise blástica após falência da terapêutica com interferão. No ensaio clínico em doentes com GIST, o tratamento foi interrompido devido a reações adversas relacionadas com o fármaco em 4% dos doentes.</w:t>
      </w:r>
    </w:p>
    <w:p w14:paraId="375EB5D8" w14:textId="77777777" w:rsidR="00C91F25" w:rsidRPr="00263DB9" w:rsidRDefault="00C91F25" w:rsidP="00E51817">
      <w:pPr>
        <w:widowControl w:val="0"/>
        <w:suppressAutoHyphens/>
        <w:rPr>
          <w:color w:val="000000"/>
          <w:szCs w:val="22"/>
        </w:rPr>
      </w:pPr>
    </w:p>
    <w:p w14:paraId="375EB5D9" w14:textId="77777777" w:rsidR="00C91F25" w:rsidRPr="00263DB9" w:rsidRDefault="00C91F25" w:rsidP="00E51817">
      <w:pPr>
        <w:widowControl w:val="0"/>
        <w:suppressAutoHyphens/>
        <w:rPr>
          <w:color w:val="000000"/>
          <w:szCs w:val="22"/>
        </w:rPr>
      </w:pPr>
      <w:r w:rsidRPr="00263DB9">
        <w:rPr>
          <w:color w:val="000000"/>
          <w:szCs w:val="22"/>
        </w:rPr>
        <w:t>As reações adversas foram semelhantes em todas as indicações, com duas exceções. A ocorrência de mielodepressão foi superior em doentes com LMC comparativamente a doentes com GIST, o que se deverá provavelmente à doença subjacente. No estudo em doentes com GIST metastáticos e/ou irressecáveis, 7 (5%) doentes apresentaram hemorragias de grau 3 / 4 de acordo com os critérios comuns de toxicidade, compreendendo hemorragias gastrintestinais (3 doentes), hemorragias intratumorais (3 doentes) ou ambas (1 doente). Os tumores gastrintestinais poderão ter sido a causa das hemorragias gastrintestinais (ver secção 4.4) As hemorragias gastrintestinais e tumorais poderão ser graves e, por vezes, fatais. As reações adversas relacionadas com o medicamento que foram relatadas mais frequentemente (</w:t>
      </w:r>
      <w:r w:rsidRPr="00263DB9">
        <w:rPr>
          <w:color w:val="000000"/>
          <w:szCs w:val="22"/>
        </w:rPr>
        <w:sym w:font="Symbol" w:char="F0B3"/>
      </w:r>
      <w:r w:rsidRPr="00263DB9">
        <w:rPr>
          <w:color w:val="000000"/>
          <w:szCs w:val="22"/>
        </w:rPr>
        <w:t> 10%) em ambas as situações foram náuseas ligeiras, vómitos, diarreia, dor abdominal, fadiga, mialgia, cãibras musculares e exantema eritematoso. Edemas superficiais foram um efeito comum em todos os estudos e foram descritos, primariamente, como edemas periorbitários ou dos membros inferiores. No entanto, estes edemas raramente foram graves e puderam ser tratados com diuréticos, outras medidas de suporte ou com a redução da dose de Glivec.</w:t>
      </w:r>
    </w:p>
    <w:p w14:paraId="375EB5DA" w14:textId="77777777" w:rsidR="00C91F25" w:rsidRPr="00263DB9" w:rsidRDefault="00C91F25" w:rsidP="00E51817">
      <w:pPr>
        <w:widowControl w:val="0"/>
        <w:suppressAutoHyphens/>
        <w:rPr>
          <w:color w:val="000000"/>
          <w:szCs w:val="22"/>
        </w:rPr>
      </w:pPr>
    </w:p>
    <w:p w14:paraId="375EB5DB" w14:textId="77777777" w:rsidR="00C91F25" w:rsidRPr="00263DB9" w:rsidRDefault="00C91F25" w:rsidP="00E51817">
      <w:pPr>
        <w:widowControl w:val="0"/>
        <w:suppressAutoHyphens/>
        <w:rPr>
          <w:color w:val="000000"/>
          <w:szCs w:val="22"/>
        </w:rPr>
      </w:pPr>
      <w:r w:rsidRPr="00263DB9">
        <w:rPr>
          <w:color w:val="000000"/>
          <w:szCs w:val="22"/>
        </w:rPr>
        <w:t>Quando o imatinib foi associado a doses elevadas de quimioterapia em doentes LLA Ph+, foi observada uma toxicidade hepática transitória na forma de elevação das transaminases e hiperbilirrubinemia.Considerando a base de dados de segurança limitada, as reacções adversas até agora notificadas em crianças são consistentes com o perfil de segurança conhecido em doentes adultos com LLA Ph+. Os dados de segurança em crianças com LLA Ph+ são muito limitados apesar de não terem sido identificados novos problemas de segurança.</w:t>
      </w:r>
    </w:p>
    <w:p w14:paraId="375EB5DC" w14:textId="77777777" w:rsidR="00C91F25" w:rsidRPr="00263DB9" w:rsidRDefault="00C91F25" w:rsidP="00E51817">
      <w:pPr>
        <w:widowControl w:val="0"/>
        <w:suppressAutoHyphens/>
        <w:rPr>
          <w:color w:val="000000"/>
          <w:szCs w:val="22"/>
        </w:rPr>
      </w:pPr>
    </w:p>
    <w:p w14:paraId="375EB5DD" w14:textId="77777777" w:rsidR="00C91F25" w:rsidRPr="00263DB9" w:rsidRDefault="00C91F25" w:rsidP="00E51817">
      <w:pPr>
        <w:widowControl w:val="0"/>
        <w:suppressAutoHyphens/>
        <w:rPr>
          <w:color w:val="000000"/>
          <w:szCs w:val="22"/>
        </w:rPr>
      </w:pPr>
      <w:r w:rsidRPr="00263DB9">
        <w:rPr>
          <w:color w:val="000000"/>
          <w:szCs w:val="22"/>
        </w:rPr>
        <w:t xml:space="preserve">Reações adversas diversas tais como derrame pleural, ascite, edema pulmonar, e aumento rápido de peso com ou sem edema superficial podem ser descritas coletivamente como “retenção de líquidos”. Estas reações podem geralmente ser tratadas com a interrupção temporária do tratamento com Glivec e com diuréticos e outras medidas apropriadas de cuidados de suporte. No entanto, algumas destas reações podem ser graves ou colocar em risco a vida e vários doentes com crise blástica morreram apresentando história clínica complexa de efusão pleural, insuficiência cardíaca congestiva e insuficiência renal. Nos ensaios clínicos em doentes pediátricos não houve ocorrências particulares em </w:t>
      </w:r>
      <w:r w:rsidRPr="00263DB9">
        <w:rPr>
          <w:color w:val="000000"/>
          <w:szCs w:val="22"/>
        </w:rPr>
        <w:lastRenderedPageBreak/>
        <w:t>termos de segurança.</w:t>
      </w:r>
    </w:p>
    <w:p w14:paraId="375EB5DE" w14:textId="77777777" w:rsidR="00C91F25" w:rsidRPr="00263DB9" w:rsidRDefault="00C91F25" w:rsidP="00E51817">
      <w:pPr>
        <w:widowControl w:val="0"/>
        <w:suppressAutoHyphens/>
        <w:rPr>
          <w:color w:val="000000"/>
          <w:szCs w:val="22"/>
        </w:rPr>
      </w:pPr>
    </w:p>
    <w:p w14:paraId="375EB5DF" w14:textId="77777777" w:rsidR="00C91F25" w:rsidRPr="00263DB9" w:rsidRDefault="00C91F25" w:rsidP="008303F6">
      <w:pPr>
        <w:keepNext/>
        <w:widowControl w:val="0"/>
        <w:suppressAutoHyphens/>
        <w:rPr>
          <w:b/>
          <w:color w:val="000000"/>
          <w:szCs w:val="22"/>
        </w:rPr>
      </w:pPr>
      <w:r w:rsidRPr="00263DB9">
        <w:rPr>
          <w:b/>
          <w:color w:val="000000"/>
          <w:szCs w:val="22"/>
        </w:rPr>
        <w:t>Reações adversas</w:t>
      </w:r>
    </w:p>
    <w:p w14:paraId="375EB5E0" w14:textId="77777777" w:rsidR="00C91F25" w:rsidRPr="00263DB9" w:rsidRDefault="00C91F25" w:rsidP="00E51817">
      <w:pPr>
        <w:widowControl w:val="0"/>
        <w:suppressAutoHyphens/>
        <w:rPr>
          <w:color w:val="000000"/>
          <w:szCs w:val="22"/>
        </w:rPr>
      </w:pPr>
      <w:r w:rsidRPr="00263DB9">
        <w:rPr>
          <w:color w:val="000000"/>
          <w:szCs w:val="22"/>
        </w:rPr>
        <w:t>As reações adversas notificadas como mais do que um caso isolado são listadas em seguida, por classe de sistemas de órgãos e por frequência. As categorias de frequências são definidas usando a seguinte convenção: muito frequentes (≥1/10), frequentes (≥1/100, &lt;1/10), pouco frequentes (≥1/1.000, &lt;1/100), raros (≥1/10.000, &lt;1/1.000)</w:t>
      </w:r>
      <w:r w:rsidRPr="00263DB9">
        <w:rPr>
          <w:noProof/>
          <w:color w:val="000000"/>
        </w:rPr>
        <w:t>, muito raros (&lt;1/10.000), desconhecido (não pode ser calculado a partir dos dados disponíveis)</w:t>
      </w:r>
      <w:r w:rsidRPr="00263DB9">
        <w:rPr>
          <w:color w:val="000000"/>
          <w:szCs w:val="22"/>
        </w:rPr>
        <w:t>.</w:t>
      </w:r>
    </w:p>
    <w:p w14:paraId="375EB5E1" w14:textId="77777777" w:rsidR="00C91F25" w:rsidRPr="00263DB9" w:rsidRDefault="00C91F25" w:rsidP="00E51817">
      <w:pPr>
        <w:widowControl w:val="0"/>
        <w:suppressAutoHyphens/>
        <w:rPr>
          <w:color w:val="000000"/>
          <w:szCs w:val="22"/>
        </w:rPr>
      </w:pPr>
    </w:p>
    <w:p w14:paraId="375EB5E2" w14:textId="77777777" w:rsidR="00C91F25" w:rsidRPr="00263DB9" w:rsidRDefault="00C91F25" w:rsidP="00E51817">
      <w:pPr>
        <w:widowControl w:val="0"/>
        <w:suppressAutoHyphens/>
        <w:rPr>
          <w:color w:val="000000"/>
          <w:szCs w:val="22"/>
        </w:rPr>
      </w:pPr>
      <w:r w:rsidRPr="00263DB9">
        <w:rPr>
          <w:color w:val="000000"/>
          <w:szCs w:val="22"/>
        </w:rPr>
        <w:t>Os efeitos indesejáveis são apresentados por ordem de frequência, os mais frequentes em primeiro lugar, dentro de cada classe de frequência.</w:t>
      </w:r>
    </w:p>
    <w:p w14:paraId="375EB5E3" w14:textId="77777777" w:rsidR="00C91F25" w:rsidRPr="00263DB9" w:rsidRDefault="00C91F25" w:rsidP="00E51817">
      <w:pPr>
        <w:widowControl w:val="0"/>
        <w:suppressAutoHyphens/>
        <w:rPr>
          <w:color w:val="000000"/>
          <w:szCs w:val="22"/>
        </w:rPr>
      </w:pPr>
    </w:p>
    <w:p w14:paraId="375EB5E4" w14:textId="77777777" w:rsidR="00C91F25" w:rsidRPr="00263DB9" w:rsidRDefault="00C91F25" w:rsidP="00E51817">
      <w:pPr>
        <w:widowControl w:val="0"/>
        <w:suppressAutoHyphens/>
        <w:rPr>
          <w:color w:val="000000"/>
          <w:szCs w:val="22"/>
        </w:rPr>
      </w:pPr>
      <w:r w:rsidRPr="00263DB9">
        <w:rPr>
          <w:color w:val="000000"/>
          <w:szCs w:val="22"/>
        </w:rPr>
        <w:t xml:space="preserve">As reações adversas e as suas frequências </w:t>
      </w:r>
      <w:r w:rsidR="00022E28" w:rsidRPr="00263DB9">
        <w:rPr>
          <w:color w:val="000000"/>
          <w:szCs w:val="22"/>
        </w:rPr>
        <w:t xml:space="preserve">são </w:t>
      </w:r>
      <w:r w:rsidRPr="00263DB9">
        <w:rPr>
          <w:color w:val="000000"/>
          <w:szCs w:val="22"/>
        </w:rPr>
        <w:t>apresentadas na Tabela 1.</w:t>
      </w:r>
    </w:p>
    <w:p w14:paraId="375EB5E5" w14:textId="77777777" w:rsidR="00C91F25" w:rsidRPr="00263DB9" w:rsidRDefault="00C91F25" w:rsidP="00E51817">
      <w:pPr>
        <w:widowControl w:val="0"/>
        <w:suppressAutoHyphens/>
        <w:rPr>
          <w:color w:val="000000"/>
          <w:szCs w:val="22"/>
        </w:rPr>
      </w:pPr>
    </w:p>
    <w:p w14:paraId="375EB5E6" w14:textId="77777777" w:rsidR="00C91F25" w:rsidRPr="00263DB9" w:rsidRDefault="00C91F25" w:rsidP="008303F6">
      <w:pPr>
        <w:keepNext/>
        <w:widowControl w:val="0"/>
        <w:suppressAutoHyphens/>
        <w:rPr>
          <w:color w:val="000000"/>
          <w:szCs w:val="22"/>
        </w:rPr>
      </w:pPr>
      <w:r w:rsidRPr="00263DB9">
        <w:rPr>
          <w:b/>
          <w:color w:val="000000"/>
          <w:szCs w:val="22"/>
        </w:rPr>
        <w:t>Tabela 1</w:t>
      </w:r>
      <w:r w:rsidRPr="00263DB9">
        <w:rPr>
          <w:b/>
          <w:color w:val="000000"/>
          <w:szCs w:val="22"/>
        </w:rPr>
        <w:tab/>
      </w:r>
      <w:r w:rsidR="00022E28" w:rsidRPr="00263DB9">
        <w:rPr>
          <w:b/>
          <w:color w:val="000000"/>
          <w:szCs w:val="22"/>
        </w:rPr>
        <w:t>Tabela contendo resumo das r</w:t>
      </w:r>
      <w:r w:rsidRPr="00263DB9">
        <w:rPr>
          <w:b/>
          <w:color w:val="000000"/>
          <w:szCs w:val="22"/>
        </w:rPr>
        <w:t>eações adversas</w:t>
      </w:r>
    </w:p>
    <w:p w14:paraId="375EB5E7" w14:textId="77777777" w:rsidR="00C91F25" w:rsidRPr="00263DB9" w:rsidRDefault="00C91F25" w:rsidP="008303F6">
      <w:pPr>
        <w:keepNext/>
        <w:widowControl w:val="0"/>
        <w:rPr>
          <w:color w:val="000000"/>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C91F25" w:rsidRPr="00263DB9" w14:paraId="375EB5E9" w14:textId="77777777" w:rsidTr="008303F6">
        <w:trPr>
          <w:cantSplit/>
        </w:trPr>
        <w:tc>
          <w:tcPr>
            <w:tcW w:w="9322" w:type="dxa"/>
            <w:gridSpan w:val="2"/>
          </w:tcPr>
          <w:p w14:paraId="375EB5E8" w14:textId="77777777" w:rsidR="00C91F25" w:rsidRPr="00263DB9" w:rsidRDefault="00C91F25" w:rsidP="008303F6">
            <w:pPr>
              <w:keepNext/>
              <w:widowControl w:val="0"/>
              <w:tabs>
                <w:tab w:val="left" w:pos="567"/>
              </w:tabs>
              <w:spacing w:line="260" w:lineRule="exact"/>
              <w:rPr>
                <w:b/>
                <w:color w:val="000000"/>
                <w:szCs w:val="22"/>
              </w:rPr>
            </w:pPr>
            <w:r w:rsidRPr="00263DB9">
              <w:rPr>
                <w:b/>
                <w:color w:val="000000"/>
                <w:szCs w:val="22"/>
              </w:rPr>
              <w:t>Infeções e infestações</w:t>
            </w:r>
          </w:p>
        </w:tc>
      </w:tr>
      <w:tr w:rsidR="00C91F25" w:rsidRPr="00263DB9" w14:paraId="375EB5EC" w14:textId="77777777" w:rsidTr="008303F6">
        <w:trPr>
          <w:cantSplit/>
        </w:trPr>
        <w:tc>
          <w:tcPr>
            <w:tcW w:w="2235" w:type="dxa"/>
          </w:tcPr>
          <w:p w14:paraId="375EB5EA" w14:textId="77777777" w:rsidR="00C91F25" w:rsidRPr="00263DB9" w:rsidRDefault="00C91F25" w:rsidP="008303F6">
            <w:pPr>
              <w:keepNext/>
              <w:widowControl w:val="0"/>
              <w:tabs>
                <w:tab w:val="left" w:pos="567"/>
              </w:tabs>
              <w:spacing w:line="260" w:lineRule="exact"/>
              <w:rPr>
                <w:bCs/>
                <w:i/>
                <w:iCs/>
                <w:color w:val="000000"/>
                <w:szCs w:val="22"/>
              </w:rPr>
            </w:pPr>
            <w:r w:rsidRPr="00263DB9">
              <w:rPr>
                <w:bCs/>
                <w:i/>
                <w:iCs/>
                <w:color w:val="000000"/>
                <w:szCs w:val="22"/>
              </w:rPr>
              <w:t>Pouco frequentes:</w:t>
            </w:r>
          </w:p>
        </w:tc>
        <w:tc>
          <w:tcPr>
            <w:tcW w:w="7087" w:type="dxa"/>
          </w:tcPr>
          <w:p w14:paraId="375EB5EB" w14:textId="77777777" w:rsidR="00C91F25" w:rsidRPr="00263DB9" w:rsidRDefault="00C91F25" w:rsidP="008303F6">
            <w:pPr>
              <w:keepNext/>
              <w:widowControl w:val="0"/>
              <w:tabs>
                <w:tab w:val="left" w:pos="567"/>
              </w:tabs>
              <w:spacing w:line="260" w:lineRule="exact"/>
              <w:rPr>
                <w:bCs/>
                <w:color w:val="000000"/>
                <w:szCs w:val="22"/>
              </w:rPr>
            </w:pPr>
            <w:r w:rsidRPr="00263DB9">
              <w:rPr>
                <w:bCs/>
                <w:color w:val="000000"/>
                <w:szCs w:val="22"/>
              </w:rPr>
              <w:t>Herpes zoster, herpes simplex, nasofaringite, pneumonia</w:t>
            </w:r>
            <w:r w:rsidRPr="00263DB9">
              <w:rPr>
                <w:bCs/>
                <w:color w:val="000000"/>
                <w:szCs w:val="22"/>
                <w:vertAlign w:val="superscript"/>
              </w:rPr>
              <w:t>1</w:t>
            </w:r>
            <w:r w:rsidRPr="00263DB9">
              <w:rPr>
                <w:bCs/>
                <w:color w:val="000000"/>
                <w:szCs w:val="22"/>
              </w:rPr>
              <w:t>, sinusite, celulite, infeções do trato respiratório superior, gripe, infeções do trato urinário, gastroenterite, sepsis</w:t>
            </w:r>
          </w:p>
        </w:tc>
      </w:tr>
      <w:tr w:rsidR="00C91F25" w:rsidRPr="00263DB9" w14:paraId="375EB5EF" w14:textId="77777777" w:rsidTr="008303F6">
        <w:trPr>
          <w:cantSplit/>
        </w:trPr>
        <w:tc>
          <w:tcPr>
            <w:tcW w:w="2235" w:type="dxa"/>
          </w:tcPr>
          <w:p w14:paraId="375EB5ED" w14:textId="77777777" w:rsidR="00C91F25" w:rsidRPr="00263DB9" w:rsidRDefault="00C91F25" w:rsidP="008303F6">
            <w:pPr>
              <w:keepNext/>
              <w:widowControl w:val="0"/>
              <w:tabs>
                <w:tab w:val="left" w:pos="567"/>
              </w:tabs>
              <w:spacing w:line="260" w:lineRule="exact"/>
              <w:rPr>
                <w:bCs/>
                <w:i/>
                <w:iCs/>
                <w:color w:val="000000"/>
                <w:szCs w:val="22"/>
              </w:rPr>
            </w:pPr>
            <w:r w:rsidRPr="00263DB9">
              <w:rPr>
                <w:bCs/>
                <w:i/>
                <w:iCs/>
                <w:color w:val="000000"/>
                <w:szCs w:val="22"/>
              </w:rPr>
              <w:t>Raros:</w:t>
            </w:r>
          </w:p>
        </w:tc>
        <w:tc>
          <w:tcPr>
            <w:tcW w:w="7087" w:type="dxa"/>
          </w:tcPr>
          <w:p w14:paraId="375EB5EE" w14:textId="77777777" w:rsidR="00C91F25" w:rsidRPr="00263DB9" w:rsidRDefault="00C91F25" w:rsidP="008303F6">
            <w:pPr>
              <w:keepNext/>
              <w:widowControl w:val="0"/>
              <w:tabs>
                <w:tab w:val="left" w:pos="567"/>
              </w:tabs>
              <w:spacing w:line="260" w:lineRule="exact"/>
              <w:rPr>
                <w:bCs/>
                <w:color w:val="000000"/>
                <w:szCs w:val="22"/>
              </w:rPr>
            </w:pPr>
            <w:r w:rsidRPr="00263DB9">
              <w:rPr>
                <w:bCs/>
                <w:color w:val="000000"/>
                <w:szCs w:val="22"/>
              </w:rPr>
              <w:t>Infeções fúngicas</w:t>
            </w:r>
          </w:p>
        </w:tc>
      </w:tr>
      <w:tr w:rsidR="007B4B31" w:rsidRPr="00263DB9" w14:paraId="375EB5F2" w14:textId="77777777" w:rsidTr="008303F6">
        <w:trPr>
          <w:cantSplit/>
        </w:trPr>
        <w:tc>
          <w:tcPr>
            <w:tcW w:w="2235" w:type="dxa"/>
          </w:tcPr>
          <w:p w14:paraId="375EB5F0" w14:textId="77777777" w:rsidR="007B4B31" w:rsidRPr="00263DB9" w:rsidRDefault="007B4B31" w:rsidP="008303F6">
            <w:pPr>
              <w:keepNext/>
              <w:widowControl w:val="0"/>
              <w:tabs>
                <w:tab w:val="left" w:pos="567"/>
              </w:tabs>
              <w:spacing w:line="260" w:lineRule="exact"/>
              <w:rPr>
                <w:bCs/>
                <w:i/>
                <w:iCs/>
                <w:color w:val="000000"/>
                <w:szCs w:val="22"/>
              </w:rPr>
            </w:pPr>
            <w:r w:rsidRPr="00263DB9">
              <w:rPr>
                <w:bCs/>
                <w:i/>
                <w:iCs/>
                <w:color w:val="000000"/>
                <w:szCs w:val="22"/>
              </w:rPr>
              <w:t>Desconhecido:</w:t>
            </w:r>
          </w:p>
        </w:tc>
        <w:tc>
          <w:tcPr>
            <w:tcW w:w="7087" w:type="dxa"/>
          </w:tcPr>
          <w:p w14:paraId="375EB5F1" w14:textId="77777777" w:rsidR="007B4B31" w:rsidRPr="00263DB9" w:rsidRDefault="007B4B31" w:rsidP="008303F6">
            <w:pPr>
              <w:keepNext/>
              <w:widowControl w:val="0"/>
              <w:tabs>
                <w:tab w:val="left" w:pos="567"/>
              </w:tabs>
              <w:spacing w:line="260" w:lineRule="exact"/>
              <w:rPr>
                <w:bCs/>
                <w:color w:val="000000"/>
                <w:szCs w:val="22"/>
              </w:rPr>
            </w:pPr>
            <w:r w:rsidRPr="00263DB9">
              <w:rPr>
                <w:bCs/>
                <w:color w:val="000000"/>
                <w:szCs w:val="22"/>
              </w:rPr>
              <w:t>Reativação da Hepatite B*</w:t>
            </w:r>
          </w:p>
        </w:tc>
      </w:tr>
      <w:tr w:rsidR="00C91F25" w:rsidRPr="00263DB9" w14:paraId="375EB5F4" w14:textId="77777777" w:rsidTr="008303F6">
        <w:trPr>
          <w:cantSplit/>
        </w:trPr>
        <w:tc>
          <w:tcPr>
            <w:tcW w:w="9322" w:type="dxa"/>
            <w:gridSpan w:val="2"/>
          </w:tcPr>
          <w:p w14:paraId="375EB5F3" w14:textId="77777777" w:rsidR="00C91F25" w:rsidRPr="00263DB9" w:rsidRDefault="00C91F25" w:rsidP="008303F6">
            <w:pPr>
              <w:keepNext/>
              <w:widowControl w:val="0"/>
              <w:tabs>
                <w:tab w:val="left" w:pos="567"/>
              </w:tabs>
              <w:spacing w:line="260" w:lineRule="exact"/>
              <w:rPr>
                <w:b/>
                <w:color w:val="000000"/>
                <w:szCs w:val="22"/>
              </w:rPr>
            </w:pPr>
            <w:r w:rsidRPr="00263DB9">
              <w:rPr>
                <w:b/>
                <w:color w:val="000000"/>
                <w:szCs w:val="22"/>
              </w:rPr>
              <w:t>Neoplasias benignas malignas e não especificadas (incluindo quistos e polipos)</w:t>
            </w:r>
          </w:p>
        </w:tc>
      </w:tr>
      <w:tr w:rsidR="00C91F25" w:rsidRPr="00263DB9" w14:paraId="375EB5F7" w14:textId="77777777" w:rsidTr="008303F6">
        <w:trPr>
          <w:cantSplit/>
        </w:trPr>
        <w:tc>
          <w:tcPr>
            <w:tcW w:w="2235" w:type="dxa"/>
          </w:tcPr>
          <w:p w14:paraId="375EB5F5" w14:textId="77777777" w:rsidR="00C91F25" w:rsidRPr="00263DB9" w:rsidRDefault="00C91F25" w:rsidP="008303F6">
            <w:pPr>
              <w:keepNext/>
              <w:widowControl w:val="0"/>
              <w:rPr>
                <w:i/>
                <w:color w:val="000000"/>
                <w:szCs w:val="22"/>
              </w:rPr>
            </w:pPr>
            <w:r w:rsidRPr="00263DB9">
              <w:rPr>
                <w:bCs/>
                <w:i/>
                <w:iCs/>
                <w:color w:val="000000"/>
                <w:szCs w:val="22"/>
              </w:rPr>
              <w:t>Raros:</w:t>
            </w:r>
          </w:p>
        </w:tc>
        <w:tc>
          <w:tcPr>
            <w:tcW w:w="7087" w:type="dxa"/>
          </w:tcPr>
          <w:p w14:paraId="375EB5F6" w14:textId="77777777" w:rsidR="00C91F25" w:rsidRPr="00263DB9" w:rsidRDefault="00C91F25" w:rsidP="008303F6">
            <w:pPr>
              <w:keepNext/>
              <w:widowControl w:val="0"/>
              <w:tabs>
                <w:tab w:val="left" w:pos="567"/>
              </w:tabs>
              <w:spacing w:line="260" w:lineRule="exact"/>
              <w:rPr>
                <w:color w:val="000000"/>
                <w:szCs w:val="22"/>
              </w:rPr>
            </w:pPr>
            <w:r w:rsidRPr="00263DB9">
              <w:rPr>
                <w:color w:val="000000"/>
                <w:szCs w:val="22"/>
              </w:rPr>
              <w:t>Síndrome de lise tumoral</w:t>
            </w:r>
          </w:p>
        </w:tc>
      </w:tr>
      <w:tr w:rsidR="00022E28" w:rsidRPr="00263DB9" w14:paraId="375EB5FA" w14:textId="77777777" w:rsidTr="008303F6">
        <w:trPr>
          <w:cantSplit/>
        </w:trPr>
        <w:tc>
          <w:tcPr>
            <w:tcW w:w="2235" w:type="dxa"/>
          </w:tcPr>
          <w:p w14:paraId="375EB5F8" w14:textId="77777777" w:rsidR="00022E28" w:rsidRPr="00263DB9" w:rsidRDefault="00022E28" w:rsidP="00E51817">
            <w:pPr>
              <w:widowControl w:val="0"/>
              <w:rPr>
                <w:bCs/>
                <w:i/>
                <w:iCs/>
                <w:color w:val="000000"/>
                <w:szCs w:val="22"/>
              </w:rPr>
            </w:pPr>
            <w:r w:rsidRPr="00263DB9">
              <w:rPr>
                <w:bCs/>
                <w:i/>
                <w:iCs/>
                <w:color w:val="000000"/>
                <w:szCs w:val="22"/>
              </w:rPr>
              <w:t>Desconhecido:</w:t>
            </w:r>
          </w:p>
        </w:tc>
        <w:tc>
          <w:tcPr>
            <w:tcW w:w="7087" w:type="dxa"/>
          </w:tcPr>
          <w:p w14:paraId="375EB5F9" w14:textId="77777777" w:rsidR="00022E28" w:rsidRPr="00263DB9" w:rsidRDefault="00022E28" w:rsidP="00E51817">
            <w:pPr>
              <w:widowControl w:val="0"/>
              <w:tabs>
                <w:tab w:val="left" w:pos="567"/>
              </w:tabs>
              <w:spacing w:line="260" w:lineRule="exact"/>
              <w:rPr>
                <w:color w:val="000000"/>
                <w:szCs w:val="22"/>
              </w:rPr>
            </w:pPr>
            <w:r w:rsidRPr="00263DB9">
              <w:rPr>
                <w:color w:val="000000"/>
                <w:szCs w:val="22"/>
              </w:rPr>
              <w:t>Hemorragia tumoral/necrose tumoral*</w:t>
            </w:r>
          </w:p>
        </w:tc>
      </w:tr>
      <w:tr w:rsidR="00022E28" w:rsidRPr="00263DB9" w14:paraId="375EB5FC" w14:textId="77777777" w:rsidTr="008303F6">
        <w:trPr>
          <w:cantSplit/>
        </w:trPr>
        <w:tc>
          <w:tcPr>
            <w:tcW w:w="9322" w:type="dxa"/>
            <w:gridSpan w:val="2"/>
          </w:tcPr>
          <w:p w14:paraId="375EB5FB" w14:textId="77777777" w:rsidR="00022E28" w:rsidRPr="00263DB9" w:rsidRDefault="00022E28" w:rsidP="008303F6">
            <w:pPr>
              <w:keepNext/>
              <w:widowControl w:val="0"/>
              <w:tabs>
                <w:tab w:val="left" w:pos="567"/>
              </w:tabs>
              <w:spacing w:line="260" w:lineRule="exact"/>
              <w:rPr>
                <w:b/>
                <w:color w:val="000000"/>
                <w:szCs w:val="22"/>
              </w:rPr>
            </w:pPr>
            <w:r w:rsidRPr="00263DB9">
              <w:rPr>
                <w:b/>
                <w:color w:val="000000"/>
                <w:szCs w:val="22"/>
                <w:lang w:val="en-US"/>
              </w:rPr>
              <w:t>Doenças do sistema imunitário</w:t>
            </w:r>
          </w:p>
        </w:tc>
      </w:tr>
      <w:tr w:rsidR="00022E28" w:rsidRPr="00263DB9" w14:paraId="375EB5FF" w14:textId="77777777" w:rsidTr="008303F6">
        <w:trPr>
          <w:cantSplit/>
        </w:trPr>
        <w:tc>
          <w:tcPr>
            <w:tcW w:w="2235" w:type="dxa"/>
          </w:tcPr>
          <w:p w14:paraId="375EB5FD" w14:textId="77777777" w:rsidR="00022E28" w:rsidRPr="00263DB9" w:rsidRDefault="00022E28" w:rsidP="00E51817">
            <w:pPr>
              <w:widowControl w:val="0"/>
              <w:rPr>
                <w:i/>
                <w:color w:val="000000"/>
                <w:szCs w:val="22"/>
              </w:rPr>
            </w:pPr>
            <w:r w:rsidRPr="00263DB9">
              <w:rPr>
                <w:bCs/>
                <w:i/>
                <w:iCs/>
                <w:color w:val="000000"/>
                <w:szCs w:val="22"/>
              </w:rPr>
              <w:t>Raros:</w:t>
            </w:r>
          </w:p>
        </w:tc>
        <w:tc>
          <w:tcPr>
            <w:tcW w:w="7087" w:type="dxa"/>
          </w:tcPr>
          <w:p w14:paraId="375EB5FE" w14:textId="77777777" w:rsidR="00022E28" w:rsidRPr="00263DB9" w:rsidRDefault="00022E28" w:rsidP="00E51817">
            <w:pPr>
              <w:widowControl w:val="0"/>
              <w:tabs>
                <w:tab w:val="left" w:pos="567"/>
              </w:tabs>
              <w:spacing w:line="260" w:lineRule="exact"/>
              <w:rPr>
                <w:color w:val="000000"/>
                <w:szCs w:val="22"/>
              </w:rPr>
            </w:pPr>
            <w:r w:rsidRPr="00263DB9">
              <w:rPr>
                <w:color w:val="000000"/>
                <w:szCs w:val="22"/>
              </w:rPr>
              <w:t>Choque anafilático*</w:t>
            </w:r>
          </w:p>
        </w:tc>
      </w:tr>
      <w:tr w:rsidR="00C91F25" w:rsidRPr="00263DB9" w14:paraId="375EB601" w14:textId="77777777" w:rsidTr="008303F6">
        <w:trPr>
          <w:cantSplit/>
        </w:trPr>
        <w:tc>
          <w:tcPr>
            <w:tcW w:w="9322" w:type="dxa"/>
            <w:gridSpan w:val="2"/>
          </w:tcPr>
          <w:p w14:paraId="375EB600" w14:textId="77777777" w:rsidR="00C91F25" w:rsidRPr="00263DB9" w:rsidRDefault="00C91F25" w:rsidP="008303F6">
            <w:pPr>
              <w:keepNext/>
              <w:widowControl w:val="0"/>
              <w:tabs>
                <w:tab w:val="left" w:pos="567"/>
              </w:tabs>
              <w:spacing w:line="260" w:lineRule="exact"/>
              <w:rPr>
                <w:color w:val="000000"/>
              </w:rPr>
            </w:pPr>
            <w:r w:rsidRPr="00263DB9">
              <w:rPr>
                <w:b/>
                <w:color w:val="000000"/>
                <w:szCs w:val="22"/>
              </w:rPr>
              <w:t>Doenças do sangue e do sistema linfático</w:t>
            </w:r>
          </w:p>
        </w:tc>
      </w:tr>
      <w:tr w:rsidR="00C91F25" w:rsidRPr="00263DB9" w14:paraId="375EB604" w14:textId="77777777" w:rsidTr="008303F6">
        <w:trPr>
          <w:cantSplit/>
        </w:trPr>
        <w:tc>
          <w:tcPr>
            <w:tcW w:w="2235" w:type="dxa"/>
          </w:tcPr>
          <w:p w14:paraId="375EB602"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Muito frequentes:</w:t>
            </w:r>
          </w:p>
        </w:tc>
        <w:tc>
          <w:tcPr>
            <w:tcW w:w="7087" w:type="dxa"/>
          </w:tcPr>
          <w:p w14:paraId="375EB603"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Neutropenia, trombocitopenia, anemia</w:t>
            </w:r>
          </w:p>
        </w:tc>
      </w:tr>
      <w:tr w:rsidR="00C91F25" w:rsidRPr="00263DB9" w14:paraId="375EB607" w14:textId="77777777" w:rsidTr="008303F6">
        <w:trPr>
          <w:cantSplit/>
        </w:trPr>
        <w:tc>
          <w:tcPr>
            <w:tcW w:w="2235" w:type="dxa"/>
          </w:tcPr>
          <w:p w14:paraId="375EB605"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Frequentes:</w:t>
            </w:r>
          </w:p>
        </w:tc>
        <w:tc>
          <w:tcPr>
            <w:tcW w:w="7087" w:type="dxa"/>
          </w:tcPr>
          <w:p w14:paraId="375EB606"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Pancitopenia, neutropenia febril</w:t>
            </w:r>
          </w:p>
        </w:tc>
      </w:tr>
      <w:tr w:rsidR="00C91F25" w:rsidRPr="00263DB9" w14:paraId="375EB60A" w14:textId="77777777" w:rsidTr="008303F6">
        <w:trPr>
          <w:cantSplit/>
        </w:trPr>
        <w:tc>
          <w:tcPr>
            <w:tcW w:w="2235" w:type="dxa"/>
          </w:tcPr>
          <w:p w14:paraId="375EB608"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Pouco frequentes:</w:t>
            </w:r>
          </w:p>
        </w:tc>
        <w:tc>
          <w:tcPr>
            <w:tcW w:w="7087" w:type="dxa"/>
          </w:tcPr>
          <w:p w14:paraId="375EB609"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Trombocitemia, linfopenia, depressão da medula óssea, eosinofilia, linfadenopatia</w:t>
            </w:r>
          </w:p>
        </w:tc>
      </w:tr>
      <w:tr w:rsidR="00C91F25" w:rsidRPr="00263DB9" w14:paraId="375EB60D" w14:textId="77777777" w:rsidTr="008303F6">
        <w:trPr>
          <w:cantSplit/>
        </w:trPr>
        <w:tc>
          <w:tcPr>
            <w:tcW w:w="2235" w:type="dxa"/>
          </w:tcPr>
          <w:p w14:paraId="375EB60B" w14:textId="77777777" w:rsidR="00C91F25" w:rsidRPr="00263DB9" w:rsidRDefault="00C91F25" w:rsidP="00E51817">
            <w:pPr>
              <w:widowControl w:val="0"/>
              <w:tabs>
                <w:tab w:val="left" w:pos="567"/>
              </w:tabs>
              <w:spacing w:line="260" w:lineRule="exact"/>
              <w:rPr>
                <w:i/>
                <w:color w:val="000000"/>
              </w:rPr>
            </w:pPr>
            <w:r w:rsidRPr="00263DB9">
              <w:rPr>
                <w:i/>
                <w:color w:val="000000"/>
              </w:rPr>
              <w:t>Raros:</w:t>
            </w:r>
          </w:p>
        </w:tc>
        <w:tc>
          <w:tcPr>
            <w:tcW w:w="7087" w:type="dxa"/>
          </w:tcPr>
          <w:p w14:paraId="375EB60C" w14:textId="77777777" w:rsidR="00C91F25" w:rsidRPr="00263DB9" w:rsidRDefault="00C91F25" w:rsidP="00E51817">
            <w:pPr>
              <w:widowControl w:val="0"/>
              <w:tabs>
                <w:tab w:val="left" w:pos="567"/>
              </w:tabs>
              <w:spacing w:line="260" w:lineRule="exact"/>
              <w:rPr>
                <w:color w:val="000000"/>
              </w:rPr>
            </w:pPr>
            <w:r w:rsidRPr="00263DB9">
              <w:rPr>
                <w:color w:val="000000"/>
              </w:rPr>
              <w:t>Anemia hemolítica</w:t>
            </w:r>
            <w:r w:rsidR="00950C2C" w:rsidRPr="00263DB9">
              <w:rPr>
                <w:color w:val="000000"/>
              </w:rPr>
              <w:t>, microangiopatia trombótica</w:t>
            </w:r>
          </w:p>
        </w:tc>
      </w:tr>
      <w:tr w:rsidR="00C91F25" w:rsidRPr="00263DB9" w14:paraId="375EB60F" w14:textId="77777777" w:rsidTr="008303F6">
        <w:trPr>
          <w:cantSplit/>
        </w:trPr>
        <w:tc>
          <w:tcPr>
            <w:tcW w:w="9322" w:type="dxa"/>
            <w:gridSpan w:val="2"/>
          </w:tcPr>
          <w:p w14:paraId="375EB60E" w14:textId="77777777" w:rsidR="00C91F25" w:rsidRPr="00263DB9" w:rsidRDefault="00C91F25" w:rsidP="008303F6">
            <w:pPr>
              <w:keepNext/>
              <w:widowControl w:val="0"/>
              <w:tabs>
                <w:tab w:val="left" w:pos="567"/>
              </w:tabs>
              <w:spacing w:line="260" w:lineRule="exact"/>
              <w:rPr>
                <w:b/>
                <w:color w:val="000000"/>
                <w:szCs w:val="22"/>
              </w:rPr>
            </w:pPr>
            <w:r w:rsidRPr="00263DB9">
              <w:rPr>
                <w:b/>
                <w:color w:val="000000"/>
                <w:szCs w:val="22"/>
              </w:rPr>
              <w:t>Doenças do metabolismo e da nutrição</w:t>
            </w:r>
          </w:p>
        </w:tc>
      </w:tr>
      <w:tr w:rsidR="00C91F25" w:rsidRPr="00263DB9" w14:paraId="375EB612" w14:textId="77777777" w:rsidTr="008303F6">
        <w:trPr>
          <w:cantSplit/>
          <w:trHeight w:val="260"/>
        </w:trPr>
        <w:tc>
          <w:tcPr>
            <w:tcW w:w="2235" w:type="dxa"/>
          </w:tcPr>
          <w:p w14:paraId="375EB610" w14:textId="77777777" w:rsidR="00C91F25" w:rsidRPr="00263DB9" w:rsidRDefault="00C91F25" w:rsidP="008303F6">
            <w:pPr>
              <w:keepNext/>
              <w:widowControl w:val="0"/>
              <w:tabs>
                <w:tab w:val="left" w:pos="567"/>
              </w:tabs>
              <w:spacing w:line="260" w:lineRule="exact"/>
              <w:rPr>
                <w:bCs/>
                <w:i/>
                <w:iCs/>
                <w:color w:val="000000"/>
                <w:szCs w:val="22"/>
              </w:rPr>
            </w:pPr>
            <w:r w:rsidRPr="00263DB9">
              <w:rPr>
                <w:bCs/>
                <w:i/>
                <w:iCs/>
                <w:color w:val="000000"/>
                <w:szCs w:val="22"/>
              </w:rPr>
              <w:t>Frequentes:</w:t>
            </w:r>
          </w:p>
        </w:tc>
        <w:tc>
          <w:tcPr>
            <w:tcW w:w="7087" w:type="dxa"/>
          </w:tcPr>
          <w:p w14:paraId="375EB611" w14:textId="77777777" w:rsidR="00C91F25" w:rsidRPr="00263DB9" w:rsidRDefault="00C91F25" w:rsidP="008303F6">
            <w:pPr>
              <w:keepNext/>
              <w:widowControl w:val="0"/>
              <w:tabs>
                <w:tab w:val="left" w:pos="567"/>
              </w:tabs>
              <w:spacing w:line="260" w:lineRule="exact"/>
              <w:rPr>
                <w:bCs/>
                <w:color w:val="000000"/>
                <w:szCs w:val="22"/>
              </w:rPr>
            </w:pPr>
            <w:r w:rsidRPr="00263DB9">
              <w:rPr>
                <w:bCs/>
                <w:color w:val="000000"/>
                <w:szCs w:val="22"/>
              </w:rPr>
              <w:t>Anorexia</w:t>
            </w:r>
          </w:p>
        </w:tc>
      </w:tr>
      <w:tr w:rsidR="00C91F25" w:rsidRPr="00263DB9" w14:paraId="375EB615" w14:textId="77777777" w:rsidTr="008303F6">
        <w:trPr>
          <w:cantSplit/>
          <w:trHeight w:val="260"/>
        </w:trPr>
        <w:tc>
          <w:tcPr>
            <w:tcW w:w="2235" w:type="dxa"/>
          </w:tcPr>
          <w:p w14:paraId="375EB613" w14:textId="77777777" w:rsidR="00C91F25" w:rsidRPr="00263DB9" w:rsidRDefault="00C91F25" w:rsidP="008303F6">
            <w:pPr>
              <w:keepNext/>
              <w:widowControl w:val="0"/>
              <w:tabs>
                <w:tab w:val="left" w:pos="567"/>
              </w:tabs>
              <w:spacing w:line="260" w:lineRule="exact"/>
              <w:rPr>
                <w:bCs/>
                <w:i/>
                <w:iCs/>
                <w:color w:val="000000"/>
                <w:szCs w:val="22"/>
              </w:rPr>
            </w:pPr>
            <w:r w:rsidRPr="00263DB9">
              <w:rPr>
                <w:bCs/>
                <w:i/>
                <w:iCs/>
                <w:color w:val="000000"/>
                <w:szCs w:val="22"/>
              </w:rPr>
              <w:t>Pouco frequentes:</w:t>
            </w:r>
          </w:p>
        </w:tc>
        <w:tc>
          <w:tcPr>
            <w:tcW w:w="7087" w:type="dxa"/>
          </w:tcPr>
          <w:p w14:paraId="375EB614" w14:textId="77777777" w:rsidR="00C91F25" w:rsidRPr="00263DB9" w:rsidRDefault="00C91F25" w:rsidP="008303F6">
            <w:pPr>
              <w:keepNext/>
              <w:widowControl w:val="0"/>
              <w:tabs>
                <w:tab w:val="left" w:pos="567"/>
              </w:tabs>
              <w:spacing w:line="260" w:lineRule="exact"/>
              <w:rPr>
                <w:bCs/>
                <w:color w:val="000000"/>
                <w:szCs w:val="22"/>
              </w:rPr>
            </w:pPr>
            <w:r w:rsidRPr="00263DB9">
              <w:rPr>
                <w:bCs/>
                <w:color w:val="000000"/>
                <w:szCs w:val="22"/>
              </w:rPr>
              <w:t>Hipocaliemia, aumento do apetite, hipofosfatemia, diminuição do apetite, desidratação, gota, hiperuricemia, hipercalcemia, hiperglicemia, hiponatriemia</w:t>
            </w:r>
          </w:p>
        </w:tc>
      </w:tr>
      <w:tr w:rsidR="00C91F25" w:rsidRPr="00263DB9" w14:paraId="375EB618" w14:textId="77777777" w:rsidTr="008303F6">
        <w:trPr>
          <w:cantSplit/>
          <w:trHeight w:val="260"/>
        </w:trPr>
        <w:tc>
          <w:tcPr>
            <w:tcW w:w="2235" w:type="dxa"/>
          </w:tcPr>
          <w:p w14:paraId="375EB616" w14:textId="77777777" w:rsidR="00C91F25" w:rsidRPr="00263DB9" w:rsidRDefault="00C91F25" w:rsidP="00E51817">
            <w:pPr>
              <w:widowControl w:val="0"/>
              <w:tabs>
                <w:tab w:val="left" w:pos="567"/>
              </w:tabs>
              <w:spacing w:line="260" w:lineRule="exact"/>
              <w:rPr>
                <w:bCs/>
                <w:i/>
                <w:iCs/>
                <w:color w:val="000000"/>
                <w:szCs w:val="22"/>
              </w:rPr>
            </w:pPr>
            <w:r w:rsidRPr="00263DB9">
              <w:rPr>
                <w:bCs/>
                <w:i/>
                <w:iCs/>
                <w:color w:val="000000"/>
                <w:szCs w:val="22"/>
              </w:rPr>
              <w:t>Raros:</w:t>
            </w:r>
          </w:p>
        </w:tc>
        <w:tc>
          <w:tcPr>
            <w:tcW w:w="7087" w:type="dxa"/>
          </w:tcPr>
          <w:p w14:paraId="375EB617" w14:textId="77777777" w:rsidR="00C91F25" w:rsidRPr="00263DB9" w:rsidRDefault="00C91F25" w:rsidP="00E51817">
            <w:pPr>
              <w:widowControl w:val="0"/>
              <w:tabs>
                <w:tab w:val="left" w:pos="567"/>
              </w:tabs>
              <w:spacing w:line="260" w:lineRule="exact"/>
              <w:rPr>
                <w:bCs/>
                <w:color w:val="000000"/>
                <w:szCs w:val="22"/>
              </w:rPr>
            </w:pPr>
            <w:r w:rsidRPr="00263DB9">
              <w:rPr>
                <w:bCs/>
                <w:color w:val="000000"/>
                <w:szCs w:val="22"/>
              </w:rPr>
              <w:t>Hipercaliemia, hipomagnesiemia</w:t>
            </w:r>
          </w:p>
        </w:tc>
      </w:tr>
      <w:tr w:rsidR="00C91F25" w:rsidRPr="00263DB9" w14:paraId="375EB61A" w14:textId="77777777" w:rsidTr="008303F6">
        <w:trPr>
          <w:cantSplit/>
        </w:trPr>
        <w:tc>
          <w:tcPr>
            <w:tcW w:w="9322" w:type="dxa"/>
            <w:gridSpan w:val="2"/>
          </w:tcPr>
          <w:p w14:paraId="375EB619" w14:textId="77777777" w:rsidR="00C91F25" w:rsidRPr="00263DB9" w:rsidRDefault="00C91F25" w:rsidP="008303F6">
            <w:pPr>
              <w:keepNext/>
              <w:widowControl w:val="0"/>
              <w:tabs>
                <w:tab w:val="left" w:pos="567"/>
              </w:tabs>
              <w:spacing w:line="260" w:lineRule="exact"/>
              <w:rPr>
                <w:b/>
                <w:color w:val="000000"/>
                <w:szCs w:val="22"/>
              </w:rPr>
            </w:pPr>
            <w:r w:rsidRPr="00263DB9">
              <w:rPr>
                <w:b/>
                <w:color w:val="000000"/>
                <w:szCs w:val="22"/>
              </w:rPr>
              <w:t>Perturbações do foro psiquiátrico</w:t>
            </w:r>
          </w:p>
        </w:tc>
      </w:tr>
      <w:tr w:rsidR="00C91F25" w:rsidRPr="00263DB9" w14:paraId="375EB61D" w14:textId="77777777" w:rsidTr="008303F6">
        <w:trPr>
          <w:cantSplit/>
          <w:trHeight w:val="260"/>
        </w:trPr>
        <w:tc>
          <w:tcPr>
            <w:tcW w:w="2235" w:type="dxa"/>
          </w:tcPr>
          <w:p w14:paraId="375EB61B" w14:textId="77777777" w:rsidR="00C91F25" w:rsidRPr="00263DB9" w:rsidRDefault="00C91F25" w:rsidP="008303F6">
            <w:pPr>
              <w:keepNext/>
              <w:widowControl w:val="0"/>
              <w:tabs>
                <w:tab w:val="left" w:pos="567"/>
              </w:tabs>
              <w:spacing w:line="260" w:lineRule="exact"/>
              <w:rPr>
                <w:b/>
                <w:color w:val="000000"/>
                <w:szCs w:val="22"/>
              </w:rPr>
            </w:pPr>
            <w:r w:rsidRPr="00263DB9">
              <w:rPr>
                <w:bCs/>
                <w:i/>
                <w:iCs/>
                <w:color w:val="000000"/>
                <w:szCs w:val="22"/>
              </w:rPr>
              <w:t>Frequentes:</w:t>
            </w:r>
          </w:p>
        </w:tc>
        <w:tc>
          <w:tcPr>
            <w:tcW w:w="7087" w:type="dxa"/>
          </w:tcPr>
          <w:p w14:paraId="375EB61C" w14:textId="77777777" w:rsidR="00C91F25" w:rsidRPr="00263DB9" w:rsidRDefault="00C91F25" w:rsidP="008303F6">
            <w:pPr>
              <w:keepNext/>
              <w:widowControl w:val="0"/>
              <w:tabs>
                <w:tab w:val="left" w:pos="567"/>
              </w:tabs>
              <w:spacing w:line="260" w:lineRule="exact"/>
              <w:rPr>
                <w:bCs/>
                <w:color w:val="000000"/>
                <w:szCs w:val="22"/>
              </w:rPr>
            </w:pPr>
            <w:r w:rsidRPr="00263DB9">
              <w:rPr>
                <w:bCs/>
                <w:color w:val="000000"/>
                <w:szCs w:val="22"/>
              </w:rPr>
              <w:t>Insónia</w:t>
            </w:r>
          </w:p>
        </w:tc>
      </w:tr>
      <w:tr w:rsidR="00C91F25" w:rsidRPr="00263DB9" w14:paraId="375EB620" w14:textId="77777777" w:rsidTr="008303F6">
        <w:trPr>
          <w:cantSplit/>
          <w:trHeight w:val="260"/>
        </w:trPr>
        <w:tc>
          <w:tcPr>
            <w:tcW w:w="2235" w:type="dxa"/>
          </w:tcPr>
          <w:p w14:paraId="375EB61E" w14:textId="77777777" w:rsidR="00C91F25" w:rsidRPr="00263DB9" w:rsidRDefault="00C91F25" w:rsidP="008303F6">
            <w:pPr>
              <w:keepNext/>
              <w:widowControl w:val="0"/>
              <w:tabs>
                <w:tab w:val="left" w:pos="567"/>
              </w:tabs>
              <w:spacing w:line="260" w:lineRule="exact"/>
              <w:rPr>
                <w:b/>
                <w:color w:val="000000"/>
                <w:szCs w:val="22"/>
              </w:rPr>
            </w:pPr>
            <w:r w:rsidRPr="00263DB9">
              <w:rPr>
                <w:bCs/>
                <w:i/>
                <w:iCs/>
                <w:color w:val="000000"/>
                <w:szCs w:val="22"/>
              </w:rPr>
              <w:t>Pouco frequentes:</w:t>
            </w:r>
          </w:p>
        </w:tc>
        <w:tc>
          <w:tcPr>
            <w:tcW w:w="7087" w:type="dxa"/>
          </w:tcPr>
          <w:p w14:paraId="375EB61F" w14:textId="77777777" w:rsidR="00C91F25" w:rsidRPr="00263DB9" w:rsidRDefault="00C91F25" w:rsidP="008303F6">
            <w:pPr>
              <w:keepNext/>
              <w:widowControl w:val="0"/>
              <w:tabs>
                <w:tab w:val="left" w:pos="567"/>
              </w:tabs>
              <w:spacing w:line="260" w:lineRule="exact"/>
              <w:rPr>
                <w:bCs/>
                <w:color w:val="000000"/>
                <w:szCs w:val="22"/>
              </w:rPr>
            </w:pPr>
            <w:r w:rsidRPr="00263DB9">
              <w:rPr>
                <w:bCs/>
                <w:color w:val="000000"/>
                <w:szCs w:val="22"/>
              </w:rPr>
              <w:t>Depressão, diminuição da líbido, ansiedade</w:t>
            </w:r>
          </w:p>
        </w:tc>
      </w:tr>
      <w:tr w:rsidR="00C91F25" w:rsidRPr="00263DB9" w14:paraId="375EB623" w14:textId="77777777" w:rsidTr="008303F6">
        <w:trPr>
          <w:cantSplit/>
          <w:trHeight w:val="260"/>
        </w:trPr>
        <w:tc>
          <w:tcPr>
            <w:tcW w:w="2235" w:type="dxa"/>
          </w:tcPr>
          <w:p w14:paraId="375EB621" w14:textId="77777777" w:rsidR="00C91F25" w:rsidRPr="00263DB9" w:rsidRDefault="00C91F25" w:rsidP="00E51817">
            <w:pPr>
              <w:widowControl w:val="0"/>
              <w:tabs>
                <w:tab w:val="left" w:pos="567"/>
              </w:tabs>
              <w:spacing w:line="260" w:lineRule="exact"/>
              <w:rPr>
                <w:b/>
                <w:color w:val="000000"/>
                <w:szCs w:val="22"/>
              </w:rPr>
            </w:pPr>
            <w:r w:rsidRPr="00263DB9">
              <w:rPr>
                <w:bCs/>
                <w:i/>
                <w:iCs/>
                <w:color w:val="000000"/>
                <w:szCs w:val="22"/>
              </w:rPr>
              <w:t>Raros:</w:t>
            </w:r>
          </w:p>
        </w:tc>
        <w:tc>
          <w:tcPr>
            <w:tcW w:w="7087" w:type="dxa"/>
          </w:tcPr>
          <w:p w14:paraId="375EB622" w14:textId="77777777" w:rsidR="00C91F25" w:rsidRPr="00263DB9" w:rsidRDefault="00C91F25" w:rsidP="00E51817">
            <w:pPr>
              <w:widowControl w:val="0"/>
              <w:tabs>
                <w:tab w:val="left" w:pos="567"/>
              </w:tabs>
              <w:spacing w:line="260" w:lineRule="exact"/>
              <w:rPr>
                <w:bCs/>
                <w:color w:val="000000"/>
                <w:szCs w:val="22"/>
              </w:rPr>
            </w:pPr>
            <w:r w:rsidRPr="00263DB9">
              <w:rPr>
                <w:bCs/>
                <w:color w:val="000000"/>
                <w:szCs w:val="22"/>
              </w:rPr>
              <w:t>Estado confusional</w:t>
            </w:r>
          </w:p>
        </w:tc>
      </w:tr>
      <w:tr w:rsidR="00C91F25" w:rsidRPr="00263DB9" w14:paraId="375EB625" w14:textId="77777777" w:rsidTr="008303F6">
        <w:trPr>
          <w:cantSplit/>
        </w:trPr>
        <w:tc>
          <w:tcPr>
            <w:tcW w:w="9322" w:type="dxa"/>
            <w:gridSpan w:val="2"/>
          </w:tcPr>
          <w:p w14:paraId="375EB624" w14:textId="77777777" w:rsidR="00C91F25" w:rsidRPr="00263DB9" w:rsidRDefault="00C91F25" w:rsidP="008303F6">
            <w:pPr>
              <w:keepNext/>
              <w:widowControl w:val="0"/>
              <w:tabs>
                <w:tab w:val="left" w:pos="567"/>
              </w:tabs>
              <w:spacing w:line="260" w:lineRule="exact"/>
              <w:rPr>
                <w:color w:val="000000"/>
              </w:rPr>
            </w:pPr>
            <w:r w:rsidRPr="00263DB9">
              <w:rPr>
                <w:b/>
                <w:color w:val="000000"/>
                <w:szCs w:val="22"/>
              </w:rPr>
              <w:t>Doenças do sistema nervoso</w:t>
            </w:r>
          </w:p>
        </w:tc>
      </w:tr>
      <w:tr w:rsidR="00C91F25" w:rsidRPr="00263DB9" w14:paraId="375EB628" w14:textId="77777777" w:rsidTr="008303F6">
        <w:trPr>
          <w:cantSplit/>
        </w:trPr>
        <w:tc>
          <w:tcPr>
            <w:tcW w:w="2235" w:type="dxa"/>
          </w:tcPr>
          <w:p w14:paraId="375EB626"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Muito frequentes:</w:t>
            </w:r>
          </w:p>
        </w:tc>
        <w:tc>
          <w:tcPr>
            <w:tcW w:w="7087" w:type="dxa"/>
          </w:tcPr>
          <w:p w14:paraId="375EB627"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Cefaleias</w:t>
            </w:r>
            <w:r w:rsidRPr="00263DB9">
              <w:rPr>
                <w:color w:val="000000"/>
                <w:szCs w:val="22"/>
                <w:vertAlign w:val="superscript"/>
              </w:rPr>
              <w:t>2</w:t>
            </w:r>
          </w:p>
        </w:tc>
      </w:tr>
      <w:tr w:rsidR="00C91F25" w:rsidRPr="00263DB9" w14:paraId="375EB62B" w14:textId="77777777" w:rsidTr="008303F6">
        <w:trPr>
          <w:cantSplit/>
        </w:trPr>
        <w:tc>
          <w:tcPr>
            <w:tcW w:w="2235" w:type="dxa"/>
          </w:tcPr>
          <w:p w14:paraId="375EB629"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Frequentes:</w:t>
            </w:r>
          </w:p>
        </w:tc>
        <w:tc>
          <w:tcPr>
            <w:tcW w:w="7087" w:type="dxa"/>
          </w:tcPr>
          <w:p w14:paraId="375EB62A" w14:textId="77777777" w:rsidR="00C91F25" w:rsidRPr="00263DB9" w:rsidRDefault="00C91F25" w:rsidP="008303F6">
            <w:pPr>
              <w:keepNext/>
              <w:widowControl w:val="0"/>
              <w:tabs>
                <w:tab w:val="left" w:pos="567"/>
              </w:tabs>
              <w:spacing w:line="260" w:lineRule="exact"/>
              <w:rPr>
                <w:color w:val="000000"/>
                <w:szCs w:val="22"/>
              </w:rPr>
            </w:pPr>
            <w:r w:rsidRPr="00263DB9">
              <w:rPr>
                <w:color w:val="000000"/>
                <w:szCs w:val="22"/>
              </w:rPr>
              <w:t>Tonturas, parestesias, perturbações do paladar, hipoestesia</w:t>
            </w:r>
          </w:p>
        </w:tc>
      </w:tr>
      <w:tr w:rsidR="00C91F25" w:rsidRPr="00263DB9" w14:paraId="375EB62E" w14:textId="77777777" w:rsidTr="008303F6">
        <w:trPr>
          <w:cantSplit/>
        </w:trPr>
        <w:tc>
          <w:tcPr>
            <w:tcW w:w="2235" w:type="dxa"/>
          </w:tcPr>
          <w:p w14:paraId="375EB62C"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Pouco frequentes:</w:t>
            </w:r>
          </w:p>
        </w:tc>
        <w:tc>
          <w:tcPr>
            <w:tcW w:w="7087" w:type="dxa"/>
          </w:tcPr>
          <w:p w14:paraId="375EB62D"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Enxaqueca, sonolência, síncope, neuropatia periférica, diminuição da memória, ciática, síndrome de perna dormente, tremor, hemorragia cerebral</w:t>
            </w:r>
          </w:p>
        </w:tc>
      </w:tr>
      <w:tr w:rsidR="00C91F25" w:rsidRPr="00263DB9" w14:paraId="375EB631" w14:textId="77777777" w:rsidTr="008303F6">
        <w:trPr>
          <w:cantSplit/>
        </w:trPr>
        <w:tc>
          <w:tcPr>
            <w:tcW w:w="2235" w:type="dxa"/>
          </w:tcPr>
          <w:p w14:paraId="375EB62F"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Raros:</w:t>
            </w:r>
          </w:p>
        </w:tc>
        <w:tc>
          <w:tcPr>
            <w:tcW w:w="7087" w:type="dxa"/>
          </w:tcPr>
          <w:p w14:paraId="375EB630" w14:textId="77777777" w:rsidR="00C91F25" w:rsidRPr="00263DB9" w:rsidRDefault="00C91F25" w:rsidP="008303F6">
            <w:pPr>
              <w:keepNext/>
              <w:widowControl w:val="0"/>
              <w:tabs>
                <w:tab w:val="left" w:pos="567"/>
              </w:tabs>
              <w:spacing w:line="260" w:lineRule="exact"/>
              <w:rPr>
                <w:color w:val="000000"/>
                <w:szCs w:val="22"/>
              </w:rPr>
            </w:pPr>
            <w:r w:rsidRPr="00263DB9">
              <w:rPr>
                <w:color w:val="000000"/>
                <w:szCs w:val="22"/>
              </w:rPr>
              <w:t>Aumento da pressão intracraneana, convulsões, neurite ótica</w:t>
            </w:r>
          </w:p>
        </w:tc>
      </w:tr>
      <w:tr w:rsidR="00022E28" w:rsidRPr="00263DB9" w14:paraId="375EB634" w14:textId="77777777" w:rsidTr="008303F6">
        <w:trPr>
          <w:cantSplit/>
        </w:trPr>
        <w:tc>
          <w:tcPr>
            <w:tcW w:w="2235" w:type="dxa"/>
          </w:tcPr>
          <w:p w14:paraId="375EB632" w14:textId="77777777" w:rsidR="00022E28" w:rsidRPr="00263DB9" w:rsidRDefault="00022E28" w:rsidP="00E51817">
            <w:pPr>
              <w:widowControl w:val="0"/>
              <w:tabs>
                <w:tab w:val="left" w:pos="567"/>
              </w:tabs>
              <w:spacing w:line="260" w:lineRule="exact"/>
              <w:rPr>
                <w:i/>
                <w:color w:val="000000"/>
                <w:szCs w:val="22"/>
              </w:rPr>
            </w:pPr>
            <w:r w:rsidRPr="00263DB9">
              <w:rPr>
                <w:i/>
                <w:color w:val="000000"/>
                <w:szCs w:val="22"/>
              </w:rPr>
              <w:t>Desconhecido:</w:t>
            </w:r>
          </w:p>
        </w:tc>
        <w:tc>
          <w:tcPr>
            <w:tcW w:w="7087" w:type="dxa"/>
          </w:tcPr>
          <w:p w14:paraId="375EB633" w14:textId="77777777" w:rsidR="00022E28" w:rsidRPr="00263DB9" w:rsidRDefault="00022E28" w:rsidP="00E51817">
            <w:pPr>
              <w:widowControl w:val="0"/>
              <w:tabs>
                <w:tab w:val="left" w:pos="567"/>
              </w:tabs>
              <w:spacing w:line="260" w:lineRule="exact"/>
              <w:rPr>
                <w:color w:val="000000"/>
                <w:szCs w:val="22"/>
              </w:rPr>
            </w:pPr>
            <w:r w:rsidRPr="00263DB9">
              <w:rPr>
                <w:color w:val="000000"/>
                <w:szCs w:val="22"/>
              </w:rPr>
              <w:t>Edema cerebral*</w:t>
            </w:r>
          </w:p>
        </w:tc>
      </w:tr>
      <w:tr w:rsidR="00C91F25" w:rsidRPr="00263DB9" w14:paraId="375EB636" w14:textId="77777777" w:rsidTr="008303F6">
        <w:trPr>
          <w:cantSplit/>
        </w:trPr>
        <w:tc>
          <w:tcPr>
            <w:tcW w:w="9322" w:type="dxa"/>
            <w:gridSpan w:val="2"/>
          </w:tcPr>
          <w:p w14:paraId="375EB635" w14:textId="77777777" w:rsidR="00C91F25" w:rsidRPr="00263DB9" w:rsidRDefault="00C91F25" w:rsidP="008303F6">
            <w:pPr>
              <w:keepNext/>
              <w:widowControl w:val="0"/>
              <w:tabs>
                <w:tab w:val="left" w:pos="567"/>
              </w:tabs>
              <w:spacing w:line="260" w:lineRule="exact"/>
              <w:rPr>
                <w:color w:val="000000"/>
              </w:rPr>
            </w:pPr>
            <w:r w:rsidRPr="00263DB9">
              <w:rPr>
                <w:b/>
                <w:color w:val="000000"/>
                <w:szCs w:val="22"/>
              </w:rPr>
              <w:lastRenderedPageBreak/>
              <w:t>Afeções oculares</w:t>
            </w:r>
          </w:p>
        </w:tc>
      </w:tr>
      <w:tr w:rsidR="00C91F25" w:rsidRPr="00263DB9" w14:paraId="375EB639" w14:textId="77777777" w:rsidTr="008303F6">
        <w:trPr>
          <w:cantSplit/>
        </w:trPr>
        <w:tc>
          <w:tcPr>
            <w:tcW w:w="2235" w:type="dxa"/>
          </w:tcPr>
          <w:p w14:paraId="375EB637"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Frequentes:</w:t>
            </w:r>
          </w:p>
        </w:tc>
        <w:tc>
          <w:tcPr>
            <w:tcW w:w="7087" w:type="dxa"/>
          </w:tcPr>
          <w:p w14:paraId="375EB638"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Edema da pálpebra, aumento da secreção de lágrimas, hemorragia conjuntival, conjuntivite, secura ocular, visão turva</w:t>
            </w:r>
          </w:p>
        </w:tc>
      </w:tr>
      <w:tr w:rsidR="00C91F25" w:rsidRPr="00263DB9" w14:paraId="375EB63C" w14:textId="77777777" w:rsidTr="008303F6">
        <w:trPr>
          <w:cantSplit/>
        </w:trPr>
        <w:tc>
          <w:tcPr>
            <w:tcW w:w="2235" w:type="dxa"/>
          </w:tcPr>
          <w:p w14:paraId="375EB63A"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Pouco frequentes:</w:t>
            </w:r>
          </w:p>
        </w:tc>
        <w:tc>
          <w:tcPr>
            <w:tcW w:w="7087" w:type="dxa"/>
          </w:tcPr>
          <w:p w14:paraId="375EB63B"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Irritação ocular, dor ocular, edema orbital, hemorragia esclerótica, hemorragia retinal, blefarite, edema macular</w:t>
            </w:r>
          </w:p>
        </w:tc>
      </w:tr>
      <w:tr w:rsidR="00C91F25" w:rsidRPr="00263DB9" w14:paraId="375EB63F" w14:textId="77777777" w:rsidTr="008303F6">
        <w:trPr>
          <w:cantSplit/>
        </w:trPr>
        <w:tc>
          <w:tcPr>
            <w:tcW w:w="2235" w:type="dxa"/>
          </w:tcPr>
          <w:p w14:paraId="375EB63D"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Raros:</w:t>
            </w:r>
          </w:p>
        </w:tc>
        <w:tc>
          <w:tcPr>
            <w:tcW w:w="7087" w:type="dxa"/>
          </w:tcPr>
          <w:p w14:paraId="375EB63E"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Cataratas, glaucoma, papiloedema</w:t>
            </w:r>
          </w:p>
        </w:tc>
      </w:tr>
      <w:tr w:rsidR="00022E28" w:rsidRPr="00263DB9" w14:paraId="375EB642" w14:textId="77777777" w:rsidTr="008303F6">
        <w:trPr>
          <w:cantSplit/>
        </w:trPr>
        <w:tc>
          <w:tcPr>
            <w:tcW w:w="2235" w:type="dxa"/>
          </w:tcPr>
          <w:p w14:paraId="375EB640" w14:textId="77777777" w:rsidR="00022E28" w:rsidRPr="00263DB9" w:rsidRDefault="00022E28" w:rsidP="00E51817">
            <w:pPr>
              <w:widowControl w:val="0"/>
              <w:tabs>
                <w:tab w:val="left" w:pos="567"/>
              </w:tabs>
              <w:spacing w:line="260" w:lineRule="exact"/>
              <w:rPr>
                <w:i/>
                <w:color w:val="000000"/>
                <w:szCs w:val="22"/>
              </w:rPr>
            </w:pPr>
            <w:r w:rsidRPr="00263DB9">
              <w:rPr>
                <w:i/>
                <w:color w:val="000000"/>
                <w:szCs w:val="22"/>
              </w:rPr>
              <w:t>Desconhecido:</w:t>
            </w:r>
          </w:p>
        </w:tc>
        <w:tc>
          <w:tcPr>
            <w:tcW w:w="7087" w:type="dxa"/>
          </w:tcPr>
          <w:p w14:paraId="375EB641" w14:textId="77777777" w:rsidR="00022E28" w:rsidRPr="00263DB9" w:rsidRDefault="00022E28" w:rsidP="00E51817">
            <w:pPr>
              <w:widowControl w:val="0"/>
              <w:tabs>
                <w:tab w:val="left" w:pos="567"/>
              </w:tabs>
              <w:spacing w:line="260" w:lineRule="exact"/>
              <w:rPr>
                <w:color w:val="000000"/>
                <w:szCs w:val="22"/>
              </w:rPr>
            </w:pPr>
            <w:r w:rsidRPr="00263DB9">
              <w:rPr>
                <w:color w:val="000000"/>
                <w:szCs w:val="22"/>
              </w:rPr>
              <w:t>Hemorragia vítrea*</w:t>
            </w:r>
          </w:p>
        </w:tc>
      </w:tr>
      <w:tr w:rsidR="00C91F25" w:rsidRPr="00263DB9" w14:paraId="375EB644" w14:textId="77777777" w:rsidTr="008303F6">
        <w:trPr>
          <w:cantSplit/>
        </w:trPr>
        <w:tc>
          <w:tcPr>
            <w:tcW w:w="9322" w:type="dxa"/>
            <w:gridSpan w:val="2"/>
          </w:tcPr>
          <w:p w14:paraId="375EB643" w14:textId="77777777" w:rsidR="00C91F25" w:rsidRPr="00263DB9" w:rsidRDefault="00C91F25" w:rsidP="008303F6">
            <w:pPr>
              <w:keepNext/>
              <w:widowControl w:val="0"/>
              <w:tabs>
                <w:tab w:val="left" w:pos="567"/>
              </w:tabs>
              <w:spacing w:line="260" w:lineRule="exact"/>
              <w:rPr>
                <w:color w:val="000000"/>
              </w:rPr>
            </w:pPr>
            <w:r w:rsidRPr="00263DB9">
              <w:rPr>
                <w:b/>
                <w:color w:val="000000"/>
                <w:szCs w:val="22"/>
              </w:rPr>
              <w:t>Afeções do ouvido e do labirinto</w:t>
            </w:r>
          </w:p>
        </w:tc>
      </w:tr>
      <w:tr w:rsidR="00C91F25" w:rsidRPr="00263DB9" w14:paraId="375EB647" w14:textId="77777777" w:rsidTr="008303F6">
        <w:trPr>
          <w:cantSplit/>
        </w:trPr>
        <w:tc>
          <w:tcPr>
            <w:tcW w:w="2235" w:type="dxa"/>
          </w:tcPr>
          <w:p w14:paraId="375EB645" w14:textId="77777777" w:rsidR="00C91F25" w:rsidRPr="00263DB9" w:rsidRDefault="00C91F25" w:rsidP="00E51817">
            <w:pPr>
              <w:widowControl w:val="0"/>
              <w:tabs>
                <w:tab w:val="left" w:pos="567"/>
              </w:tabs>
              <w:spacing w:line="260" w:lineRule="exact"/>
              <w:rPr>
                <w:color w:val="000000"/>
              </w:rPr>
            </w:pPr>
            <w:r w:rsidRPr="00263DB9">
              <w:rPr>
                <w:i/>
                <w:color w:val="000000"/>
                <w:szCs w:val="22"/>
              </w:rPr>
              <w:t>Pouco frequentes:</w:t>
            </w:r>
          </w:p>
        </w:tc>
        <w:tc>
          <w:tcPr>
            <w:tcW w:w="7087" w:type="dxa"/>
          </w:tcPr>
          <w:p w14:paraId="375EB646" w14:textId="77777777" w:rsidR="00C91F25" w:rsidRPr="00263DB9" w:rsidRDefault="00C91F25" w:rsidP="00E51817">
            <w:pPr>
              <w:widowControl w:val="0"/>
              <w:tabs>
                <w:tab w:val="left" w:pos="567"/>
              </w:tabs>
              <w:spacing w:line="260" w:lineRule="exact"/>
              <w:rPr>
                <w:color w:val="000000"/>
              </w:rPr>
            </w:pPr>
            <w:r w:rsidRPr="00263DB9">
              <w:rPr>
                <w:color w:val="000000"/>
                <w:szCs w:val="22"/>
              </w:rPr>
              <w:t>Vertigens, acufeno, perda de audição</w:t>
            </w:r>
          </w:p>
        </w:tc>
      </w:tr>
      <w:tr w:rsidR="00C91F25" w:rsidRPr="00263DB9" w14:paraId="375EB649" w14:textId="77777777" w:rsidTr="008303F6">
        <w:trPr>
          <w:cantSplit/>
        </w:trPr>
        <w:tc>
          <w:tcPr>
            <w:tcW w:w="9322" w:type="dxa"/>
            <w:gridSpan w:val="2"/>
          </w:tcPr>
          <w:p w14:paraId="375EB648" w14:textId="77777777" w:rsidR="00C91F25" w:rsidRPr="00263DB9" w:rsidRDefault="00C91F25" w:rsidP="008303F6">
            <w:pPr>
              <w:keepNext/>
              <w:widowControl w:val="0"/>
              <w:tabs>
                <w:tab w:val="left" w:pos="567"/>
              </w:tabs>
              <w:spacing w:line="260" w:lineRule="exact"/>
              <w:rPr>
                <w:b/>
                <w:color w:val="000000"/>
                <w:szCs w:val="22"/>
              </w:rPr>
            </w:pPr>
            <w:r w:rsidRPr="00263DB9">
              <w:rPr>
                <w:b/>
                <w:color w:val="000000"/>
                <w:szCs w:val="22"/>
              </w:rPr>
              <w:t>Cardiopatias</w:t>
            </w:r>
          </w:p>
        </w:tc>
      </w:tr>
      <w:tr w:rsidR="00C91F25" w:rsidRPr="00263DB9" w14:paraId="375EB64C" w14:textId="77777777" w:rsidTr="008303F6">
        <w:trPr>
          <w:cantSplit/>
          <w:trHeight w:val="263"/>
        </w:trPr>
        <w:tc>
          <w:tcPr>
            <w:tcW w:w="2235" w:type="dxa"/>
          </w:tcPr>
          <w:p w14:paraId="375EB64A" w14:textId="77777777" w:rsidR="00C91F25" w:rsidRPr="00263DB9" w:rsidRDefault="00C91F25" w:rsidP="008303F6">
            <w:pPr>
              <w:keepNext/>
              <w:widowControl w:val="0"/>
              <w:tabs>
                <w:tab w:val="left" w:pos="567"/>
              </w:tabs>
              <w:spacing w:line="260" w:lineRule="exact"/>
              <w:rPr>
                <w:b/>
                <w:color w:val="000000"/>
                <w:szCs w:val="22"/>
              </w:rPr>
            </w:pPr>
            <w:r w:rsidRPr="00263DB9">
              <w:rPr>
                <w:bCs/>
                <w:i/>
                <w:iCs/>
                <w:color w:val="000000"/>
                <w:szCs w:val="22"/>
              </w:rPr>
              <w:t>Pouco frequentes:</w:t>
            </w:r>
          </w:p>
        </w:tc>
        <w:tc>
          <w:tcPr>
            <w:tcW w:w="7087" w:type="dxa"/>
          </w:tcPr>
          <w:p w14:paraId="375EB64B" w14:textId="77777777" w:rsidR="00C91F25" w:rsidRPr="00263DB9" w:rsidRDefault="00C91F25" w:rsidP="008303F6">
            <w:pPr>
              <w:keepNext/>
              <w:widowControl w:val="0"/>
              <w:tabs>
                <w:tab w:val="left" w:pos="567"/>
              </w:tabs>
              <w:spacing w:line="260" w:lineRule="exact"/>
              <w:rPr>
                <w:bCs/>
                <w:color w:val="000000"/>
                <w:szCs w:val="22"/>
              </w:rPr>
            </w:pPr>
            <w:r w:rsidRPr="00263DB9">
              <w:rPr>
                <w:bCs/>
                <w:color w:val="000000"/>
                <w:szCs w:val="22"/>
              </w:rPr>
              <w:t>Palpitações, taquicardia, insuficiência cardíaca congestiva</w:t>
            </w:r>
            <w:r w:rsidRPr="00263DB9">
              <w:rPr>
                <w:bCs/>
                <w:color w:val="000000"/>
                <w:szCs w:val="22"/>
                <w:vertAlign w:val="superscript"/>
              </w:rPr>
              <w:t>3</w:t>
            </w:r>
            <w:r w:rsidRPr="00263DB9">
              <w:rPr>
                <w:bCs/>
                <w:color w:val="000000"/>
                <w:szCs w:val="22"/>
              </w:rPr>
              <w:t>, edema pulmonar</w:t>
            </w:r>
          </w:p>
        </w:tc>
      </w:tr>
      <w:tr w:rsidR="00C91F25" w:rsidRPr="00263DB9" w14:paraId="375EB64F" w14:textId="77777777" w:rsidTr="008303F6">
        <w:trPr>
          <w:cantSplit/>
          <w:trHeight w:val="262"/>
        </w:trPr>
        <w:tc>
          <w:tcPr>
            <w:tcW w:w="2235" w:type="dxa"/>
          </w:tcPr>
          <w:p w14:paraId="375EB64D" w14:textId="77777777" w:rsidR="00C91F25" w:rsidRPr="00263DB9" w:rsidRDefault="00C91F25" w:rsidP="008303F6">
            <w:pPr>
              <w:keepNext/>
              <w:widowControl w:val="0"/>
              <w:tabs>
                <w:tab w:val="left" w:pos="567"/>
              </w:tabs>
              <w:spacing w:line="260" w:lineRule="exact"/>
              <w:rPr>
                <w:b/>
                <w:color w:val="000000"/>
                <w:szCs w:val="22"/>
              </w:rPr>
            </w:pPr>
            <w:r w:rsidRPr="00263DB9">
              <w:rPr>
                <w:bCs/>
                <w:i/>
                <w:iCs/>
                <w:color w:val="000000"/>
                <w:szCs w:val="22"/>
              </w:rPr>
              <w:t>Raros:</w:t>
            </w:r>
          </w:p>
        </w:tc>
        <w:tc>
          <w:tcPr>
            <w:tcW w:w="7087" w:type="dxa"/>
          </w:tcPr>
          <w:p w14:paraId="375EB64E" w14:textId="77777777" w:rsidR="00C91F25" w:rsidRPr="00263DB9" w:rsidRDefault="00C91F25" w:rsidP="008303F6">
            <w:pPr>
              <w:keepNext/>
              <w:widowControl w:val="0"/>
              <w:tabs>
                <w:tab w:val="left" w:pos="567"/>
              </w:tabs>
              <w:spacing w:line="260" w:lineRule="exact"/>
              <w:rPr>
                <w:bCs/>
                <w:color w:val="000000"/>
                <w:szCs w:val="22"/>
              </w:rPr>
            </w:pPr>
            <w:r w:rsidRPr="00263DB9">
              <w:rPr>
                <w:bCs/>
                <w:color w:val="000000"/>
                <w:szCs w:val="22"/>
              </w:rPr>
              <w:t>Arritmia, fibrilhação auricular, paragem cardíaca, enfarte do miocárdio, angina de peito, derrame pericárdico</w:t>
            </w:r>
          </w:p>
        </w:tc>
      </w:tr>
      <w:tr w:rsidR="00022E28" w:rsidRPr="00263DB9" w14:paraId="375EB652" w14:textId="77777777" w:rsidTr="008303F6">
        <w:trPr>
          <w:cantSplit/>
          <w:trHeight w:val="262"/>
        </w:trPr>
        <w:tc>
          <w:tcPr>
            <w:tcW w:w="2235" w:type="dxa"/>
          </w:tcPr>
          <w:p w14:paraId="375EB650" w14:textId="77777777" w:rsidR="00022E28" w:rsidRPr="00263DB9" w:rsidRDefault="00022E28" w:rsidP="00E51817">
            <w:pPr>
              <w:widowControl w:val="0"/>
              <w:tabs>
                <w:tab w:val="left" w:pos="567"/>
              </w:tabs>
              <w:spacing w:line="260" w:lineRule="exact"/>
              <w:rPr>
                <w:bCs/>
                <w:i/>
                <w:iCs/>
                <w:color w:val="000000"/>
                <w:szCs w:val="22"/>
              </w:rPr>
            </w:pPr>
            <w:r w:rsidRPr="00263DB9">
              <w:rPr>
                <w:bCs/>
                <w:i/>
                <w:iCs/>
                <w:color w:val="000000"/>
                <w:szCs w:val="22"/>
              </w:rPr>
              <w:t>Desconhecido:</w:t>
            </w:r>
          </w:p>
        </w:tc>
        <w:tc>
          <w:tcPr>
            <w:tcW w:w="7087" w:type="dxa"/>
          </w:tcPr>
          <w:p w14:paraId="375EB651" w14:textId="77777777" w:rsidR="00022E28" w:rsidRPr="00263DB9" w:rsidRDefault="00022E28" w:rsidP="00E51817">
            <w:pPr>
              <w:widowControl w:val="0"/>
              <w:tabs>
                <w:tab w:val="left" w:pos="567"/>
              </w:tabs>
              <w:spacing w:line="260" w:lineRule="exact"/>
              <w:rPr>
                <w:bCs/>
                <w:color w:val="000000"/>
                <w:szCs w:val="22"/>
              </w:rPr>
            </w:pPr>
            <w:r w:rsidRPr="00263DB9">
              <w:rPr>
                <w:bCs/>
                <w:color w:val="000000"/>
                <w:szCs w:val="22"/>
              </w:rPr>
              <w:t>Pericardite*, tamponamento cardíaco*</w:t>
            </w:r>
          </w:p>
        </w:tc>
      </w:tr>
      <w:tr w:rsidR="00C91F25" w:rsidRPr="00263DB9" w14:paraId="375EB654" w14:textId="77777777" w:rsidTr="008303F6">
        <w:trPr>
          <w:cantSplit/>
        </w:trPr>
        <w:tc>
          <w:tcPr>
            <w:tcW w:w="9322" w:type="dxa"/>
            <w:gridSpan w:val="2"/>
          </w:tcPr>
          <w:p w14:paraId="375EB653" w14:textId="77777777" w:rsidR="00C91F25" w:rsidRPr="00263DB9" w:rsidRDefault="00C91F25" w:rsidP="008303F6">
            <w:pPr>
              <w:keepNext/>
              <w:widowControl w:val="0"/>
              <w:tabs>
                <w:tab w:val="left" w:pos="567"/>
              </w:tabs>
              <w:spacing w:line="260" w:lineRule="exact"/>
              <w:rPr>
                <w:b/>
                <w:color w:val="000000"/>
                <w:szCs w:val="22"/>
              </w:rPr>
            </w:pPr>
            <w:r w:rsidRPr="00263DB9">
              <w:rPr>
                <w:b/>
                <w:color w:val="000000"/>
                <w:szCs w:val="22"/>
              </w:rPr>
              <w:t>Vasculopatias</w:t>
            </w:r>
            <w:r w:rsidRPr="00263DB9">
              <w:rPr>
                <w:b/>
                <w:color w:val="000000"/>
                <w:szCs w:val="22"/>
                <w:vertAlign w:val="superscript"/>
              </w:rPr>
              <w:t>4</w:t>
            </w:r>
          </w:p>
        </w:tc>
      </w:tr>
      <w:tr w:rsidR="00C91F25" w:rsidRPr="00263DB9" w14:paraId="375EB657" w14:textId="77777777" w:rsidTr="008303F6">
        <w:trPr>
          <w:cantSplit/>
          <w:trHeight w:val="263"/>
        </w:trPr>
        <w:tc>
          <w:tcPr>
            <w:tcW w:w="2235" w:type="dxa"/>
          </w:tcPr>
          <w:p w14:paraId="375EB655" w14:textId="77777777" w:rsidR="00C91F25" w:rsidRPr="00263DB9" w:rsidRDefault="00C91F25" w:rsidP="008303F6">
            <w:pPr>
              <w:keepNext/>
              <w:widowControl w:val="0"/>
              <w:tabs>
                <w:tab w:val="left" w:pos="567"/>
              </w:tabs>
              <w:spacing w:line="260" w:lineRule="exact"/>
              <w:rPr>
                <w:b/>
                <w:color w:val="000000"/>
                <w:szCs w:val="22"/>
              </w:rPr>
            </w:pPr>
            <w:r w:rsidRPr="00263DB9">
              <w:rPr>
                <w:i/>
                <w:color w:val="000000"/>
                <w:szCs w:val="22"/>
              </w:rPr>
              <w:t>Frequentes:</w:t>
            </w:r>
          </w:p>
        </w:tc>
        <w:tc>
          <w:tcPr>
            <w:tcW w:w="7087" w:type="dxa"/>
          </w:tcPr>
          <w:p w14:paraId="375EB656" w14:textId="77777777" w:rsidR="00C91F25" w:rsidRPr="00263DB9" w:rsidRDefault="00C91F25" w:rsidP="008303F6">
            <w:pPr>
              <w:keepNext/>
              <w:widowControl w:val="0"/>
              <w:tabs>
                <w:tab w:val="left" w:pos="567"/>
              </w:tabs>
              <w:spacing w:line="260" w:lineRule="exact"/>
              <w:rPr>
                <w:bCs/>
                <w:color w:val="000000"/>
                <w:szCs w:val="22"/>
              </w:rPr>
            </w:pPr>
            <w:r w:rsidRPr="00263DB9">
              <w:rPr>
                <w:bCs/>
                <w:color w:val="000000"/>
                <w:szCs w:val="22"/>
              </w:rPr>
              <w:t>Rubor, hemorragia</w:t>
            </w:r>
          </w:p>
        </w:tc>
      </w:tr>
      <w:tr w:rsidR="00C91F25" w:rsidRPr="00263DB9" w14:paraId="375EB65A" w14:textId="77777777" w:rsidTr="008303F6">
        <w:trPr>
          <w:cantSplit/>
          <w:trHeight w:val="262"/>
        </w:trPr>
        <w:tc>
          <w:tcPr>
            <w:tcW w:w="2235" w:type="dxa"/>
          </w:tcPr>
          <w:p w14:paraId="375EB658" w14:textId="77777777" w:rsidR="00C91F25" w:rsidRPr="00263DB9" w:rsidRDefault="00C91F25" w:rsidP="008303F6">
            <w:pPr>
              <w:keepNext/>
              <w:widowControl w:val="0"/>
              <w:tabs>
                <w:tab w:val="left" w:pos="567"/>
              </w:tabs>
              <w:spacing w:line="260" w:lineRule="exact"/>
              <w:rPr>
                <w:b/>
                <w:color w:val="000000"/>
                <w:szCs w:val="22"/>
              </w:rPr>
            </w:pPr>
            <w:r w:rsidRPr="00263DB9">
              <w:rPr>
                <w:i/>
                <w:color w:val="000000"/>
                <w:szCs w:val="22"/>
              </w:rPr>
              <w:t>Pouco frequentes:</w:t>
            </w:r>
          </w:p>
        </w:tc>
        <w:tc>
          <w:tcPr>
            <w:tcW w:w="7087" w:type="dxa"/>
          </w:tcPr>
          <w:p w14:paraId="375EB659" w14:textId="77777777" w:rsidR="00C91F25" w:rsidRPr="00263DB9" w:rsidRDefault="00C91F25" w:rsidP="008303F6">
            <w:pPr>
              <w:keepNext/>
              <w:widowControl w:val="0"/>
              <w:tabs>
                <w:tab w:val="left" w:pos="567"/>
              </w:tabs>
              <w:spacing w:line="260" w:lineRule="exact"/>
              <w:rPr>
                <w:bCs/>
                <w:color w:val="000000"/>
                <w:szCs w:val="22"/>
              </w:rPr>
            </w:pPr>
            <w:r w:rsidRPr="00263DB9">
              <w:rPr>
                <w:bCs/>
                <w:color w:val="000000"/>
                <w:szCs w:val="22"/>
              </w:rPr>
              <w:t>Hipertensão, hematoma, hematoma subdural, arrefecimento das extremidades, hipotensão, fenómeno de Raynaud</w:t>
            </w:r>
          </w:p>
        </w:tc>
      </w:tr>
      <w:tr w:rsidR="00022E28" w:rsidRPr="00263DB9" w14:paraId="375EB65D" w14:textId="77777777" w:rsidTr="008303F6">
        <w:trPr>
          <w:cantSplit/>
          <w:trHeight w:val="262"/>
        </w:trPr>
        <w:tc>
          <w:tcPr>
            <w:tcW w:w="2235" w:type="dxa"/>
          </w:tcPr>
          <w:p w14:paraId="375EB65B" w14:textId="77777777" w:rsidR="00022E28" w:rsidRPr="00263DB9" w:rsidRDefault="00022E28" w:rsidP="00E51817">
            <w:pPr>
              <w:widowControl w:val="0"/>
              <w:tabs>
                <w:tab w:val="left" w:pos="567"/>
              </w:tabs>
              <w:spacing w:line="260" w:lineRule="exact"/>
              <w:rPr>
                <w:i/>
                <w:color w:val="000000"/>
                <w:szCs w:val="22"/>
              </w:rPr>
            </w:pPr>
            <w:r w:rsidRPr="00263DB9">
              <w:rPr>
                <w:i/>
                <w:color w:val="000000"/>
                <w:szCs w:val="22"/>
              </w:rPr>
              <w:t>Desconhecido:</w:t>
            </w:r>
          </w:p>
        </w:tc>
        <w:tc>
          <w:tcPr>
            <w:tcW w:w="7087" w:type="dxa"/>
          </w:tcPr>
          <w:p w14:paraId="375EB65C" w14:textId="77777777" w:rsidR="00022E28" w:rsidRPr="00263DB9" w:rsidRDefault="00022E28" w:rsidP="00E51817">
            <w:pPr>
              <w:widowControl w:val="0"/>
              <w:tabs>
                <w:tab w:val="left" w:pos="567"/>
              </w:tabs>
              <w:spacing w:line="260" w:lineRule="exact"/>
              <w:rPr>
                <w:bCs/>
                <w:color w:val="000000"/>
                <w:szCs w:val="22"/>
              </w:rPr>
            </w:pPr>
            <w:r w:rsidRPr="00263DB9">
              <w:rPr>
                <w:bCs/>
                <w:color w:val="000000"/>
                <w:szCs w:val="22"/>
              </w:rPr>
              <w:t>Trombose/embolia*</w:t>
            </w:r>
          </w:p>
        </w:tc>
      </w:tr>
      <w:tr w:rsidR="00C91F25" w:rsidRPr="00263DB9" w14:paraId="375EB65F" w14:textId="77777777" w:rsidTr="008303F6">
        <w:trPr>
          <w:cantSplit/>
        </w:trPr>
        <w:tc>
          <w:tcPr>
            <w:tcW w:w="9322" w:type="dxa"/>
            <w:gridSpan w:val="2"/>
          </w:tcPr>
          <w:p w14:paraId="375EB65E" w14:textId="77777777" w:rsidR="00C91F25" w:rsidRPr="00263DB9" w:rsidRDefault="00C91F25" w:rsidP="008303F6">
            <w:pPr>
              <w:keepNext/>
              <w:widowControl w:val="0"/>
              <w:tabs>
                <w:tab w:val="left" w:pos="567"/>
              </w:tabs>
              <w:spacing w:line="260" w:lineRule="exact"/>
              <w:rPr>
                <w:color w:val="000000"/>
                <w:szCs w:val="22"/>
              </w:rPr>
            </w:pPr>
            <w:r w:rsidRPr="00263DB9">
              <w:rPr>
                <w:b/>
                <w:color w:val="000000"/>
                <w:szCs w:val="22"/>
              </w:rPr>
              <w:t>Doenças respiratórias, torácicas e do mediastino</w:t>
            </w:r>
          </w:p>
        </w:tc>
      </w:tr>
      <w:tr w:rsidR="00C91F25" w:rsidRPr="00263DB9" w14:paraId="375EB662" w14:textId="77777777" w:rsidTr="008303F6">
        <w:trPr>
          <w:cantSplit/>
        </w:trPr>
        <w:tc>
          <w:tcPr>
            <w:tcW w:w="2235" w:type="dxa"/>
          </w:tcPr>
          <w:p w14:paraId="375EB660"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Frequentes:</w:t>
            </w:r>
          </w:p>
        </w:tc>
        <w:tc>
          <w:tcPr>
            <w:tcW w:w="7087" w:type="dxa"/>
          </w:tcPr>
          <w:p w14:paraId="375EB661"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lang w:val="fr-FR"/>
              </w:rPr>
              <w:t>Dispneia, epistaxe, tosse</w:t>
            </w:r>
          </w:p>
        </w:tc>
      </w:tr>
      <w:tr w:rsidR="00C91F25" w:rsidRPr="00263DB9" w14:paraId="375EB665" w14:textId="77777777" w:rsidTr="008303F6">
        <w:trPr>
          <w:cantSplit/>
        </w:trPr>
        <w:tc>
          <w:tcPr>
            <w:tcW w:w="2235" w:type="dxa"/>
          </w:tcPr>
          <w:p w14:paraId="375EB663"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Pouco frequentes:</w:t>
            </w:r>
          </w:p>
        </w:tc>
        <w:tc>
          <w:tcPr>
            <w:tcW w:w="7087" w:type="dxa"/>
          </w:tcPr>
          <w:p w14:paraId="375EB664"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Derrame pleural</w:t>
            </w:r>
            <w:r w:rsidRPr="00263DB9">
              <w:rPr>
                <w:color w:val="000000"/>
                <w:szCs w:val="22"/>
                <w:vertAlign w:val="superscript"/>
              </w:rPr>
              <w:t>5</w:t>
            </w:r>
            <w:r w:rsidRPr="00263DB9">
              <w:rPr>
                <w:color w:val="000000"/>
                <w:szCs w:val="22"/>
              </w:rPr>
              <w:t>, dor faringolaríngea, faringite</w:t>
            </w:r>
          </w:p>
        </w:tc>
      </w:tr>
      <w:tr w:rsidR="00C91F25" w:rsidRPr="00263DB9" w14:paraId="375EB668" w14:textId="77777777" w:rsidTr="008303F6">
        <w:trPr>
          <w:cantSplit/>
        </w:trPr>
        <w:tc>
          <w:tcPr>
            <w:tcW w:w="2235" w:type="dxa"/>
          </w:tcPr>
          <w:p w14:paraId="375EB666"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Raros:</w:t>
            </w:r>
          </w:p>
        </w:tc>
        <w:tc>
          <w:tcPr>
            <w:tcW w:w="7087" w:type="dxa"/>
          </w:tcPr>
          <w:p w14:paraId="375EB667"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Dor pleurítica, fibrose pulmonar, hipertensão pulmonar, hemorragia pulmonar</w:t>
            </w:r>
          </w:p>
        </w:tc>
      </w:tr>
      <w:tr w:rsidR="00022E28" w:rsidRPr="00263DB9" w14:paraId="375EB66B" w14:textId="77777777" w:rsidTr="008303F6">
        <w:trPr>
          <w:cantSplit/>
        </w:trPr>
        <w:tc>
          <w:tcPr>
            <w:tcW w:w="2235" w:type="dxa"/>
          </w:tcPr>
          <w:p w14:paraId="375EB669" w14:textId="77777777" w:rsidR="00022E28" w:rsidRPr="00263DB9" w:rsidRDefault="00022E28" w:rsidP="00E51817">
            <w:pPr>
              <w:widowControl w:val="0"/>
              <w:tabs>
                <w:tab w:val="left" w:pos="567"/>
              </w:tabs>
              <w:spacing w:line="260" w:lineRule="exact"/>
              <w:rPr>
                <w:i/>
                <w:color w:val="000000"/>
                <w:szCs w:val="22"/>
              </w:rPr>
            </w:pPr>
            <w:r w:rsidRPr="00263DB9">
              <w:rPr>
                <w:i/>
                <w:color w:val="000000"/>
                <w:szCs w:val="22"/>
              </w:rPr>
              <w:t>Desconhecido:</w:t>
            </w:r>
          </w:p>
        </w:tc>
        <w:tc>
          <w:tcPr>
            <w:tcW w:w="7087" w:type="dxa"/>
          </w:tcPr>
          <w:p w14:paraId="375EB66A" w14:textId="77777777" w:rsidR="00022E28" w:rsidRPr="00263DB9" w:rsidRDefault="00022E28" w:rsidP="00E51817">
            <w:pPr>
              <w:widowControl w:val="0"/>
              <w:tabs>
                <w:tab w:val="left" w:pos="567"/>
              </w:tabs>
              <w:spacing w:line="260" w:lineRule="exact"/>
              <w:rPr>
                <w:color w:val="000000"/>
                <w:szCs w:val="22"/>
              </w:rPr>
            </w:pPr>
            <w:r w:rsidRPr="00263DB9">
              <w:rPr>
                <w:color w:val="000000"/>
                <w:szCs w:val="22"/>
              </w:rPr>
              <w:t>Insuficiência respiratória aguda</w:t>
            </w:r>
            <w:r w:rsidR="002F2D88" w:rsidRPr="00263DB9">
              <w:rPr>
                <w:color w:val="000000"/>
                <w:szCs w:val="22"/>
                <w:vertAlign w:val="superscript"/>
              </w:rPr>
              <w:t>11</w:t>
            </w:r>
            <w:r w:rsidRPr="00263DB9">
              <w:rPr>
                <w:color w:val="000000"/>
                <w:szCs w:val="22"/>
              </w:rPr>
              <w:t>*, doença pulmonar intersticial*</w:t>
            </w:r>
          </w:p>
        </w:tc>
      </w:tr>
      <w:tr w:rsidR="00C91F25" w:rsidRPr="00263DB9" w14:paraId="375EB66D" w14:textId="77777777" w:rsidTr="008303F6">
        <w:trPr>
          <w:cantSplit/>
        </w:trPr>
        <w:tc>
          <w:tcPr>
            <w:tcW w:w="9322" w:type="dxa"/>
            <w:gridSpan w:val="2"/>
          </w:tcPr>
          <w:p w14:paraId="375EB66C" w14:textId="77777777" w:rsidR="00C91F25" w:rsidRPr="00263DB9" w:rsidRDefault="00C91F25" w:rsidP="008303F6">
            <w:pPr>
              <w:keepNext/>
              <w:widowControl w:val="0"/>
              <w:tabs>
                <w:tab w:val="left" w:pos="567"/>
              </w:tabs>
              <w:spacing w:line="260" w:lineRule="exact"/>
              <w:rPr>
                <w:color w:val="000000"/>
                <w:lang w:val="fr-FR"/>
              </w:rPr>
            </w:pPr>
            <w:r w:rsidRPr="00263DB9">
              <w:rPr>
                <w:b/>
                <w:color w:val="000000"/>
                <w:szCs w:val="22"/>
              </w:rPr>
              <w:t>Doenças gastrointestinais</w:t>
            </w:r>
          </w:p>
        </w:tc>
      </w:tr>
      <w:tr w:rsidR="00C91F25" w:rsidRPr="00263DB9" w14:paraId="375EB670" w14:textId="77777777" w:rsidTr="008303F6">
        <w:trPr>
          <w:cantSplit/>
        </w:trPr>
        <w:tc>
          <w:tcPr>
            <w:tcW w:w="2235" w:type="dxa"/>
          </w:tcPr>
          <w:p w14:paraId="375EB66E"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Muito frequentes:</w:t>
            </w:r>
          </w:p>
        </w:tc>
        <w:tc>
          <w:tcPr>
            <w:tcW w:w="7087" w:type="dxa"/>
          </w:tcPr>
          <w:p w14:paraId="375EB66F"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Náuseas, diarreia, vómitos, dispepsia, dor abdominal</w:t>
            </w:r>
            <w:r w:rsidRPr="00263DB9">
              <w:rPr>
                <w:color w:val="000000"/>
                <w:szCs w:val="22"/>
                <w:vertAlign w:val="superscript"/>
              </w:rPr>
              <w:t>6</w:t>
            </w:r>
          </w:p>
        </w:tc>
      </w:tr>
      <w:tr w:rsidR="00C91F25" w:rsidRPr="00263DB9" w14:paraId="375EB673" w14:textId="77777777" w:rsidTr="008303F6">
        <w:trPr>
          <w:cantSplit/>
        </w:trPr>
        <w:tc>
          <w:tcPr>
            <w:tcW w:w="2235" w:type="dxa"/>
          </w:tcPr>
          <w:p w14:paraId="375EB671"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Frequentes:</w:t>
            </w:r>
          </w:p>
        </w:tc>
        <w:tc>
          <w:tcPr>
            <w:tcW w:w="7087" w:type="dxa"/>
          </w:tcPr>
          <w:p w14:paraId="375EB672"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Flatulência, distensão abdominal, refluxo gastroesofágico, obstipação, boca seca, gastrite</w:t>
            </w:r>
          </w:p>
        </w:tc>
      </w:tr>
      <w:tr w:rsidR="00C91F25" w:rsidRPr="00263DB9" w14:paraId="375EB676" w14:textId="77777777" w:rsidTr="008303F6">
        <w:trPr>
          <w:cantSplit/>
        </w:trPr>
        <w:tc>
          <w:tcPr>
            <w:tcW w:w="2235" w:type="dxa"/>
          </w:tcPr>
          <w:p w14:paraId="375EB674"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Pouco frequentes:</w:t>
            </w:r>
          </w:p>
        </w:tc>
        <w:tc>
          <w:tcPr>
            <w:tcW w:w="7087" w:type="dxa"/>
          </w:tcPr>
          <w:p w14:paraId="375EB675"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Estomatite, ulceração oral, hemorragia gastrointestinal</w:t>
            </w:r>
            <w:r w:rsidRPr="00263DB9">
              <w:rPr>
                <w:color w:val="000000"/>
                <w:szCs w:val="22"/>
                <w:vertAlign w:val="superscript"/>
              </w:rPr>
              <w:t>7</w:t>
            </w:r>
            <w:r w:rsidRPr="00263DB9">
              <w:rPr>
                <w:color w:val="000000"/>
                <w:szCs w:val="22"/>
              </w:rPr>
              <w:t>, eructação, melenas, esofagite, ascite, úlcera gástrica, hematemese, xerostomia, disfagia, pancreatite</w:t>
            </w:r>
          </w:p>
        </w:tc>
      </w:tr>
      <w:tr w:rsidR="00C91F25" w:rsidRPr="00263DB9" w14:paraId="375EB679" w14:textId="77777777" w:rsidTr="008303F6">
        <w:trPr>
          <w:cantSplit/>
        </w:trPr>
        <w:tc>
          <w:tcPr>
            <w:tcW w:w="2235" w:type="dxa"/>
          </w:tcPr>
          <w:p w14:paraId="375EB677"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Raros:</w:t>
            </w:r>
          </w:p>
        </w:tc>
        <w:tc>
          <w:tcPr>
            <w:tcW w:w="7087" w:type="dxa"/>
          </w:tcPr>
          <w:p w14:paraId="375EB678" w14:textId="77777777" w:rsidR="00C91F25" w:rsidRPr="00263DB9" w:rsidRDefault="00C91F25" w:rsidP="008303F6">
            <w:pPr>
              <w:keepNext/>
              <w:widowControl w:val="0"/>
              <w:tabs>
                <w:tab w:val="left" w:pos="567"/>
              </w:tabs>
              <w:spacing w:line="260" w:lineRule="exact"/>
              <w:rPr>
                <w:snapToGrid w:val="0"/>
                <w:color w:val="000000"/>
                <w:szCs w:val="22"/>
              </w:rPr>
            </w:pPr>
            <w:r w:rsidRPr="00263DB9">
              <w:rPr>
                <w:color w:val="000000"/>
                <w:szCs w:val="22"/>
              </w:rPr>
              <w:t>Colite, í</w:t>
            </w:r>
            <w:r w:rsidRPr="00263DB9">
              <w:rPr>
                <w:snapToGrid w:val="0"/>
                <w:color w:val="000000"/>
                <w:szCs w:val="22"/>
              </w:rPr>
              <w:t>leos, doença inflamatória intestina</w:t>
            </w:r>
          </w:p>
        </w:tc>
      </w:tr>
      <w:tr w:rsidR="00022E28" w:rsidRPr="00263DB9" w14:paraId="375EB67C" w14:textId="77777777" w:rsidTr="008303F6">
        <w:trPr>
          <w:cantSplit/>
        </w:trPr>
        <w:tc>
          <w:tcPr>
            <w:tcW w:w="2235" w:type="dxa"/>
          </w:tcPr>
          <w:p w14:paraId="375EB67A" w14:textId="77777777" w:rsidR="00022E28" w:rsidRPr="00263DB9" w:rsidRDefault="00022E28" w:rsidP="00E51817">
            <w:pPr>
              <w:widowControl w:val="0"/>
              <w:tabs>
                <w:tab w:val="left" w:pos="567"/>
              </w:tabs>
              <w:spacing w:line="260" w:lineRule="exact"/>
              <w:rPr>
                <w:i/>
                <w:color w:val="000000"/>
                <w:szCs w:val="22"/>
              </w:rPr>
            </w:pPr>
            <w:r w:rsidRPr="00263DB9">
              <w:rPr>
                <w:i/>
                <w:color w:val="000000"/>
                <w:szCs w:val="22"/>
              </w:rPr>
              <w:t>Desconhecido:</w:t>
            </w:r>
          </w:p>
        </w:tc>
        <w:tc>
          <w:tcPr>
            <w:tcW w:w="7087" w:type="dxa"/>
          </w:tcPr>
          <w:p w14:paraId="375EB67B" w14:textId="77777777" w:rsidR="00022E28" w:rsidRPr="00263DB9" w:rsidRDefault="00022E28" w:rsidP="00E51817">
            <w:pPr>
              <w:widowControl w:val="0"/>
              <w:tabs>
                <w:tab w:val="left" w:pos="567"/>
              </w:tabs>
              <w:spacing w:line="260" w:lineRule="exact"/>
              <w:rPr>
                <w:color w:val="000000"/>
                <w:szCs w:val="22"/>
              </w:rPr>
            </w:pPr>
            <w:r w:rsidRPr="00263DB9">
              <w:rPr>
                <w:color w:val="000000"/>
                <w:szCs w:val="22"/>
              </w:rPr>
              <w:t>Obtrução intestinal/ileus*, perfuração gastrointestinal*, diverticulite*, ectasia vascular do antro gástrico (GAVE)*</w:t>
            </w:r>
          </w:p>
        </w:tc>
      </w:tr>
      <w:tr w:rsidR="00C91F25" w:rsidRPr="00263DB9" w14:paraId="375EB67E" w14:textId="77777777" w:rsidTr="008303F6">
        <w:trPr>
          <w:cantSplit/>
        </w:trPr>
        <w:tc>
          <w:tcPr>
            <w:tcW w:w="9322" w:type="dxa"/>
            <w:gridSpan w:val="2"/>
          </w:tcPr>
          <w:p w14:paraId="375EB67D" w14:textId="77777777" w:rsidR="00C91F25" w:rsidRPr="00263DB9" w:rsidRDefault="00C91F25" w:rsidP="008303F6">
            <w:pPr>
              <w:keepNext/>
              <w:widowControl w:val="0"/>
              <w:tabs>
                <w:tab w:val="left" w:pos="567"/>
              </w:tabs>
              <w:spacing w:line="260" w:lineRule="exact"/>
              <w:rPr>
                <w:b/>
                <w:color w:val="000000"/>
                <w:szCs w:val="22"/>
              </w:rPr>
            </w:pPr>
            <w:r w:rsidRPr="00263DB9">
              <w:rPr>
                <w:b/>
                <w:color w:val="000000"/>
                <w:szCs w:val="22"/>
              </w:rPr>
              <w:t>Afeções hepatobiliares</w:t>
            </w:r>
          </w:p>
        </w:tc>
      </w:tr>
      <w:tr w:rsidR="00C91F25" w:rsidRPr="00263DB9" w14:paraId="375EB681" w14:textId="77777777" w:rsidTr="008303F6">
        <w:trPr>
          <w:cantSplit/>
          <w:trHeight w:val="260"/>
        </w:trPr>
        <w:tc>
          <w:tcPr>
            <w:tcW w:w="2235" w:type="dxa"/>
          </w:tcPr>
          <w:p w14:paraId="375EB67F" w14:textId="77777777" w:rsidR="00C91F25" w:rsidRPr="00263DB9" w:rsidRDefault="00C91F25" w:rsidP="008303F6">
            <w:pPr>
              <w:keepNext/>
              <w:widowControl w:val="0"/>
              <w:tabs>
                <w:tab w:val="left" w:pos="567"/>
              </w:tabs>
              <w:spacing w:line="260" w:lineRule="exact"/>
              <w:rPr>
                <w:bCs/>
                <w:i/>
                <w:iCs/>
                <w:color w:val="000000"/>
                <w:szCs w:val="22"/>
              </w:rPr>
            </w:pPr>
            <w:r w:rsidRPr="00263DB9">
              <w:rPr>
                <w:bCs/>
                <w:i/>
                <w:iCs/>
                <w:color w:val="000000"/>
                <w:szCs w:val="22"/>
              </w:rPr>
              <w:t>Frequentes:</w:t>
            </w:r>
          </w:p>
        </w:tc>
        <w:tc>
          <w:tcPr>
            <w:tcW w:w="7087" w:type="dxa"/>
          </w:tcPr>
          <w:p w14:paraId="375EB680" w14:textId="77777777" w:rsidR="00C91F25" w:rsidRPr="00263DB9" w:rsidRDefault="00C91F25" w:rsidP="008303F6">
            <w:pPr>
              <w:keepNext/>
              <w:widowControl w:val="0"/>
              <w:tabs>
                <w:tab w:val="left" w:pos="567"/>
              </w:tabs>
              <w:spacing w:line="260" w:lineRule="exact"/>
              <w:rPr>
                <w:bCs/>
                <w:color w:val="000000"/>
                <w:szCs w:val="22"/>
              </w:rPr>
            </w:pPr>
            <w:r w:rsidRPr="00263DB9">
              <w:rPr>
                <w:bCs/>
                <w:color w:val="000000"/>
                <w:szCs w:val="22"/>
              </w:rPr>
              <w:t>Aumento das enzimas hepáticas</w:t>
            </w:r>
          </w:p>
        </w:tc>
      </w:tr>
      <w:tr w:rsidR="00C91F25" w:rsidRPr="00263DB9" w14:paraId="375EB684" w14:textId="77777777" w:rsidTr="008303F6">
        <w:trPr>
          <w:cantSplit/>
          <w:trHeight w:val="260"/>
        </w:trPr>
        <w:tc>
          <w:tcPr>
            <w:tcW w:w="2235" w:type="dxa"/>
          </w:tcPr>
          <w:p w14:paraId="375EB682" w14:textId="77777777" w:rsidR="00C91F25" w:rsidRPr="00263DB9" w:rsidRDefault="00C91F25" w:rsidP="008303F6">
            <w:pPr>
              <w:keepNext/>
              <w:widowControl w:val="0"/>
              <w:tabs>
                <w:tab w:val="left" w:pos="567"/>
              </w:tabs>
              <w:spacing w:line="260" w:lineRule="exact"/>
              <w:rPr>
                <w:bCs/>
                <w:i/>
                <w:iCs/>
                <w:color w:val="000000"/>
                <w:szCs w:val="22"/>
              </w:rPr>
            </w:pPr>
            <w:r w:rsidRPr="00263DB9">
              <w:rPr>
                <w:bCs/>
                <w:i/>
                <w:iCs/>
                <w:color w:val="000000"/>
                <w:szCs w:val="22"/>
              </w:rPr>
              <w:t>Pouco frequentes:</w:t>
            </w:r>
          </w:p>
        </w:tc>
        <w:tc>
          <w:tcPr>
            <w:tcW w:w="7087" w:type="dxa"/>
          </w:tcPr>
          <w:p w14:paraId="375EB683" w14:textId="77777777" w:rsidR="00C91F25" w:rsidRPr="00263DB9" w:rsidRDefault="00C91F25" w:rsidP="008303F6">
            <w:pPr>
              <w:keepNext/>
              <w:widowControl w:val="0"/>
              <w:tabs>
                <w:tab w:val="left" w:pos="567"/>
              </w:tabs>
              <w:spacing w:line="260" w:lineRule="exact"/>
              <w:rPr>
                <w:bCs/>
                <w:color w:val="000000"/>
                <w:szCs w:val="22"/>
              </w:rPr>
            </w:pPr>
            <w:r w:rsidRPr="00263DB9">
              <w:rPr>
                <w:bCs/>
                <w:color w:val="000000"/>
                <w:szCs w:val="22"/>
              </w:rPr>
              <w:t>Hiperbilirrubinemia, hepatite, icterícia</w:t>
            </w:r>
          </w:p>
        </w:tc>
      </w:tr>
      <w:tr w:rsidR="00C91F25" w:rsidRPr="00263DB9" w14:paraId="375EB687" w14:textId="77777777" w:rsidTr="008303F6">
        <w:trPr>
          <w:cantSplit/>
          <w:trHeight w:val="260"/>
        </w:trPr>
        <w:tc>
          <w:tcPr>
            <w:tcW w:w="2235" w:type="dxa"/>
          </w:tcPr>
          <w:p w14:paraId="375EB685" w14:textId="77777777" w:rsidR="00C91F25" w:rsidRPr="00263DB9" w:rsidRDefault="00C91F25" w:rsidP="00E51817">
            <w:pPr>
              <w:widowControl w:val="0"/>
              <w:tabs>
                <w:tab w:val="left" w:pos="567"/>
              </w:tabs>
              <w:spacing w:line="260" w:lineRule="exact"/>
              <w:rPr>
                <w:bCs/>
                <w:i/>
                <w:iCs/>
                <w:color w:val="000000"/>
                <w:szCs w:val="22"/>
              </w:rPr>
            </w:pPr>
            <w:r w:rsidRPr="00263DB9">
              <w:rPr>
                <w:bCs/>
                <w:i/>
                <w:iCs/>
                <w:color w:val="000000"/>
                <w:szCs w:val="22"/>
              </w:rPr>
              <w:t>Raros:</w:t>
            </w:r>
          </w:p>
        </w:tc>
        <w:tc>
          <w:tcPr>
            <w:tcW w:w="7087" w:type="dxa"/>
          </w:tcPr>
          <w:p w14:paraId="375EB686" w14:textId="77777777" w:rsidR="00C91F25" w:rsidRPr="00263DB9" w:rsidRDefault="00C91F25" w:rsidP="00E51817">
            <w:pPr>
              <w:widowControl w:val="0"/>
              <w:tabs>
                <w:tab w:val="left" w:pos="567"/>
              </w:tabs>
              <w:spacing w:line="260" w:lineRule="exact"/>
              <w:rPr>
                <w:bCs/>
                <w:color w:val="000000"/>
                <w:szCs w:val="22"/>
              </w:rPr>
            </w:pPr>
            <w:r w:rsidRPr="00263DB9">
              <w:rPr>
                <w:bCs/>
                <w:color w:val="000000"/>
                <w:szCs w:val="22"/>
              </w:rPr>
              <w:t>Insuficiência hepática</w:t>
            </w:r>
            <w:r w:rsidRPr="00263DB9">
              <w:rPr>
                <w:bCs/>
                <w:color w:val="000000"/>
                <w:szCs w:val="22"/>
                <w:vertAlign w:val="superscript"/>
              </w:rPr>
              <w:t>8</w:t>
            </w:r>
            <w:r w:rsidRPr="00263DB9">
              <w:rPr>
                <w:bCs/>
                <w:color w:val="000000"/>
                <w:szCs w:val="22"/>
              </w:rPr>
              <w:t>, necrose hepática</w:t>
            </w:r>
          </w:p>
        </w:tc>
      </w:tr>
      <w:tr w:rsidR="00C91F25" w:rsidRPr="00263DB9" w14:paraId="375EB689" w14:textId="77777777" w:rsidTr="008303F6">
        <w:trPr>
          <w:cantSplit/>
        </w:trPr>
        <w:tc>
          <w:tcPr>
            <w:tcW w:w="9322" w:type="dxa"/>
            <w:gridSpan w:val="2"/>
          </w:tcPr>
          <w:p w14:paraId="375EB688" w14:textId="77777777" w:rsidR="00C91F25" w:rsidRPr="00263DB9" w:rsidRDefault="00C91F25" w:rsidP="008303F6">
            <w:pPr>
              <w:keepNext/>
              <w:widowControl w:val="0"/>
              <w:tabs>
                <w:tab w:val="left" w:pos="567"/>
              </w:tabs>
              <w:spacing w:line="260" w:lineRule="exact"/>
              <w:rPr>
                <w:color w:val="000000"/>
              </w:rPr>
            </w:pPr>
            <w:r w:rsidRPr="00263DB9">
              <w:rPr>
                <w:b/>
                <w:color w:val="000000"/>
                <w:szCs w:val="22"/>
              </w:rPr>
              <w:t>Afeções dos tecidos cutâneos e subcutâneos</w:t>
            </w:r>
          </w:p>
        </w:tc>
      </w:tr>
      <w:tr w:rsidR="00C91F25" w:rsidRPr="00263DB9" w14:paraId="375EB68C" w14:textId="77777777" w:rsidTr="008303F6">
        <w:trPr>
          <w:cantSplit/>
        </w:trPr>
        <w:tc>
          <w:tcPr>
            <w:tcW w:w="2235" w:type="dxa"/>
          </w:tcPr>
          <w:p w14:paraId="375EB68A"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Muito frequentes:</w:t>
            </w:r>
          </w:p>
        </w:tc>
        <w:tc>
          <w:tcPr>
            <w:tcW w:w="7087" w:type="dxa"/>
          </w:tcPr>
          <w:p w14:paraId="375EB68B"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Edema periorbitário, dermatite/eczema/erupções cutâneas</w:t>
            </w:r>
          </w:p>
        </w:tc>
      </w:tr>
      <w:tr w:rsidR="00C91F25" w:rsidRPr="00263DB9" w14:paraId="375EB68F" w14:textId="77777777" w:rsidTr="008303F6">
        <w:trPr>
          <w:cantSplit/>
        </w:trPr>
        <w:tc>
          <w:tcPr>
            <w:tcW w:w="2235" w:type="dxa"/>
          </w:tcPr>
          <w:p w14:paraId="375EB68D"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Frequentes:</w:t>
            </w:r>
          </w:p>
        </w:tc>
        <w:tc>
          <w:tcPr>
            <w:tcW w:w="7087" w:type="dxa"/>
          </w:tcPr>
          <w:p w14:paraId="375EB68E"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Prurido, edema da face, pele seca, eritema, alopécia, suores nocturnos, reações de fotossensibilidade</w:t>
            </w:r>
          </w:p>
        </w:tc>
      </w:tr>
      <w:tr w:rsidR="00C91F25" w:rsidRPr="00263DB9" w14:paraId="375EB692" w14:textId="77777777" w:rsidTr="008303F6">
        <w:trPr>
          <w:cantSplit/>
        </w:trPr>
        <w:tc>
          <w:tcPr>
            <w:tcW w:w="2235" w:type="dxa"/>
          </w:tcPr>
          <w:p w14:paraId="375EB690"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Pouco frequentes:</w:t>
            </w:r>
          </w:p>
        </w:tc>
        <w:tc>
          <w:tcPr>
            <w:tcW w:w="7087" w:type="dxa"/>
          </w:tcPr>
          <w:p w14:paraId="375EB691" w14:textId="77777777" w:rsidR="00C91F25" w:rsidRPr="00263DB9" w:rsidRDefault="00C91F25" w:rsidP="008303F6">
            <w:pPr>
              <w:keepNext/>
              <w:widowControl w:val="0"/>
              <w:tabs>
                <w:tab w:val="left" w:pos="567"/>
              </w:tabs>
              <w:spacing w:line="260" w:lineRule="exact"/>
              <w:rPr>
                <w:color w:val="000000"/>
                <w:szCs w:val="22"/>
              </w:rPr>
            </w:pPr>
            <w:r w:rsidRPr="00263DB9">
              <w:rPr>
                <w:color w:val="000000"/>
                <w:szCs w:val="22"/>
              </w:rPr>
              <w:t>Erupção cutânea pustular, contusão, aumento da sudação, urticária, equimose, aumento de tendência para hematomas, hipotricose, hipopigmentação da pele, dermatite exfoliativa, onicoclase, foliculitie, petéquias, psoríase, púrpura, hiperpigmentação cutânea, erupções bolhosas</w:t>
            </w:r>
          </w:p>
        </w:tc>
      </w:tr>
      <w:tr w:rsidR="00C91F25" w:rsidRPr="00263DB9" w14:paraId="375EB695" w14:textId="77777777" w:rsidTr="008303F6">
        <w:trPr>
          <w:cantSplit/>
        </w:trPr>
        <w:tc>
          <w:tcPr>
            <w:tcW w:w="2235" w:type="dxa"/>
          </w:tcPr>
          <w:p w14:paraId="375EB693" w14:textId="77777777" w:rsidR="00C91F25" w:rsidRPr="00263DB9" w:rsidRDefault="00C91F25" w:rsidP="008303F6">
            <w:pPr>
              <w:keepNext/>
              <w:widowControl w:val="0"/>
              <w:tabs>
                <w:tab w:val="left" w:pos="567"/>
              </w:tabs>
              <w:spacing w:line="260" w:lineRule="exact"/>
              <w:rPr>
                <w:color w:val="000000"/>
              </w:rPr>
            </w:pPr>
            <w:r w:rsidRPr="00263DB9">
              <w:rPr>
                <w:i/>
                <w:color w:val="000000"/>
                <w:szCs w:val="22"/>
              </w:rPr>
              <w:t>Raros:</w:t>
            </w:r>
          </w:p>
        </w:tc>
        <w:tc>
          <w:tcPr>
            <w:tcW w:w="7087" w:type="dxa"/>
          </w:tcPr>
          <w:p w14:paraId="375EB694" w14:textId="77777777" w:rsidR="00C91F25" w:rsidRPr="00263DB9" w:rsidRDefault="00C91F25" w:rsidP="008303F6">
            <w:pPr>
              <w:keepNext/>
              <w:widowControl w:val="0"/>
              <w:tabs>
                <w:tab w:val="left" w:pos="567"/>
              </w:tabs>
              <w:spacing w:line="260" w:lineRule="exact"/>
              <w:rPr>
                <w:color w:val="000000"/>
              </w:rPr>
            </w:pPr>
            <w:r w:rsidRPr="00263DB9">
              <w:rPr>
                <w:color w:val="000000"/>
                <w:szCs w:val="22"/>
              </w:rPr>
              <w:t>Dermatose neutrofílica febril aguda (síndrome de Sweet), descoloração das unhas, edema angioneurótico, erupção cutânea vesicular, eritema multiforme, vasculite leucocitoclástica, síndrome de Stevens-Johnson, pustulose exantematosa generalizada aguda (AGEP)</w:t>
            </w:r>
          </w:p>
        </w:tc>
      </w:tr>
      <w:tr w:rsidR="00022E28" w:rsidRPr="00263DB9" w14:paraId="375EB698" w14:textId="77777777" w:rsidTr="008303F6">
        <w:trPr>
          <w:cantSplit/>
        </w:trPr>
        <w:tc>
          <w:tcPr>
            <w:tcW w:w="2235" w:type="dxa"/>
          </w:tcPr>
          <w:p w14:paraId="375EB696" w14:textId="77777777" w:rsidR="00022E28" w:rsidRPr="00263DB9" w:rsidRDefault="00022E28" w:rsidP="00E51817">
            <w:pPr>
              <w:widowControl w:val="0"/>
              <w:tabs>
                <w:tab w:val="left" w:pos="567"/>
              </w:tabs>
              <w:spacing w:line="260" w:lineRule="exact"/>
              <w:rPr>
                <w:i/>
                <w:color w:val="000000"/>
                <w:szCs w:val="22"/>
              </w:rPr>
            </w:pPr>
            <w:r w:rsidRPr="00263DB9">
              <w:rPr>
                <w:i/>
                <w:color w:val="000000"/>
                <w:szCs w:val="22"/>
              </w:rPr>
              <w:t>Desconhecido:</w:t>
            </w:r>
          </w:p>
        </w:tc>
        <w:tc>
          <w:tcPr>
            <w:tcW w:w="7087" w:type="dxa"/>
          </w:tcPr>
          <w:p w14:paraId="375EB697" w14:textId="77777777" w:rsidR="00022E28" w:rsidRPr="00263DB9" w:rsidRDefault="00022E28" w:rsidP="00E51817">
            <w:pPr>
              <w:widowControl w:val="0"/>
              <w:tabs>
                <w:tab w:val="left" w:pos="567"/>
              </w:tabs>
              <w:spacing w:line="260" w:lineRule="exact"/>
              <w:rPr>
                <w:color w:val="000000"/>
                <w:szCs w:val="22"/>
              </w:rPr>
            </w:pPr>
            <w:r w:rsidRPr="00263DB9">
              <w:rPr>
                <w:color w:val="000000"/>
              </w:rPr>
              <w:t>Eritrodisestesia palmo-plantar*, queratose liquenoide*, líquen plano*, necrose epidérmica tóxica*, eritema com eosinofilia e sintomas sistémicos (DRESS)*</w:t>
            </w:r>
            <w:r w:rsidR="00844205" w:rsidRPr="00263DB9">
              <w:rPr>
                <w:color w:val="000000"/>
              </w:rPr>
              <w:t>, pseudoporfiria*</w:t>
            </w:r>
          </w:p>
        </w:tc>
      </w:tr>
      <w:tr w:rsidR="00C91F25" w:rsidRPr="00263DB9" w14:paraId="375EB69A" w14:textId="77777777" w:rsidTr="008303F6">
        <w:trPr>
          <w:cantSplit/>
        </w:trPr>
        <w:tc>
          <w:tcPr>
            <w:tcW w:w="9322" w:type="dxa"/>
            <w:gridSpan w:val="2"/>
          </w:tcPr>
          <w:p w14:paraId="375EB699" w14:textId="77777777" w:rsidR="00C91F25" w:rsidRPr="00263DB9" w:rsidRDefault="00C91F25" w:rsidP="008303F6">
            <w:pPr>
              <w:keepNext/>
              <w:widowControl w:val="0"/>
              <w:tabs>
                <w:tab w:val="left" w:pos="567"/>
              </w:tabs>
              <w:spacing w:line="260" w:lineRule="exact"/>
              <w:rPr>
                <w:color w:val="000000"/>
                <w:szCs w:val="22"/>
              </w:rPr>
            </w:pPr>
            <w:r w:rsidRPr="00263DB9">
              <w:rPr>
                <w:b/>
                <w:color w:val="000000"/>
                <w:szCs w:val="22"/>
              </w:rPr>
              <w:lastRenderedPageBreak/>
              <w:t>Afeções musculoesqueléticas e dos tecidos conjuntivos</w:t>
            </w:r>
          </w:p>
        </w:tc>
      </w:tr>
      <w:tr w:rsidR="00C91F25" w:rsidRPr="00263DB9" w14:paraId="375EB69D" w14:textId="77777777" w:rsidTr="008303F6">
        <w:trPr>
          <w:cantSplit/>
        </w:trPr>
        <w:tc>
          <w:tcPr>
            <w:tcW w:w="2235" w:type="dxa"/>
          </w:tcPr>
          <w:p w14:paraId="375EB69B" w14:textId="77777777" w:rsidR="00C91F25" w:rsidRPr="00263DB9" w:rsidRDefault="00C91F25" w:rsidP="008303F6">
            <w:pPr>
              <w:keepNext/>
              <w:widowControl w:val="0"/>
              <w:tabs>
                <w:tab w:val="left" w:pos="567"/>
              </w:tabs>
              <w:spacing w:line="260" w:lineRule="exact"/>
              <w:rPr>
                <w:i/>
                <w:color w:val="000000"/>
                <w:szCs w:val="22"/>
              </w:rPr>
            </w:pPr>
            <w:r w:rsidRPr="00263DB9">
              <w:rPr>
                <w:i/>
                <w:color w:val="000000"/>
                <w:szCs w:val="22"/>
              </w:rPr>
              <w:t>Muito frequentes:</w:t>
            </w:r>
          </w:p>
        </w:tc>
        <w:tc>
          <w:tcPr>
            <w:tcW w:w="7087" w:type="dxa"/>
          </w:tcPr>
          <w:p w14:paraId="375EB69C" w14:textId="77777777" w:rsidR="00C91F25" w:rsidRPr="00263DB9" w:rsidRDefault="00C91F25" w:rsidP="008303F6">
            <w:pPr>
              <w:keepNext/>
              <w:widowControl w:val="0"/>
              <w:tabs>
                <w:tab w:val="left" w:pos="567"/>
              </w:tabs>
              <w:spacing w:line="260" w:lineRule="exact"/>
              <w:rPr>
                <w:color w:val="000000"/>
                <w:szCs w:val="22"/>
              </w:rPr>
            </w:pPr>
            <w:r w:rsidRPr="00263DB9">
              <w:rPr>
                <w:color w:val="000000"/>
                <w:szCs w:val="22"/>
              </w:rPr>
              <w:t>Espasmos e cãibras musculares, dor musculoesquelética incluindo mialgia</w:t>
            </w:r>
            <w:r w:rsidR="001104DD" w:rsidRPr="00263DB9">
              <w:rPr>
                <w:color w:val="000000"/>
                <w:szCs w:val="22"/>
                <w:vertAlign w:val="superscript"/>
              </w:rPr>
              <w:t>9</w:t>
            </w:r>
            <w:r w:rsidRPr="00263DB9">
              <w:rPr>
                <w:color w:val="000000"/>
                <w:szCs w:val="22"/>
              </w:rPr>
              <w:t>, artralgia, dor óssea</w:t>
            </w:r>
            <w:r w:rsidR="002F2D88" w:rsidRPr="00263DB9">
              <w:rPr>
                <w:color w:val="000000"/>
                <w:szCs w:val="22"/>
                <w:vertAlign w:val="superscript"/>
              </w:rPr>
              <w:t>10</w:t>
            </w:r>
          </w:p>
        </w:tc>
      </w:tr>
      <w:tr w:rsidR="00C91F25" w:rsidRPr="00263DB9" w14:paraId="375EB6A0" w14:textId="77777777" w:rsidTr="008303F6">
        <w:trPr>
          <w:cantSplit/>
        </w:trPr>
        <w:tc>
          <w:tcPr>
            <w:tcW w:w="2235" w:type="dxa"/>
          </w:tcPr>
          <w:p w14:paraId="375EB69E" w14:textId="77777777" w:rsidR="00C91F25" w:rsidRPr="00263DB9" w:rsidRDefault="00C91F25" w:rsidP="008303F6">
            <w:pPr>
              <w:keepNext/>
              <w:widowControl w:val="0"/>
              <w:tabs>
                <w:tab w:val="left" w:pos="567"/>
              </w:tabs>
              <w:spacing w:line="260" w:lineRule="exact"/>
              <w:rPr>
                <w:i/>
                <w:color w:val="000000"/>
                <w:szCs w:val="22"/>
              </w:rPr>
            </w:pPr>
            <w:r w:rsidRPr="00263DB9">
              <w:rPr>
                <w:i/>
                <w:color w:val="000000"/>
                <w:szCs w:val="22"/>
              </w:rPr>
              <w:t>Frequentes:</w:t>
            </w:r>
          </w:p>
        </w:tc>
        <w:tc>
          <w:tcPr>
            <w:tcW w:w="7087" w:type="dxa"/>
          </w:tcPr>
          <w:p w14:paraId="375EB69F" w14:textId="77777777" w:rsidR="00C91F25" w:rsidRPr="00263DB9" w:rsidRDefault="00C91F25" w:rsidP="008303F6">
            <w:pPr>
              <w:keepNext/>
              <w:widowControl w:val="0"/>
              <w:tabs>
                <w:tab w:val="left" w:pos="567"/>
              </w:tabs>
              <w:spacing w:line="260" w:lineRule="exact"/>
              <w:rPr>
                <w:color w:val="000000"/>
                <w:szCs w:val="22"/>
              </w:rPr>
            </w:pPr>
            <w:r w:rsidRPr="00263DB9">
              <w:rPr>
                <w:color w:val="000000"/>
                <w:szCs w:val="22"/>
              </w:rPr>
              <w:t>Edema das articulações</w:t>
            </w:r>
          </w:p>
        </w:tc>
      </w:tr>
      <w:tr w:rsidR="00C91F25" w:rsidRPr="00263DB9" w14:paraId="375EB6A3" w14:textId="77777777" w:rsidTr="008303F6">
        <w:trPr>
          <w:cantSplit/>
        </w:trPr>
        <w:tc>
          <w:tcPr>
            <w:tcW w:w="2235" w:type="dxa"/>
          </w:tcPr>
          <w:p w14:paraId="375EB6A1" w14:textId="77777777" w:rsidR="00C91F25" w:rsidRPr="00263DB9" w:rsidRDefault="00C91F25" w:rsidP="008303F6">
            <w:pPr>
              <w:keepNext/>
              <w:widowControl w:val="0"/>
              <w:tabs>
                <w:tab w:val="left" w:pos="567"/>
              </w:tabs>
              <w:spacing w:line="260" w:lineRule="exact"/>
              <w:rPr>
                <w:i/>
                <w:color w:val="000000"/>
                <w:szCs w:val="22"/>
              </w:rPr>
            </w:pPr>
            <w:r w:rsidRPr="00263DB9">
              <w:rPr>
                <w:i/>
                <w:color w:val="000000"/>
                <w:szCs w:val="22"/>
              </w:rPr>
              <w:t>Pouco frequentes:</w:t>
            </w:r>
          </w:p>
        </w:tc>
        <w:tc>
          <w:tcPr>
            <w:tcW w:w="7087" w:type="dxa"/>
          </w:tcPr>
          <w:p w14:paraId="375EB6A2" w14:textId="77777777" w:rsidR="00C91F25" w:rsidRPr="00263DB9" w:rsidRDefault="00C91F25" w:rsidP="008303F6">
            <w:pPr>
              <w:keepNext/>
              <w:widowControl w:val="0"/>
              <w:tabs>
                <w:tab w:val="left" w:pos="567"/>
              </w:tabs>
              <w:spacing w:line="260" w:lineRule="exact"/>
              <w:rPr>
                <w:color w:val="000000"/>
                <w:szCs w:val="22"/>
              </w:rPr>
            </w:pPr>
            <w:r w:rsidRPr="00263DB9">
              <w:rPr>
                <w:color w:val="000000"/>
                <w:szCs w:val="22"/>
              </w:rPr>
              <w:t>Endurecimento muscular e articular</w:t>
            </w:r>
          </w:p>
        </w:tc>
      </w:tr>
      <w:tr w:rsidR="00C91F25" w:rsidRPr="00263DB9" w14:paraId="375EB6A6" w14:textId="77777777" w:rsidTr="008303F6">
        <w:trPr>
          <w:cantSplit/>
        </w:trPr>
        <w:tc>
          <w:tcPr>
            <w:tcW w:w="2235" w:type="dxa"/>
          </w:tcPr>
          <w:p w14:paraId="375EB6A4" w14:textId="77777777" w:rsidR="00C91F25" w:rsidRPr="00263DB9" w:rsidRDefault="00C91F25" w:rsidP="008303F6">
            <w:pPr>
              <w:keepNext/>
              <w:widowControl w:val="0"/>
              <w:tabs>
                <w:tab w:val="left" w:pos="567"/>
              </w:tabs>
              <w:spacing w:line="260" w:lineRule="exact"/>
              <w:rPr>
                <w:i/>
                <w:color w:val="000000"/>
                <w:szCs w:val="22"/>
              </w:rPr>
            </w:pPr>
            <w:r w:rsidRPr="00263DB9">
              <w:rPr>
                <w:i/>
                <w:color w:val="000000"/>
                <w:szCs w:val="22"/>
              </w:rPr>
              <w:t>Raros:</w:t>
            </w:r>
          </w:p>
        </w:tc>
        <w:tc>
          <w:tcPr>
            <w:tcW w:w="7087" w:type="dxa"/>
          </w:tcPr>
          <w:p w14:paraId="375EB6A5" w14:textId="77777777" w:rsidR="00C91F25" w:rsidRPr="00263DB9" w:rsidRDefault="00C91F25" w:rsidP="008303F6">
            <w:pPr>
              <w:keepNext/>
              <w:widowControl w:val="0"/>
              <w:tabs>
                <w:tab w:val="left" w:pos="567"/>
              </w:tabs>
              <w:spacing w:line="260" w:lineRule="exact"/>
              <w:rPr>
                <w:color w:val="000000"/>
                <w:szCs w:val="22"/>
              </w:rPr>
            </w:pPr>
            <w:r w:rsidRPr="00263DB9">
              <w:rPr>
                <w:bCs/>
                <w:color w:val="000000"/>
                <w:szCs w:val="22"/>
              </w:rPr>
              <w:t>Fraqueza muscular, artrite, rabdomiólise/miopatia</w:t>
            </w:r>
          </w:p>
        </w:tc>
      </w:tr>
      <w:tr w:rsidR="00022E28" w:rsidRPr="00263DB9" w14:paraId="375EB6A9" w14:textId="77777777" w:rsidTr="008303F6">
        <w:trPr>
          <w:cantSplit/>
        </w:trPr>
        <w:tc>
          <w:tcPr>
            <w:tcW w:w="2235" w:type="dxa"/>
          </w:tcPr>
          <w:p w14:paraId="375EB6A7" w14:textId="77777777" w:rsidR="00022E28" w:rsidRPr="00263DB9" w:rsidRDefault="00022E28" w:rsidP="00E51817">
            <w:pPr>
              <w:widowControl w:val="0"/>
              <w:tabs>
                <w:tab w:val="left" w:pos="567"/>
              </w:tabs>
              <w:spacing w:line="260" w:lineRule="exact"/>
              <w:rPr>
                <w:i/>
                <w:color w:val="000000"/>
                <w:szCs w:val="22"/>
              </w:rPr>
            </w:pPr>
            <w:r w:rsidRPr="00263DB9">
              <w:rPr>
                <w:i/>
                <w:color w:val="000000"/>
                <w:szCs w:val="22"/>
              </w:rPr>
              <w:t>Desconhecido:</w:t>
            </w:r>
          </w:p>
        </w:tc>
        <w:tc>
          <w:tcPr>
            <w:tcW w:w="7087" w:type="dxa"/>
          </w:tcPr>
          <w:p w14:paraId="375EB6A8" w14:textId="77777777" w:rsidR="00022E28" w:rsidRPr="00263DB9" w:rsidRDefault="00022E28" w:rsidP="00E51817">
            <w:pPr>
              <w:widowControl w:val="0"/>
              <w:tabs>
                <w:tab w:val="left" w:pos="567"/>
              </w:tabs>
              <w:spacing w:line="260" w:lineRule="exact"/>
              <w:rPr>
                <w:bCs/>
                <w:color w:val="000000"/>
                <w:szCs w:val="22"/>
              </w:rPr>
            </w:pPr>
            <w:r w:rsidRPr="00263DB9">
              <w:rPr>
                <w:bCs/>
                <w:color w:val="000000"/>
                <w:szCs w:val="22"/>
              </w:rPr>
              <w:t>Necrólise avascular/necrose da anca*, atraso de crescimento em crianças*</w:t>
            </w:r>
          </w:p>
        </w:tc>
      </w:tr>
      <w:tr w:rsidR="00C91F25" w:rsidRPr="00263DB9" w14:paraId="375EB6AB" w14:textId="77777777" w:rsidTr="008303F6">
        <w:trPr>
          <w:cantSplit/>
        </w:trPr>
        <w:tc>
          <w:tcPr>
            <w:tcW w:w="9322" w:type="dxa"/>
            <w:gridSpan w:val="2"/>
          </w:tcPr>
          <w:p w14:paraId="375EB6AA" w14:textId="77777777" w:rsidR="00C91F25" w:rsidRPr="00263DB9" w:rsidRDefault="00C91F25" w:rsidP="008303F6">
            <w:pPr>
              <w:keepNext/>
              <w:widowControl w:val="0"/>
              <w:tabs>
                <w:tab w:val="left" w:pos="567"/>
              </w:tabs>
              <w:spacing w:line="260" w:lineRule="exact"/>
              <w:rPr>
                <w:b/>
                <w:color w:val="000000"/>
                <w:szCs w:val="22"/>
              </w:rPr>
            </w:pPr>
            <w:r w:rsidRPr="00263DB9">
              <w:rPr>
                <w:b/>
                <w:color w:val="000000"/>
                <w:szCs w:val="22"/>
              </w:rPr>
              <w:t>Doenças renais e urinárias</w:t>
            </w:r>
          </w:p>
        </w:tc>
      </w:tr>
      <w:tr w:rsidR="00C91F25" w:rsidRPr="00263DB9" w14:paraId="375EB6AE" w14:textId="77777777" w:rsidTr="008303F6">
        <w:trPr>
          <w:cantSplit/>
        </w:trPr>
        <w:tc>
          <w:tcPr>
            <w:tcW w:w="2235" w:type="dxa"/>
          </w:tcPr>
          <w:p w14:paraId="375EB6AC" w14:textId="77777777" w:rsidR="00C91F25" w:rsidRPr="00263DB9" w:rsidRDefault="00C91F25" w:rsidP="008303F6">
            <w:pPr>
              <w:keepNext/>
              <w:widowControl w:val="0"/>
              <w:tabs>
                <w:tab w:val="left" w:pos="567"/>
              </w:tabs>
              <w:spacing w:line="260" w:lineRule="exact"/>
              <w:rPr>
                <w:bCs/>
                <w:i/>
                <w:iCs/>
                <w:color w:val="000000"/>
                <w:szCs w:val="22"/>
              </w:rPr>
            </w:pPr>
            <w:r w:rsidRPr="00263DB9">
              <w:rPr>
                <w:bCs/>
                <w:i/>
                <w:iCs/>
                <w:color w:val="000000"/>
                <w:szCs w:val="22"/>
              </w:rPr>
              <w:t>Pouco frequentes:</w:t>
            </w:r>
          </w:p>
        </w:tc>
        <w:tc>
          <w:tcPr>
            <w:tcW w:w="7087" w:type="dxa"/>
          </w:tcPr>
          <w:p w14:paraId="375EB6AD" w14:textId="77777777" w:rsidR="00C91F25" w:rsidRPr="00263DB9" w:rsidRDefault="00C91F25" w:rsidP="008303F6">
            <w:pPr>
              <w:keepNext/>
              <w:widowControl w:val="0"/>
              <w:tabs>
                <w:tab w:val="left" w:pos="567"/>
              </w:tabs>
              <w:spacing w:line="260" w:lineRule="exact"/>
              <w:rPr>
                <w:b/>
                <w:color w:val="000000"/>
                <w:szCs w:val="22"/>
              </w:rPr>
            </w:pPr>
            <w:r w:rsidRPr="00263DB9">
              <w:rPr>
                <w:bCs/>
                <w:color w:val="000000"/>
                <w:szCs w:val="22"/>
              </w:rPr>
              <w:t>Dor renal, hematúria, insuficiência renal aguda, aumento da frequência urinária</w:t>
            </w:r>
          </w:p>
        </w:tc>
      </w:tr>
      <w:tr w:rsidR="002C6B56" w:rsidRPr="00263DB9" w14:paraId="375EB6B1" w14:textId="77777777" w:rsidTr="008303F6">
        <w:trPr>
          <w:cantSplit/>
        </w:trPr>
        <w:tc>
          <w:tcPr>
            <w:tcW w:w="2235" w:type="dxa"/>
          </w:tcPr>
          <w:p w14:paraId="375EB6AF" w14:textId="77777777" w:rsidR="002C6B56" w:rsidRPr="00263DB9" w:rsidRDefault="002C6B56" w:rsidP="00E51817">
            <w:pPr>
              <w:widowControl w:val="0"/>
              <w:tabs>
                <w:tab w:val="left" w:pos="567"/>
              </w:tabs>
              <w:spacing w:line="260" w:lineRule="exact"/>
              <w:rPr>
                <w:bCs/>
                <w:i/>
                <w:iCs/>
                <w:color w:val="000000"/>
                <w:szCs w:val="22"/>
              </w:rPr>
            </w:pPr>
            <w:r w:rsidRPr="00263DB9">
              <w:rPr>
                <w:bCs/>
                <w:i/>
                <w:iCs/>
                <w:color w:val="000000"/>
                <w:szCs w:val="22"/>
              </w:rPr>
              <w:t>Desconhecido</w:t>
            </w:r>
          </w:p>
        </w:tc>
        <w:tc>
          <w:tcPr>
            <w:tcW w:w="7087" w:type="dxa"/>
          </w:tcPr>
          <w:p w14:paraId="375EB6B0" w14:textId="77777777" w:rsidR="002C6B56" w:rsidRPr="00263DB9" w:rsidRDefault="002C6B56" w:rsidP="00E51817">
            <w:pPr>
              <w:widowControl w:val="0"/>
              <w:tabs>
                <w:tab w:val="left" w:pos="567"/>
              </w:tabs>
              <w:spacing w:line="260" w:lineRule="exact"/>
              <w:rPr>
                <w:bCs/>
                <w:color w:val="000000"/>
                <w:szCs w:val="22"/>
              </w:rPr>
            </w:pPr>
            <w:r w:rsidRPr="00263DB9">
              <w:rPr>
                <w:bCs/>
                <w:color w:val="000000"/>
                <w:szCs w:val="22"/>
              </w:rPr>
              <w:t>Insuficiência renal aguda</w:t>
            </w:r>
          </w:p>
        </w:tc>
      </w:tr>
      <w:tr w:rsidR="00C91F25" w:rsidRPr="00263DB9" w14:paraId="375EB6B3" w14:textId="77777777" w:rsidTr="008303F6">
        <w:trPr>
          <w:cantSplit/>
        </w:trPr>
        <w:tc>
          <w:tcPr>
            <w:tcW w:w="9322" w:type="dxa"/>
            <w:gridSpan w:val="2"/>
          </w:tcPr>
          <w:p w14:paraId="375EB6B2" w14:textId="77777777" w:rsidR="00C91F25" w:rsidRPr="00263DB9" w:rsidRDefault="00C91F25" w:rsidP="008303F6">
            <w:pPr>
              <w:keepNext/>
              <w:keepLines/>
              <w:widowControl w:val="0"/>
              <w:tabs>
                <w:tab w:val="left" w:pos="567"/>
              </w:tabs>
              <w:spacing w:line="260" w:lineRule="exact"/>
              <w:rPr>
                <w:b/>
                <w:color w:val="000000"/>
                <w:szCs w:val="22"/>
              </w:rPr>
            </w:pPr>
            <w:r w:rsidRPr="00263DB9">
              <w:rPr>
                <w:b/>
                <w:color w:val="000000"/>
                <w:szCs w:val="22"/>
              </w:rPr>
              <w:t>Doenças dos orgãos genitais e da mama</w:t>
            </w:r>
          </w:p>
        </w:tc>
      </w:tr>
      <w:tr w:rsidR="00C91F25" w:rsidRPr="00263DB9" w14:paraId="375EB6B6" w14:textId="77777777" w:rsidTr="008303F6">
        <w:trPr>
          <w:cantSplit/>
          <w:trHeight w:val="263"/>
        </w:trPr>
        <w:tc>
          <w:tcPr>
            <w:tcW w:w="2235" w:type="dxa"/>
          </w:tcPr>
          <w:p w14:paraId="375EB6B4" w14:textId="77777777" w:rsidR="00C91F25" w:rsidRPr="00263DB9" w:rsidRDefault="00C91F25" w:rsidP="008303F6">
            <w:pPr>
              <w:keepNext/>
              <w:keepLines/>
              <w:widowControl w:val="0"/>
              <w:tabs>
                <w:tab w:val="left" w:pos="567"/>
              </w:tabs>
              <w:spacing w:line="260" w:lineRule="exact"/>
              <w:rPr>
                <w:bCs/>
                <w:i/>
                <w:iCs/>
                <w:color w:val="000000"/>
                <w:szCs w:val="22"/>
              </w:rPr>
            </w:pPr>
            <w:r w:rsidRPr="00263DB9">
              <w:rPr>
                <w:bCs/>
                <w:i/>
                <w:iCs/>
                <w:color w:val="000000"/>
                <w:szCs w:val="22"/>
              </w:rPr>
              <w:t>Pouco frequentes:</w:t>
            </w:r>
          </w:p>
        </w:tc>
        <w:tc>
          <w:tcPr>
            <w:tcW w:w="7087" w:type="dxa"/>
          </w:tcPr>
          <w:p w14:paraId="375EB6B5" w14:textId="77777777" w:rsidR="00C91F25" w:rsidRPr="00263DB9" w:rsidRDefault="00C91F25" w:rsidP="008303F6">
            <w:pPr>
              <w:keepNext/>
              <w:keepLines/>
              <w:widowControl w:val="0"/>
              <w:tabs>
                <w:tab w:val="left" w:pos="567"/>
              </w:tabs>
              <w:spacing w:line="260" w:lineRule="exact"/>
              <w:rPr>
                <w:b/>
                <w:color w:val="000000"/>
                <w:szCs w:val="22"/>
              </w:rPr>
            </w:pPr>
            <w:r w:rsidRPr="00263DB9">
              <w:rPr>
                <w:color w:val="000000"/>
                <w:szCs w:val="22"/>
              </w:rPr>
              <w:t>Ginecomastia, disfunção eréctil, menorragia, menstruação irregular, disfunção sexual, dor nos mamilos, aumento da mama, edema escrotal</w:t>
            </w:r>
          </w:p>
        </w:tc>
      </w:tr>
      <w:tr w:rsidR="00C91F25" w:rsidRPr="00263DB9" w14:paraId="375EB6B9" w14:textId="77777777" w:rsidTr="008303F6">
        <w:trPr>
          <w:cantSplit/>
          <w:trHeight w:val="262"/>
        </w:trPr>
        <w:tc>
          <w:tcPr>
            <w:tcW w:w="2235" w:type="dxa"/>
          </w:tcPr>
          <w:p w14:paraId="375EB6B7" w14:textId="77777777" w:rsidR="00C91F25" w:rsidRPr="00263DB9" w:rsidRDefault="00C91F25" w:rsidP="00E51817">
            <w:pPr>
              <w:widowControl w:val="0"/>
              <w:tabs>
                <w:tab w:val="left" w:pos="567"/>
              </w:tabs>
              <w:spacing w:line="260" w:lineRule="exact"/>
              <w:rPr>
                <w:bCs/>
                <w:i/>
                <w:iCs/>
                <w:color w:val="000000"/>
                <w:szCs w:val="22"/>
              </w:rPr>
            </w:pPr>
            <w:r w:rsidRPr="00263DB9">
              <w:rPr>
                <w:bCs/>
                <w:i/>
                <w:iCs/>
                <w:color w:val="000000"/>
                <w:szCs w:val="22"/>
              </w:rPr>
              <w:t>Raros:</w:t>
            </w:r>
          </w:p>
        </w:tc>
        <w:tc>
          <w:tcPr>
            <w:tcW w:w="7087" w:type="dxa"/>
          </w:tcPr>
          <w:p w14:paraId="375EB6B8" w14:textId="77777777" w:rsidR="00C91F25" w:rsidRPr="00263DB9" w:rsidRDefault="00C91F25" w:rsidP="00E51817">
            <w:pPr>
              <w:widowControl w:val="0"/>
              <w:tabs>
                <w:tab w:val="left" w:pos="567"/>
              </w:tabs>
              <w:spacing w:line="260" w:lineRule="exact"/>
              <w:rPr>
                <w:b/>
                <w:color w:val="000000"/>
                <w:szCs w:val="22"/>
              </w:rPr>
            </w:pPr>
            <w:r w:rsidRPr="00263DB9">
              <w:rPr>
                <w:color w:val="000000"/>
                <w:szCs w:val="22"/>
              </w:rPr>
              <w:t>Corpo lúteo hemorrágico/ovário quístico hemorrágico</w:t>
            </w:r>
          </w:p>
        </w:tc>
      </w:tr>
      <w:tr w:rsidR="00C91F25" w:rsidRPr="00263DB9" w14:paraId="375EB6BB" w14:textId="77777777" w:rsidTr="008303F6">
        <w:trPr>
          <w:cantSplit/>
        </w:trPr>
        <w:tc>
          <w:tcPr>
            <w:tcW w:w="9322" w:type="dxa"/>
            <w:gridSpan w:val="2"/>
          </w:tcPr>
          <w:p w14:paraId="375EB6BA" w14:textId="77777777" w:rsidR="00C91F25" w:rsidRPr="00263DB9" w:rsidRDefault="00C91F25" w:rsidP="008303F6">
            <w:pPr>
              <w:keepNext/>
              <w:keepLines/>
              <w:widowControl w:val="0"/>
              <w:tabs>
                <w:tab w:val="left" w:pos="567"/>
              </w:tabs>
              <w:spacing w:line="260" w:lineRule="exact"/>
              <w:rPr>
                <w:color w:val="000000"/>
                <w:szCs w:val="22"/>
              </w:rPr>
            </w:pPr>
            <w:r w:rsidRPr="00263DB9">
              <w:rPr>
                <w:b/>
                <w:color w:val="000000"/>
                <w:szCs w:val="22"/>
              </w:rPr>
              <w:t>Perturbações gerais e alterações no local de administração</w:t>
            </w:r>
          </w:p>
        </w:tc>
      </w:tr>
      <w:tr w:rsidR="00C91F25" w:rsidRPr="00263DB9" w14:paraId="375EB6BE" w14:textId="77777777" w:rsidTr="008303F6">
        <w:trPr>
          <w:cantSplit/>
        </w:trPr>
        <w:tc>
          <w:tcPr>
            <w:tcW w:w="2235" w:type="dxa"/>
          </w:tcPr>
          <w:p w14:paraId="375EB6BC" w14:textId="77777777" w:rsidR="00C91F25" w:rsidRPr="00263DB9" w:rsidRDefault="00C91F25" w:rsidP="008303F6">
            <w:pPr>
              <w:keepNext/>
              <w:keepLines/>
              <w:widowControl w:val="0"/>
              <w:tabs>
                <w:tab w:val="left" w:pos="567"/>
              </w:tabs>
              <w:spacing w:line="260" w:lineRule="exact"/>
              <w:rPr>
                <w:i/>
                <w:color w:val="000000"/>
                <w:szCs w:val="22"/>
              </w:rPr>
            </w:pPr>
            <w:r w:rsidRPr="00263DB9">
              <w:rPr>
                <w:i/>
                <w:color w:val="000000"/>
                <w:szCs w:val="22"/>
              </w:rPr>
              <w:t>Muito frequentes:</w:t>
            </w:r>
          </w:p>
        </w:tc>
        <w:tc>
          <w:tcPr>
            <w:tcW w:w="7087" w:type="dxa"/>
          </w:tcPr>
          <w:p w14:paraId="375EB6BD"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Retenção de fluidos e edema, fadiga</w:t>
            </w:r>
          </w:p>
        </w:tc>
      </w:tr>
      <w:tr w:rsidR="00C91F25" w:rsidRPr="00263DB9" w14:paraId="375EB6C1" w14:textId="77777777" w:rsidTr="008303F6">
        <w:trPr>
          <w:cantSplit/>
        </w:trPr>
        <w:tc>
          <w:tcPr>
            <w:tcW w:w="2235" w:type="dxa"/>
          </w:tcPr>
          <w:p w14:paraId="375EB6BF" w14:textId="77777777" w:rsidR="00C91F25" w:rsidRPr="00263DB9" w:rsidRDefault="00C91F25" w:rsidP="008303F6">
            <w:pPr>
              <w:keepNext/>
              <w:keepLines/>
              <w:widowControl w:val="0"/>
              <w:tabs>
                <w:tab w:val="left" w:pos="567"/>
              </w:tabs>
              <w:spacing w:line="260" w:lineRule="exact"/>
              <w:rPr>
                <w:i/>
                <w:color w:val="000000"/>
                <w:szCs w:val="22"/>
              </w:rPr>
            </w:pPr>
            <w:r w:rsidRPr="00263DB9">
              <w:rPr>
                <w:i/>
                <w:color w:val="000000"/>
                <w:szCs w:val="22"/>
              </w:rPr>
              <w:t>Frequentes:</w:t>
            </w:r>
          </w:p>
        </w:tc>
        <w:tc>
          <w:tcPr>
            <w:tcW w:w="7087" w:type="dxa"/>
          </w:tcPr>
          <w:p w14:paraId="375EB6C0"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Fraqueza, pirexia, anasarca, arrepios, rigor</w:t>
            </w:r>
          </w:p>
        </w:tc>
      </w:tr>
      <w:tr w:rsidR="00C91F25" w:rsidRPr="00263DB9" w14:paraId="375EB6C4" w14:textId="77777777" w:rsidTr="008303F6">
        <w:trPr>
          <w:cantSplit/>
        </w:trPr>
        <w:tc>
          <w:tcPr>
            <w:tcW w:w="2235" w:type="dxa"/>
          </w:tcPr>
          <w:p w14:paraId="375EB6C2" w14:textId="77777777" w:rsidR="00C91F25" w:rsidRPr="00263DB9" w:rsidRDefault="00C91F25" w:rsidP="00E51817">
            <w:pPr>
              <w:widowControl w:val="0"/>
              <w:tabs>
                <w:tab w:val="left" w:pos="567"/>
              </w:tabs>
              <w:spacing w:line="260" w:lineRule="exact"/>
              <w:rPr>
                <w:i/>
                <w:color w:val="000000"/>
                <w:szCs w:val="22"/>
              </w:rPr>
            </w:pPr>
            <w:r w:rsidRPr="00263DB9">
              <w:rPr>
                <w:i/>
                <w:color w:val="000000"/>
                <w:szCs w:val="22"/>
              </w:rPr>
              <w:t>Pouco frequentes:</w:t>
            </w:r>
          </w:p>
        </w:tc>
        <w:tc>
          <w:tcPr>
            <w:tcW w:w="7087" w:type="dxa"/>
          </w:tcPr>
          <w:p w14:paraId="375EB6C3" w14:textId="77777777" w:rsidR="00C91F25" w:rsidRPr="00263DB9" w:rsidRDefault="00C91F25" w:rsidP="00E51817">
            <w:pPr>
              <w:widowControl w:val="0"/>
              <w:tabs>
                <w:tab w:val="left" w:pos="567"/>
              </w:tabs>
              <w:spacing w:line="260" w:lineRule="exact"/>
              <w:rPr>
                <w:color w:val="000000"/>
                <w:szCs w:val="22"/>
              </w:rPr>
            </w:pPr>
            <w:r w:rsidRPr="00263DB9">
              <w:rPr>
                <w:color w:val="000000"/>
                <w:szCs w:val="22"/>
              </w:rPr>
              <w:t>Dor no peito, mal-estar</w:t>
            </w:r>
          </w:p>
        </w:tc>
      </w:tr>
      <w:tr w:rsidR="00C91F25" w:rsidRPr="00263DB9" w14:paraId="375EB6C6" w14:textId="77777777" w:rsidTr="008303F6">
        <w:trPr>
          <w:cantSplit/>
        </w:trPr>
        <w:tc>
          <w:tcPr>
            <w:tcW w:w="9322" w:type="dxa"/>
            <w:gridSpan w:val="2"/>
          </w:tcPr>
          <w:p w14:paraId="375EB6C5" w14:textId="77777777" w:rsidR="00C91F25" w:rsidRPr="00263DB9" w:rsidRDefault="00C91F25" w:rsidP="008303F6">
            <w:pPr>
              <w:keepNext/>
              <w:keepLines/>
              <w:widowControl w:val="0"/>
              <w:tabs>
                <w:tab w:val="left" w:pos="567"/>
              </w:tabs>
              <w:spacing w:line="260" w:lineRule="exact"/>
              <w:rPr>
                <w:b/>
                <w:bCs/>
                <w:color w:val="000000"/>
                <w:szCs w:val="22"/>
              </w:rPr>
            </w:pPr>
            <w:r w:rsidRPr="00263DB9">
              <w:rPr>
                <w:b/>
                <w:bCs/>
                <w:color w:val="000000"/>
                <w:szCs w:val="22"/>
              </w:rPr>
              <w:t>Exames complementares de diagnóstico</w:t>
            </w:r>
          </w:p>
        </w:tc>
      </w:tr>
      <w:tr w:rsidR="00C91F25" w:rsidRPr="00263DB9" w14:paraId="375EB6C9" w14:textId="77777777" w:rsidTr="008303F6">
        <w:trPr>
          <w:cantSplit/>
        </w:trPr>
        <w:tc>
          <w:tcPr>
            <w:tcW w:w="2235" w:type="dxa"/>
          </w:tcPr>
          <w:p w14:paraId="375EB6C7" w14:textId="77777777" w:rsidR="00C91F25" w:rsidRPr="00263DB9" w:rsidRDefault="00C91F25" w:rsidP="008303F6">
            <w:pPr>
              <w:keepNext/>
              <w:keepLines/>
              <w:widowControl w:val="0"/>
              <w:tabs>
                <w:tab w:val="left" w:pos="567"/>
              </w:tabs>
              <w:spacing w:line="260" w:lineRule="exact"/>
              <w:rPr>
                <w:i/>
                <w:color w:val="000000"/>
                <w:szCs w:val="22"/>
              </w:rPr>
            </w:pPr>
            <w:r w:rsidRPr="00263DB9">
              <w:rPr>
                <w:i/>
                <w:color w:val="000000"/>
                <w:szCs w:val="22"/>
              </w:rPr>
              <w:t>Muito frequentes:</w:t>
            </w:r>
          </w:p>
        </w:tc>
        <w:tc>
          <w:tcPr>
            <w:tcW w:w="7087" w:type="dxa"/>
          </w:tcPr>
          <w:p w14:paraId="375EB6C8"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Aumento de peso</w:t>
            </w:r>
          </w:p>
        </w:tc>
      </w:tr>
      <w:tr w:rsidR="00C91F25" w:rsidRPr="00263DB9" w14:paraId="375EB6CC" w14:textId="77777777" w:rsidTr="008303F6">
        <w:trPr>
          <w:cantSplit/>
        </w:trPr>
        <w:tc>
          <w:tcPr>
            <w:tcW w:w="2235" w:type="dxa"/>
          </w:tcPr>
          <w:p w14:paraId="375EB6CA" w14:textId="77777777" w:rsidR="00C91F25" w:rsidRPr="00263DB9" w:rsidRDefault="00C91F25" w:rsidP="008303F6">
            <w:pPr>
              <w:keepNext/>
              <w:keepLines/>
              <w:widowControl w:val="0"/>
              <w:tabs>
                <w:tab w:val="left" w:pos="567"/>
              </w:tabs>
              <w:spacing w:line="260" w:lineRule="exact"/>
              <w:rPr>
                <w:i/>
                <w:color w:val="000000"/>
                <w:szCs w:val="22"/>
              </w:rPr>
            </w:pPr>
            <w:r w:rsidRPr="00263DB9">
              <w:rPr>
                <w:i/>
                <w:color w:val="000000"/>
                <w:szCs w:val="22"/>
              </w:rPr>
              <w:t>Frequentes:</w:t>
            </w:r>
          </w:p>
        </w:tc>
        <w:tc>
          <w:tcPr>
            <w:tcW w:w="7087" w:type="dxa"/>
          </w:tcPr>
          <w:p w14:paraId="375EB6CB"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Diminuição de peso</w:t>
            </w:r>
          </w:p>
        </w:tc>
      </w:tr>
      <w:tr w:rsidR="00C91F25" w:rsidRPr="00263DB9" w14:paraId="375EB6CF" w14:textId="77777777" w:rsidTr="008303F6">
        <w:trPr>
          <w:cantSplit/>
        </w:trPr>
        <w:tc>
          <w:tcPr>
            <w:tcW w:w="2235" w:type="dxa"/>
          </w:tcPr>
          <w:p w14:paraId="375EB6CD" w14:textId="77777777" w:rsidR="00C91F25" w:rsidRPr="00263DB9" w:rsidRDefault="00C91F25" w:rsidP="008303F6">
            <w:pPr>
              <w:keepNext/>
              <w:keepLines/>
              <w:widowControl w:val="0"/>
              <w:tabs>
                <w:tab w:val="left" w:pos="567"/>
              </w:tabs>
              <w:spacing w:line="260" w:lineRule="exact"/>
              <w:rPr>
                <w:i/>
                <w:color w:val="000000"/>
                <w:szCs w:val="22"/>
              </w:rPr>
            </w:pPr>
            <w:r w:rsidRPr="00263DB9">
              <w:rPr>
                <w:i/>
                <w:color w:val="000000"/>
                <w:szCs w:val="22"/>
              </w:rPr>
              <w:t>Pouco frequentes:</w:t>
            </w:r>
          </w:p>
        </w:tc>
        <w:tc>
          <w:tcPr>
            <w:tcW w:w="7087" w:type="dxa"/>
          </w:tcPr>
          <w:p w14:paraId="375EB6CE"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Aumento dos níveis sanguíneos de creatinina, aumento dos níveis sanguíneos de creatinina fosfocinase, aumento dos níveis sanguíneos da lactato desidrogenase, aumento dos níveis sanguíneos da fosfatase alcalina</w:t>
            </w:r>
          </w:p>
        </w:tc>
      </w:tr>
      <w:tr w:rsidR="00C91F25" w:rsidRPr="00263DB9" w14:paraId="375EB6D2" w14:textId="77777777" w:rsidTr="008303F6">
        <w:trPr>
          <w:cantSplit/>
        </w:trPr>
        <w:tc>
          <w:tcPr>
            <w:tcW w:w="2235" w:type="dxa"/>
          </w:tcPr>
          <w:p w14:paraId="375EB6D0" w14:textId="77777777" w:rsidR="00C91F25" w:rsidRPr="00263DB9" w:rsidRDefault="00C91F25" w:rsidP="008303F6">
            <w:pPr>
              <w:keepNext/>
              <w:keepLines/>
              <w:widowControl w:val="0"/>
              <w:tabs>
                <w:tab w:val="left" w:pos="567"/>
              </w:tabs>
              <w:spacing w:line="260" w:lineRule="exact"/>
              <w:rPr>
                <w:i/>
                <w:color w:val="000000"/>
                <w:szCs w:val="22"/>
              </w:rPr>
            </w:pPr>
            <w:r w:rsidRPr="00263DB9">
              <w:rPr>
                <w:i/>
                <w:color w:val="000000"/>
                <w:szCs w:val="22"/>
              </w:rPr>
              <w:t>Raros:</w:t>
            </w:r>
          </w:p>
        </w:tc>
        <w:tc>
          <w:tcPr>
            <w:tcW w:w="7087" w:type="dxa"/>
          </w:tcPr>
          <w:p w14:paraId="375EB6D1"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Aumento dos níveis sanguíneos de amilase</w:t>
            </w:r>
          </w:p>
        </w:tc>
      </w:tr>
    </w:tbl>
    <w:p w14:paraId="375EB6D3" w14:textId="77777777" w:rsidR="00022E28" w:rsidRPr="00263DB9" w:rsidRDefault="00022E28" w:rsidP="008303F6">
      <w:pPr>
        <w:keepNext/>
        <w:keepLines/>
        <w:widowControl w:val="0"/>
        <w:rPr>
          <w:color w:val="000000"/>
          <w:szCs w:val="22"/>
        </w:rPr>
      </w:pPr>
    </w:p>
    <w:p w14:paraId="375EB6D4" w14:textId="77777777" w:rsidR="00C91F25" w:rsidRPr="00263DB9" w:rsidRDefault="00022E28" w:rsidP="008303F6">
      <w:pPr>
        <w:keepNext/>
        <w:keepLines/>
        <w:widowControl w:val="0"/>
        <w:ind w:left="567" w:hanging="567"/>
        <w:rPr>
          <w:color w:val="000000"/>
          <w:szCs w:val="22"/>
        </w:rPr>
      </w:pPr>
      <w:r w:rsidRPr="00263DB9">
        <w:rPr>
          <w:color w:val="000000"/>
          <w:szCs w:val="22"/>
        </w:rPr>
        <w:t>*</w:t>
      </w:r>
      <w:r w:rsidRPr="00263DB9">
        <w:rPr>
          <w:color w:val="000000"/>
          <w:szCs w:val="22"/>
        </w:rPr>
        <w:tab/>
        <w:t>Estes tipos de reações foram notificadas sobretudo na experiência pós-comercialização com Glivec. Isso inclui notificações de casos espontâneos, bem como acontecimentos adversos graves de estudos a decorrer, de programas de acesso alargado, de estudos de farmacologia clínica e de estudos exploratórios em indicações não aprovadas. Porque estas reações são notificadas a partir de uma população de tamanho incerto, nem sempre é possível estimar com segurança a sua frequência ou estabelecer uma relação causal com a exposição a imatinib.</w:t>
      </w:r>
    </w:p>
    <w:p w14:paraId="375EB6D5" w14:textId="77777777" w:rsidR="00C91F25" w:rsidRPr="00263DB9" w:rsidRDefault="00C91F25" w:rsidP="008303F6">
      <w:pPr>
        <w:keepNext/>
        <w:keepLines/>
        <w:widowControl w:val="0"/>
        <w:ind w:left="567" w:hanging="567"/>
        <w:rPr>
          <w:color w:val="000000"/>
          <w:szCs w:val="22"/>
        </w:rPr>
      </w:pPr>
      <w:r w:rsidRPr="00263DB9">
        <w:rPr>
          <w:color w:val="000000"/>
          <w:szCs w:val="22"/>
        </w:rPr>
        <w:t>1</w:t>
      </w:r>
      <w:r w:rsidRPr="00263DB9">
        <w:rPr>
          <w:color w:val="000000"/>
          <w:szCs w:val="22"/>
        </w:rPr>
        <w:tab/>
        <w:t>Foi notificada mais frequentemente pneumonia em doentes com LMC transformada e em doentes com GIST.</w:t>
      </w:r>
    </w:p>
    <w:p w14:paraId="375EB6D6" w14:textId="77777777" w:rsidR="00C91F25" w:rsidRPr="00263DB9" w:rsidRDefault="00C91F25" w:rsidP="008303F6">
      <w:pPr>
        <w:keepNext/>
        <w:keepLines/>
        <w:widowControl w:val="0"/>
        <w:ind w:left="567" w:hanging="567"/>
        <w:rPr>
          <w:color w:val="000000"/>
          <w:szCs w:val="22"/>
        </w:rPr>
      </w:pPr>
      <w:r w:rsidRPr="00263DB9">
        <w:rPr>
          <w:color w:val="000000"/>
          <w:szCs w:val="22"/>
        </w:rPr>
        <w:t>2</w:t>
      </w:r>
      <w:r w:rsidRPr="00263DB9">
        <w:rPr>
          <w:color w:val="000000"/>
          <w:szCs w:val="22"/>
        </w:rPr>
        <w:tab/>
        <w:t>As cefaleias foram mais frequentes em doentes com GIST.</w:t>
      </w:r>
    </w:p>
    <w:p w14:paraId="375EB6D7" w14:textId="77777777" w:rsidR="00C91F25" w:rsidRPr="00263DB9" w:rsidRDefault="00C91F25" w:rsidP="008303F6">
      <w:pPr>
        <w:keepNext/>
        <w:keepLines/>
        <w:widowControl w:val="0"/>
        <w:ind w:left="567" w:hanging="567"/>
        <w:rPr>
          <w:color w:val="000000"/>
          <w:szCs w:val="22"/>
        </w:rPr>
      </w:pPr>
      <w:r w:rsidRPr="00263DB9">
        <w:rPr>
          <w:color w:val="000000"/>
          <w:szCs w:val="22"/>
        </w:rPr>
        <w:t>3</w:t>
      </w:r>
      <w:r w:rsidRPr="00263DB9">
        <w:rPr>
          <w:color w:val="000000"/>
          <w:szCs w:val="22"/>
        </w:rPr>
        <w:tab/>
        <w:t>Numa base de doente-ano, foram mais frequentemente observados acontecimentos cardíacos incluindo insuficiência cardíaca congestiva em doentes com LMC transformada do que em doentes com LMC crónica.</w:t>
      </w:r>
    </w:p>
    <w:p w14:paraId="375EB6D8" w14:textId="77777777" w:rsidR="00C91F25" w:rsidRPr="00263DB9" w:rsidRDefault="00C91F25" w:rsidP="008303F6">
      <w:pPr>
        <w:keepNext/>
        <w:keepLines/>
        <w:widowControl w:val="0"/>
        <w:ind w:left="567" w:hanging="567"/>
        <w:rPr>
          <w:color w:val="000000"/>
          <w:szCs w:val="22"/>
        </w:rPr>
      </w:pPr>
      <w:r w:rsidRPr="00263DB9">
        <w:rPr>
          <w:color w:val="000000"/>
          <w:szCs w:val="22"/>
        </w:rPr>
        <w:t>4</w:t>
      </w:r>
      <w:r w:rsidRPr="00263DB9">
        <w:rPr>
          <w:color w:val="000000"/>
          <w:szCs w:val="22"/>
        </w:rPr>
        <w:tab/>
        <w:t>O rubor foi mais frequente em doentes com GIST e as hemorragias (hematomas, hemorragias) foram mais frequentes em doentes com GIST e com LMC transformada (LMC-AP e LMC-BC).</w:t>
      </w:r>
    </w:p>
    <w:p w14:paraId="375EB6D9" w14:textId="77777777" w:rsidR="00C91F25" w:rsidRPr="00263DB9" w:rsidRDefault="00C91F25" w:rsidP="008303F6">
      <w:pPr>
        <w:keepNext/>
        <w:keepLines/>
        <w:widowControl w:val="0"/>
        <w:ind w:left="567" w:hanging="567"/>
        <w:rPr>
          <w:color w:val="000000"/>
          <w:szCs w:val="22"/>
        </w:rPr>
      </w:pPr>
      <w:r w:rsidRPr="00263DB9">
        <w:rPr>
          <w:color w:val="000000"/>
          <w:szCs w:val="22"/>
        </w:rPr>
        <w:t>5</w:t>
      </w:r>
      <w:r w:rsidRPr="00263DB9">
        <w:rPr>
          <w:color w:val="000000"/>
          <w:szCs w:val="22"/>
        </w:rPr>
        <w:tab/>
        <w:t>Foi notificado derrame pleural com maior frequência em doentes com GIST e em doentes com LMC transformada (LMC-AP e LMC-BC) do que em doentes com LMC crónica.</w:t>
      </w:r>
    </w:p>
    <w:p w14:paraId="375EB6DA" w14:textId="77777777" w:rsidR="00C91F25" w:rsidRPr="00263DB9" w:rsidRDefault="00C91F25" w:rsidP="008303F6">
      <w:pPr>
        <w:keepNext/>
        <w:keepLines/>
        <w:widowControl w:val="0"/>
        <w:ind w:left="567" w:hanging="567"/>
        <w:rPr>
          <w:color w:val="000000"/>
          <w:szCs w:val="22"/>
        </w:rPr>
      </w:pPr>
      <w:r w:rsidRPr="00263DB9">
        <w:rPr>
          <w:color w:val="000000"/>
          <w:szCs w:val="22"/>
        </w:rPr>
        <w:t>6+7</w:t>
      </w:r>
      <w:r w:rsidRPr="00263DB9">
        <w:rPr>
          <w:color w:val="000000"/>
          <w:szCs w:val="22"/>
        </w:rPr>
        <w:tab/>
        <w:t>Dor abdominal e hemorragia gastrointestinal foram mais frequentemente observadas em doentes com GIST.</w:t>
      </w:r>
    </w:p>
    <w:p w14:paraId="375EB6DB" w14:textId="77777777" w:rsidR="00C91F25" w:rsidRPr="00263DB9" w:rsidRDefault="00C91F25" w:rsidP="008303F6">
      <w:pPr>
        <w:keepNext/>
        <w:keepLines/>
        <w:widowControl w:val="0"/>
        <w:ind w:left="567" w:hanging="567"/>
        <w:rPr>
          <w:color w:val="000000"/>
          <w:szCs w:val="22"/>
        </w:rPr>
      </w:pPr>
      <w:r w:rsidRPr="00263DB9">
        <w:rPr>
          <w:color w:val="000000"/>
          <w:szCs w:val="22"/>
        </w:rPr>
        <w:t>8</w:t>
      </w:r>
      <w:r w:rsidRPr="00263DB9">
        <w:rPr>
          <w:color w:val="000000"/>
          <w:szCs w:val="22"/>
        </w:rPr>
        <w:tab/>
        <w:t>Foram notificados alguns casos fatais de insuficiência hepática e de necrose hepática.</w:t>
      </w:r>
    </w:p>
    <w:p w14:paraId="375EB6DC" w14:textId="77777777" w:rsidR="002F2D88" w:rsidRPr="00263DB9" w:rsidRDefault="002F2D88" w:rsidP="008303F6">
      <w:pPr>
        <w:keepNext/>
        <w:keepLines/>
        <w:widowControl w:val="0"/>
        <w:ind w:left="567" w:hanging="567"/>
        <w:rPr>
          <w:color w:val="000000"/>
          <w:szCs w:val="22"/>
        </w:rPr>
      </w:pPr>
      <w:r w:rsidRPr="00263DB9">
        <w:rPr>
          <w:color w:val="000000"/>
          <w:szCs w:val="22"/>
        </w:rPr>
        <w:t>9</w:t>
      </w:r>
      <w:r w:rsidRPr="00263DB9">
        <w:rPr>
          <w:color w:val="000000"/>
          <w:szCs w:val="22"/>
        </w:rPr>
        <w:tab/>
        <w:t>Após comercialização tem sido observada dor musculoesquelética durante o tratamento com imatinib ou após a interrupção do tratamento.</w:t>
      </w:r>
    </w:p>
    <w:p w14:paraId="375EB6DD" w14:textId="77777777" w:rsidR="00C91F25" w:rsidRPr="00263DB9" w:rsidRDefault="002F2D88" w:rsidP="008303F6">
      <w:pPr>
        <w:keepNext/>
        <w:keepLines/>
        <w:widowControl w:val="0"/>
        <w:ind w:left="567" w:hanging="567"/>
        <w:rPr>
          <w:color w:val="000000"/>
          <w:szCs w:val="22"/>
        </w:rPr>
      </w:pPr>
      <w:r w:rsidRPr="00263DB9">
        <w:rPr>
          <w:color w:val="000000"/>
          <w:szCs w:val="22"/>
        </w:rPr>
        <w:t>10</w:t>
      </w:r>
      <w:r w:rsidR="00C91F25" w:rsidRPr="00263DB9">
        <w:rPr>
          <w:color w:val="000000"/>
          <w:szCs w:val="22"/>
        </w:rPr>
        <w:tab/>
        <w:t>Dor musculoesquelética e acontecimentos relacionados foram mais frequentemente observados em doentes com LMC do que em doentes com GIST.</w:t>
      </w:r>
    </w:p>
    <w:p w14:paraId="375EB6DE" w14:textId="77777777" w:rsidR="00022E28" w:rsidRPr="00263DB9" w:rsidRDefault="002F2D88" w:rsidP="008303F6">
      <w:pPr>
        <w:keepLines/>
        <w:widowControl w:val="0"/>
        <w:ind w:left="567" w:hanging="567"/>
        <w:rPr>
          <w:color w:val="000000"/>
          <w:szCs w:val="22"/>
        </w:rPr>
      </w:pPr>
      <w:r w:rsidRPr="00263DB9">
        <w:rPr>
          <w:color w:val="000000"/>
          <w:szCs w:val="22"/>
        </w:rPr>
        <w:t>11</w:t>
      </w:r>
      <w:r w:rsidR="00022E28" w:rsidRPr="00263DB9">
        <w:rPr>
          <w:color w:val="000000"/>
          <w:szCs w:val="22"/>
        </w:rPr>
        <w:tab/>
        <w:t>Foram notificados casos fatais em doentes com doença avançada, infeções graves, neutropenia grave e outras situações concomitantes graves.</w:t>
      </w:r>
    </w:p>
    <w:p w14:paraId="375EB6DF" w14:textId="77777777" w:rsidR="00C91F25" w:rsidRPr="00263DB9" w:rsidRDefault="00C91F25" w:rsidP="00E51817">
      <w:pPr>
        <w:widowControl w:val="0"/>
        <w:suppressAutoHyphens/>
        <w:rPr>
          <w:color w:val="000000"/>
          <w:szCs w:val="22"/>
        </w:rPr>
      </w:pPr>
    </w:p>
    <w:p w14:paraId="375EB6E0" w14:textId="77777777" w:rsidR="00C91F25" w:rsidRPr="00263DB9" w:rsidRDefault="00C91F25" w:rsidP="008303F6">
      <w:pPr>
        <w:keepNext/>
        <w:widowControl w:val="0"/>
        <w:suppressAutoHyphens/>
        <w:rPr>
          <w:color w:val="000000"/>
          <w:szCs w:val="22"/>
          <w:u w:val="single"/>
        </w:rPr>
      </w:pPr>
      <w:r w:rsidRPr="00263DB9">
        <w:rPr>
          <w:color w:val="000000"/>
          <w:szCs w:val="22"/>
          <w:u w:val="single"/>
        </w:rPr>
        <w:lastRenderedPageBreak/>
        <w:t>Alterações nos testes laboratoriais:</w:t>
      </w:r>
    </w:p>
    <w:p w14:paraId="375EB6E1" w14:textId="77777777" w:rsidR="00C91F25" w:rsidRPr="00263DB9" w:rsidRDefault="00C91F25" w:rsidP="008303F6">
      <w:pPr>
        <w:pStyle w:val="Heading6"/>
        <w:widowControl w:val="0"/>
        <w:tabs>
          <w:tab w:val="clear" w:pos="-720"/>
          <w:tab w:val="clear" w:pos="567"/>
          <w:tab w:val="clear" w:pos="4536"/>
        </w:tabs>
        <w:spacing w:line="240" w:lineRule="auto"/>
        <w:rPr>
          <w:color w:val="000000"/>
          <w:szCs w:val="22"/>
          <w:lang w:val="pt-PT"/>
        </w:rPr>
      </w:pPr>
      <w:r w:rsidRPr="00263DB9">
        <w:rPr>
          <w:color w:val="000000"/>
          <w:szCs w:val="22"/>
          <w:lang w:val="pt-PT"/>
        </w:rPr>
        <w:t>Hematológicas</w:t>
      </w:r>
    </w:p>
    <w:p w14:paraId="375EB6E2" w14:textId="77777777" w:rsidR="00C91F25" w:rsidRPr="00263DB9" w:rsidRDefault="00C91F25" w:rsidP="00E51817">
      <w:pPr>
        <w:widowControl w:val="0"/>
        <w:suppressAutoHyphens/>
        <w:rPr>
          <w:color w:val="000000"/>
          <w:szCs w:val="22"/>
        </w:rPr>
      </w:pPr>
      <w:r w:rsidRPr="00263DB9">
        <w:rPr>
          <w:color w:val="000000"/>
          <w:szCs w:val="22"/>
        </w:rPr>
        <w:t xml:space="preserve">Em doentes com LMC, as citopenias, particularmente neutropenia e trombocitopenia, foram um resultado consistente em todos os estudos, sugerindo uma frequência superior em doses elevadas </w:t>
      </w:r>
      <w:r w:rsidRPr="00263DB9">
        <w:rPr>
          <w:color w:val="000000"/>
          <w:szCs w:val="22"/>
        </w:rPr>
        <w:sym w:font="Symbol" w:char="F0B3"/>
      </w:r>
      <w:r w:rsidRPr="00263DB9">
        <w:rPr>
          <w:color w:val="000000"/>
          <w:szCs w:val="22"/>
        </w:rPr>
        <w:t> 750 mg (estudo de fase I). No entanto, a ocorrência de citopenias também foi claramente dependente da fase da doença. Em doentes em crise blástica e em fase acelerada, a frequência de neutropenias (ANC &lt; 1,0 x 10</w:t>
      </w:r>
      <w:r w:rsidRPr="00263DB9">
        <w:rPr>
          <w:color w:val="000000"/>
          <w:szCs w:val="22"/>
          <w:vertAlign w:val="superscript"/>
        </w:rPr>
        <w:t>9</w:t>
      </w:r>
      <w:r w:rsidRPr="00263DB9">
        <w:rPr>
          <w:color w:val="000000"/>
          <w:szCs w:val="22"/>
        </w:rPr>
        <w:t>/l) e trombocitopenias (contagem de plaquetas &lt; 50 x 10</w:t>
      </w:r>
      <w:r w:rsidRPr="00263DB9">
        <w:rPr>
          <w:color w:val="000000"/>
          <w:szCs w:val="22"/>
          <w:vertAlign w:val="superscript"/>
        </w:rPr>
        <w:t>9</w:t>
      </w:r>
      <w:r w:rsidRPr="00263DB9">
        <w:rPr>
          <w:color w:val="000000"/>
          <w:szCs w:val="22"/>
        </w:rPr>
        <w:t>/l) de grau 3 ou 4 foi 4 a 6 vezes superior (59–64% e 44–63% para a neutropenia e trombocitopenia, respetivamente), comparativamente a doentes diagnosticados de novo com LMC em fase crónica (16,7% para a neutropenia e 8,9% para a trombocitopenia). Em doentes diagnosticados de novo com LMC em fase crónica, foram observadas neutropenia (ANC &lt; 0,5 x 10</w:t>
      </w:r>
      <w:r w:rsidRPr="00263DB9">
        <w:rPr>
          <w:color w:val="000000"/>
          <w:szCs w:val="22"/>
          <w:vertAlign w:val="superscript"/>
        </w:rPr>
        <w:t>9</w:t>
      </w:r>
      <w:r w:rsidRPr="00263DB9">
        <w:rPr>
          <w:color w:val="000000"/>
          <w:szCs w:val="22"/>
        </w:rPr>
        <w:t>/l) e trombocitopenia (contagem de plaquetas &lt; 10 x 10</w:t>
      </w:r>
      <w:r w:rsidRPr="00263DB9">
        <w:rPr>
          <w:color w:val="000000"/>
          <w:szCs w:val="22"/>
          <w:vertAlign w:val="superscript"/>
        </w:rPr>
        <w:t>9</w:t>
      </w:r>
      <w:r w:rsidRPr="00263DB9">
        <w:rPr>
          <w:color w:val="000000"/>
          <w:szCs w:val="22"/>
        </w:rPr>
        <w:t>/l) de grau 4 em 3,6% e &lt; 1% dos doentes, respetivamente. A duração média dos episódios neutropénicos e trombocitopénicos variou, geralmente, entre 2 a 3 semanas e entre 3 a 4 semanas, respetivamente. Estes efeitos podem ser tratados, habitualmente, quer com uma redução da dose, quer com uma interrupção do tratamento com Glivec mas podem, em casos raros, levar a interrupção permanente do tratamento. Em doentes pediátricos com LMC as toxicidades observadas mais frequentemente foram as citopenias de grau 3 ou 4 envolvendo neutropenia, trombocitopenia e anemia. Estas ocorreram geralmente durante os primeiros meses de tratamento.</w:t>
      </w:r>
    </w:p>
    <w:p w14:paraId="375EB6E3" w14:textId="77777777" w:rsidR="00C91F25" w:rsidRPr="00263DB9" w:rsidRDefault="00C91F25" w:rsidP="00E51817">
      <w:pPr>
        <w:widowControl w:val="0"/>
        <w:suppressAutoHyphens/>
        <w:rPr>
          <w:color w:val="000000"/>
          <w:szCs w:val="22"/>
        </w:rPr>
      </w:pPr>
    </w:p>
    <w:p w14:paraId="375EB6E4" w14:textId="77777777" w:rsidR="00C91F25" w:rsidRPr="00263DB9" w:rsidRDefault="00C91F25" w:rsidP="00E51817">
      <w:pPr>
        <w:widowControl w:val="0"/>
        <w:suppressAutoHyphens/>
        <w:rPr>
          <w:color w:val="000000"/>
          <w:szCs w:val="22"/>
        </w:rPr>
      </w:pPr>
      <w:r w:rsidRPr="00263DB9">
        <w:rPr>
          <w:color w:val="000000"/>
          <w:szCs w:val="22"/>
        </w:rPr>
        <w:t>No estudo em doentes com GIST metastáticos e/ou irressecáveis, foi notificada anemia de grau 3 e 4 em 5,4% e 0,7% dos doentes, respetivamente, a qual poderá ter estado relacionada com hemorragia gastrintestinal ou intratumoral em pelo menos alguns destes doentes. Ocorreu neutropenia de grau 3 e 4 em 7,5% e 2,7% dos doentes, respetivamente, e trombocitopenia de grau 3 em 0,7% dos doentes. Nenhum doente desenvolveu trombocitopenia de grau 4. A diminuição do número de glóbulos brancos e de neutrófilos ocorreu principalmente durante as primeiras seis semanas de terapêutica, após o que os valores se mantiveram relativamente estáveis.</w:t>
      </w:r>
    </w:p>
    <w:p w14:paraId="375EB6E5" w14:textId="77777777" w:rsidR="00C91F25" w:rsidRPr="00263DB9" w:rsidRDefault="00C91F25" w:rsidP="00E51817">
      <w:pPr>
        <w:widowControl w:val="0"/>
        <w:suppressAutoHyphens/>
        <w:rPr>
          <w:color w:val="000000"/>
          <w:szCs w:val="22"/>
        </w:rPr>
      </w:pPr>
    </w:p>
    <w:p w14:paraId="375EB6E6" w14:textId="77777777" w:rsidR="00C91F25" w:rsidRPr="00263DB9" w:rsidRDefault="00C91F25" w:rsidP="008303F6">
      <w:pPr>
        <w:pStyle w:val="Heading6"/>
        <w:widowControl w:val="0"/>
        <w:tabs>
          <w:tab w:val="clear" w:pos="-720"/>
          <w:tab w:val="clear" w:pos="567"/>
          <w:tab w:val="clear" w:pos="4536"/>
        </w:tabs>
        <w:spacing w:line="240" w:lineRule="auto"/>
        <w:rPr>
          <w:color w:val="000000"/>
          <w:szCs w:val="22"/>
          <w:lang w:val="pt-PT"/>
        </w:rPr>
      </w:pPr>
      <w:r w:rsidRPr="00263DB9">
        <w:rPr>
          <w:color w:val="000000"/>
          <w:szCs w:val="22"/>
          <w:lang w:val="pt-PT"/>
        </w:rPr>
        <w:t>Parâmetros bioquímicos</w:t>
      </w:r>
    </w:p>
    <w:p w14:paraId="375EB6E7" w14:textId="77777777" w:rsidR="00C91F25" w:rsidRPr="00263DB9" w:rsidRDefault="00C91F25" w:rsidP="00E51817">
      <w:pPr>
        <w:widowControl w:val="0"/>
        <w:suppressAutoHyphens/>
        <w:rPr>
          <w:color w:val="000000"/>
          <w:szCs w:val="22"/>
        </w:rPr>
      </w:pPr>
      <w:r w:rsidRPr="00263DB9">
        <w:rPr>
          <w:color w:val="000000"/>
          <w:szCs w:val="22"/>
        </w:rPr>
        <w:t>A ocorrência de elevação grave das transaminases (&lt; 5%) ou da bilirrubina (&lt; 1%) foi observada em doentes com LMC e foi geralmente controlada com redução da dose ou interrupção do tratamento (a duração mediana destes episódios foi de, aproximadamente, uma semana). O tratamento foi interrompido permanentemente devido a alterações laboratorias nos testes da função hepática em menos de 1% dos doentes com LMC. Nos doentes com GIST (estudo B2222), observou-se 6,8% casos de elevação da ALT (alaninatransaminase) de grau 3 ou 4 e 4,8% casos de elevação da AST (aspartato transaminase) de grau 3 ou 4. A elevação da bilirrubina foi inferior a 3%.</w:t>
      </w:r>
    </w:p>
    <w:p w14:paraId="375EB6E8" w14:textId="77777777" w:rsidR="00C91F25" w:rsidRPr="00263DB9" w:rsidRDefault="00C91F25" w:rsidP="00E51817">
      <w:pPr>
        <w:widowControl w:val="0"/>
        <w:suppressAutoHyphens/>
        <w:rPr>
          <w:color w:val="000000"/>
          <w:szCs w:val="22"/>
        </w:rPr>
      </w:pPr>
    </w:p>
    <w:p w14:paraId="375EB6E9" w14:textId="77777777" w:rsidR="00C91F25" w:rsidRPr="00263DB9" w:rsidRDefault="00C91F25" w:rsidP="00E51817">
      <w:pPr>
        <w:widowControl w:val="0"/>
        <w:suppressAutoHyphens/>
        <w:rPr>
          <w:color w:val="000000"/>
          <w:szCs w:val="22"/>
        </w:rPr>
      </w:pPr>
      <w:r w:rsidRPr="00263DB9">
        <w:rPr>
          <w:color w:val="000000"/>
          <w:szCs w:val="22"/>
        </w:rPr>
        <w:t>Ocorreram casos de hepatite citolítica e colestática e de insuficiência hepática; alguns deles fatais, incluíndo um doente numa dose elevada de paracetamol.</w:t>
      </w:r>
    </w:p>
    <w:p w14:paraId="375EB6EA" w14:textId="77777777" w:rsidR="007B4B31" w:rsidRPr="00263DB9" w:rsidRDefault="007B4B31" w:rsidP="00E51817">
      <w:pPr>
        <w:widowControl w:val="0"/>
        <w:suppressAutoHyphens/>
        <w:rPr>
          <w:color w:val="000000"/>
          <w:szCs w:val="22"/>
        </w:rPr>
      </w:pPr>
    </w:p>
    <w:p w14:paraId="375EB6EB" w14:textId="77777777" w:rsidR="007B4B31" w:rsidRPr="00263DB9" w:rsidRDefault="007B4B31" w:rsidP="008303F6">
      <w:pPr>
        <w:keepNext/>
        <w:widowControl w:val="0"/>
        <w:rPr>
          <w:color w:val="000000"/>
          <w:szCs w:val="22"/>
          <w:u w:val="single"/>
        </w:rPr>
      </w:pPr>
      <w:r w:rsidRPr="00263DB9">
        <w:rPr>
          <w:color w:val="000000"/>
          <w:szCs w:val="22"/>
          <w:u w:val="single"/>
        </w:rPr>
        <w:t>Descrição de reações adversas selecionadas</w:t>
      </w:r>
    </w:p>
    <w:p w14:paraId="375EB6EC" w14:textId="77777777" w:rsidR="007B4B31" w:rsidRPr="00263DB9" w:rsidRDefault="007B4B31" w:rsidP="008303F6">
      <w:pPr>
        <w:keepNext/>
        <w:widowControl w:val="0"/>
        <w:rPr>
          <w:i/>
          <w:szCs w:val="22"/>
          <w:u w:val="single"/>
        </w:rPr>
      </w:pPr>
      <w:r w:rsidRPr="00263DB9">
        <w:rPr>
          <w:i/>
          <w:szCs w:val="22"/>
          <w:u w:val="single"/>
        </w:rPr>
        <w:t>Reativação da Hepatite B</w:t>
      </w:r>
    </w:p>
    <w:p w14:paraId="375EB6ED" w14:textId="77777777" w:rsidR="007B4B31" w:rsidRPr="00263DB9" w:rsidRDefault="007B4B31" w:rsidP="00E51817">
      <w:pPr>
        <w:widowControl w:val="0"/>
        <w:suppressAutoHyphens/>
        <w:rPr>
          <w:color w:val="000000"/>
          <w:szCs w:val="22"/>
        </w:rPr>
      </w:pPr>
      <w:r w:rsidRPr="00263DB9">
        <w:rPr>
          <w:color w:val="000000"/>
          <w:szCs w:val="22"/>
        </w:rPr>
        <w:t>Foi notificada a reativação da Hepatite B associada a ITC BCR-ABL. Alguns destes casos resultaram em insuficiência hepática aguda ou hepatite fulminante levando ao transplante do fígado ou à morte (ver secção</w:t>
      </w:r>
      <w:r w:rsidR="00EF698C" w:rsidRPr="00263DB9">
        <w:rPr>
          <w:color w:val="000000"/>
          <w:szCs w:val="22"/>
        </w:rPr>
        <w:t> </w:t>
      </w:r>
      <w:r w:rsidRPr="00263DB9">
        <w:rPr>
          <w:color w:val="000000"/>
          <w:szCs w:val="22"/>
        </w:rPr>
        <w:t>4.4).</w:t>
      </w:r>
    </w:p>
    <w:p w14:paraId="375EB6EE" w14:textId="77777777" w:rsidR="00C91F25" w:rsidRPr="00263DB9" w:rsidRDefault="00C91F25" w:rsidP="00E51817">
      <w:pPr>
        <w:widowControl w:val="0"/>
        <w:suppressAutoHyphens/>
        <w:rPr>
          <w:color w:val="000000"/>
          <w:szCs w:val="22"/>
        </w:rPr>
      </w:pPr>
    </w:p>
    <w:p w14:paraId="375EB6EF" w14:textId="77777777" w:rsidR="00C91F25" w:rsidRPr="00263DB9" w:rsidRDefault="00C91F25" w:rsidP="008303F6">
      <w:pPr>
        <w:keepNext/>
        <w:widowControl w:val="0"/>
        <w:suppressAutoHyphens/>
        <w:rPr>
          <w:szCs w:val="22"/>
          <w:u w:val="single"/>
        </w:rPr>
      </w:pPr>
      <w:r w:rsidRPr="00263DB9">
        <w:rPr>
          <w:noProof/>
          <w:szCs w:val="22"/>
          <w:u w:val="single"/>
        </w:rPr>
        <w:t>Notificação de suspeitas de reações adversas</w:t>
      </w:r>
    </w:p>
    <w:p w14:paraId="375EB6F0" w14:textId="77777777" w:rsidR="00C91F25" w:rsidRPr="00263DB9" w:rsidRDefault="00C91F25" w:rsidP="00E51817">
      <w:pPr>
        <w:widowControl w:val="0"/>
        <w:suppressAutoHyphens/>
        <w:rPr>
          <w:szCs w:val="22"/>
        </w:rPr>
      </w:pPr>
      <w:r w:rsidRPr="00263DB9">
        <w:rPr>
          <w:noProof/>
          <w:szCs w:val="22"/>
        </w:rPr>
        <w:t>A notificação de suspeitas de reações adversas após a autorização do medicamento é importante, uma vez que permite uma monitorização contínua da relação benefício-risco do medicamento.</w:t>
      </w:r>
      <w:r w:rsidRPr="00263DB9">
        <w:rPr>
          <w:szCs w:val="22"/>
        </w:rPr>
        <w:t xml:space="preserve"> Pede-se aos profissionais de saúde que notifiquem quaisquer suspeitas de reações adversas </w:t>
      </w:r>
      <w:r w:rsidRPr="00263DB9">
        <w:rPr>
          <w:szCs w:val="22"/>
          <w:shd w:val="clear" w:color="auto" w:fill="D9D9D9"/>
        </w:rPr>
        <w:t>através do sistema nacional de notificação mencionado no</w:t>
      </w:r>
      <w:r w:rsidRPr="00263DB9">
        <w:rPr>
          <w:szCs w:val="22"/>
          <w:shd w:val="pct15" w:color="auto" w:fill="auto"/>
        </w:rPr>
        <w:t xml:space="preserve"> </w:t>
      </w:r>
      <w:hyperlink r:id="rId15" w:history="1">
        <w:r w:rsidRPr="00263DB9">
          <w:rPr>
            <w:rStyle w:val="Hyperlink"/>
            <w:shd w:val="pct15" w:color="auto" w:fill="auto"/>
          </w:rPr>
          <w:t>Apêndice V</w:t>
        </w:r>
      </w:hyperlink>
      <w:r w:rsidRPr="00263DB9">
        <w:rPr>
          <w:szCs w:val="22"/>
        </w:rPr>
        <w:t>.</w:t>
      </w:r>
    </w:p>
    <w:p w14:paraId="375EB6F1" w14:textId="77777777" w:rsidR="00C91F25" w:rsidRPr="00263DB9" w:rsidRDefault="00C91F25" w:rsidP="00E51817">
      <w:pPr>
        <w:widowControl w:val="0"/>
        <w:suppressAutoHyphens/>
        <w:rPr>
          <w:color w:val="000000"/>
          <w:szCs w:val="22"/>
        </w:rPr>
      </w:pPr>
    </w:p>
    <w:p w14:paraId="375EB6F2" w14:textId="77777777" w:rsidR="00C91F25" w:rsidRPr="00263DB9" w:rsidRDefault="00C91F25" w:rsidP="008303F6">
      <w:pPr>
        <w:keepNext/>
        <w:widowControl w:val="0"/>
        <w:suppressAutoHyphens/>
        <w:ind w:left="567" w:hanging="567"/>
        <w:rPr>
          <w:color w:val="000000"/>
          <w:szCs w:val="22"/>
        </w:rPr>
      </w:pPr>
      <w:r w:rsidRPr="00263DB9">
        <w:rPr>
          <w:b/>
          <w:color w:val="000000"/>
          <w:szCs w:val="22"/>
        </w:rPr>
        <w:t>4.9</w:t>
      </w:r>
      <w:r w:rsidRPr="00263DB9">
        <w:rPr>
          <w:b/>
          <w:color w:val="000000"/>
          <w:szCs w:val="22"/>
        </w:rPr>
        <w:tab/>
        <w:t>Sobredosagem</w:t>
      </w:r>
    </w:p>
    <w:p w14:paraId="375EB6F3" w14:textId="77777777" w:rsidR="00C91F25" w:rsidRPr="00263DB9" w:rsidRDefault="00C91F25" w:rsidP="008303F6">
      <w:pPr>
        <w:keepNext/>
        <w:widowControl w:val="0"/>
        <w:suppressAutoHyphens/>
        <w:rPr>
          <w:color w:val="000000"/>
          <w:szCs w:val="22"/>
        </w:rPr>
      </w:pPr>
    </w:p>
    <w:p w14:paraId="375EB6F4" w14:textId="77777777" w:rsidR="00C91F25" w:rsidRPr="00263DB9" w:rsidRDefault="00C91F25" w:rsidP="00E51817">
      <w:pPr>
        <w:widowControl w:val="0"/>
        <w:suppressAutoHyphens/>
        <w:rPr>
          <w:color w:val="000000"/>
          <w:szCs w:val="22"/>
        </w:rPr>
      </w:pPr>
      <w:r w:rsidRPr="00263DB9">
        <w:rPr>
          <w:color w:val="000000"/>
          <w:szCs w:val="22"/>
        </w:rPr>
        <w:t xml:space="preserve">A experiência com doses superiores à dose terapêutica recomendada é limitada. Foram notificados casos isolados de sobredosagem com Glivec, espontaneamente e na literatura. Na eventualidade de sobredosagem, o doente deve ser observado e ser-lhe administrado tratamento sintomático adequado. Geralmente o resultado relatado nestes casos é de “melhoria” ou “recuperação”. Foram notificados os </w:t>
      </w:r>
      <w:r w:rsidRPr="00263DB9">
        <w:rPr>
          <w:color w:val="000000"/>
          <w:szCs w:val="22"/>
        </w:rPr>
        <w:lastRenderedPageBreak/>
        <w:t>seguintes acontecimentos com intervalos de dosagem diferentes:</w:t>
      </w:r>
    </w:p>
    <w:p w14:paraId="375EB6F5" w14:textId="77777777" w:rsidR="00C91F25" w:rsidRPr="00263DB9" w:rsidRDefault="00C91F25" w:rsidP="00E51817">
      <w:pPr>
        <w:widowControl w:val="0"/>
        <w:suppressAutoHyphens/>
        <w:rPr>
          <w:color w:val="000000"/>
          <w:szCs w:val="22"/>
        </w:rPr>
      </w:pPr>
    </w:p>
    <w:p w14:paraId="375EB6F6" w14:textId="77777777" w:rsidR="00C91F25" w:rsidRPr="00263DB9" w:rsidRDefault="00C91F25" w:rsidP="008303F6">
      <w:pPr>
        <w:keepNext/>
        <w:widowControl w:val="0"/>
        <w:suppressAutoHyphens/>
        <w:rPr>
          <w:i/>
          <w:iCs/>
          <w:color w:val="000000"/>
          <w:szCs w:val="22"/>
        </w:rPr>
      </w:pPr>
      <w:r w:rsidRPr="00263DB9">
        <w:rPr>
          <w:i/>
          <w:iCs/>
          <w:color w:val="000000"/>
          <w:szCs w:val="22"/>
        </w:rPr>
        <w:t>População adulta</w:t>
      </w:r>
    </w:p>
    <w:p w14:paraId="375EB6F7" w14:textId="77777777" w:rsidR="00C91F25" w:rsidRPr="00263DB9" w:rsidRDefault="00C91F25" w:rsidP="00E51817">
      <w:pPr>
        <w:widowControl w:val="0"/>
        <w:suppressAutoHyphens/>
        <w:rPr>
          <w:color w:val="000000"/>
          <w:szCs w:val="22"/>
        </w:rPr>
      </w:pPr>
      <w:r w:rsidRPr="00263DB9">
        <w:rPr>
          <w:color w:val="000000"/>
          <w:szCs w:val="22"/>
        </w:rPr>
        <w:t>1200 a 1600 mg (duração variável entre 1 a 10 dias): Náuseas, vómitos, diarreia, erupção cutânea, eritema, edema, tumefação, fadiga, espasmos musculares, trombocitopenia, pancitopenia, dor abdominal, cefaleias, diminuição do apetite.</w:t>
      </w:r>
    </w:p>
    <w:p w14:paraId="375EB6F8" w14:textId="77777777" w:rsidR="00C91F25" w:rsidRPr="00263DB9" w:rsidRDefault="00C91F25" w:rsidP="00E51817">
      <w:pPr>
        <w:widowControl w:val="0"/>
        <w:suppressAutoHyphens/>
        <w:rPr>
          <w:color w:val="000000"/>
          <w:szCs w:val="22"/>
        </w:rPr>
      </w:pPr>
      <w:r w:rsidRPr="00263DB9">
        <w:rPr>
          <w:color w:val="000000"/>
          <w:szCs w:val="22"/>
        </w:rPr>
        <w:t>1800 a 3200 mg (num máximo de 3200 mg diárias durante 6 dias): Fraqueza, mialgia, creatinina fosfoquinase aumentada, bilirrubina aumentada, dor gastrointestinal.</w:t>
      </w:r>
    </w:p>
    <w:p w14:paraId="375EB6F9" w14:textId="77777777" w:rsidR="00C91F25" w:rsidRPr="00263DB9" w:rsidRDefault="00C91F25" w:rsidP="00E51817">
      <w:pPr>
        <w:widowControl w:val="0"/>
        <w:suppressAutoHyphens/>
        <w:rPr>
          <w:color w:val="000000"/>
          <w:szCs w:val="22"/>
        </w:rPr>
      </w:pPr>
      <w:r w:rsidRPr="00263DB9">
        <w:rPr>
          <w:color w:val="000000"/>
          <w:szCs w:val="22"/>
        </w:rPr>
        <w:t>6400 mg (dose única): Foi notificado na literatura um caso de um doente que sofreu náuseas, vómitos, dor abdominal, pirexia, tumefação da face, diminuição da contagem de neutrófilos, transaminases aumentadas.</w:t>
      </w:r>
    </w:p>
    <w:p w14:paraId="375EB6FA" w14:textId="77777777" w:rsidR="00C91F25" w:rsidRPr="00263DB9" w:rsidRDefault="00C91F25" w:rsidP="00E51817">
      <w:pPr>
        <w:widowControl w:val="0"/>
        <w:suppressAutoHyphens/>
        <w:rPr>
          <w:color w:val="000000"/>
          <w:szCs w:val="22"/>
        </w:rPr>
      </w:pPr>
      <w:r w:rsidRPr="00263DB9">
        <w:rPr>
          <w:color w:val="000000"/>
          <w:szCs w:val="22"/>
        </w:rPr>
        <w:t>8 a 10 g (dose única): Foram notificados vómitos e dor gastrointestinal.</w:t>
      </w:r>
    </w:p>
    <w:p w14:paraId="375EB6FB" w14:textId="77777777" w:rsidR="00C91F25" w:rsidRPr="00263DB9" w:rsidRDefault="00C91F25" w:rsidP="00E51817">
      <w:pPr>
        <w:widowControl w:val="0"/>
        <w:suppressAutoHyphens/>
        <w:rPr>
          <w:color w:val="000000"/>
          <w:szCs w:val="22"/>
        </w:rPr>
      </w:pPr>
    </w:p>
    <w:p w14:paraId="375EB6FC" w14:textId="77777777" w:rsidR="00C91F25" w:rsidRPr="00263DB9" w:rsidRDefault="00C91F25" w:rsidP="008303F6">
      <w:pPr>
        <w:keepNext/>
        <w:widowControl w:val="0"/>
        <w:suppressAutoHyphens/>
        <w:rPr>
          <w:i/>
          <w:iCs/>
          <w:color w:val="000000"/>
          <w:szCs w:val="22"/>
        </w:rPr>
      </w:pPr>
      <w:r w:rsidRPr="00263DB9">
        <w:rPr>
          <w:i/>
          <w:iCs/>
          <w:color w:val="000000"/>
          <w:szCs w:val="22"/>
        </w:rPr>
        <w:t>População pediátrica</w:t>
      </w:r>
    </w:p>
    <w:p w14:paraId="375EB6FD" w14:textId="77777777" w:rsidR="00C91F25" w:rsidRPr="00263DB9" w:rsidRDefault="00C91F25" w:rsidP="00E51817">
      <w:pPr>
        <w:widowControl w:val="0"/>
        <w:suppressAutoHyphens/>
        <w:rPr>
          <w:color w:val="000000"/>
          <w:szCs w:val="22"/>
        </w:rPr>
      </w:pPr>
      <w:r w:rsidRPr="00263DB9">
        <w:rPr>
          <w:color w:val="000000"/>
          <w:szCs w:val="22"/>
        </w:rPr>
        <w:t>Um rapaz de 3 anos de idade exposto a uma dose única de 400 mg sofreu vómitos, diarreia e anorexia, e outro rapaz de 3 anos de idade exposto a uma dose única de 980 mg sofreu diminuição da contagem de glóbulos brancos e diarreia.</w:t>
      </w:r>
    </w:p>
    <w:p w14:paraId="375EB6FE" w14:textId="77777777" w:rsidR="00C91F25" w:rsidRPr="00263DB9" w:rsidRDefault="00C91F25" w:rsidP="00E51817">
      <w:pPr>
        <w:widowControl w:val="0"/>
        <w:suppressAutoHyphens/>
        <w:rPr>
          <w:color w:val="000000"/>
          <w:szCs w:val="22"/>
        </w:rPr>
      </w:pPr>
    </w:p>
    <w:p w14:paraId="375EB6FF" w14:textId="77777777" w:rsidR="00C91F25" w:rsidRPr="00263DB9" w:rsidRDefault="00C91F25" w:rsidP="00E51817">
      <w:pPr>
        <w:widowControl w:val="0"/>
        <w:suppressAutoHyphens/>
        <w:rPr>
          <w:color w:val="000000"/>
          <w:szCs w:val="22"/>
        </w:rPr>
      </w:pPr>
      <w:r w:rsidRPr="00263DB9">
        <w:rPr>
          <w:color w:val="000000"/>
          <w:szCs w:val="22"/>
        </w:rPr>
        <w:t>Em caso de sobredosagem, deve ser administrado tratamento de suporte adequado devendo manter-se o doente em observação.</w:t>
      </w:r>
    </w:p>
    <w:p w14:paraId="375EB700" w14:textId="77777777" w:rsidR="00C91F25" w:rsidRPr="00263DB9" w:rsidRDefault="00C91F25" w:rsidP="00E51817">
      <w:pPr>
        <w:widowControl w:val="0"/>
        <w:suppressAutoHyphens/>
        <w:rPr>
          <w:color w:val="000000"/>
          <w:szCs w:val="22"/>
        </w:rPr>
      </w:pPr>
    </w:p>
    <w:p w14:paraId="375EB701" w14:textId="77777777" w:rsidR="00C91F25" w:rsidRPr="00263DB9" w:rsidRDefault="00C91F25" w:rsidP="00E51817">
      <w:pPr>
        <w:widowControl w:val="0"/>
        <w:suppressAutoHyphens/>
        <w:rPr>
          <w:color w:val="000000"/>
          <w:szCs w:val="22"/>
        </w:rPr>
      </w:pPr>
    </w:p>
    <w:p w14:paraId="375EB702" w14:textId="77777777" w:rsidR="00C91F25" w:rsidRPr="00263DB9" w:rsidRDefault="00C91F25" w:rsidP="008303F6">
      <w:pPr>
        <w:keepNext/>
        <w:widowControl w:val="0"/>
        <w:suppressAutoHyphens/>
        <w:ind w:left="567" w:hanging="567"/>
        <w:rPr>
          <w:color w:val="000000"/>
          <w:szCs w:val="22"/>
        </w:rPr>
      </w:pPr>
      <w:r w:rsidRPr="00263DB9">
        <w:rPr>
          <w:b/>
          <w:color w:val="000000"/>
          <w:szCs w:val="22"/>
        </w:rPr>
        <w:t>5.</w:t>
      </w:r>
      <w:r w:rsidRPr="00263DB9">
        <w:rPr>
          <w:b/>
          <w:color w:val="000000"/>
          <w:szCs w:val="22"/>
        </w:rPr>
        <w:tab/>
        <w:t>PROPRIEDADES FARMACOLÓGICAS</w:t>
      </w:r>
    </w:p>
    <w:p w14:paraId="375EB703" w14:textId="77777777" w:rsidR="00C91F25" w:rsidRPr="00263DB9" w:rsidRDefault="00C91F25" w:rsidP="008303F6">
      <w:pPr>
        <w:keepNext/>
        <w:widowControl w:val="0"/>
        <w:suppressAutoHyphens/>
        <w:rPr>
          <w:color w:val="000000"/>
          <w:szCs w:val="22"/>
        </w:rPr>
      </w:pPr>
    </w:p>
    <w:p w14:paraId="375EB704" w14:textId="77777777" w:rsidR="00C91F25" w:rsidRPr="00263DB9" w:rsidRDefault="00C91F25" w:rsidP="008303F6">
      <w:pPr>
        <w:keepNext/>
        <w:widowControl w:val="0"/>
        <w:suppressAutoHyphens/>
        <w:ind w:left="567" w:hanging="567"/>
        <w:rPr>
          <w:color w:val="000000"/>
          <w:szCs w:val="22"/>
        </w:rPr>
      </w:pPr>
      <w:r w:rsidRPr="00263DB9">
        <w:rPr>
          <w:b/>
          <w:color w:val="000000"/>
          <w:szCs w:val="22"/>
        </w:rPr>
        <w:t>5.1</w:t>
      </w:r>
      <w:r w:rsidRPr="00263DB9">
        <w:rPr>
          <w:b/>
          <w:color w:val="000000"/>
          <w:szCs w:val="22"/>
        </w:rPr>
        <w:tab/>
        <w:t>Propriedades farmacodinâmicas</w:t>
      </w:r>
    </w:p>
    <w:p w14:paraId="375EB705" w14:textId="77777777" w:rsidR="00C91F25" w:rsidRPr="00263DB9" w:rsidRDefault="00C91F25" w:rsidP="008303F6">
      <w:pPr>
        <w:keepNext/>
        <w:widowControl w:val="0"/>
        <w:suppressAutoHyphens/>
        <w:rPr>
          <w:color w:val="000000"/>
          <w:szCs w:val="22"/>
        </w:rPr>
      </w:pPr>
    </w:p>
    <w:p w14:paraId="375EB706" w14:textId="77777777" w:rsidR="00C91F25" w:rsidRPr="00263DB9" w:rsidRDefault="00C91F25" w:rsidP="008303F6">
      <w:pPr>
        <w:keepNext/>
        <w:widowControl w:val="0"/>
        <w:suppressAutoHyphens/>
        <w:ind w:left="567" w:hanging="567"/>
        <w:rPr>
          <w:color w:val="000000"/>
          <w:szCs w:val="22"/>
        </w:rPr>
      </w:pPr>
      <w:r w:rsidRPr="00263DB9">
        <w:rPr>
          <w:color w:val="000000"/>
          <w:szCs w:val="22"/>
        </w:rPr>
        <w:t>Grupo farmacoterapêutico: inibidor da proteína tirosinacinase, código ATC: L01XE01</w:t>
      </w:r>
    </w:p>
    <w:p w14:paraId="375EB707" w14:textId="77777777" w:rsidR="00C91F25" w:rsidRPr="00263DB9" w:rsidRDefault="00C91F25" w:rsidP="008303F6">
      <w:pPr>
        <w:keepNext/>
        <w:widowControl w:val="0"/>
        <w:suppressAutoHyphens/>
        <w:rPr>
          <w:color w:val="000000"/>
          <w:szCs w:val="22"/>
        </w:rPr>
      </w:pPr>
    </w:p>
    <w:p w14:paraId="375EB708" w14:textId="77777777" w:rsidR="00C91F25" w:rsidRPr="00263DB9" w:rsidRDefault="00C91F25" w:rsidP="008303F6">
      <w:pPr>
        <w:pStyle w:val="EndnoteText"/>
        <w:keepNext/>
        <w:tabs>
          <w:tab w:val="clear" w:pos="567"/>
        </w:tabs>
        <w:rPr>
          <w:color w:val="000000"/>
          <w:szCs w:val="22"/>
          <w:u w:val="single"/>
        </w:rPr>
      </w:pPr>
      <w:r w:rsidRPr="00263DB9">
        <w:rPr>
          <w:color w:val="000000"/>
          <w:szCs w:val="22"/>
          <w:u w:val="single"/>
        </w:rPr>
        <w:t>Mecanismo de ação</w:t>
      </w:r>
    </w:p>
    <w:p w14:paraId="375EB709" w14:textId="77777777" w:rsidR="00C91F25" w:rsidRPr="00263DB9" w:rsidRDefault="00C91F25" w:rsidP="00E51817">
      <w:pPr>
        <w:pStyle w:val="EndnoteText"/>
        <w:tabs>
          <w:tab w:val="clear" w:pos="567"/>
        </w:tabs>
        <w:rPr>
          <w:color w:val="000000"/>
          <w:szCs w:val="22"/>
        </w:rPr>
      </w:pPr>
      <w:r w:rsidRPr="00263DB9">
        <w:t>O imatinib é uma pequena molécula</w:t>
      </w:r>
      <w:r w:rsidRPr="00263DB9">
        <w:rPr>
          <w:color w:val="000000"/>
          <w:szCs w:val="22"/>
        </w:rPr>
        <w:t xml:space="preserve"> inibidora da proteína tirosinacinase que inibe potentemente a atividade tirosinacinase Bcr-Abl, bem como vários recetores com atividade tirosinacinase (TK): Kit, recetor para o fator das células germinativas (SCF) codificado pelo proto-oncogene c-Kit, os recetores do domínio de discoidina (DDR1 e DDR2), recetor do fator estimulador de colónias (CSF-1R) e recetores do fator de crescimento derivado das plaquetas alfa e beta (PDGFR-alfa e PDGFR-beta). O imatinib pode também inibir as vias celulares mediadas pela ativação destes recetores com atividade tirosinacinase.</w:t>
      </w:r>
    </w:p>
    <w:p w14:paraId="375EB70A" w14:textId="77777777" w:rsidR="00C91F25" w:rsidRPr="00263DB9" w:rsidRDefault="00C91F25" w:rsidP="00E51817">
      <w:pPr>
        <w:widowControl w:val="0"/>
        <w:suppressAutoHyphens/>
        <w:rPr>
          <w:color w:val="000000"/>
          <w:szCs w:val="22"/>
        </w:rPr>
      </w:pPr>
    </w:p>
    <w:p w14:paraId="375EB70B" w14:textId="77777777" w:rsidR="00C91F25" w:rsidRPr="00263DB9" w:rsidRDefault="00C91F25" w:rsidP="008303F6">
      <w:pPr>
        <w:keepNext/>
        <w:widowControl w:val="0"/>
        <w:suppressAutoHyphens/>
        <w:rPr>
          <w:color w:val="000000"/>
          <w:szCs w:val="22"/>
        </w:rPr>
      </w:pPr>
      <w:r w:rsidRPr="00263DB9">
        <w:rPr>
          <w:u w:val="single"/>
        </w:rPr>
        <w:t>Efeitos farmacodinâmicos</w:t>
      </w:r>
    </w:p>
    <w:p w14:paraId="375EB70C" w14:textId="77777777" w:rsidR="00C91F25" w:rsidRPr="00263DB9" w:rsidRDefault="00C91F25" w:rsidP="00E51817">
      <w:pPr>
        <w:widowControl w:val="0"/>
        <w:suppressAutoHyphens/>
        <w:rPr>
          <w:color w:val="000000"/>
          <w:szCs w:val="22"/>
        </w:rPr>
      </w:pPr>
      <w:r w:rsidRPr="00263DB9">
        <w:rPr>
          <w:color w:val="000000"/>
          <w:szCs w:val="22"/>
        </w:rPr>
        <w:t xml:space="preserve">O imatinib é um inibidor da proteína tirosinacinase que inibe potentemente a tirosinacinase Bcr-Abl aos níveis </w:t>
      </w:r>
      <w:r w:rsidRPr="00263DB9">
        <w:rPr>
          <w:i/>
          <w:color w:val="000000"/>
          <w:szCs w:val="22"/>
        </w:rPr>
        <w:t>in vitro</w:t>
      </w:r>
      <w:r w:rsidRPr="00263DB9">
        <w:rPr>
          <w:color w:val="000000"/>
          <w:szCs w:val="22"/>
        </w:rPr>
        <w:t xml:space="preserve">, celular e </w:t>
      </w:r>
      <w:r w:rsidRPr="00263DB9">
        <w:rPr>
          <w:i/>
          <w:color w:val="000000"/>
          <w:szCs w:val="22"/>
        </w:rPr>
        <w:t>in vivo</w:t>
      </w:r>
      <w:r w:rsidRPr="00263DB9">
        <w:rPr>
          <w:color w:val="000000"/>
          <w:szCs w:val="22"/>
        </w:rPr>
        <w:t>. O composto inibe selectivamente a proliferação e induz a apoptose nas linhagens celulares bcr-abl positivas bem como em células leucémicas frescas de doentes com LMC positiva para o cromossoma Filadélfia e leucemia linfoblástica aguda (LLA).</w:t>
      </w:r>
    </w:p>
    <w:p w14:paraId="375EB70D" w14:textId="77777777" w:rsidR="00C91F25" w:rsidRPr="00263DB9" w:rsidRDefault="00C91F25" w:rsidP="00E51817">
      <w:pPr>
        <w:widowControl w:val="0"/>
        <w:suppressAutoHyphens/>
        <w:rPr>
          <w:color w:val="000000"/>
          <w:szCs w:val="22"/>
        </w:rPr>
      </w:pPr>
    </w:p>
    <w:p w14:paraId="375EB70E" w14:textId="77777777" w:rsidR="00C91F25" w:rsidRPr="00263DB9" w:rsidRDefault="00C91F25" w:rsidP="00E51817">
      <w:pPr>
        <w:widowControl w:val="0"/>
        <w:suppressAutoHyphens/>
        <w:rPr>
          <w:color w:val="000000"/>
          <w:szCs w:val="22"/>
        </w:rPr>
      </w:pPr>
      <w:r w:rsidRPr="00263DB9">
        <w:rPr>
          <w:i/>
          <w:color w:val="000000"/>
          <w:szCs w:val="22"/>
        </w:rPr>
        <w:t>In vivo</w:t>
      </w:r>
      <w:r w:rsidRPr="00263DB9">
        <w:rPr>
          <w:color w:val="000000"/>
          <w:szCs w:val="22"/>
        </w:rPr>
        <w:t>, o composto mostra atividade anti-tumoral como um agente único em modelos animais usando células tumorais bcr-abl positivas.</w:t>
      </w:r>
    </w:p>
    <w:p w14:paraId="375EB70F" w14:textId="77777777" w:rsidR="00C91F25" w:rsidRPr="00263DB9" w:rsidRDefault="00C91F25" w:rsidP="00E51817">
      <w:pPr>
        <w:widowControl w:val="0"/>
        <w:suppressAutoHyphens/>
        <w:rPr>
          <w:color w:val="000000"/>
          <w:szCs w:val="22"/>
        </w:rPr>
      </w:pPr>
    </w:p>
    <w:p w14:paraId="375EB710" w14:textId="77777777" w:rsidR="00C91F25" w:rsidRPr="00263DB9" w:rsidRDefault="00C91F25" w:rsidP="00E51817">
      <w:pPr>
        <w:widowControl w:val="0"/>
        <w:suppressAutoHyphens/>
        <w:rPr>
          <w:color w:val="000000"/>
          <w:szCs w:val="22"/>
        </w:rPr>
      </w:pPr>
      <w:r w:rsidRPr="00263DB9">
        <w:rPr>
          <w:color w:val="000000"/>
          <w:szCs w:val="22"/>
        </w:rPr>
        <w:t xml:space="preserve">O imatinib é também um inibidor dos recetores da tirosinacinase para o fator de crescimento derivado das plaquetas (PDGF), PDGF-R, e fator das células germinativas (SCF), c-Kit, e inibe os efeitos celulares mediados pelos PDGF e SCF. </w:t>
      </w:r>
      <w:r w:rsidRPr="00263DB9">
        <w:rPr>
          <w:i/>
          <w:color w:val="000000"/>
          <w:szCs w:val="22"/>
        </w:rPr>
        <w:t>In vitro</w:t>
      </w:r>
      <w:r w:rsidRPr="00263DB9">
        <w:rPr>
          <w:color w:val="000000"/>
          <w:szCs w:val="22"/>
        </w:rPr>
        <w:t>, o imatinib inibe a proliferação e induz a apoptose nas células dos tumores do estroma gastrintestinal (GIST), as quais exprimem uma mutação ativadora do Kit. A ativação constitutiva do recetor de PDGF ou das proteínas tirosina cinase Abl como consequência da fusão de diversas proteinas conjugadas ou da produção constitutiva de PDGF tem sido implicadas na patogénese de MDS/MPD, síndrome hipereosinofílica avançada/leucemia eosinofílica crónica e DFSP. O imatinib inibe a sinalização e a proliferação de células desencadeada pela desregulação do PDGFR e da atividade da cinase Abl.</w:t>
      </w:r>
    </w:p>
    <w:p w14:paraId="375EB711" w14:textId="77777777" w:rsidR="00C91F25" w:rsidRPr="00263DB9" w:rsidRDefault="00C91F25" w:rsidP="00E51817">
      <w:pPr>
        <w:widowControl w:val="0"/>
        <w:suppressAutoHyphens/>
        <w:rPr>
          <w:color w:val="000000"/>
          <w:szCs w:val="22"/>
        </w:rPr>
      </w:pPr>
    </w:p>
    <w:p w14:paraId="375EB712" w14:textId="77777777" w:rsidR="00C91F25" w:rsidRPr="00263DB9" w:rsidRDefault="00C91F25" w:rsidP="008303F6">
      <w:pPr>
        <w:keepNext/>
        <w:widowControl w:val="0"/>
        <w:suppressAutoHyphens/>
        <w:rPr>
          <w:color w:val="000000"/>
          <w:szCs w:val="22"/>
        </w:rPr>
      </w:pPr>
      <w:r w:rsidRPr="00263DB9">
        <w:rPr>
          <w:color w:val="000000"/>
          <w:szCs w:val="22"/>
          <w:u w:val="single"/>
        </w:rPr>
        <w:lastRenderedPageBreak/>
        <w:t>Estudos clínicos na leucemia mieloide crónica</w:t>
      </w:r>
    </w:p>
    <w:p w14:paraId="375EB713" w14:textId="77777777" w:rsidR="00C91F25" w:rsidRPr="00263DB9" w:rsidRDefault="00C91F25" w:rsidP="00E51817">
      <w:pPr>
        <w:widowControl w:val="0"/>
        <w:suppressAutoHyphens/>
        <w:rPr>
          <w:color w:val="000000"/>
          <w:szCs w:val="22"/>
        </w:rPr>
      </w:pPr>
      <w:r w:rsidRPr="00263DB9">
        <w:rPr>
          <w:color w:val="000000"/>
          <w:szCs w:val="22"/>
        </w:rPr>
        <w:t>A eficácia de Glivec baseia-se em taxas de resposta hematológica e citogenética globais e na sobrevivência sem progressão da doença. Exceto na LMC em fase crónica diagnosticada de novo, não há ensaios clínicos controlados demonstrativos de benefício clínico, tal como melhoria nos sintomas relacionados com a doença ou aumento da sobrevivência.</w:t>
      </w:r>
    </w:p>
    <w:p w14:paraId="375EB714" w14:textId="77777777" w:rsidR="00C91F25" w:rsidRPr="00263DB9" w:rsidRDefault="00C91F25" w:rsidP="00E51817">
      <w:pPr>
        <w:widowControl w:val="0"/>
        <w:suppressAutoHyphens/>
        <w:rPr>
          <w:color w:val="000000"/>
          <w:szCs w:val="22"/>
        </w:rPr>
      </w:pPr>
    </w:p>
    <w:p w14:paraId="375EB715" w14:textId="77777777" w:rsidR="00C91F25" w:rsidRPr="00263DB9" w:rsidRDefault="00C91F25" w:rsidP="00E51817">
      <w:pPr>
        <w:widowControl w:val="0"/>
        <w:suppressAutoHyphens/>
        <w:rPr>
          <w:color w:val="000000"/>
          <w:szCs w:val="22"/>
        </w:rPr>
      </w:pPr>
      <w:r w:rsidRPr="00263DB9">
        <w:rPr>
          <w:color w:val="000000"/>
          <w:szCs w:val="22"/>
        </w:rPr>
        <w:t>Foram realizados três grandes estudos internacionais, abertos, não controlados, de fase II em doentes com LMC positiva para o cromossoma Filadélfia (Ph+) na doença avançada, blástica ou em fase acelerada, outras leucemias Ph+ ou com LMC em fase crónica mas com insucesso com a terapêutica anterior com alfa-interferão (IFN). Em doentes diagnosticados de novo com LMC Ph+, foi realizado um grande estudo multicêntrico de fase III, internacional, aleatorizado e aberto. Além disso, foram tratadas crianças em dois ensaios de fase I e uma num ensaio de fase II.</w:t>
      </w:r>
    </w:p>
    <w:p w14:paraId="375EB716" w14:textId="77777777" w:rsidR="00C91F25" w:rsidRPr="00263DB9" w:rsidRDefault="00C91F25" w:rsidP="00E51817">
      <w:pPr>
        <w:widowControl w:val="0"/>
        <w:suppressAutoHyphens/>
        <w:rPr>
          <w:color w:val="000000"/>
          <w:szCs w:val="22"/>
        </w:rPr>
      </w:pPr>
    </w:p>
    <w:p w14:paraId="375EB717" w14:textId="77777777" w:rsidR="00C91F25" w:rsidRPr="00263DB9" w:rsidRDefault="00C91F25" w:rsidP="00E51817">
      <w:pPr>
        <w:widowControl w:val="0"/>
        <w:suppressAutoHyphens/>
        <w:rPr>
          <w:color w:val="000000"/>
          <w:szCs w:val="22"/>
        </w:rPr>
      </w:pPr>
      <w:r w:rsidRPr="00263DB9">
        <w:rPr>
          <w:color w:val="000000"/>
          <w:szCs w:val="22"/>
        </w:rPr>
        <w:t xml:space="preserve">Em todos os estudos clínicos, 38–40% dos doentes tinham </w:t>
      </w:r>
      <w:r w:rsidRPr="00263DB9">
        <w:rPr>
          <w:color w:val="000000"/>
          <w:szCs w:val="22"/>
        </w:rPr>
        <w:sym w:font="Symbol" w:char="F0B3"/>
      </w:r>
      <w:r w:rsidRPr="00263DB9">
        <w:rPr>
          <w:color w:val="000000"/>
          <w:szCs w:val="22"/>
        </w:rPr>
        <w:t xml:space="preserve"> 60 anos de idade e 10–12% dos doentes tinham </w:t>
      </w:r>
      <w:r w:rsidRPr="00263DB9">
        <w:rPr>
          <w:color w:val="000000"/>
          <w:szCs w:val="22"/>
        </w:rPr>
        <w:sym w:font="Symbol" w:char="F0B3"/>
      </w:r>
      <w:r w:rsidRPr="00263DB9">
        <w:rPr>
          <w:color w:val="000000"/>
          <w:szCs w:val="22"/>
        </w:rPr>
        <w:t> 70 anos de idade.</w:t>
      </w:r>
    </w:p>
    <w:p w14:paraId="375EB718" w14:textId="77777777" w:rsidR="00C91F25" w:rsidRPr="00263DB9" w:rsidRDefault="00C91F25" w:rsidP="00E51817">
      <w:pPr>
        <w:widowControl w:val="0"/>
        <w:suppressAutoHyphens/>
        <w:rPr>
          <w:color w:val="000000"/>
          <w:szCs w:val="22"/>
        </w:rPr>
      </w:pPr>
    </w:p>
    <w:p w14:paraId="375EB719" w14:textId="77777777" w:rsidR="00C91F25" w:rsidRPr="00263DB9" w:rsidRDefault="00C91F25" w:rsidP="00E51817">
      <w:pPr>
        <w:widowControl w:val="0"/>
        <w:suppressAutoHyphens/>
        <w:rPr>
          <w:color w:val="000000"/>
          <w:szCs w:val="22"/>
        </w:rPr>
      </w:pPr>
      <w:r w:rsidRPr="00263DB9">
        <w:rPr>
          <w:i/>
          <w:color w:val="000000"/>
          <w:szCs w:val="22"/>
        </w:rPr>
        <w:t>Fase crónica, doentes tratados de novo</w:t>
      </w:r>
      <w:r w:rsidRPr="00263DB9">
        <w:rPr>
          <w:color w:val="000000"/>
          <w:szCs w:val="22"/>
        </w:rPr>
        <w:t xml:space="preserve">: neste estudo de fase III em doentes adultos comparou-se o tratamento com Glivec em monoterapia </w:t>
      </w:r>
      <w:r w:rsidRPr="00263DB9">
        <w:rPr>
          <w:i/>
          <w:color w:val="000000"/>
          <w:szCs w:val="22"/>
        </w:rPr>
        <w:t>versus</w:t>
      </w:r>
      <w:r w:rsidRPr="00263DB9">
        <w:rPr>
          <w:color w:val="000000"/>
          <w:szCs w:val="22"/>
        </w:rPr>
        <w:t xml:space="preserve"> a associação com interferão-alfa (IFN) e citarabina (Ara-C). Os doentes que não responderam ao tratamento (ausência de resposta hematológica completa (CHR) aos 6 meses, aumento do número de leucócitos, ausência de resposta citogenética </w:t>
      </w:r>
      <w:r w:rsidRPr="00263DB9">
        <w:rPr>
          <w:i/>
          <w:iCs/>
          <w:color w:val="000000"/>
          <w:szCs w:val="22"/>
        </w:rPr>
        <w:t>major</w:t>
      </w:r>
      <w:r w:rsidRPr="00263DB9">
        <w:rPr>
          <w:color w:val="000000"/>
          <w:szCs w:val="22"/>
        </w:rPr>
        <w:t xml:space="preserve"> (MCyR) aos 24 meses), que tiveram perda de resposta (perda de CHR ou MCyR) ou intolerância grave ao tratamento foram autorizados a mudar para o braço de tratamento alternativo. No braço de tratameneto com Glivec, os doentes foram tratados com 400 mg por dia. No braço tratado com IFN, os doentes foram tratados com uma dose alvo de IFN de 5 MUI/m</w:t>
      </w:r>
      <w:r w:rsidRPr="00263DB9">
        <w:rPr>
          <w:color w:val="000000"/>
          <w:szCs w:val="22"/>
          <w:vertAlign w:val="superscript"/>
        </w:rPr>
        <w:t>2</w:t>
      </w:r>
      <w:r w:rsidRPr="00263DB9">
        <w:rPr>
          <w:color w:val="000000"/>
          <w:szCs w:val="22"/>
        </w:rPr>
        <w:t>/dia, por via subcutânea, em associação com Ara-C, 20 mg/m</w:t>
      </w:r>
      <w:r w:rsidRPr="00263DB9">
        <w:rPr>
          <w:color w:val="000000"/>
          <w:szCs w:val="22"/>
          <w:vertAlign w:val="superscript"/>
        </w:rPr>
        <w:t>2</w:t>
      </w:r>
      <w:r w:rsidRPr="00263DB9">
        <w:rPr>
          <w:color w:val="000000"/>
          <w:szCs w:val="22"/>
        </w:rPr>
        <w:t>/dia durante 10 dias por mês.</w:t>
      </w:r>
    </w:p>
    <w:p w14:paraId="375EB71A" w14:textId="77777777" w:rsidR="00C91F25" w:rsidRPr="00263DB9" w:rsidRDefault="00C91F25" w:rsidP="00E51817">
      <w:pPr>
        <w:widowControl w:val="0"/>
        <w:suppressAutoHyphens/>
        <w:rPr>
          <w:color w:val="000000"/>
          <w:szCs w:val="22"/>
        </w:rPr>
      </w:pPr>
    </w:p>
    <w:p w14:paraId="375EB71B" w14:textId="77777777" w:rsidR="00C91F25" w:rsidRPr="00263DB9" w:rsidRDefault="00C91F25" w:rsidP="00E51817">
      <w:pPr>
        <w:widowControl w:val="0"/>
        <w:suppressAutoHyphens/>
        <w:rPr>
          <w:color w:val="000000"/>
          <w:szCs w:val="22"/>
        </w:rPr>
      </w:pPr>
      <w:r w:rsidRPr="00263DB9">
        <w:rPr>
          <w:color w:val="000000"/>
          <w:szCs w:val="22"/>
        </w:rPr>
        <w:t xml:space="preserve">Um total de 1.106 doentes foram aleatorizados, sendo incluídos 553 em cada braço. As características basais eram similares nos dois braços. A idade mediana era 51 anos (variação de 18–70 anos), sendo que 21,9% dos doentes tinham idade superior ou igual a 60 anos. Quanto ao sexo, 59% eram do sexo masculino e 41% feminino; 89,9% caucasianos e 4,7% de raça negra. Sete anos após o recrutamento do último doente, a mediana da duração do tratamento em primeira linha foi de 82 e 8 meses nos braços Glivec e IFN, respetivamente. A mediana da duração do tratamento em segunda linha com Glivec foi de 64 meses. Globalmente, nos doentes tratados com Glivec em primeira linha, a dose diária média administrada foi 406 ± 76 mg. O principal objetivo de eficácia deste estudo é a sobrevivência sem progressão da doença. Progressão foi definida como qualquer das seguintes ocorrências: progressão para fase acelerada ou crise blástica, morte, perda de CHR ou MCyR, ou, em doentes sem CHR, aumento do número de leucócitos independente de controlo terapêutico adequado. Os principais objetivos secundários são a resposta citogenética </w:t>
      </w:r>
      <w:r w:rsidRPr="00263DB9">
        <w:rPr>
          <w:i/>
          <w:iCs/>
          <w:color w:val="000000"/>
          <w:szCs w:val="22"/>
        </w:rPr>
        <w:t>major</w:t>
      </w:r>
      <w:r w:rsidRPr="00263DB9">
        <w:rPr>
          <w:color w:val="000000"/>
          <w:szCs w:val="22"/>
        </w:rPr>
        <w:t>, resposta hematológica, resposta molecular (avaliação de doença mínima residual), tempo para progressão para fase acelerada ou crise blástica e sobrevivência. Na Tabela </w:t>
      </w:r>
      <w:r w:rsidR="00445D6F" w:rsidRPr="00263DB9">
        <w:rPr>
          <w:color w:val="000000"/>
          <w:szCs w:val="22"/>
        </w:rPr>
        <w:t>2</w:t>
      </w:r>
      <w:r w:rsidRPr="00263DB9">
        <w:rPr>
          <w:color w:val="000000"/>
          <w:szCs w:val="22"/>
        </w:rPr>
        <w:t xml:space="preserve"> mostram-se os resultados obtidos.</w:t>
      </w:r>
    </w:p>
    <w:p w14:paraId="375EB71C" w14:textId="77777777" w:rsidR="00C91F25" w:rsidRPr="00263DB9" w:rsidRDefault="00C91F25" w:rsidP="00E51817">
      <w:pPr>
        <w:pStyle w:val="EndnoteText"/>
        <w:rPr>
          <w:color w:val="000000"/>
          <w:szCs w:val="22"/>
        </w:rPr>
      </w:pPr>
    </w:p>
    <w:p w14:paraId="375EB71D" w14:textId="77777777" w:rsidR="00C91F25" w:rsidRPr="00263DB9" w:rsidRDefault="00C91F25" w:rsidP="008303F6">
      <w:pPr>
        <w:pStyle w:val="EndnoteText"/>
        <w:keepNext/>
        <w:keepLines/>
        <w:tabs>
          <w:tab w:val="clear" w:pos="567"/>
          <w:tab w:val="left" w:pos="1134"/>
        </w:tabs>
        <w:rPr>
          <w:b/>
          <w:color w:val="000000"/>
          <w:szCs w:val="22"/>
        </w:rPr>
      </w:pPr>
      <w:r w:rsidRPr="00263DB9">
        <w:rPr>
          <w:b/>
          <w:color w:val="000000"/>
          <w:szCs w:val="22"/>
        </w:rPr>
        <w:lastRenderedPageBreak/>
        <w:t>Tabela </w:t>
      </w:r>
      <w:r w:rsidR="00445D6F" w:rsidRPr="00263DB9">
        <w:rPr>
          <w:b/>
          <w:color w:val="000000"/>
          <w:szCs w:val="22"/>
        </w:rPr>
        <w:t>2</w:t>
      </w:r>
      <w:r w:rsidRPr="00263DB9">
        <w:rPr>
          <w:b/>
          <w:color w:val="000000"/>
          <w:szCs w:val="22"/>
        </w:rPr>
        <w:tab/>
        <w:t>Resposta no estudo em LMC diagnosticada de novo (dados de 84 meses)</w:t>
      </w:r>
    </w:p>
    <w:p w14:paraId="375EB71E" w14:textId="77777777" w:rsidR="00C91F25" w:rsidRPr="00263DB9" w:rsidRDefault="00C91F25" w:rsidP="008303F6">
      <w:pPr>
        <w:pStyle w:val="EndnoteText"/>
        <w:keepNext/>
        <w:keepLines/>
        <w:rPr>
          <w:color w:val="000000"/>
          <w:szCs w:val="22"/>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C91F25" w:rsidRPr="00263DB9" w14:paraId="375EB722" w14:textId="77777777" w:rsidTr="008303F6">
        <w:trPr>
          <w:cantSplit/>
        </w:trPr>
        <w:tc>
          <w:tcPr>
            <w:tcW w:w="3794" w:type="dxa"/>
            <w:tcBorders>
              <w:top w:val="single" w:sz="4" w:space="0" w:color="auto"/>
              <w:left w:val="single" w:sz="4" w:space="0" w:color="auto"/>
              <w:bottom w:val="nil"/>
            </w:tcBorders>
          </w:tcPr>
          <w:p w14:paraId="375EB71F" w14:textId="77777777" w:rsidR="00C91F25" w:rsidRPr="00263DB9" w:rsidRDefault="00C91F25" w:rsidP="008303F6">
            <w:pPr>
              <w:pStyle w:val="Table"/>
              <w:widowControl w:val="0"/>
              <w:spacing w:before="0" w:after="0"/>
              <w:rPr>
                <w:rFonts w:ascii="Times New Roman" w:hAnsi="Times New Roman"/>
                <w:color w:val="000000"/>
                <w:szCs w:val="22"/>
                <w:lang w:val="pt-PT"/>
              </w:rPr>
            </w:pPr>
          </w:p>
        </w:tc>
        <w:tc>
          <w:tcPr>
            <w:tcW w:w="2693" w:type="dxa"/>
            <w:tcBorders>
              <w:top w:val="single" w:sz="4" w:space="0" w:color="auto"/>
              <w:bottom w:val="nil"/>
            </w:tcBorders>
          </w:tcPr>
          <w:p w14:paraId="375EB720" w14:textId="77777777" w:rsidR="00C91F25" w:rsidRPr="00263DB9" w:rsidRDefault="00C91F25" w:rsidP="008303F6">
            <w:pPr>
              <w:pStyle w:val="Table"/>
              <w:widowControl w:val="0"/>
              <w:spacing w:before="0" w:after="0"/>
              <w:jc w:val="center"/>
              <w:rPr>
                <w:rFonts w:ascii="Times New Roman" w:hAnsi="Times New Roman"/>
                <w:b/>
                <w:color w:val="000000"/>
                <w:szCs w:val="22"/>
              </w:rPr>
            </w:pPr>
            <w:r w:rsidRPr="00263DB9">
              <w:rPr>
                <w:rFonts w:ascii="Times New Roman" w:hAnsi="Times New Roman"/>
                <w:b/>
                <w:color w:val="000000"/>
                <w:szCs w:val="22"/>
              </w:rPr>
              <w:t>Glivec</w:t>
            </w:r>
          </w:p>
        </w:tc>
        <w:tc>
          <w:tcPr>
            <w:tcW w:w="2718" w:type="dxa"/>
            <w:tcBorders>
              <w:top w:val="single" w:sz="4" w:space="0" w:color="auto"/>
              <w:bottom w:val="nil"/>
              <w:right w:val="single" w:sz="4" w:space="0" w:color="auto"/>
            </w:tcBorders>
          </w:tcPr>
          <w:p w14:paraId="375EB721" w14:textId="77777777" w:rsidR="00C91F25" w:rsidRPr="00263DB9" w:rsidRDefault="00C91F25" w:rsidP="008303F6">
            <w:pPr>
              <w:pStyle w:val="Table"/>
              <w:widowControl w:val="0"/>
              <w:spacing w:before="0" w:after="0"/>
              <w:jc w:val="center"/>
              <w:rPr>
                <w:rFonts w:ascii="Times New Roman" w:hAnsi="Times New Roman"/>
                <w:b/>
                <w:color w:val="000000"/>
                <w:szCs w:val="22"/>
              </w:rPr>
            </w:pPr>
            <w:r w:rsidRPr="00263DB9">
              <w:rPr>
                <w:rFonts w:ascii="Times New Roman" w:hAnsi="Times New Roman"/>
                <w:b/>
                <w:color w:val="000000"/>
                <w:szCs w:val="22"/>
              </w:rPr>
              <w:t>IFN+Ara-C</w:t>
            </w:r>
          </w:p>
        </w:tc>
      </w:tr>
      <w:tr w:rsidR="00C91F25" w:rsidRPr="00263DB9" w14:paraId="375EB726" w14:textId="77777777" w:rsidTr="008303F6">
        <w:trPr>
          <w:cantSplit/>
        </w:trPr>
        <w:tc>
          <w:tcPr>
            <w:tcW w:w="3794" w:type="dxa"/>
            <w:tcBorders>
              <w:top w:val="nil"/>
              <w:left w:val="single" w:sz="4" w:space="0" w:color="auto"/>
              <w:bottom w:val="single" w:sz="4" w:space="0" w:color="auto"/>
            </w:tcBorders>
          </w:tcPr>
          <w:p w14:paraId="375EB723" w14:textId="77777777" w:rsidR="00C91F25" w:rsidRPr="00263DB9" w:rsidRDefault="00C91F25" w:rsidP="008303F6">
            <w:pPr>
              <w:pStyle w:val="Table"/>
              <w:widowControl w:val="0"/>
              <w:spacing w:before="0" w:after="0"/>
              <w:rPr>
                <w:rFonts w:ascii="Times New Roman" w:hAnsi="Times New Roman"/>
                <w:b/>
                <w:color w:val="000000"/>
                <w:szCs w:val="22"/>
              </w:rPr>
            </w:pPr>
            <w:r w:rsidRPr="00263DB9">
              <w:rPr>
                <w:rFonts w:ascii="Times New Roman" w:hAnsi="Times New Roman"/>
                <w:b/>
                <w:color w:val="000000"/>
                <w:szCs w:val="22"/>
              </w:rPr>
              <w:t>(Taxas de melhor resposta)</w:t>
            </w:r>
          </w:p>
        </w:tc>
        <w:tc>
          <w:tcPr>
            <w:tcW w:w="2693" w:type="dxa"/>
            <w:tcBorders>
              <w:top w:val="nil"/>
              <w:bottom w:val="single" w:sz="4" w:space="0" w:color="auto"/>
            </w:tcBorders>
          </w:tcPr>
          <w:p w14:paraId="375EB724"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rPr>
              <w:t>n=553</w:t>
            </w:r>
          </w:p>
        </w:tc>
        <w:tc>
          <w:tcPr>
            <w:tcW w:w="2718" w:type="dxa"/>
            <w:tcBorders>
              <w:top w:val="nil"/>
              <w:bottom w:val="single" w:sz="4" w:space="0" w:color="auto"/>
              <w:right w:val="single" w:sz="4" w:space="0" w:color="auto"/>
            </w:tcBorders>
          </w:tcPr>
          <w:p w14:paraId="375EB725"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rPr>
              <w:t>n=553</w:t>
            </w:r>
          </w:p>
        </w:tc>
      </w:tr>
      <w:tr w:rsidR="00C91F25" w:rsidRPr="00263DB9" w14:paraId="375EB72A" w14:textId="77777777" w:rsidTr="008303F6">
        <w:trPr>
          <w:cantSplit/>
        </w:trPr>
        <w:tc>
          <w:tcPr>
            <w:tcW w:w="3794" w:type="dxa"/>
            <w:tcBorders>
              <w:top w:val="nil"/>
              <w:left w:val="single" w:sz="4" w:space="0" w:color="auto"/>
            </w:tcBorders>
          </w:tcPr>
          <w:p w14:paraId="375EB727" w14:textId="77777777" w:rsidR="00C91F25" w:rsidRPr="00263DB9" w:rsidRDefault="00C91F25" w:rsidP="008303F6">
            <w:pPr>
              <w:pStyle w:val="Table"/>
              <w:widowControl w:val="0"/>
              <w:spacing w:before="0" w:after="0"/>
              <w:rPr>
                <w:rFonts w:ascii="Times New Roman" w:hAnsi="Times New Roman"/>
                <w:b/>
                <w:color w:val="000000"/>
                <w:szCs w:val="22"/>
              </w:rPr>
            </w:pPr>
            <w:r w:rsidRPr="00263DB9">
              <w:rPr>
                <w:rFonts w:ascii="Times New Roman" w:hAnsi="Times New Roman"/>
                <w:b/>
                <w:color w:val="000000"/>
                <w:szCs w:val="22"/>
              </w:rPr>
              <w:t>Resposta hematológica</w:t>
            </w:r>
          </w:p>
        </w:tc>
        <w:tc>
          <w:tcPr>
            <w:tcW w:w="2693" w:type="dxa"/>
            <w:tcBorders>
              <w:top w:val="nil"/>
            </w:tcBorders>
          </w:tcPr>
          <w:p w14:paraId="375EB728" w14:textId="77777777" w:rsidR="00C91F25" w:rsidRPr="00263DB9" w:rsidRDefault="00C91F25" w:rsidP="008303F6">
            <w:pPr>
              <w:pStyle w:val="Table"/>
              <w:widowControl w:val="0"/>
              <w:spacing w:before="0" w:after="0"/>
              <w:jc w:val="center"/>
              <w:rPr>
                <w:rFonts w:ascii="Times New Roman" w:hAnsi="Times New Roman"/>
                <w:b/>
                <w:color w:val="000000"/>
                <w:szCs w:val="22"/>
              </w:rPr>
            </w:pPr>
          </w:p>
        </w:tc>
        <w:tc>
          <w:tcPr>
            <w:tcW w:w="2718" w:type="dxa"/>
            <w:tcBorders>
              <w:top w:val="nil"/>
              <w:right w:val="single" w:sz="4" w:space="0" w:color="auto"/>
            </w:tcBorders>
          </w:tcPr>
          <w:p w14:paraId="375EB729" w14:textId="77777777" w:rsidR="00C91F25" w:rsidRPr="00263DB9" w:rsidRDefault="00C91F25" w:rsidP="008303F6">
            <w:pPr>
              <w:pStyle w:val="Table"/>
              <w:widowControl w:val="0"/>
              <w:spacing w:before="0" w:after="0"/>
              <w:jc w:val="center"/>
              <w:rPr>
                <w:rFonts w:ascii="Times New Roman" w:hAnsi="Times New Roman"/>
                <w:b/>
                <w:color w:val="000000"/>
                <w:szCs w:val="22"/>
              </w:rPr>
            </w:pPr>
          </w:p>
        </w:tc>
      </w:tr>
      <w:tr w:rsidR="00C91F25" w:rsidRPr="00263DB9" w14:paraId="375EB72E" w14:textId="77777777" w:rsidTr="008303F6">
        <w:trPr>
          <w:cantSplit/>
        </w:trPr>
        <w:tc>
          <w:tcPr>
            <w:tcW w:w="3794" w:type="dxa"/>
            <w:tcBorders>
              <w:top w:val="nil"/>
              <w:left w:val="single" w:sz="4" w:space="0" w:color="auto"/>
            </w:tcBorders>
          </w:tcPr>
          <w:p w14:paraId="375EB72B" w14:textId="77777777" w:rsidR="00C91F25" w:rsidRPr="00263DB9" w:rsidRDefault="00C91F25" w:rsidP="008303F6">
            <w:pPr>
              <w:pStyle w:val="Table"/>
              <w:widowControl w:val="0"/>
              <w:spacing w:before="0" w:after="0"/>
              <w:rPr>
                <w:rFonts w:ascii="Times New Roman" w:hAnsi="Times New Roman"/>
                <w:color w:val="000000"/>
                <w:szCs w:val="22"/>
              </w:rPr>
            </w:pPr>
            <w:r w:rsidRPr="00263DB9">
              <w:rPr>
                <w:rFonts w:ascii="Times New Roman" w:hAnsi="Times New Roman"/>
                <w:color w:val="000000"/>
                <w:szCs w:val="22"/>
              </w:rPr>
              <w:t>Taxa de CHR n (%)</w:t>
            </w:r>
          </w:p>
        </w:tc>
        <w:tc>
          <w:tcPr>
            <w:tcW w:w="2693" w:type="dxa"/>
            <w:tcBorders>
              <w:top w:val="nil"/>
            </w:tcBorders>
          </w:tcPr>
          <w:p w14:paraId="375EB72C"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534 (96,6</w:t>
            </w:r>
            <w:r w:rsidRPr="00263DB9">
              <w:rPr>
                <w:rFonts w:ascii="Times New Roman" w:hAnsi="Times New Roman"/>
                <w:color w:val="000000"/>
                <w:szCs w:val="22"/>
              </w:rPr>
              <w:t>%</w:t>
            </w:r>
            <w:r w:rsidRPr="00263DB9">
              <w:rPr>
                <w:rFonts w:ascii="Times New Roman" w:hAnsi="Times New Roman"/>
                <w:color w:val="000000"/>
                <w:szCs w:val="22"/>
                <w:lang w:val="en-GB"/>
              </w:rPr>
              <w:t>)*</w:t>
            </w:r>
          </w:p>
        </w:tc>
        <w:tc>
          <w:tcPr>
            <w:tcW w:w="2718" w:type="dxa"/>
            <w:tcBorders>
              <w:top w:val="nil"/>
              <w:right w:val="single" w:sz="4" w:space="0" w:color="auto"/>
            </w:tcBorders>
          </w:tcPr>
          <w:p w14:paraId="375EB72D"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313 (56,6</w:t>
            </w:r>
            <w:r w:rsidRPr="00263DB9">
              <w:rPr>
                <w:rFonts w:ascii="Times New Roman" w:hAnsi="Times New Roman"/>
                <w:color w:val="000000"/>
                <w:szCs w:val="22"/>
              </w:rPr>
              <w:t>%</w:t>
            </w:r>
            <w:r w:rsidRPr="00263DB9">
              <w:rPr>
                <w:rFonts w:ascii="Times New Roman" w:hAnsi="Times New Roman"/>
                <w:color w:val="000000"/>
                <w:szCs w:val="22"/>
                <w:lang w:val="en-GB"/>
              </w:rPr>
              <w:t>)*</w:t>
            </w:r>
          </w:p>
        </w:tc>
      </w:tr>
      <w:tr w:rsidR="00C91F25" w:rsidRPr="00263DB9" w14:paraId="375EB732" w14:textId="77777777" w:rsidTr="008303F6">
        <w:trPr>
          <w:cantSplit/>
        </w:trPr>
        <w:tc>
          <w:tcPr>
            <w:tcW w:w="3794" w:type="dxa"/>
            <w:tcBorders>
              <w:left w:val="single" w:sz="4" w:space="0" w:color="auto"/>
            </w:tcBorders>
          </w:tcPr>
          <w:p w14:paraId="375EB72F" w14:textId="77777777" w:rsidR="00C91F25" w:rsidRPr="00263DB9" w:rsidRDefault="00C91F25" w:rsidP="008303F6">
            <w:pPr>
              <w:pStyle w:val="Table"/>
              <w:widowControl w:val="0"/>
              <w:spacing w:before="0" w:after="0"/>
              <w:rPr>
                <w:rFonts w:ascii="Times New Roman" w:hAnsi="Times New Roman"/>
                <w:color w:val="000000"/>
                <w:szCs w:val="22"/>
              </w:rPr>
            </w:pPr>
            <w:r w:rsidRPr="00263DB9">
              <w:rPr>
                <w:rFonts w:ascii="Times New Roman" w:hAnsi="Times New Roman"/>
                <w:color w:val="000000"/>
                <w:szCs w:val="22"/>
              </w:rPr>
              <w:tab/>
              <w:t>[95% IC]</w:t>
            </w:r>
          </w:p>
        </w:tc>
        <w:tc>
          <w:tcPr>
            <w:tcW w:w="2693" w:type="dxa"/>
          </w:tcPr>
          <w:p w14:paraId="375EB730"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[94,7</w:t>
            </w:r>
            <w:r w:rsidRPr="00263DB9">
              <w:rPr>
                <w:rFonts w:ascii="Times New Roman" w:hAnsi="Times New Roman"/>
                <w:color w:val="000000"/>
                <w:szCs w:val="22"/>
              </w:rPr>
              <w:t>%</w:t>
            </w:r>
            <w:r w:rsidRPr="00263DB9">
              <w:rPr>
                <w:rFonts w:ascii="Times New Roman" w:hAnsi="Times New Roman"/>
                <w:color w:val="000000"/>
                <w:szCs w:val="22"/>
                <w:lang w:val="en-GB"/>
              </w:rPr>
              <w:t>; 97,9</w:t>
            </w:r>
            <w:r w:rsidRPr="00263DB9">
              <w:rPr>
                <w:rFonts w:ascii="Times New Roman" w:hAnsi="Times New Roman"/>
                <w:color w:val="000000"/>
                <w:szCs w:val="22"/>
              </w:rPr>
              <w:t>%</w:t>
            </w:r>
            <w:r w:rsidRPr="00263DB9">
              <w:rPr>
                <w:rFonts w:ascii="Times New Roman" w:hAnsi="Times New Roman"/>
                <w:color w:val="000000"/>
                <w:szCs w:val="22"/>
                <w:lang w:val="en-GB"/>
              </w:rPr>
              <w:t>]</w:t>
            </w:r>
          </w:p>
        </w:tc>
        <w:tc>
          <w:tcPr>
            <w:tcW w:w="2718" w:type="dxa"/>
            <w:tcBorders>
              <w:right w:val="single" w:sz="4" w:space="0" w:color="auto"/>
            </w:tcBorders>
          </w:tcPr>
          <w:p w14:paraId="375EB731"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[52,4</w:t>
            </w:r>
            <w:r w:rsidRPr="00263DB9">
              <w:rPr>
                <w:rFonts w:ascii="Times New Roman" w:hAnsi="Times New Roman"/>
                <w:color w:val="000000"/>
                <w:szCs w:val="22"/>
              </w:rPr>
              <w:t>%</w:t>
            </w:r>
            <w:r w:rsidRPr="00263DB9">
              <w:rPr>
                <w:rFonts w:ascii="Times New Roman" w:hAnsi="Times New Roman"/>
                <w:color w:val="000000"/>
                <w:szCs w:val="22"/>
                <w:lang w:val="en-GB"/>
              </w:rPr>
              <w:t>; 60,8</w:t>
            </w:r>
            <w:r w:rsidRPr="00263DB9">
              <w:rPr>
                <w:rFonts w:ascii="Times New Roman" w:hAnsi="Times New Roman"/>
                <w:color w:val="000000"/>
                <w:szCs w:val="22"/>
              </w:rPr>
              <w:t>%</w:t>
            </w:r>
            <w:r w:rsidRPr="00263DB9">
              <w:rPr>
                <w:rFonts w:ascii="Times New Roman" w:hAnsi="Times New Roman"/>
                <w:color w:val="000000"/>
                <w:szCs w:val="22"/>
                <w:lang w:val="en-GB"/>
              </w:rPr>
              <w:t>]</w:t>
            </w:r>
          </w:p>
        </w:tc>
      </w:tr>
      <w:tr w:rsidR="00C91F25" w:rsidRPr="00263DB9" w14:paraId="375EB736" w14:textId="77777777" w:rsidTr="008303F6">
        <w:trPr>
          <w:cantSplit/>
        </w:trPr>
        <w:tc>
          <w:tcPr>
            <w:tcW w:w="3794" w:type="dxa"/>
            <w:tcBorders>
              <w:left w:val="single" w:sz="4" w:space="0" w:color="auto"/>
            </w:tcBorders>
          </w:tcPr>
          <w:p w14:paraId="375EB733" w14:textId="77777777" w:rsidR="00C91F25" w:rsidRPr="00263DB9" w:rsidRDefault="00C91F25" w:rsidP="008303F6">
            <w:pPr>
              <w:pStyle w:val="Table"/>
              <w:widowControl w:val="0"/>
              <w:spacing w:before="0" w:after="0"/>
              <w:rPr>
                <w:rFonts w:ascii="Times New Roman" w:hAnsi="Times New Roman"/>
                <w:color w:val="000000"/>
                <w:szCs w:val="22"/>
              </w:rPr>
            </w:pPr>
          </w:p>
        </w:tc>
        <w:tc>
          <w:tcPr>
            <w:tcW w:w="2693" w:type="dxa"/>
          </w:tcPr>
          <w:p w14:paraId="375EB734" w14:textId="77777777" w:rsidR="00C91F25" w:rsidRPr="00263DB9" w:rsidRDefault="00C91F25" w:rsidP="008303F6">
            <w:pPr>
              <w:pStyle w:val="Table"/>
              <w:widowControl w:val="0"/>
              <w:spacing w:before="0" w:after="0"/>
              <w:rPr>
                <w:rFonts w:ascii="Times New Roman" w:hAnsi="Times New Roman"/>
                <w:color w:val="000000"/>
                <w:szCs w:val="22"/>
              </w:rPr>
            </w:pPr>
          </w:p>
        </w:tc>
        <w:tc>
          <w:tcPr>
            <w:tcW w:w="2718" w:type="dxa"/>
            <w:tcBorders>
              <w:right w:val="single" w:sz="4" w:space="0" w:color="auto"/>
            </w:tcBorders>
          </w:tcPr>
          <w:p w14:paraId="375EB735" w14:textId="77777777" w:rsidR="00C91F25" w:rsidRPr="00263DB9" w:rsidRDefault="00C91F25" w:rsidP="008303F6">
            <w:pPr>
              <w:pStyle w:val="Table"/>
              <w:widowControl w:val="0"/>
              <w:spacing w:before="0" w:after="0"/>
              <w:rPr>
                <w:rFonts w:ascii="Times New Roman" w:hAnsi="Times New Roman"/>
                <w:color w:val="000000"/>
                <w:szCs w:val="22"/>
              </w:rPr>
            </w:pPr>
          </w:p>
        </w:tc>
      </w:tr>
      <w:tr w:rsidR="00C91F25" w:rsidRPr="00263DB9" w14:paraId="375EB73A" w14:textId="77777777" w:rsidTr="008303F6">
        <w:trPr>
          <w:cantSplit/>
        </w:trPr>
        <w:tc>
          <w:tcPr>
            <w:tcW w:w="3794" w:type="dxa"/>
            <w:tcBorders>
              <w:left w:val="single" w:sz="4" w:space="0" w:color="auto"/>
            </w:tcBorders>
          </w:tcPr>
          <w:p w14:paraId="375EB737" w14:textId="77777777" w:rsidR="00C91F25" w:rsidRPr="00263DB9" w:rsidRDefault="00C91F25" w:rsidP="008303F6">
            <w:pPr>
              <w:pStyle w:val="Table"/>
              <w:widowControl w:val="0"/>
              <w:spacing w:before="0" w:after="0"/>
              <w:rPr>
                <w:rFonts w:ascii="Times New Roman" w:hAnsi="Times New Roman"/>
                <w:b/>
                <w:color w:val="000000"/>
                <w:szCs w:val="22"/>
              </w:rPr>
            </w:pPr>
            <w:r w:rsidRPr="00263DB9">
              <w:rPr>
                <w:rFonts w:ascii="Times New Roman" w:hAnsi="Times New Roman"/>
                <w:b/>
                <w:color w:val="000000"/>
                <w:szCs w:val="22"/>
              </w:rPr>
              <w:t>Resposta citogenética</w:t>
            </w:r>
          </w:p>
        </w:tc>
        <w:tc>
          <w:tcPr>
            <w:tcW w:w="2693" w:type="dxa"/>
          </w:tcPr>
          <w:p w14:paraId="375EB738" w14:textId="77777777" w:rsidR="00C91F25" w:rsidRPr="00263DB9" w:rsidRDefault="00C91F25" w:rsidP="008303F6">
            <w:pPr>
              <w:pStyle w:val="Table"/>
              <w:widowControl w:val="0"/>
              <w:spacing w:before="0" w:after="0"/>
              <w:rPr>
                <w:rFonts w:ascii="Times New Roman" w:hAnsi="Times New Roman"/>
                <w:b/>
                <w:color w:val="000000"/>
                <w:szCs w:val="22"/>
              </w:rPr>
            </w:pPr>
          </w:p>
        </w:tc>
        <w:tc>
          <w:tcPr>
            <w:tcW w:w="2718" w:type="dxa"/>
            <w:tcBorders>
              <w:right w:val="single" w:sz="4" w:space="0" w:color="auto"/>
            </w:tcBorders>
          </w:tcPr>
          <w:p w14:paraId="375EB739" w14:textId="77777777" w:rsidR="00C91F25" w:rsidRPr="00263DB9" w:rsidRDefault="00C91F25" w:rsidP="008303F6">
            <w:pPr>
              <w:pStyle w:val="Table"/>
              <w:widowControl w:val="0"/>
              <w:spacing w:before="0" w:after="0"/>
              <w:rPr>
                <w:rFonts w:ascii="Times New Roman" w:hAnsi="Times New Roman"/>
                <w:b/>
                <w:color w:val="000000"/>
                <w:szCs w:val="22"/>
              </w:rPr>
            </w:pPr>
          </w:p>
        </w:tc>
      </w:tr>
      <w:tr w:rsidR="00C91F25" w:rsidRPr="00263DB9" w14:paraId="375EB73E" w14:textId="77777777" w:rsidTr="008303F6">
        <w:trPr>
          <w:cantSplit/>
        </w:trPr>
        <w:tc>
          <w:tcPr>
            <w:tcW w:w="3794" w:type="dxa"/>
            <w:tcBorders>
              <w:left w:val="single" w:sz="4" w:space="0" w:color="auto"/>
            </w:tcBorders>
          </w:tcPr>
          <w:p w14:paraId="375EB73B" w14:textId="77777777" w:rsidR="00C91F25" w:rsidRPr="00263DB9" w:rsidRDefault="00C91F25" w:rsidP="008303F6">
            <w:pPr>
              <w:pStyle w:val="Table"/>
              <w:widowControl w:val="0"/>
              <w:spacing w:before="0" w:after="0"/>
              <w:rPr>
                <w:rFonts w:ascii="Times New Roman" w:hAnsi="Times New Roman"/>
                <w:color w:val="000000"/>
                <w:szCs w:val="22"/>
              </w:rPr>
            </w:pPr>
            <w:r w:rsidRPr="00263DB9">
              <w:rPr>
                <w:rFonts w:ascii="Times New Roman" w:hAnsi="Times New Roman"/>
                <w:color w:val="000000"/>
                <w:szCs w:val="22"/>
              </w:rPr>
              <w:t xml:space="preserve">Resposta </w:t>
            </w:r>
            <w:r w:rsidRPr="00263DB9">
              <w:rPr>
                <w:rFonts w:ascii="Times New Roman" w:hAnsi="Times New Roman"/>
                <w:i/>
                <w:iCs/>
                <w:color w:val="000000"/>
                <w:szCs w:val="22"/>
              </w:rPr>
              <w:t>major</w:t>
            </w:r>
            <w:r w:rsidRPr="00263DB9">
              <w:rPr>
                <w:rFonts w:ascii="Times New Roman" w:hAnsi="Times New Roman"/>
                <w:color w:val="000000"/>
                <w:szCs w:val="22"/>
              </w:rPr>
              <w:t xml:space="preserve"> n (%)</w:t>
            </w:r>
          </w:p>
        </w:tc>
        <w:tc>
          <w:tcPr>
            <w:tcW w:w="2693" w:type="dxa"/>
          </w:tcPr>
          <w:p w14:paraId="375EB73C"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490 (88,6</w:t>
            </w:r>
            <w:r w:rsidRPr="00263DB9">
              <w:rPr>
                <w:rFonts w:ascii="Times New Roman" w:hAnsi="Times New Roman"/>
                <w:color w:val="000000"/>
                <w:szCs w:val="22"/>
              </w:rPr>
              <w:t>%</w:t>
            </w:r>
            <w:r w:rsidRPr="00263DB9">
              <w:rPr>
                <w:rFonts w:ascii="Times New Roman" w:hAnsi="Times New Roman"/>
                <w:color w:val="000000"/>
                <w:szCs w:val="22"/>
                <w:lang w:val="en-GB"/>
              </w:rPr>
              <w:t>)*</w:t>
            </w:r>
          </w:p>
        </w:tc>
        <w:tc>
          <w:tcPr>
            <w:tcW w:w="2718" w:type="dxa"/>
            <w:tcBorders>
              <w:right w:val="single" w:sz="4" w:space="0" w:color="auto"/>
            </w:tcBorders>
          </w:tcPr>
          <w:p w14:paraId="375EB73D"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129 (23,3</w:t>
            </w:r>
            <w:r w:rsidRPr="00263DB9">
              <w:rPr>
                <w:rFonts w:ascii="Times New Roman" w:hAnsi="Times New Roman"/>
                <w:color w:val="000000"/>
                <w:szCs w:val="22"/>
              </w:rPr>
              <w:t>%</w:t>
            </w:r>
            <w:r w:rsidRPr="00263DB9">
              <w:rPr>
                <w:rFonts w:ascii="Times New Roman" w:hAnsi="Times New Roman"/>
                <w:color w:val="000000"/>
                <w:szCs w:val="22"/>
                <w:lang w:val="en-GB"/>
              </w:rPr>
              <w:t>)*</w:t>
            </w:r>
          </w:p>
        </w:tc>
      </w:tr>
      <w:tr w:rsidR="00C91F25" w:rsidRPr="00263DB9" w14:paraId="375EB742" w14:textId="77777777" w:rsidTr="008303F6">
        <w:trPr>
          <w:cantSplit/>
        </w:trPr>
        <w:tc>
          <w:tcPr>
            <w:tcW w:w="3794" w:type="dxa"/>
            <w:tcBorders>
              <w:left w:val="single" w:sz="4" w:space="0" w:color="auto"/>
            </w:tcBorders>
          </w:tcPr>
          <w:p w14:paraId="375EB73F" w14:textId="77777777" w:rsidR="00C91F25" w:rsidRPr="00263DB9" w:rsidRDefault="00C91F25" w:rsidP="008303F6">
            <w:pPr>
              <w:pStyle w:val="Table"/>
              <w:widowControl w:val="0"/>
              <w:spacing w:before="0" w:after="0"/>
              <w:rPr>
                <w:rFonts w:ascii="Times New Roman" w:hAnsi="Times New Roman"/>
                <w:color w:val="000000"/>
                <w:szCs w:val="22"/>
              </w:rPr>
            </w:pPr>
            <w:r w:rsidRPr="00263DB9">
              <w:rPr>
                <w:rFonts w:ascii="Times New Roman" w:hAnsi="Times New Roman"/>
                <w:color w:val="000000"/>
                <w:szCs w:val="22"/>
              </w:rPr>
              <w:tab/>
              <w:t>[95% IC]</w:t>
            </w:r>
          </w:p>
        </w:tc>
        <w:tc>
          <w:tcPr>
            <w:tcW w:w="2693" w:type="dxa"/>
          </w:tcPr>
          <w:p w14:paraId="375EB740"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[85,7</w:t>
            </w:r>
            <w:r w:rsidRPr="00263DB9">
              <w:rPr>
                <w:rFonts w:ascii="Times New Roman" w:hAnsi="Times New Roman"/>
                <w:color w:val="000000"/>
                <w:szCs w:val="22"/>
              </w:rPr>
              <w:t>%</w:t>
            </w:r>
            <w:r w:rsidRPr="00263DB9">
              <w:rPr>
                <w:rFonts w:ascii="Times New Roman" w:hAnsi="Times New Roman"/>
                <w:color w:val="000000"/>
                <w:szCs w:val="22"/>
                <w:lang w:val="en-GB"/>
              </w:rPr>
              <w:t>; 91,1</w:t>
            </w:r>
            <w:r w:rsidRPr="00263DB9">
              <w:rPr>
                <w:rFonts w:ascii="Times New Roman" w:hAnsi="Times New Roman"/>
                <w:color w:val="000000"/>
                <w:szCs w:val="22"/>
              </w:rPr>
              <w:t>%</w:t>
            </w:r>
            <w:r w:rsidRPr="00263DB9">
              <w:rPr>
                <w:rFonts w:ascii="Times New Roman" w:hAnsi="Times New Roman"/>
                <w:color w:val="000000"/>
                <w:szCs w:val="22"/>
                <w:lang w:val="en-GB"/>
              </w:rPr>
              <w:t>]</w:t>
            </w:r>
          </w:p>
        </w:tc>
        <w:tc>
          <w:tcPr>
            <w:tcW w:w="2718" w:type="dxa"/>
            <w:tcBorders>
              <w:right w:val="single" w:sz="4" w:space="0" w:color="auto"/>
            </w:tcBorders>
          </w:tcPr>
          <w:p w14:paraId="375EB741"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[19,9</w:t>
            </w:r>
            <w:r w:rsidRPr="00263DB9">
              <w:rPr>
                <w:rFonts w:ascii="Times New Roman" w:hAnsi="Times New Roman"/>
                <w:color w:val="000000"/>
                <w:szCs w:val="22"/>
              </w:rPr>
              <w:t>%</w:t>
            </w:r>
            <w:r w:rsidRPr="00263DB9">
              <w:rPr>
                <w:rFonts w:ascii="Times New Roman" w:hAnsi="Times New Roman"/>
                <w:color w:val="000000"/>
                <w:szCs w:val="22"/>
                <w:lang w:val="en-GB"/>
              </w:rPr>
              <w:t>; 27,1</w:t>
            </w:r>
            <w:r w:rsidRPr="00263DB9">
              <w:rPr>
                <w:rFonts w:ascii="Times New Roman" w:hAnsi="Times New Roman"/>
                <w:color w:val="000000"/>
                <w:szCs w:val="22"/>
              </w:rPr>
              <w:t>%</w:t>
            </w:r>
            <w:r w:rsidRPr="00263DB9">
              <w:rPr>
                <w:rFonts w:ascii="Times New Roman" w:hAnsi="Times New Roman"/>
                <w:color w:val="000000"/>
                <w:szCs w:val="22"/>
                <w:lang w:val="en-GB"/>
              </w:rPr>
              <w:t>]</w:t>
            </w:r>
          </w:p>
        </w:tc>
      </w:tr>
      <w:tr w:rsidR="00C91F25" w:rsidRPr="00263DB9" w14:paraId="375EB746" w14:textId="77777777" w:rsidTr="008303F6">
        <w:trPr>
          <w:cantSplit/>
        </w:trPr>
        <w:tc>
          <w:tcPr>
            <w:tcW w:w="3794" w:type="dxa"/>
            <w:tcBorders>
              <w:left w:val="single" w:sz="4" w:space="0" w:color="auto"/>
            </w:tcBorders>
          </w:tcPr>
          <w:p w14:paraId="375EB743" w14:textId="77777777" w:rsidR="00C91F25" w:rsidRPr="00263DB9" w:rsidRDefault="00C91F25" w:rsidP="008303F6">
            <w:pPr>
              <w:pStyle w:val="Table"/>
              <w:widowControl w:val="0"/>
              <w:spacing w:before="0" w:after="0"/>
              <w:rPr>
                <w:rFonts w:ascii="Times New Roman" w:hAnsi="Times New Roman"/>
                <w:color w:val="000000"/>
                <w:szCs w:val="22"/>
              </w:rPr>
            </w:pPr>
            <w:r w:rsidRPr="00263DB9">
              <w:rPr>
                <w:rFonts w:ascii="Times New Roman" w:hAnsi="Times New Roman"/>
                <w:color w:val="000000"/>
                <w:szCs w:val="22"/>
              </w:rPr>
              <w:tab/>
              <w:t>CyR completo n (%)</w:t>
            </w:r>
          </w:p>
        </w:tc>
        <w:tc>
          <w:tcPr>
            <w:tcW w:w="2693" w:type="dxa"/>
          </w:tcPr>
          <w:p w14:paraId="375EB744"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456 (82,5%)*</w:t>
            </w:r>
          </w:p>
        </w:tc>
        <w:tc>
          <w:tcPr>
            <w:tcW w:w="2718" w:type="dxa"/>
            <w:tcBorders>
              <w:right w:val="single" w:sz="4" w:space="0" w:color="auto"/>
            </w:tcBorders>
          </w:tcPr>
          <w:p w14:paraId="375EB745"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64 (11,6</w:t>
            </w:r>
            <w:r w:rsidRPr="00263DB9">
              <w:rPr>
                <w:rFonts w:ascii="Times New Roman" w:hAnsi="Times New Roman"/>
                <w:color w:val="000000"/>
                <w:szCs w:val="22"/>
              </w:rPr>
              <w:t>%</w:t>
            </w:r>
            <w:r w:rsidRPr="00263DB9">
              <w:rPr>
                <w:rFonts w:ascii="Times New Roman" w:hAnsi="Times New Roman"/>
                <w:color w:val="000000"/>
                <w:szCs w:val="22"/>
                <w:lang w:val="en-GB"/>
              </w:rPr>
              <w:t>)*</w:t>
            </w:r>
          </w:p>
        </w:tc>
      </w:tr>
      <w:tr w:rsidR="00C91F25" w:rsidRPr="00263DB9" w14:paraId="375EB74A" w14:textId="77777777" w:rsidTr="008303F6">
        <w:trPr>
          <w:cantSplit/>
        </w:trPr>
        <w:tc>
          <w:tcPr>
            <w:tcW w:w="3794" w:type="dxa"/>
            <w:tcBorders>
              <w:left w:val="single" w:sz="4" w:space="0" w:color="auto"/>
            </w:tcBorders>
          </w:tcPr>
          <w:p w14:paraId="375EB747" w14:textId="77777777" w:rsidR="00C91F25" w:rsidRPr="00263DB9" w:rsidRDefault="00C91F25" w:rsidP="008303F6">
            <w:pPr>
              <w:pStyle w:val="Table"/>
              <w:widowControl w:val="0"/>
              <w:spacing w:before="0" w:after="0"/>
              <w:rPr>
                <w:rFonts w:ascii="Times New Roman" w:hAnsi="Times New Roman"/>
                <w:color w:val="000000"/>
                <w:szCs w:val="22"/>
              </w:rPr>
            </w:pPr>
            <w:r w:rsidRPr="00263DB9">
              <w:rPr>
                <w:rFonts w:ascii="Times New Roman" w:hAnsi="Times New Roman"/>
                <w:color w:val="000000"/>
                <w:szCs w:val="22"/>
              </w:rPr>
              <w:tab/>
              <w:t>CyR parcial n (%)</w:t>
            </w:r>
          </w:p>
        </w:tc>
        <w:tc>
          <w:tcPr>
            <w:tcW w:w="2693" w:type="dxa"/>
          </w:tcPr>
          <w:p w14:paraId="375EB748"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34 (6,1%)</w:t>
            </w:r>
          </w:p>
        </w:tc>
        <w:tc>
          <w:tcPr>
            <w:tcW w:w="2718" w:type="dxa"/>
            <w:tcBorders>
              <w:right w:val="single" w:sz="4" w:space="0" w:color="auto"/>
            </w:tcBorders>
          </w:tcPr>
          <w:p w14:paraId="375EB749"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65 (11,8</w:t>
            </w:r>
            <w:r w:rsidRPr="00263DB9">
              <w:rPr>
                <w:rFonts w:ascii="Times New Roman" w:hAnsi="Times New Roman"/>
                <w:color w:val="000000"/>
                <w:szCs w:val="22"/>
              </w:rPr>
              <w:t>%</w:t>
            </w:r>
            <w:r w:rsidRPr="00263DB9">
              <w:rPr>
                <w:rFonts w:ascii="Times New Roman" w:hAnsi="Times New Roman"/>
                <w:color w:val="000000"/>
                <w:szCs w:val="22"/>
                <w:lang w:val="en-GB"/>
              </w:rPr>
              <w:t>)</w:t>
            </w:r>
          </w:p>
        </w:tc>
      </w:tr>
      <w:tr w:rsidR="00C91F25" w:rsidRPr="00263DB9" w14:paraId="375EB74E" w14:textId="77777777" w:rsidTr="008303F6">
        <w:trPr>
          <w:cantSplit/>
        </w:trPr>
        <w:tc>
          <w:tcPr>
            <w:tcW w:w="3794" w:type="dxa"/>
            <w:tcBorders>
              <w:left w:val="single" w:sz="4" w:space="0" w:color="auto"/>
              <w:bottom w:val="nil"/>
            </w:tcBorders>
          </w:tcPr>
          <w:p w14:paraId="375EB74B" w14:textId="77777777" w:rsidR="00C91F25" w:rsidRPr="00263DB9" w:rsidRDefault="00C91F25" w:rsidP="008303F6">
            <w:pPr>
              <w:pStyle w:val="Table"/>
              <w:widowControl w:val="0"/>
              <w:spacing w:before="0" w:after="0"/>
              <w:rPr>
                <w:rFonts w:ascii="Times New Roman" w:hAnsi="Times New Roman"/>
                <w:color w:val="000000"/>
                <w:szCs w:val="22"/>
              </w:rPr>
            </w:pPr>
          </w:p>
        </w:tc>
        <w:tc>
          <w:tcPr>
            <w:tcW w:w="2693" w:type="dxa"/>
            <w:tcBorders>
              <w:bottom w:val="nil"/>
            </w:tcBorders>
          </w:tcPr>
          <w:p w14:paraId="375EB74C" w14:textId="77777777" w:rsidR="00C91F25" w:rsidRPr="00263DB9" w:rsidRDefault="00C91F25" w:rsidP="008303F6">
            <w:pPr>
              <w:pStyle w:val="Table"/>
              <w:widowControl w:val="0"/>
              <w:spacing w:before="0" w:after="0"/>
              <w:rPr>
                <w:rFonts w:ascii="Times New Roman" w:hAnsi="Times New Roman"/>
                <w:color w:val="000000"/>
                <w:szCs w:val="22"/>
              </w:rPr>
            </w:pPr>
          </w:p>
        </w:tc>
        <w:tc>
          <w:tcPr>
            <w:tcW w:w="2718" w:type="dxa"/>
            <w:tcBorders>
              <w:bottom w:val="nil"/>
              <w:right w:val="single" w:sz="4" w:space="0" w:color="auto"/>
            </w:tcBorders>
          </w:tcPr>
          <w:p w14:paraId="375EB74D" w14:textId="77777777" w:rsidR="00C91F25" w:rsidRPr="00263DB9" w:rsidRDefault="00C91F25" w:rsidP="008303F6">
            <w:pPr>
              <w:pStyle w:val="Table"/>
              <w:widowControl w:val="0"/>
              <w:spacing w:before="0" w:after="0"/>
              <w:rPr>
                <w:rFonts w:ascii="Times New Roman" w:hAnsi="Times New Roman"/>
                <w:color w:val="000000"/>
                <w:szCs w:val="22"/>
              </w:rPr>
            </w:pPr>
          </w:p>
        </w:tc>
      </w:tr>
      <w:tr w:rsidR="00C91F25" w:rsidRPr="00263DB9" w14:paraId="375EB752" w14:textId="77777777" w:rsidTr="008303F6">
        <w:trPr>
          <w:cantSplit/>
        </w:trPr>
        <w:tc>
          <w:tcPr>
            <w:tcW w:w="3794" w:type="dxa"/>
            <w:tcBorders>
              <w:left w:val="single" w:sz="4" w:space="0" w:color="auto"/>
              <w:bottom w:val="nil"/>
            </w:tcBorders>
          </w:tcPr>
          <w:p w14:paraId="375EB74F" w14:textId="77777777" w:rsidR="00C91F25" w:rsidRPr="00263DB9" w:rsidRDefault="00C91F25" w:rsidP="008303F6">
            <w:pPr>
              <w:pStyle w:val="Table"/>
              <w:widowControl w:val="0"/>
              <w:spacing w:before="0" w:after="0"/>
              <w:rPr>
                <w:rFonts w:ascii="Times New Roman" w:hAnsi="Times New Roman"/>
                <w:color w:val="000000"/>
                <w:szCs w:val="22"/>
              </w:rPr>
            </w:pPr>
            <w:r w:rsidRPr="00263DB9">
              <w:rPr>
                <w:rFonts w:ascii="Times New Roman" w:hAnsi="Times New Roman"/>
                <w:b/>
                <w:color w:val="000000"/>
                <w:szCs w:val="22"/>
              </w:rPr>
              <w:t>Resposta molecular</w:t>
            </w:r>
            <w:r w:rsidRPr="00263DB9">
              <w:rPr>
                <w:rFonts w:ascii="Times New Roman" w:hAnsi="Times New Roman"/>
                <w:color w:val="000000"/>
                <w:szCs w:val="22"/>
                <w:lang w:val="pt-PT"/>
              </w:rPr>
              <w:t>**</w:t>
            </w:r>
          </w:p>
        </w:tc>
        <w:tc>
          <w:tcPr>
            <w:tcW w:w="2693" w:type="dxa"/>
            <w:tcBorders>
              <w:bottom w:val="nil"/>
            </w:tcBorders>
          </w:tcPr>
          <w:p w14:paraId="375EB750" w14:textId="77777777" w:rsidR="00C91F25" w:rsidRPr="00263DB9" w:rsidRDefault="00C91F25" w:rsidP="008303F6">
            <w:pPr>
              <w:pStyle w:val="Table"/>
              <w:widowControl w:val="0"/>
              <w:spacing w:before="0" w:after="0"/>
              <w:rPr>
                <w:rFonts w:ascii="Times New Roman" w:hAnsi="Times New Roman"/>
                <w:color w:val="000000"/>
                <w:szCs w:val="22"/>
              </w:rPr>
            </w:pPr>
          </w:p>
        </w:tc>
        <w:tc>
          <w:tcPr>
            <w:tcW w:w="2718" w:type="dxa"/>
            <w:tcBorders>
              <w:bottom w:val="nil"/>
              <w:right w:val="single" w:sz="4" w:space="0" w:color="auto"/>
            </w:tcBorders>
          </w:tcPr>
          <w:p w14:paraId="375EB751" w14:textId="77777777" w:rsidR="00C91F25" w:rsidRPr="00263DB9" w:rsidRDefault="00C91F25" w:rsidP="008303F6">
            <w:pPr>
              <w:pStyle w:val="Table"/>
              <w:widowControl w:val="0"/>
              <w:spacing w:before="0" w:after="0"/>
              <w:rPr>
                <w:rFonts w:ascii="Times New Roman" w:hAnsi="Times New Roman"/>
                <w:color w:val="000000"/>
                <w:szCs w:val="22"/>
              </w:rPr>
            </w:pPr>
          </w:p>
        </w:tc>
      </w:tr>
      <w:tr w:rsidR="00C91F25" w:rsidRPr="00263DB9" w14:paraId="375EB756" w14:textId="77777777" w:rsidTr="008303F6">
        <w:trPr>
          <w:cantSplit/>
        </w:trPr>
        <w:tc>
          <w:tcPr>
            <w:tcW w:w="3794" w:type="dxa"/>
            <w:tcBorders>
              <w:left w:val="single" w:sz="4" w:space="0" w:color="auto"/>
              <w:bottom w:val="nil"/>
            </w:tcBorders>
          </w:tcPr>
          <w:p w14:paraId="375EB753" w14:textId="77777777" w:rsidR="00C91F25" w:rsidRPr="00263DB9" w:rsidRDefault="00C91F25" w:rsidP="008303F6">
            <w:pPr>
              <w:pStyle w:val="Table"/>
              <w:widowControl w:val="0"/>
              <w:spacing w:before="0" w:after="0"/>
              <w:rPr>
                <w:rFonts w:ascii="Times New Roman" w:hAnsi="Times New Roman"/>
                <w:color w:val="000000"/>
                <w:szCs w:val="22"/>
              </w:rPr>
            </w:pPr>
            <w:r w:rsidRPr="00263DB9">
              <w:rPr>
                <w:rFonts w:ascii="Times New Roman" w:hAnsi="Times New Roman"/>
                <w:color w:val="000000"/>
                <w:szCs w:val="22"/>
                <w:lang w:val="en-GB"/>
              </w:rPr>
              <w:t xml:space="preserve">Resposta </w:t>
            </w:r>
            <w:r w:rsidRPr="00263DB9">
              <w:rPr>
                <w:rFonts w:ascii="Times New Roman" w:hAnsi="Times New Roman"/>
                <w:i/>
                <w:iCs/>
                <w:color w:val="000000"/>
                <w:szCs w:val="22"/>
                <w:lang w:val="en-GB"/>
              </w:rPr>
              <w:t>major</w:t>
            </w:r>
            <w:r w:rsidRPr="00263DB9">
              <w:rPr>
                <w:rFonts w:ascii="Times New Roman" w:hAnsi="Times New Roman"/>
                <w:color w:val="000000"/>
                <w:szCs w:val="22"/>
                <w:lang w:val="en-GB"/>
              </w:rPr>
              <w:t xml:space="preserve"> aos 12 meses (%)</w:t>
            </w:r>
          </w:p>
        </w:tc>
        <w:tc>
          <w:tcPr>
            <w:tcW w:w="2693" w:type="dxa"/>
            <w:tcBorders>
              <w:bottom w:val="nil"/>
            </w:tcBorders>
          </w:tcPr>
          <w:p w14:paraId="375EB754"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153/305=50,2%</w:t>
            </w:r>
          </w:p>
        </w:tc>
        <w:tc>
          <w:tcPr>
            <w:tcW w:w="2718" w:type="dxa"/>
            <w:tcBorders>
              <w:bottom w:val="nil"/>
              <w:right w:val="single" w:sz="4" w:space="0" w:color="auto"/>
            </w:tcBorders>
          </w:tcPr>
          <w:p w14:paraId="375EB755"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8/83=9,6%</w:t>
            </w:r>
          </w:p>
        </w:tc>
      </w:tr>
      <w:tr w:rsidR="00C91F25" w:rsidRPr="00263DB9" w14:paraId="375EB75A" w14:textId="77777777" w:rsidTr="008303F6">
        <w:trPr>
          <w:cantSplit/>
        </w:trPr>
        <w:tc>
          <w:tcPr>
            <w:tcW w:w="3794" w:type="dxa"/>
            <w:tcBorders>
              <w:left w:val="single" w:sz="4" w:space="0" w:color="auto"/>
              <w:bottom w:val="nil"/>
            </w:tcBorders>
          </w:tcPr>
          <w:p w14:paraId="375EB757" w14:textId="77777777" w:rsidR="00C91F25" w:rsidRPr="00263DB9" w:rsidRDefault="00C91F25" w:rsidP="008303F6">
            <w:pPr>
              <w:pStyle w:val="Table"/>
              <w:widowControl w:val="0"/>
              <w:spacing w:before="0" w:after="0"/>
              <w:rPr>
                <w:rFonts w:ascii="Times New Roman" w:hAnsi="Times New Roman"/>
                <w:color w:val="000000"/>
                <w:szCs w:val="22"/>
              </w:rPr>
            </w:pPr>
            <w:r w:rsidRPr="00263DB9">
              <w:rPr>
                <w:rFonts w:ascii="Times New Roman" w:hAnsi="Times New Roman"/>
                <w:color w:val="000000"/>
                <w:szCs w:val="22"/>
                <w:lang w:val="en-GB"/>
              </w:rPr>
              <w:t xml:space="preserve">Resposta </w:t>
            </w:r>
            <w:r w:rsidRPr="00263DB9">
              <w:rPr>
                <w:rFonts w:ascii="Times New Roman" w:hAnsi="Times New Roman"/>
                <w:i/>
                <w:iCs/>
                <w:color w:val="000000"/>
                <w:szCs w:val="22"/>
                <w:lang w:val="en-GB"/>
              </w:rPr>
              <w:t>major</w:t>
            </w:r>
            <w:r w:rsidRPr="00263DB9">
              <w:rPr>
                <w:rFonts w:ascii="Times New Roman" w:hAnsi="Times New Roman"/>
                <w:color w:val="000000"/>
                <w:szCs w:val="22"/>
                <w:lang w:val="en-GB"/>
              </w:rPr>
              <w:t xml:space="preserve"> aos 24 meses (%)</w:t>
            </w:r>
          </w:p>
        </w:tc>
        <w:tc>
          <w:tcPr>
            <w:tcW w:w="2693" w:type="dxa"/>
            <w:tcBorders>
              <w:bottom w:val="nil"/>
            </w:tcBorders>
          </w:tcPr>
          <w:p w14:paraId="375EB758"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73/104=70,2%</w:t>
            </w:r>
          </w:p>
        </w:tc>
        <w:tc>
          <w:tcPr>
            <w:tcW w:w="2718" w:type="dxa"/>
            <w:tcBorders>
              <w:bottom w:val="nil"/>
              <w:right w:val="single" w:sz="4" w:space="0" w:color="auto"/>
            </w:tcBorders>
          </w:tcPr>
          <w:p w14:paraId="375EB759" w14:textId="77777777" w:rsidR="00C91F25" w:rsidRPr="00263DB9" w:rsidRDefault="00C91F25" w:rsidP="008303F6">
            <w:pPr>
              <w:pStyle w:val="Table"/>
              <w:widowControl w:val="0"/>
              <w:spacing w:before="0" w:after="0"/>
              <w:jc w:val="center"/>
              <w:rPr>
                <w:rFonts w:ascii="Times New Roman" w:hAnsi="Times New Roman"/>
                <w:color w:val="000000"/>
                <w:szCs w:val="22"/>
              </w:rPr>
            </w:pPr>
            <w:r w:rsidRPr="00263DB9">
              <w:rPr>
                <w:rFonts w:ascii="Times New Roman" w:hAnsi="Times New Roman"/>
                <w:color w:val="000000"/>
                <w:szCs w:val="22"/>
                <w:lang w:val="en-GB"/>
              </w:rPr>
              <w:t>3/12=25%</w:t>
            </w:r>
          </w:p>
        </w:tc>
      </w:tr>
      <w:tr w:rsidR="00C91F25" w:rsidRPr="00263DB9" w14:paraId="375EB75E" w14:textId="77777777" w:rsidTr="008303F6">
        <w:trPr>
          <w:cantSplit/>
        </w:trPr>
        <w:tc>
          <w:tcPr>
            <w:tcW w:w="3794" w:type="dxa"/>
            <w:tcBorders>
              <w:left w:val="single" w:sz="4" w:space="0" w:color="auto"/>
              <w:bottom w:val="nil"/>
            </w:tcBorders>
          </w:tcPr>
          <w:p w14:paraId="375EB75B" w14:textId="77777777" w:rsidR="00C91F25" w:rsidRPr="00263DB9" w:rsidRDefault="00C91F25" w:rsidP="008303F6">
            <w:pPr>
              <w:pStyle w:val="Table"/>
              <w:widowControl w:val="0"/>
              <w:spacing w:before="0" w:after="0"/>
              <w:rPr>
                <w:rFonts w:ascii="Times New Roman" w:hAnsi="Times New Roman"/>
                <w:color w:val="000000"/>
                <w:szCs w:val="22"/>
                <w:lang w:val="en-GB"/>
              </w:rPr>
            </w:pPr>
            <w:r w:rsidRPr="00263DB9">
              <w:rPr>
                <w:rFonts w:ascii="Times New Roman" w:hAnsi="Times New Roman"/>
                <w:color w:val="000000"/>
                <w:szCs w:val="22"/>
                <w:lang w:val="en-GB"/>
              </w:rPr>
              <w:t xml:space="preserve">Resposta </w:t>
            </w:r>
            <w:r w:rsidRPr="00263DB9">
              <w:rPr>
                <w:rFonts w:ascii="Times New Roman" w:hAnsi="Times New Roman"/>
                <w:i/>
                <w:color w:val="000000"/>
                <w:szCs w:val="22"/>
                <w:lang w:val="en-GB"/>
              </w:rPr>
              <w:t>major</w:t>
            </w:r>
            <w:r w:rsidRPr="00263DB9">
              <w:rPr>
                <w:rFonts w:ascii="Times New Roman" w:hAnsi="Times New Roman"/>
                <w:color w:val="000000"/>
                <w:szCs w:val="22"/>
                <w:lang w:val="en-GB"/>
              </w:rPr>
              <w:t xml:space="preserve"> aos 84 meses (%)</w:t>
            </w:r>
          </w:p>
        </w:tc>
        <w:tc>
          <w:tcPr>
            <w:tcW w:w="2693" w:type="dxa"/>
            <w:tcBorders>
              <w:bottom w:val="nil"/>
            </w:tcBorders>
          </w:tcPr>
          <w:p w14:paraId="375EB75C" w14:textId="77777777" w:rsidR="00C91F25" w:rsidRPr="00263DB9" w:rsidRDefault="00C91F25" w:rsidP="008303F6">
            <w:pPr>
              <w:pStyle w:val="Table"/>
              <w:widowControl w:val="0"/>
              <w:spacing w:before="0" w:after="0"/>
              <w:jc w:val="center"/>
              <w:rPr>
                <w:rFonts w:ascii="Times New Roman" w:hAnsi="Times New Roman"/>
                <w:color w:val="000000"/>
                <w:szCs w:val="22"/>
                <w:lang w:val="en-GB"/>
              </w:rPr>
            </w:pPr>
            <w:r w:rsidRPr="00263DB9">
              <w:rPr>
                <w:rFonts w:ascii="Times New Roman" w:hAnsi="Times New Roman"/>
                <w:color w:val="000000"/>
                <w:szCs w:val="22"/>
                <w:lang w:val="en-GB"/>
              </w:rPr>
              <w:t>102/116=87,9%</w:t>
            </w:r>
          </w:p>
        </w:tc>
        <w:tc>
          <w:tcPr>
            <w:tcW w:w="2718" w:type="dxa"/>
            <w:tcBorders>
              <w:bottom w:val="nil"/>
              <w:right w:val="single" w:sz="4" w:space="0" w:color="auto"/>
            </w:tcBorders>
          </w:tcPr>
          <w:p w14:paraId="375EB75D" w14:textId="77777777" w:rsidR="00C91F25" w:rsidRPr="00263DB9" w:rsidRDefault="00C91F25" w:rsidP="008303F6">
            <w:pPr>
              <w:pStyle w:val="Table"/>
              <w:widowControl w:val="0"/>
              <w:spacing w:before="0" w:after="0"/>
              <w:jc w:val="center"/>
              <w:rPr>
                <w:rFonts w:ascii="Times New Roman" w:hAnsi="Times New Roman"/>
                <w:color w:val="000000"/>
                <w:szCs w:val="22"/>
                <w:lang w:val="en-GB"/>
              </w:rPr>
            </w:pPr>
            <w:r w:rsidRPr="00263DB9">
              <w:rPr>
                <w:rFonts w:ascii="Times New Roman" w:hAnsi="Times New Roman"/>
                <w:color w:val="000000"/>
                <w:szCs w:val="22"/>
                <w:lang w:val="en-GB"/>
              </w:rPr>
              <w:t>3/4=75%</w:t>
            </w:r>
          </w:p>
        </w:tc>
      </w:tr>
      <w:tr w:rsidR="00C91F25" w:rsidRPr="00263DB9" w14:paraId="375EB765" w14:textId="77777777" w:rsidTr="008303F6">
        <w:trPr>
          <w:cantSplit/>
        </w:trPr>
        <w:tc>
          <w:tcPr>
            <w:tcW w:w="9205" w:type="dxa"/>
            <w:gridSpan w:val="3"/>
            <w:tcBorders>
              <w:top w:val="single" w:sz="4" w:space="0" w:color="auto"/>
              <w:left w:val="single" w:sz="4" w:space="0" w:color="auto"/>
              <w:bottom w:val="single" w:sz="4" w:space="0" w:color="auto"/>
              <w:right w:val="single" w:sz="4" w:space="0" w:color="auto"/>
            </w:tcBorders>
          </w:tcPr>
          <w:p w14:paraId="375EB75F" w14:textId="77777777" w:rsidR="00C91F25" w:rsidRPr="00263DB9" w:rsidRDefault="00C91F25" w:rsidP="008303F6">
            <w:pPr>
              <w:pStyle w:val="Table"/>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 p&lt;0,001; teste exato de Fischer</w:t>
            </w:r>
          </w:p>
          <w:p w14:paraId="375EB760" w14:textId="77777777" w:rsidR="00C91F25" w:rsidRPr="00263DB9" w:rsidRDefault="00C91F25" w:rsidP="008303F6">
            <w:pPr>
              <w:pStyle w:val="Table"/>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 as percentagens de resposta molecular foram baseadas nas amostras disponíveis</w:t>
            </w:r>
          </w:p>
          <w:p w14:paraId="375EB761" w14:textId="77777777" w:rsidR="00C91F25" w:rsidRPr="00263DB9" w:rsidRDefault="00C91F25" w:rsidP="008303F6">
            <w:pPr>
              <w:pStyle w:val="Table"/>
              <w:widowControl w:val="0"/>
              <w:spacing w:before="0" w:after="0"/>
              <w:rPr>
                <w:rFonts w:ascii="Times New Roman" w:hAnsi="Times New Roman"/>
                <w:b/>
                <w:color w:val="000000"/>
                <w:szCs w:val="22"/>
                <w:lang w:val="pt-PT"/>
              </w:rPr>
            </w:pPr>
            <w:r w:rsidRPr="00263DB9">
              <w:rPr>
                <w:rFonts w:ascii="Times New Roman" w:hAnsi="Times New Roman"/>
                <w:b/>
                <w:color w:val="000000"/>
                <w:szCs w:val="22"/>
                <w:lang w:val="pt-PT"/>
              </w:rPr>
              <w:t xml:space="preserve">Critérios de resposta hematológica (todas as respostas a serem confirmadas após </w:t>
            </w:r>
            <w:r w:rsidRPr="00263DB9">
              <w:rPr>
                <w:rFonts w:ascii="Times New Roman" w:hAnsi="Times New Roman"/>
                <w:b/>
                <w:color w:val="000000"/>
                <w:szCs w:val="22"/>
                <w:lang w:val="pt-PT"/>
              </w:rPr>
              <w:sym w:font="Symbol" w:char="F0B3"/>
            </w:r>
            <w:r w:rsidRPr="00263DB9">
              <w:rPr>
                <w:rFonts w:ascii="Times New Roman" w:hAnsi="Times New Roman"/>
                <w:b/>
                <w:color w:val="000000"/>
                <w:szCs w:val="22"/>
                <w:lang w:val="pt-PT"/>
              </w:rPr>
              <w:t> 4 semanas):</w:t>
            </w:r>
          </w:p>
          <w:p w14:paraId="375EB762" w14:textId="77777777" w:rsidR="00C91F25" w:rsidRPr="00263DB9" w:rsidRDefault="00C91F25" w:rsidP="008303F6">
            <w:pPr>
              <w:pStyle w:val="Table"/>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WBC &lt; 10 x 10</w:t>
            </w:r>
            <w:r w:rsidRPr="00263DB9">
              <w:rPr>
                <w:rFonts w:ascii="Times New Roman" w:hAnsi="Times New Roman"/>
                <w:color w:val="000000"/>
                <w:szCs w:val="22"/>
                <w:vertAlign w:val="superscript"/>
                <w:lang w:val="pt-PT"/>
              </w:rPr>
              <w:t>9</w:t>
            </w:r>
            <w:r w:rsidRPr="00263DB9">
              <w:rPr>
                <w:rFonts w:ascii="Times New Roman" w:hAnsi="Times New Roman"/>
                <w:color w:val="000000"/>
                <w:szCs w:val="22"/>
                <w:lang w:val="pt-PT"/>
              </w:rPr>
              <w:t>/l, plaquetas &lt; 450 x 10</w:t>
            </w:r>
            <w:r w:rsidRPr="00263DB9">
              <w:rPr>
                <w:rFonts w:ascii="Times New Roman" w:hAnsi="Times New Roman"/>
                <w:color w:val="000000"/>
                <w:szCs w:val="22"/>
                <w:vertAlign w:val="superscript"/>
                <w:lang w:val="pt-PT"/>
              </w:rPr>
              <w:t>9</w:t>
            </w:r>
            <w:r w:rsidRPr="00263DB9">
              <w:rPr>
                <w:rFonts w:ascii="Times New Roman" w:hAnsi="Times New Roman"/>
                <w:color w:val="000000"/>
                <w:szCs w:val="22"/>
                <w:lang w:val="pt-PT"/>
              </w:rPr>
              <w:t>/l, mielocito+metamielocito &lt; 5% no sangue, sem blastócitos e promielocitos no sangue, basófilos &lt; 20%, sem envolvimento extramedular</w:t>
            </w:r>
          </w:p>
          <w:p w14:paraId="375EB763" w14:textId="77777777" w:rsidR="00C91F25" w:rsidRPr="00263DB9" w:rsidRDefault="00C91F25" w:rsidP="008303F6">
            <w:pPr>
              <w:pStyle w:val="Table"/>
              <w:widowControl w:val="0"/>
              <w:spacing w:before="0" w:after="0"/>
              <w:rPr>
                <w:rFonts w:ascii="Times New Roman" w:hAnsi="Times New Roman"/>
                <w:color w:val="000000"/>
                <w:szCs w:val="22"/>
                <w:lang w:val="pt-PT"/>
              </w:rPr>
            </w:pPr>
            <w:r w:rsidRPr="00263DB9">
              <w:rPr>
                <w:rFonts w:ascii="Times New Roman" w:hAnsi="Times New Roman"/>
                <w:b/>
                <w:color w:val="000000"/>
                <w:szCs w:val="22"/>
                <w:lang w:val="pt-PT"/>
              </w:rPr>
              <w:t xml:space="preserve">Critérios de resposta citogenética: </w:t>
            </w:r>
            <w:r w:rsidRPr="00263DB9">
              <w:rPr>
                <w:rFonts w:ascii="Times New Roman" w:hAnsi="Times New Roman"/>
                <w:color w:val="000000"/>
                <w:szCs w:val="22"/>
                <w:lang w:val="pt-PT"/>
              </w:rPr>
              <w:t xml:space="preserve">completa (0% metáfases Ph+), parcial (1–35%), minor (36–65%) ou mínima (66–95%). Uma resposta </w:t>
            </w:r>
            <w:r w:rsidRPr="00263DB9">
              <w:rPr>
                <w:rFonts w:ascii="Times New Roman" w:hAnsi="Times New Roman"/>
                <w:i/>
                <w:iCs/>
                <w:color w:val="000000"/>
                <w:szCs w:val="22"/>
                <w:lang w:val="pt-PT"/>
              </w:rPr>
              <w:t>major</w:t>
            </w:r>
            <w:r w:rsidRPr="00263DB9">
              <w:rPr>
                <w:rFonts w:ascii="Times New Roman" w:hAnsi="Times New Roman"/>
                <w:color w:val="000000"/>
                <w:szCs w:val="22"/>
                <w:lang w:val="pt-PT"/>
              </w:rPr>
              <w:t xml:space="preserve"> (0–35%) combina ambas as respostas completa e parcial.</w:t>
            </w:r>
          </w:p>
          <w:p w14:paraId="375EB764" w14:textId="77777777" w:rsidR="00C91F25" w:rsidRPr="00263DB9" w:rsidRDefault="00C91F25" w:rsidP="008303F6">
            <w:pPr>
              <w:pStyle w:val="Table"/>
              <w:widowControl w:val="0"/>
              <w:spacing w:before="0" w:after="0"/>
              <w:rPr>
                <w:rFonts w:ascii="Times New Roman" w:hAnsi="Times New Roman"/>
                <w:color w:val="000000"/>
                <w:szCs w:val="22"/>
                <w:lang w:val="pt-PT"/>
              </w:rPr>
            </w:pPr>
            <w:r w:rsidRPr="00263DB9">
              <w:rPr>
                <w:rFonts w:ascii="Times New Roman" w:hAnsi="Times New Roman"/>
                <w:b/>
                <w:color w:val="000000"/>
                <w:szCs w:val="22"/>
                <w:lang w:val="pt-PT"/>
              </w:rPr>
              <w:t xml:space="preserve">Critérios de resposta molecular </w:t>
            </w:r>
            <w:r w:rsidRPr="00263DB9">
              <w:rPr>
                <w:rFonts w:ascii="Times New Roman" w:hAnsi="Times New Roman"/>
                <w:b/>
                <w:i/>
                <w:iCs/>
                <w:color w:val="000000"/>
                <w:szCs w:val="22"/>
                <w:lang w:val="pt-PT"/>
              </w:rPr>
              <w:t>major</w:t>
            </w:r>
            <w:r w:rsidRPr="00263DB9">
              <w:rPr>
                <w:rFonts w:ascii="Times New Roman" w:hAnsi="Times New Roman"/>
                <w:color w:val="000000"/>
                <w:szCs w:val="22"/>
                <w:lang w:val="pt-PT"/>
              </w:rPr>
              <w:t>: redução ≥ 3 logaritmos na quantidade de Bcr-Abl transcritos no sangue periférico (medida pelo doseamento quantitativo em tempo real da transcriptase reversa PCR) sobre valores basais padronizados.</w:t>
            </w:r>
          </w:p>
        </w:tc>
      </w:tr>
    </w:tbl>
    <w:p w14:paraId="375EB766" w14:textId="77777777" w:rsidR="00C91F25" w:rsidRPr="00263DB9" w:rsidRDefault="00C91F25" w:rsidP="00E51817">
      <w:pPr>
        <w:pStyle w:val="EndnoteText"/>
        <w:rPr>
          <w:color w:val="000000"/>
          <w:szCs w:val="22"/>
        </w:rPr>
      </w:pPr>
    </w:p>
    <w:p w14:paraId="375EB767" w14:textId="77777777" w:rsidR="00C91F25" w:rsidRPr="00263DB9" w:rsidRDefault="00C91F25" w:rsidP="00E51817">
      <w:pPr>
        <w:pStyle w:val="EndnoteText"/>
        <w:rPr>
          <w:color w:val="000000"/>
          <w:szCs w:val="22"/>
        </w:rPr>
      </w:pPr>
      <w:r w:rsidRPr="00263DB9">
        <w:rPr>
          <w:color w:val="000000"/>
          <w:szCs w:val="22"/>
        </w:rPr>
        <w:t xml:space="preserve">As taxas de resposta hematológica completa, resposta citogenética </w:t>
      </w:r>
      <w:r w:rsidRPr="00263DB9">
        <w:rPr>
          <w:i/>
          <w:iCs/>
          <w:color w:val="000000"/>
          <w:szCs w:val="22"/>
        </w:rPr>
        <w:t>major</w:t>
      </w:r>
      <w:r w:rsidRPr="00263DB9">
        <w:rPr>
          <w:color w:val="000000"/>
          <w:szCs w:val="22"/>
        </w:rPr>
        <w:t xml:space="preserve"> e resposta citogenética completa no tratamento em primeira linha foram estimadas usando a abordagem de Kaplan-Meier, para a qual as não-respostas foram censuradas à data da última examinação. Usando esta abordagem, as taxas de resposta cumulativas estimadas para o tratamento em primeira linha com Glivec melhoraram desde os 12 meses de tratamento até aos 84 meses de tratamento, conforme segue: CHR de 96,4% para 98,4% e CCyR de 69,5% para 87,2%, respetivamente.</w:t>
      </w:r>
    </w:p>
    <w:p w14:paraId="375EB768" w14:textId="77777777" w:rsidR="00C91F25" w:rsidRPr="00263DB9" w:rsidRDefault="00C91F25" w:rsidP="00E51817">
      <w:pPr>
        <w:pStyle w:val="EndnoteText"/>
        <w:rPr>
          <w:color w:val="000000"/>
          <w:szCs w:val="22"/>
        </w:rPr>
      </w:pPr>
    </w:p>
    <w:p w14:paraId="375EB769" w14:textId="77777777" w:rsidR="00C91F25" w:rsidRPr="00263DB9" w:rsidRDefault="00C91F25" w:rsidP="00E51817">
      <w:pPr>
        <w:pStyle w:val="EndnoteText"/>
        <w:rPr>
          <w:color w:val="000000"/>
          <w:szCs w:val="22"/>
        </w:rPr>
      </w:pPr>
      <w:r w:rsidRPr="00263DB9">
        <w:rPr>
          <w:color w:val="000000"/>
          <w:szCs w:val="22"/>
        </w:rPr>
        <w:t>Em 7 anos de acompanhamento, existiram 93 (16,8%) casos de progressão no braço tratado com Glivec: 37 (6,7%) envolvendo progressão para fase acelerada/crise blástica, 31 (5,6%) de perda de MCyR, 15 (2,7%) perdas de CHR ou aumento no WBC e 10 (1,8%) mortes não relacionadas com LMC. Em contrapartida, existiram 165 (29,8%) casos no braço IFN+Ara-C, dos quais 130 ocorreram durante o tratamento em primeira linha com IFN+Ara-C.</w:t>
      </w:r>
    </w:p>
    <w:p w14:paraId="375EB76A" w14:textId="77777777" w:rsidR="00C91F25" w:rsidRPr="00263DB9" w:rsidRDefault="00C91F25" w:rsidP="00E51817">
      <w:pPr>
        <w:widowControl w:val="0"/>
        <w:suppressAutoHyphens/>
        <w:rPr>
          <w:color w:val="000000"/>
          <w:szCs w:val="22"/>
        </w:rPr>
      </w:pPr>
    </w:p>
    <w:p w14:paraId="375EB76B" w14:textId="77777777" w:rsidR="00C91F25" w:rsidRPr="00263DB9" w:rsidRDefault="00C91F25" w:rsidP="00E51817">
      <w:pPr>
        <w:widowControl w:val="0"/>
        <w:suppressAutoHyphens/>
        <w:rPr>
          <w:color w:val="000000"/>
          <w:szCs w:val="22"/>
        </w:rPr>
      </w:pPr>
      <w:r w:rsidRPr="00263DB9">
        <w:rPr>
          <w:color w:val="000000"/>
          <w:szCs w:val="22"/>
        </w:rPr>
        <w:t xml:space="preserve">A taxa estimada de doentes sem progressão da doença para fase acelerada, ou crise blástica, aos 84 meses, foi significativamente superior no braço tratado com Glivec comparativamente ao braço tratado com IFN (92,5% </w:t>
      </w:r>
      <w:r w:rsidRPr="00263DB9">
        <w:rPr>
          <w:i/>
          <w:color w:val="000000"/>
          <w:szCs w:val="22"/>
        </w:rPr>
        <w:t>versus</w:t>
      </w:r>
      <w:r w:rsidRPr="00263DB9">
        <w:rPr>
          <w:color w:val="000000"/>
          <w:szCs w:val="22"/>
        </w:rPr>
        <w:t xml:space="preserve"> 85,1%, p&lt;0,001). A taxa anual de progressão para fase acelerada ou crise blástica diminuiu com o tempo em tratamento e foi inferior a 1% por ano nos quarto e quinto anos de tratamento. A taxa estimada para a sobrevivência sem progressão da doença aos 84 meses foi de 81,2% no braço tratado com Glivec e de 60,6% no braço controlo (p&lt;0,001). As taxas anuais de progressão de qualquer tipo para </w:t>
      </w:r>
      <w:r w:rsidRPr="00263DB9">
        <w:rPr>
          <w:rStyle w:val="EndnoteTextChar"/>
          <w:color w:val="000000"/>
          <w:szCs w:val="22"/>
        </w:rPr>
        <w:t>Glivec também diminuíram ao longo do tempo.</w:t>
      </w:r>
    </w:p>
    <w:p w14:paraId="375EB76C" w14:textId="77777777" w:rsidR="00C91F25" w:rsidRPr="00263DB9" w:rsidRDefault="00C91F25" w:rsidP="00E51817">
      <w:pPr>
        <w:pStyle w:val="EndnoteText"/>
        <w:rPr>
          <w:color w:val="000000"/>
          <w:szCs w:val="22"/>
        </w:rPr>
      </w:pPr>
    </w:p>
    <w:p w14:paraId="375EB76D" w14:textId="77777777" w:rsidR="00C91F25" w:rsidRPr="00263DB9" w:rsidRDefault="00C91F25" w:rsidP="00E51817">
      <w:pPr>
        <w:pStyle w:val="EndnoteText"/>
        <w:rPr>
          <w:color w:val="000000"/>
          <w:szCs w:val="22"/>
        </w:rPr>
      </w:pPr>
      <w:r w:rsidRPr="00263DB9">
        <w:rPr>
          <w:color w:val="000000"/>
          <w:szCs w:val="22"/>
        </w:rPr>
        <w:t xml:space="preserve">Um total de 71 (12,8%) e 85 (15,4%) doentes morreram nos grupos Givec e IFN+Ara-C, respetivamente. Aos 84 meses, a sobrevivência global estimada é de 86,4% (83, 90) vs. 83,3% (80, 87) nos grupos aleatorizados para Glivec e IFN+Ara-C, respetivamente (p=0,073; teste de log-rank). Este objetivo de tempo até evento é fortemente afetado pela alta taxa de </w:t>
      </w:r>
      <w:r w:rsidRPr="00263DB9">
        <w:rPr>
          <w:i/>
          <w:color w:val="000000"/>
          <w:szCs w:val="22"/>
        </w:rPr>
        <w:t>crossover</w:t>
      </w:r>
      <w:r w:rsidRPr="00263DB9">
        <w:rPr>
          <w:color w:val="000000"/>
          <w:szCs w:val="22"/>
        </w:rPr>
        <w:t xml:space="preserve"> de IFN+Ara-C para Glivec. O efeito do tratamento com Glivec na sobrevivência na fase crónica na LMC diagnosticada de novo foi adicionalmente avaliado numa análise retrospetiva dos dados de Glivec acima notificados com os dados primários de outro estudo de Fase III usando IFN+Ara-C (n=325) num regímen </w:t>
      </w:r>
      <w:r w:rsidRPr="00263DB9">
        <w:rPr>
          <w:color w:val="000000"/>
          <w:szCs w:val="22"/>
        </w:rPr>
        <w:lastRenderedPageBreak/>
        <w:t>idêntico. Nesta análise retrospetiva, a superioridade de Glivec sobre o IFN+Ara-C na sobrevivência global foi demonstrada (p&lt;0,001); em 42 meses, 47 (8,5%) doentes de Glivec e 63 (19,4%) doentes de IFN+Ara-C tinham morrido.</w:t>
      </w:r>
    </w:p>
    <w:p w14:paraId="375EB76E" w14:textId="77777777" w:rsidR="00C91F25" w:rsidRPr="00263DB9" w:rsidRDefault="00C91F25" w:rsidP="00E51817">
      <w:pPr>
        <w:pStyle w:val="EndnoteText"/>
        <w:rPr>
          <w:color w:val="000000"/>
          <w:szCs w:val="22"/>
        </w:rPr>
      </w:pPr>
    </w:p>
    <w:p w14:paraId="375EB76F" w14:textId="77777777" w:rsidR="00C91F25" w:rsidRPr="00263DB9" w:rsidRDefault="00C91F25" w:rsidP="00E51817">
      <w:pPr>
        <w:pStyle w:val="EndnoteText"/>
        <w:rPr>
          <w:color w:val="000000"/>
          <w:szCs w:val="22"/>
        </w:rPr>
      </w:pPr>
      <w:r w:rsidRPr="00263DB9">
        <w:rPr>
          <w:color w:val="000000"/>
          <w:szCs w:val="22"/>
        </w:rPr>
        <w:t>O grau de resposta citogenética e resposta molecular teve um efeito claro nos resultados de longa duração em doentes tratados com Glivec. Enquanto que uma estimativa de 96% (93%) de doentes com CCyR (PCyR) aos 12 meses estavam livres de progressão para fase acelerada/crise blástica aos 84 meses, apenas 81% dos doentes sem MCyR aos 12 meses estiveram livres de progressão para LMC avançada aos 84 meses (p&lt;0,001 global, p=0,25 entre CCyR e PCyR). Para doentes com redução na Bcr-Abl transcriptase de, pelo menos 3 logaritmos, a probabilidade de manutenção livre de progressão da doença para fase acelerada/crise blástica foi de 99% aos 84 meses. Observações semelhantes foram registadas na análise de referência aos 18 meses.</w:t>
      </w:r>
    </w:p>
    <w:p w14:paraId="375EB770" w14:textId="77777777" w:rsidR="00C91F25" w:rsidRPr="00263DB9" w:rsidRDefault="00C91F25" w:rsidP="00E51817">
      <w:pPr>
        <w:widowControl w:val="0"/>
        <w:suppressAutoHyphens/>
        <w:rPr>
          <w:color w:val="000000"/>
          <w:szCs w:val="22"/>
        </w:rPr>
      </w:pPr>
    </w:p>
    <w:p w14:paraId="375EB771" w14:textId="77777777" w:rsidR="00C91F25" w:rsidRPr="00263DB9" w:rsidRDefault="00C91F25" w:rsidP="00E51817">
      <w:pPr>
        <w:widowControl w:val="0"/>
        <w:suppressAutoHyphens/>
        <w:rPr>
          <w:color w:val="000000"/>
          <w:szCs w:val="22"/>
        </w:rPr>
      </w:pPr>
      <w:r w:rsidRPr="00263DB9">
        <w:rPr>
          <w:color w:val="000000"/>
          <w:szCs w:val="22"/>
        </w:rPr>
        <w:t>Neste estudo foi permitido aumento da dose de 400 mg para 600 mg por dia e, depois, de 600 mg para 800 mg por dia. Após 42 meses de seguimento, 11 doentes tiveram perda confirmada (em 4 semanas) da resposta citogenética. Destes 11 doentes, aumentou-se a dose até 800 mg por dia em 4, tendo 2 dos quais recuperado a resposta citogenética (1 parcial e 1 completa, este último atingindo também resposta molecular), enquanto que dos 7 doentes em que não se procedeu ao aumento da dose, somente um recuperou resposta citogenética completa. A percentagem de determinadas reações adversas foi superior nos 40 doentes nos quais a dose foi aumentada para 800 mg por dia, comparativamente à população de doentes prévia ao aumento da dose (n=551). As reações adversas que ocorreram mais frequentemente incluíram hemorragia gastrintestinal, conjuntivite e aumento das transaminases ou bilirrubina. Outras reações adversas foram relatadas com frequência igual ou inferior.</w:t>
      </w:r>
    </w:p>
    <w:p w14:paraId="375EB772" w14:textId="77777777" w:rsidR="00C91F25" w:rsidRPr="00263DB9" w:rsidRDefault="00C91F25" w:rsidP="00E51817">
      <w:pPr>
        <w:widowControl w:val="0"/>
        <w:suppressAutoHyphens/>
        <w:rPr>
          <w:color w:val="000000"/>
          <w:szCs w:val="22"/>
        </w:rPr>
      </w:pPr>
    </w:p>
    <w:p w14:paraId="375EB773" w14:textId="77777777" w:rsidR="00C91F25" w:rsidRPr="00263DB9" w:rsidRDefault="00C91F25" w:rsidP="00E51817">
      <w:pPr>
        <w:widowControl w:val="0"/>
        <w:suppressAutoHyphens/>
        <w:rPr>
          <w:color w:val="000000"/>
          <w:szCs w:val="22"/>
        </w:rPr>
      </w:pPr>
      <w:r w:rsidRPr="00263DB9">
        <w:rPr>
          <w:i/>
          <w:color w:val="000000"/>
          <w:szCs w:val="22"/>
        </w:rPr>
        <w:t>Fase crónica, insucesso com interferão</w:t>
      </w:r>
      <w:r w:rsidRPr="00263DB9">
        <w:rPr>
          <w:color w:val="000000"/>
          <w:szCs w:val="22"/>
        </w:rPr>
        <w:t>: 532 doentes adultos foram tratados com uma dose inicial de 400 mg. Os doentes foram distribuídos em três categorias principais: insucesso hematológico (29%), insucesso citogenético (35</w:t>
      </w:r>
      <w:r w:rsidRPr="00263DB9">
        <w:rPr>
          <w:bCs/>
          <w:color w:val="000000"/>
          <w:szCs w:val="22"/>
        </w:rPr>
        <w:t>%</w:t>
      </w:r>
      <w:r w:rsidRPr="00263DB9">
        <w:rPr>
          <w:color w:val="000000"/>
          <w:szCs w:val="22"/>
        </w:rPr>
        <w:t xml:space="preserve">) ou intolerância ao interferão (36%). Os doentes tinham feito uma média de 14 meses de terapêutica anterior com interferão em doses </w:t>
      </w:r>
      <w:r w:rsidRPr="00263DB9">
        <w:rPr>
          <w:color w:val="000000"/>
          <w:szCs w:val="22"/>
        </w:rPr>
        <w:sym w:font="Symbol" w:char="F0B3"/>
      </w:r>
      <w:r w:rsidRPr="00263DB9">
        <w:rPr>
          <w:color w:val="000000"/>
          <w:szCs w:val="22"/>
        </w:rPr>
        <w:t> 25 x 10</w:t>
      </w:r>
      <w:r w:rsidRPr="00263DB9">
        <w:rPr>
          <w:color w:val="000000"/>
          <w:szCs w:val="22"/>
          <w:vertAlign w:val="superscript"/>
        </w:rPr>
        <w:t>6</w:t>
      </w:r>
      <w:r w:rsidRPr="00263DB9">
        <w:rPr>
          <w:color w:val="000000"/>
          <w:szCs w:val="22"/>
        </w:rPr>
        <w:t xml:space="preserve"> UI/semana e encontravam-se todos em fase crónica tardia, com um tempo médio desde o diagnóstico de 32 meses. A variável primária de eficácia do estudo foi a taxa de resposta citogenética </w:t>
      </w:r>
      <w:r w:rsidRPr="00263DB9">
        <w:rPr>
          <w:i/>
          <w:iCs/>
          <w:color w:val="000000"/>
          <w:szCs w:val="22"/>
        </w:rPr>
        <w:t>major</w:t>
      </w:r>
      <w:r w:rsidRPr="00263DB9">
        <w:rPr>
          <w:color w:val="000000"/>
          <w:szCs w:val="22"/>
        </w:rPr>
        <w:t xml:space="preserve"> (resposta completa mais parcial, 0 a 35% de metafases Ph+ na medula óssea).</w:t>
      </w:r>
    </w:p>
    <w:p w14:paraId="375EB774" w14:textId="77777777" w:rsidR="00C91F25" w:rsidRPr="00263DB9" w:rsidRDefault="00C91F25" w:rsidP="00E51817">
      <w:pPr>
        <w:widowControl w:val="0"/>
        <w:suppressAutoHyphens/>
        <w:rPr>
          <w:color w:val="000000"/>
          <w:szCs w:val="22"/>
        </w:rPr>
      </w:pPr>
    </w:p>
    <w:p w14:paraId="375EB775" w14:textId="77777777" w:rsidR="00C91F25" w:rsidRPr="00263DB9" w:rsidRDefault="00C91F25" w:rsidP="00E51817">
      <w:pPr>
        <w:widowControl w:val="0"/>
        <w:suppressAutoHyphens/>
        <w:rPr>
          <w:color w:val="000000"/>
          <w:szCs w:val="22"/>
        </w:rPr>
      </w:pPr>
      <w:r w:rsidRPr="00263DB9">
        <w:rPr>
          <w:color w:val="000000"/>
          <w:szCs w:val="22"/>
        </w:rPr>
        <w:t xml:space="preserve">Neste estudo, 65% dos doentes atingiram uma resposta citogenética </w:t>
      </w:r>
      <w:r w:rsidRPr="00263DB9">
        <w:rPr>
          <w:i/>
          <w:iCs/>
          <w:color w:val="000000"/>
          <w:szCs w:val="22"/>
        </w:rPr>
        <w:t>major</w:t>
      </w:r>
      <w:r w:rsidRPr="00263DB9">
        <w:rPr>
          <w:color w:val="000000"/>
          <w:szCs w:val="22"/>
        </w:rPr>
        <w:t xml:space="preserve"> que foi completa em 53% (confirmado 43%) dos doentes (Tabela </w:t>
      </w:r>
      <w:r w:rsidR="00445D6F" w:rsidRPr="00263DB9">
        <w:rPr>
          <w:color w:val="000000"/>
          <w:szCs w:val="22"/>
        </w:rPr>
        <w:t>3</w:t>
      </w:r>
      <w:r w:rsidRPr="00263DB9">
        <w:rPr>
          <w:color w:val="000000"/>
          <w:szCs w:val="22"/>
        </w:rPr>
        <w:t>). Foi atingida uma resposta hematológica completa em 95% dos doentes.</w:t>
      </w:r>
    </w:p>
    <w:p w14:paraId="375EB776" w14:textId="77777777" w:rsidR="00C91F25" w:rsidRPr="00263DB9" w:rsidRDefault="00C91F25" w:rsidP="00E51817">
      <w:pPr>
        <w:widowControl w:val="0"/>
        <w:suppressAutoHyphens/>
        <w:rPr>
          <w:color w:val="000000"/>
          <w:szCs w:val="22"/>
        </w:rPr>
      </w:pPr>
    </w:p>
    <w:p w14:paraId="375EB777" w14:textId="77777777" w:rsidR="00C91F25" w:rsidRPr="00263DB9" w:rsidRDefault="00C91F25" w:rsidP="00E51817">
      <w:pPr>
        <w:widowControl w:val="0"/>
        <w:suppressAutoHyphens/>
        <w:rPr>
          <w:color w:val="000000"/>
          <w:szCs w:val="22"/>
        </w:rPr>
      </w:pPr>
      <w:r w:rsidRPr="00263DB9">
        <w:rPr>
          <w:i/>
          <w:color w:val="000000"/>
          <w:szCs w:val="22"/>
        </w:rPr>
        <w:t>Fase acelerada</w:t>
      </w:r>
      <w:r w:rsidRPr="00263DB9">
        <w:rPr>
          <w:color w:val="000000"/>
          <w:szCs w:val="22"/>
        </w:rPr>
        <w:t>: foram admitidos 235 doentes adultos com doença em fase acelerada. Os primeiros 77 doentes iniciaram com 400 mg, subsequentemente o protocolo foi corrigido para permitir a administração de doses mais elevadas e os restantes 158 doentes iniciaram com 600 mg.</w:t>
      </w:r>
    </w:p>
    <w:p w14:paraId="375EB778" w14:textId="77777777" w:rsidR="00C91F25" w:rsidRPr="00263DB9" w:rsidRDefault="00C91F25" w:rsidP="00E51817">
      <w:pPr>
        <w:widowControl w:val="0"/>
        <w:suppressAutoHyphens/>
        <w:rPr>
          <w:color w:val="000000"/>
          <w:szCs w:val="22"/>
        </w:rPr>
      </w:pPr>
    </w:p>
    <w:p w14:paraId="375EB779" w14:textId="77777777" w:rsidR="00C91F25" w:rsidRPr="00263DB9" w:rsidRDefault="00C91F25" w:rsidP="00E51817">
      <w:pPr>
        <w:widowControl w:val="0"/>
        <w:suppressAutoHyphens/>
        <w:rPr>
          <w:color w:val="000000"/>
          <w:szCs w:val="22"/>
        </w:rPr>
      </w:pPr>
      <w:r w:rsidRPr="00263DB9">
        <w:rPr>
          <w:color w:val="000000"/>
          <w:szCs w:val="22"/>
        </w:rPr>
        <w:t>A variável primária de eficácia foi a taxa de resposta hematológica, notificada como resposta hematológica completa, não evidência de leucemia (i.e. ausência de blastos na medula e no sangue, mas sem uma recuperação total do sangue periférico como para as respostas completas), ou retorno à LMC em fase crónica. Foi atingida uma resposta hematológica confirmada em 71,5% dos doentes (Tabela </w:t>
      </w:r>
      <w:r w:rsidR="00445D6F" w:rsidRPr="00263DB9">
        <w:rPr>
          <w:color w:val="000000"/>
          <w:szCs w:val="22"/>
        </w:rPr>
        <w:t>3</w:t>
      </w:r>
      <w:r w:rsidRPr="00263DB9">
        <w:rPr>
          <w:color w:val="000000"/>
          <w:szCs w:val="22"/>
        </w:rPr>
        <w:t xml:space="preserve">). De realçar que 27,7% dos doentes também atingiram uma resposta citogenética </w:t>
      </w:r>
      <w:r w:rsidRPr="00263DB9">
        <w:rPr>
          <w:i/>
          <w:iCs/>
          <w:color w:val="000000"/>
          <w:szCs w:val="22"/>
        </w:rPr>
        <w:t>major</w:t>
      </w:r>
      <w:r w:rsidRPr="00263DB9">
        <w:rPr>
          <w:color w:val="000000"/>
          <w:szCs w:val="22"/>
        </w:rPr>
        <w:t>, a qual foi completa em 20,4% (confirmado 16%) dos doentes. Para os doentes tratados com 600 mg, a estimativa atual para a mediana da taxa de sobrevivência sem progressão e para a sobrevivência global é de 22,9 e de 42,5 meses, respetivamente.</w:t>
      </w:r>
    </w:p>
    <w:p w14:paraId="375EB77A" w14:textId="77777777" w:rsidR="00C91F25" w:rsidRPr="00263DB9" w:rsidRDefault="00C91F25" w:rsidP="00E51817">
      <w:pPr>
        <w:widowControl w:val="0"/>
        <w:suppressAutoHyphens/>
        <w:rPr>
          <w:color w:val="000000"/>
          <w:szCs w:val="22"/>
        </w:rPr>
      </w:pPr>
    </w:p>
    <w:p w14:paraId="375EB77B" w14:textId="77777777" w:rsidR="00C91F25" w:rsidRPr="00263DB9" w:rsidRDefault="00C91F25" w:rsidP="00E51817">
      <w:pPr>
        <w:widowControl w:val="0"/>
        <w:suppressAutoHyphens/>
        <w:rPr>
          <w:color w:val="000000"/>
          <w:szCs w:val="22"/>
        </w:rPr>
      </w:pPr>
      <w:r w:rsidRPr="00263DB9">
        <w:rPr>
          <w:i/>
          <w:color w:val="000000"/>
          <w:szCs w:val="22"/>
        </w:rPr>
        <w:t>Crise blástica mieloide</w:t>
      </w:r>
      <w:r w:rsidRPr="00263DB9">
        <w:rPr>
          <w:color w:val="000000"/>
          <w:szCs w:val="22"/>
        </w:rPr>
        <w:t>: foram admitidos 260 doentes com crise blástica mieloide. 95 (37%) tinham feito quimioterapia prévia para o tratamento da fase acelerada ou da crise blástica (“doentes pré-tratados”) enquanto que 165 (63%) não a fizeram (“doentes não tratados”). Os primeiros 37 doentes iniciaram com 400 mg, o protocolo foi corrigido subsequentemente para permitir a administração de doses mais elevadas e os restantes 223 doentes iniciaram com 600 mg.</w:t>
      </w:r>
    </w:p>
    <w:p w14:paraId="375EB77C" w14:textId="77777777" w:rsidR="00C91F25" w:rsidRPr="00263DB9" w:rsidRDefault="00C91F25" w:rsidP="00E51817">
      <w:pPr>
        <w:widowControl w:val="0"/>
        <w:suppressAutoHyphens/>
        <w:rPr>
          <w:color w:val="000000"/>
          <w:szCs w:val="22"/>
        </w:rPr>
      </w:pPr>
    </w:p>
    <w:p w14:paraId="375EB77D" w14:textId="77777777" w:rsidR="00C91F25" w:rsidRPr="00263DB9" w:rsidRDefault="00C91F25" w:rsidP="00E51817">
      <w:pPr>
        <w:widowControl w:val="0"/>
        <w:suppressAutoHyphens/>
        <w:rPr>
          <w:color w:val="000000"/>
          <w:szCs w:val="22"/>
        </w:rPr>
      </w:pPr>
      <w:r w:rsidRPr="00263DB9">
        <w:rPr>
          <w:color w:val="000000"/>
          <w:szCs w:val="22"/>
        </w:rPr>
        <w:t xml:space="preserve">A variável primária de eficácia foi a taxa de resposta hematológica, notificada como resposta </w:t>
      </w:r>
      <w:r w:rsidRPr="00263DB9">
        <w:rPr>
          <w:color w:val="000000"/>
          <w:szCs w:val="22"/>
        </w:rPr>
        <w:lastRenderedPageBreak/>
        <w:t>hematológica completa, não evidência de leucemia, ou retorno à LMC em fase crónica, usando os mesmos critérios usados para o estudo em fase acelerada. Neste estudo, 31% dos doentes atingiram uma resposta hematológica (36% não tratados anteriormente e 22% em doentes tratados anteriormente). A taxa de resposta também foi mais elevada nos doentes tratados com 600 mg (33%) quando comparados com os doentes tratados com 400 mg (16%, p=0,0220). A estimativa atual da sobrevivência média dos doentes não tratados e tratados anteriormente foi 7,7 e 4,7 meses, respetivamente.</w:t>
      </w:r>
    </w:p>
    <w:p w14:paraId="375EB77E" w14:textId="77777777" w:rsidR="00C91F25" w:rsidRPr="00263DB9" w:rsidRDefault="00C91F25" w:rsidP="00E51817">
      <w:pPr>
        <w:widowControl w:val="0"/>
        <w:suppressAutoHyphens/>
        <w:rPr>
          <w:color w:val="000000"/>
          <w:szCs w:val="22"/>
        </w:rPr>
      </w:pPr>
    </w:p>
    <w:p w14:paraId="375EB77F" w14:textId="77777777" w:rsidR="00C91F25" w:rsidRPr="00263DB9" w:rsidRDefault="00C91F25" w:rsidP="00E51817">
      <w:pPr>
        <w:widowControl w:val="0"/>
        <w:suppressAutoHyphens/>
        <w:rPr>
          <w:color w:val="000000"/>
          <w:szCs w:val="22"/>
        </w:rPr>
      </w:pPr>
      <w:r w:rsidRPr="00263DB9">
        <w:rPr>
          <w:i/>
          <w:color w:val="000000"/>
          <w:szCs w:val="22"/>
        </w:rPr>
        <w:t>Crise blástica linfoide</w:t>
      </w:r>
      <w:r w:rsidRPr="00263DB9">
        <w:rPr>
          <w:color w:val="000000"/>
          <w:szCs w:val="22"/>
        </w:rPr>
        <w:t>: o número de doentes incluídos nos estudos de fase I foi limitado (n=10). A taxa de resposta hematológica foi de 70% com uma duração de 2–3 meses.</w:t>
      </w:r>
    </w:p>
    <w:p w14:paraId="375EB780" w14:textId="77777777" w:rsidR="00C91F25" w:rsidRPr="00263DB9" w:rsidRDefault="00C91F25" w:rsidP="00E51817">
      <w:pPr>
        <w:widowControl w:val="0"/>
        <w:suppressAutoHyphens/>
        <w:rPr>
          <w:color w:val="000000"/>
          <w:szCs w:val="22"/>
        </w:rPr>
      </w:pPr>
    </w:p>
    <w:p w14:paraId="375EB781" w14:textId="77777777" w:rsidR="00C91F25" w:rsidRPr="00263DB9" w:rsidRDefault="00C91F25" w:rsidP="008303F6">
      <w:pPr>
        <w:keepNext/>
        <w:keepLines/>
        <w:widowControl w:val="0"/>
        <w:tabs>
          <w:tab w:val="left" w:pos="1134"/>
        </w:tabs>
        <w:suppressAutoHyphens/>
        <w:rPr>
          <w:color w:val="000000"/>
          <w:szCs w:val="22"/>
        </w:rPr>
      </w:pPr>
      <w:r w:rsidRPr="00263DB9">
        <w:rPr>
          <w:b/>
          <w:color w:val="000000"/>
          <w:szCs w:val="22"/>
        </w:rPr>
        <w:t>Tabela </w:t>
      </w:r>
      <w:r w:rsidR="00445D6F" w:rsidRPr="00263DB9">
        <w:rPr>
          <w:b/>
          <w:color w:val="000000"/>
          <w:szCs w:val="22"/>
        </w:rPr>
        <w:t>3</w:t>
      </w:r>
      <w:r w:rsidRPr="00263DB9">
        <w:rPr>
          <w:b/>
          <w:color w:val="000000"/>
          <w:szCs w:val="22"/>
        </w:rPr>
        <w:tab/>
        <w:t>Resposta em estudos na LMC em adultos</w:t>
      </w:r>
    </w:p>
    <w:p w14:paraId="375EB782" w14:textId="77777777" w:rsidR="00C91F25" w:rsidRPr="00263DB9" w:rsidRDefault="00C91F25" w:rsidP="008303F6">
      <w:pPr>
        <w:keepNext/>
        <w:keepLines/>
        <w:widowControl w:val="0"/>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1985"/>
        <w:gridCol w:w="1984"/>
        <w:gridCol w:w="1655"/>
      </w:tblGrid>
      <w:tr w:rsidR="00C91F25" w:rsidRPr="00263DB9" w14:paraId="375EB78A" w14:textId="77777777" w:rsidTr="008303F6">
        <w:trPr>
          <w:cantSplit/>
        </w:trPr>
        <w:tc>
          <w:tcPr>
            <w:tcW w:w="3652" w:type="dxa"/>
          </w:tcPr>
          <w:p w14:paraId="375EB783" w14:textId="77777777" w:rsidR="00C91F25" w:rsidRPr="00263DB9" w:rsidRDefault="00C91F25" w:rsidP="008303F6">
            <w:pPr>
              <w:keepNext/>
              <w:keepLines/>
              <w:widowControl w:val="0"/>
              <w:suppressAutoHyphens/>
              <w:rPr>
                <w:color w:val="000000"/>
                <w:szCs w:val="22"/>
              </w:rPr>
            </w:pPr>
          </w:p>
        </w:tc>
        <w:tc>
          <w:tcPr>
            <w:tcW w:w="1985" w:type="dxa"/>
          </w:tcPr>
          <w:p w14:paraId="375EB784" w14:textId="77777777" w:rsidR="00C91F25" w:rsidRPr="00263DB9" w:rsidRDefault="00C91F25" w:rsidP="008303F6">
            <w:pPr>
              <w:keepNext/>
              <w:keepLines/>
              <w:widowControl w:val="0"/>
              <w:suppressAutoHyphens/>
              <w:jc w:val="center"/>
              <w:rPr>
                <w:color w:val="000000"/>
                <w:szCs w:val="22"/>
              </w:rPr>
            </w:pPr>
            <w:r w:rsidRPr="00263DB9">
              <w:rPr>
                <w:color w:val="000000"/>
                <w:szCs w:val="22"/>
              </w:rPr>
              <w:t>Estudo 0110</w:t>
            </w:r>
          </w:p>
          <w:p w14:paraId="375EB785" w14:textId="77777777" w:rsidR="00C91F25" w:rsidRPr="00263DB9" w:rsidRDefault="00C91F25" w:rsidP="008303F6">
            <w:pPr>
              <w:keepNext/>
              <w:keepLines/>
              <w:widowControl w:val="0"/>
              <w:suppressAutoHyphens/>
              <w:jc w:val="center"/>
              <w:rPr>
                <w:color w:val="000000"/>
                <w:szCs w:val="22"/>
              </w:rPr>
            </w:pPr>
            <w:r w:rsidRPr="00263DB9">
              <w:rPr>
                <w:color w:val="000000"/>
                <w:szCs w:val="22"/>
              </w:rPr>
              <w:t>Dados aos 37 meses</w:t>
            </w:r>
          </w:p>
        </w:tc>
        <w:tc>
          <w:tcPr>
            <w:tcW w:w="1984" w:type="dxa"/>
          </w:tcPr>
          <w:p w14:paraId="375EB786" w14:textId="77777777" w:rsidR="00C91F25" w:rsidRPr="00263DB9" w:rsidRDefault="00C91F25" w:rsidP="008303F6">
            <w:pPr>
              <w:keepNext/>
              <w:keepLines/>
              <w:widowControl w:val="0"/>
              <w:suppressAutoHyphens/>
              <w:jc w:val="center"/>
              <w:rPr>
                <w:color w:val="000000"/>
                <w:szCs w:val="22"/>
              </w:rPr>
            </w:pPr>
            <w:r w:rsidRPr="00263DB9">
              <w:rPr>
                <w:color w:val="000000"/>
                <w:szCs w:val="22"/>
              </w:rPr>
              <w:t>Estudo 0109</w:t>
            </w:r>
          </w:p>
          <w:p w14:paraId="375EB787" w14:textId="77777777" w:rsidR="00C91F25" w:rsidRPr="00263DB9" w:rsidRDefault="00C91F25" w:rsidP="008303F6">
            <w:pPr>
              <w:keepNext/>
              <w:keepLines/>
              <w:widowControl w:val="0"/>
              <w:suppressAutoHyphens/>
              <w:jc w:val="center"/>
              <w:rPr>
                <w:color w:val="000000"/>
                <w:szCs w:val="22"/>
              </w:rPr>
            </w:pPr>
            <w:r w:rsidRPr="00263DB9">
              <w:rPr>
                <w:color w:val="000000"/>
                <w:szCs w:val="22"/>
              </w:rPr>
              <w:t>Dados aos 40,5 meses</w:t>
            </w:r>
          </w:p>
        </w:tc>
        <w:tc>
          <w:tcPr>
            <w:tcW w:w="1655" w:type="dxa"/>
          </w:tcPr>
          <w:p w14:paraId="375EB788" w14:textId="77777777" w:rsidR="00C91F25" w:rsidRPr="00263DB9" w:rsidRDefault="00C91F25" w:rsidP="008303F6">
            <w:pPr>
              <w:keepNext/>
              <w:keepLines/>
              <w:widowControl w:val="0"/>
              <w:suppressAutoHyphens/>
              <w:ind w:left="-108" w:right="-154"/>
              <w:jc w:val="center"/>
              <w:rPr>
                <w:color w:val="000000"/>
                <w:szCs w:val="22"/>
              </w:rPr>
            </w:pPr>
            <w:r w:rsidRPr="00263DB9">
              <w:rPr>
                <w:color w:val="000000"/>
                <w:szCs w:val="22"/>
              </w:rPr>
              <w:t>Estudo 0102</w:t>
            </w:r>
          </w:p>
          <w:p w14:paraId="375EB789" w14:textId="77777777" w:rsidR="00C91F25" w:rsidRPr="00263DB9" w:rsidRDefault="00C91F25" w:rsidP="008303F6">
            <w:pPr>
              <w:keepNext/>
              <w:keepLines/>
              <w:widowControl w:val="0"/>
              <w:suppressAutoHyphens/>
              <w:ind w:left="-108" w:right="-154"/>
              <w:jc w:val="center"/>
              <w:rPr>
                <w:color w:val="000000"/>
                <w:szCs w:val="22"/>
              </w:rPr>
            </w:pPr>
            <w:r w:rsidRPr="00263DB9">
              <w:rPr>
                <w:color w:val="000000"/>
                <w:szCs w:val="22"/>
              </w:rPr>
              <w:t>Dados aos 38 meses</w:t>
            </w:r>
          </w:p>
        </w:tc>
      </w:tr>
      <w:tr w:rsidR="00C91F25" w:rsidRPr="00263DB9" w14:paraId="375EB792" w14:textId="77777777" w:rsidTr="008303F6">
        <w:trPr>
          <w:cantSplit/>
        </w:trPr>
        <w:tc>
          <w:tcPr>
            <w:tcW w:w="3652" w:type="dxa"/>
          </w:tcPr>
          <w:p w14:paraId="375EB78B" w14:textId="77777777" w:rsidR="00C91F25" w:rsidRPr="00263DB9" w:rsidRDefault="00C91F25" w:rsidP="008303F6">
            <w:pPr>
              <w:keepNext/>
              <w:keepLines/>
              <w:widowControl w:val="0"/>
              <w:suppressAutoHyphens/>
              <w:rPr>
                <w:color w:val="000000"/>
                <w:szCs w:val="22"/>
              </w:rPr>
            </w:pPr>
          </w:p>
        </w:tc>
        <w:tc>
          <w:tcPr>
            <w:tcW w:w="1985" w:type="dxa"/>
          </w:tcPr>
          <w:p w14:paraId="375EB78C"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Fase crónica, insucesso de IFN</w:t>
            </w:r>
          </w:p>
          <w:p w14:paraId="375EB78D"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(n=532)</w:t>
            </w:r>
          </w:p>
        </w:tc>
        <w:tc>
          <w:tcPr>
            <w:tcW w:w="1984" w:type="dxa"/>
          </w:tcPr>
          <w:p w14:paraId="375EB78E"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Fase acelerada</w:t>
            </w:r>
          </w:p>
          <w:p w14:paraId="375EB78F"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(n=235)</w:t>
            </w:r>
          </w:p>
        </w:tc>
        <w:tc>
          <w:tcPr>
            <w:tcW w:w="1655" w:type="dxa"/>
          </w:tcPr>
          <w:p w14:paraId="375EB790" w14:textId="77777777" w:rsidR="00C91F25" w:rsidRPr="00263DB9" w:rsidRDefault="00C91F25" w:rsidP="008303F6">
            <w:pPr>
              <w:keepNext/>
              <w:keepLines/>
              <w:widowControl w:val="0"/>
              <w:suppressAutoHyphens/>
              <w:ind w:left="-108" w:right="-154"/>
              <w:jc w:val="center"/>
              <w:rPr>
                <w:color w:val="000000"/>
                <w:szCs w:val="22"/>
              </w:rPr>
            </w:pPr>
            <w:r w:rsidRPr="00263DB9">
              <w:rPr>
                <w:color w:val="000000"/>
                <w:szCs w:val="22"/>
              </w:rPr>
              <w:t>Crise blástica mieloide</w:t>
            </w:r>
          </w:p>
          <w:p w14:paraId="375EB791" w14:textId="77777777" w:rsidR="00C91F25" w:rsidRPr="00263DB9" w:rsidRDefault="00C91F25" w:rsidP="008303F6">
            <w:pPr>
              <w:keepNext/>
              <w:keepLines/>
              <w:widowControl w:val="0"/>
              <w:suppressAutoHyphens/>
              <w:ind w:left="-108" w:right="-154"/>
              <w:jc w:val="center"/>
              <w:rPr>
                <w:color w:val="000000"/>
                <w:szCs w:val="22"/>
              </w:rPr>
            </w:pPr>
            <w:r w:rsidRPr="00263DB9">
              <w:rPr>
                <w:color w:val="000000"/>
                <w:szCs w:val="22"/>
              </w:rPr>
              <w:t>(n=260)</w:t>
            </w:r>
          </w:p>
        </w:tc>
      </w:tr>
      <w:tr w:rsidR="00C91F25" w:rsidRPr="00263DB9" w14:paraId="375EB795" w14:textId="77777777" w:rsidTr="008303F6">
        <w:trPr>
          <w:cantSplit/>
        </w:trPr>
        <w:tc>
          <w:tcPr>
            <w:tcW w:w="3652" w:type="dxa"/>
          </w:tcPr>
          <w:p w14:paraId="375EB793" w14:textId="77777777" w:rsidR="00C91F25" w:rsidRPr="00263DB9" w:rsidRDefault="00C91F25" w:rsidP="008303F6">
            <w:pPr>
              <w:keepNext/>
              <w:keepLines/>
              <w:widowControl w:val="0"/>
              <w:suppressAutoHyphens/>
              <w:rPr>
                <w:color w:val="000000"/>
                <w:szCs w:val="22"/>
              </w:rPr>
            </w:pPr>
          </w:p>
        </w:tc>
        <w:tc>
          <w:tcPr>
            <w:tcW w:w="5624" w:type="dxa"/>
            <w:gridSpan w:val="3"/>
          </w:tcPr>
          <w:p w14:paraId="375EB794" w14:textId="77777777" w:rsidR="00C91F25" w:rsidRPr="00263DB9" w:rsidRDefault="00C91F25" w:rsidP="008303F6">
            <w:pPr>
              <w:keepNext/>
              <w:keepLines/>
              <w:widowControl w:val="0"/>
              <w:suppressAutoHyphens/>
              <w:ind w:left="-108"/>
              <w:jc w:val="center"/>
              <w:rPr>
                <w:color w:val="000000"/>
                <w:szCs w:val="22"/>
              </w:rPr>
            </w:pPr>
            <w:r w:rsidRPr="00263DB9">
              <w:rPr>
                <w:color w:val="000000"/>
                <w:szCs w:val="22"/>
              </w:rPr>
              <w:t>% de doentes (IC</w:t>
            </w:r>
            <w:r w:rsidRPr="00263DB9">
              <w:rPr>
                <w:color w:val="000000"/>
                <w:szCs w:val="22"/>
                <w:vertAlign w:val="subscript"/>
              </w:rPr>
              <w:t>95%</w:t>
            </w:r>
            <w:r w:rsidRPr="00263DB9">
              <w:rPr>
                <w:color w:val="000000"/>
                <w:szCs w:val="22"/>
              </w:rPr>
              <w:t>)</w:t>
            </w:r>
          </w:p>
        </w:tc>
      </w:tr>
      <w:tr w:rsidR="00C91F25" w:rsidRPr="00263DB9" w14:paraId="375EB7A9" w14:textId="77777777" w:rsidTr="008303F6">
        <w:trPr>
          <w:cantSplit/>
        </w:trPr>
        <w:tc>
          <w:tcPr>
            <w:tcW w:w="3652" w:type="dxa"/>
          </w:tcPr>
          <w:p w14:paraId="375EB796" w14:textId="77777777" w:rsidR="00C91F25" w:rsidRPr="00263DB9" w:rsidRDefault="00C91F25" w:rsidP="008303F6">
            <w:pPr>
              <w:keepNext/>
              <w:keepLines/>
              <w:widowControl w:val="0"/>
              <w:suppressAutoHyphens/>
              <w:ind w:right="-108"/>
              <w:rPr>
                <w:color w:val="000000"/>
                <w:szCs w:val="22"/>
                <w:vertAlign w:val="superscript"/>
              </w:rPr>
            </w:pPr>
            <w:r w:rsidRPr="00263DB9">
              <w:rPr>
                <w:color w:val="000000"/>
                <w:szCs w:val="22"/>
              </w:rPr>
              <w:t>Resposta hematológica</w:t>
            </w:r>
            <w:r w:rsidRPr="00263DB9">
              <w:rPr>
                <w:color w:val="000000"/>
                <w:szCs w:val="22"/>
                <w:vertAlign w:val="superscript"/>
              </w:rPr>
              <w:t>1</w:t>
            </w:r>
          </w:p>
          <w:p w14:paraId="375EB797" w14:textId="77777777" w:rsidR="00C91F25" w:rsidRPr="00263DB9" w:rsidRDefault="00C91F25" w:rsidP="008303F6">
            <w:pPr>
              <w:pStyle w:val="BodyTextIndent"/>
              <w:keepNext/>
              <w:keepLines/>
              <w:widowControl w:val="0"/>
              <w:ind w:left="142" w:right="-108" w:firstLine="0"/>
              <w:rPr>
                <w:color w:val="000000"/>
                <w:szCs w:val="22"/>
              </w:rPr>
            </w:pPr>
            <w:r w:rsidRPr="00263DB9">
              <w:rPr>
                <w:color w:val="000000"/>
                <w:szCs w:val="22"/>
              </w:rPr>
              <w:t>Resposta hematológica completa (RHC)</w:t>
            </w:r>
          </w:p>
          <w:p w14:paraId="375EB798" w14:textId="77777777" w:rsidR="00C91F25" w:rsidRPr="00263DB9" w:rsidRDefault="00C91F25" w:rsidP="008303F6">
            <w:pPr>
              <w:keepNext/>
              <w:keepLines/>
              <w:widowControl w:val="0"/>
              <w:suppressAutoHyphens/>
              <w:ind w:left="142" w:right="-108"/>
              <w:rPr>
                <w:color w:val="000000"/>
                <w:szCs w:val="22"/>
              </w:rPr>
            </w:pPr>
            <w:r w:rsidRPr="00263DB9">
              <w:rPr>
                <w:color w:val="000000"/>
                <w:szCs w:val="22"/>
              </w:rPr>
              <w:t>Não evidência de leucemia (NEL)</w:t>
            </w:r>
          </w:p>
          <w:p w14:paraId="375EB799" w14:textId="77777777" w:rsidR="00C91F25" w:rsidRPr="00263DB9" w:rsidRDefault="00C91F25" w:rsidP="008303F6">
            <w:pPr>
              <w:keepNext/>
              <w:keepLines/>
              <w:widowControl w:val="0"/>
              <w:suppressAutoHyphens/>
              <w:ind w:left="142" w:right="-108"/>
              <w:rPr>
                <w:color w:val="000000"/>
                <w:szCs w:val="22"/>
              </w:rPr>
            </w:pPr>
            <w:r w:rsidRPr="00263DB9">
              <w:rPr>
                <w:color w:val="000000"/>
                <w:szCs w:val="22"/>
              </w:rPr>
              <w:t>Retorno à fase crónica (RFC)</w:t>
            </w:r>
          </w:p>
        </w:tc>
        <w:tc>
          <w:tcPr>
            <w:tcW w:w="1985" w:type="dxa"/>
          </w:tcPr>
          <w:p w14:paraId="375EB79A"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95% (92,3–96,3)</w:t>
            </w:r>
          </w:p>
          <w:p w14:paraId="375EB79B"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95%</w:t>
            </w:r>
          </w:p>
          <w:p w14:paraId="375EB79C" w14:textId="77777777" w:rsidR="00C91F25" w:rsidRPr="00263DB9" w:rsidRDefault="00C91F25" w:rsidP="008303F6">
            <w:pPr>
              <w:keepNext/>
              <w:keepLines/>
              <w:widowControl w:val="0"/>
              <w:suppressAutoHyphens/>
              <w:ind w:left="-108" w:right="-108"/>
              <w:jc w:val="center"/>
              <w:rPr>
                <w:color w:val="000000"/>
                <w:szCs w:val="22"/>
              </w:rPr>
            </w:pPr>
          </w:p>
          <w:p w14:paraId="375EB79D"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Não aplicável</w:t>
            </w:r>
          </w:p>
          <w:p w14:paraId="375EB79E"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Não aplicável</w:t>
            </w:r>
          </w:p>
        </w:tc>
        <w:tc>
          <w:tcPr>
            <w:tcW w:w="1984" w:type="dxa"/>
          </w:tcPr>
          <w:p w14:paraId="375EB79F"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71% (65,3–77,2)</w:t>
            </w:r>
          </w:p>
          <w:p w14:paraId="375EB7A0"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42%</w:t>
            </w:r>
          </w:p>
          <w:p w14:paraId="375EB7A1" w14:textId="77777777" w:rsidR="00C91F25" w:rsidRPr="00263DB9" w:rsidRDefault="00C91F25" w:rsidP="008303F6">
            <w:pPr>
              <w:keepNext/>
              <w:keepLines/>
              <w:widowControl w:val="0"/>
              <w:suppressAutoHyphens/>
              <w:ind w:left="-108" w:right="-108"/>
              <w:jc w:val="center"/>
              <w:rPr>
                <w:color w:val="000000"/>
                <w:szCs w:val="22"/>
              </w:rPr>
            </w:pPr>
          </w:p>
          <w:p w14:paraId="375EB7A2"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12%</w:t>
            </w:r>
          </w:p>
          <w:p w14:paraId="375EB7A3"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17%</w:t>
            </w:r>
          </w:p>
        </w:tc>
        <w:tc>
          <w:tcPr>
            <w:tcW w:w="1655" w:type="dxa"/>
          </w:tcPr>
          <w:p w14:paraId="375EB7A4" w14:textId="77777777" w:rsidR="00C91F25" w:rsidRPr="00263DB9" w:rsidRDefault="00C91F25" w:rsidP="008303F6">
            <w:pPr>
              <w:keepNext/>
              <w:keepLines/>
              <w:widowControl w:val="0"/>
              <w:suppressAutoHyphens/>
              <w:ind w:left="-108" w:right="-154"/>
              <w:jc w:val="center"/>
              <w:rPr>
                <w:color w:val="000000"/>
                <w:szCs w:val="22"/>
              </w:rPr>
            </w:pPr>
            <w:r w:rsidRPr="00263DB9">
              <w:rPr>
                <w:color w:val="000000"/>
                <w:szCs w:val="22"/>
              </w:rPr>
              <w:t>31% (25,2–36,8)</w:t>
            </w:r>
          </w:p>
          <w:p w14:paraId="375EB7A5" w14:textId="77777777" w:rsidR="00C91F25" w:rsidRPr="00263DB9" w:rsidRDefault="00C91F25" w:rsidP="008303F6">
            <w:pPr>
              <w:keepNext/>
              <w:keepLines/>
              <w:widowControl w:val="0"/>
              <w:suppressAutoHyphens/>
              <w:ind w:left="-108" w:right="-154"/>
              <w:jc w:val="center"/>
              <w:rPr>
                <w:color w:val="000000"/>
                <w:szCs w:val="22"/>
              </w:rPr>
            </w:pPr>
            <w:r w:rsidRPr="00263DB9">
              <w:rPr>
                <w:color w:val="000000"/>
                <w:szCs w:val="22"/>
              </w:rPr>
              <w:t>8%</w:t>
            </w:r>
          </w:p>
          <w:p w14:paraId="375EB7A6" w14:textId="77777777" w:rsidR="00C91F25" w:rsidRPr="00263DB9" w:rsidRDefault="00C91F25" w:rsidP="008303F6">
            <w:pPr>
              <w:keepNext/>
              <w:keepLines/>
              <w:widowControl w:val="0"/>
              <w:suppressAutoHyphens/>
              <w:ind w:left="-108" w:right="-154"/>
              <w:jc w:val="center"/>
              <w:rPr>
                <w:color w:val="000000"/>
                <w:szCs w:val="22"/>
              </w:rPr>
            </w:pPr>
          </w:p>
          <w:p w14:paraId="375EB7A7" w14:textId="77777777" w:rsidR="00C91F25" w:rsidRPr="00263DB9" w:rsidRDefault="00C91F25" w:rsidP="008303F6">
            <w:pPr>
              <w:keepNext/>
              <w:keepLines/>
              <w:widowControl w:val="0"/>
              <w:suppressAutoHyphens/>
              <w:ind w:left="-108" w:right="-154"/>
              <w:jc w:val="center"/>
              <w:rPr>
                <w:color w:val="000000"/>
                <w:szCs w:val="22"/>
              </w:rPr>
            </w:pPr>
            <w:r w:rsidRPr="00263DB9">
              <w:rPr>
                <w:color w:val="000000"/>
                <w:szCs w:val="22"/>
              </w:rPr>
              <w:t>5%</w:t>
            </w:r>
          </w:p>
          <w:p w14:paraId="375EB7A8" w14:textId="77777777" w:rsidR="00C91F25" w:rsidRPr="00263DB9" w:rsidRDefault="00C91F25" w:rsidP="008303F6">
            <w:pPr>
              <w:keepNext/>
              <w:keepLines/>
              <w:widowControl w:val="0"/>
              <w:suppressAutoHyphens/>
              <w:ind w:left="-108" w:right="-154"/>
              <w:jc w:val="center"/>
              <w:rPr>
                <w:color w:val="000000"/>
                <w:szCs w:val="22"/>
              </w:rPr>
            </w:pPr>
            <w:r w:rsidRPr="00263DB9">
              <w:rPr>
                <w:color w:val="000000"/>
                <w:szCs w:val="22"/>
              </w:rPr>
              <w:t>18%</w:t>
            </w:r>
          </w:p>
        </w:tc>
      </w:tr>
      <w:tr w:rsidR="00C91F25" w:rsidRPr="00263DB9" w14:paraId="375EB7BA" w14:textId="77777777" w:rsidTr="008303F6">
        <w:trPr>
          <w:cantSplit/>
        </w:trPr>
        <w:tc>
          <w:tcPr>
            <w:tcW w:w="3652" w:type="dxa"/>
          </w:tcPr>
          <w:p w14:paraId="375EB7AA" w14:textId="77777777" w:rsidR="00C91F25" w:rsidRPr="00263DB9" w:rsidRDefault="00C91F25" w:rsidP="008303F6">
            <w:pPr>
              <w:keepNext/>
              <w:keepLines/>
              <w:widowControl w:val="0"/>
              <w:suppressAutoHyphens/>
              <w:ind w:right="-108"/>
              <w:rPr>
                <w:color w:val="000000"/>
                <w:szCs w:val="22"/>
                <w:vertAlign w:val="superscript"/>
              </w:rPr>
            </w:pPr>
            <w:r w:rsidRPr="00263DB9">
              <w:rPr>
                <w:color w:val="000000"/>
                <w:szCs w:val="22"/>
              </w:rPr>
              <w:t xml:space="preserve">Resposta citogenética </w:t>
            </w:r>
            <w:r w:rsidRPr="00263DB9">
              <w:rPr>
                <w:i/>
                <w:iCs/>
                <w:color w:val="000000"/>
                <w:szCs w:val="22"/>
              </w:rPr>
              <w:t>major</w:t>
            </w:r>
            <w:r w:rsidRPr="00263DB9">
              <w:rPr>
                <w:color w:val="000000"/>
                <w:szCs w:val="22"/>
                <w:vertAlign w:val="superscript"/>
              </w:rPr>
              <w:t>2</w:t>
            </w:r>
          </w:p>
          <w:p w14:paraId="375EB7AB" w14:textId="77777777" w:rsidR="00C91F25" w:rsidRPr="00263DB9" w:rsidRDefault="00C91F25" w:rsidP="008303F6">
            <w:pPr>
              <w:keepNext/>
              <w:keepLines/>
              <w:widowControl w:val="0"/>
              <w:suppressAutoHyphens/>
              <w:ind w:right="-108"/>
              <w:rPr>
                <w:color w:val="000000"/>
                <w:szCs w:val="22"/>
              </w:rPr>
            </w:pPr>
            <w:r w:rsidRPr="00263DB9">
              <w:rPr>
                <w:color w:val="000000"/>
                <w:szCs w:val="22"/>
              </w:rPr>
              <w:tab/>
              <w:t>Completa</w:t>
            </w:r>
          </w:p>
          <w:p w14:paraId="375EB7AC" w14:textId="77777777" w:rsidR="00C91F25" w:rsidRPr="00263DB9" w:rsidRDefault="00C91F25" w:rsidP="008303F6">
            <w:pPr>
              <w:keepNext/>
              <w:keepLines/>
              <w:widowControl w:val="0"/>
              <w:suppressAutoHyphens/>
              <w:ind w:right="-108"/>
              <w:rPr>
                <w:color w:val="000000"/>
                <w:szCs w:val="22"/>
              </w:rPr>
            </w:pPr>
            <w:r w:rsidRPr="00263DB9">
              <w:rPr>
                <w:color w:val="000000"/>
                <w:szCs w:val="22"/>
              </w:rPr>
              <w:tab/>
              <w:t>(Confirmada</w:t>
            </w:r>
            <w:r w:rsidRPr="00263DB9">
              <w:rPr>
                <w:color w:val="000000"/>
                <w:szCs w:val="22"/>
                <w:vertAlign w:val="superscript"/>
              </w:rPr>
              <w:t>3</w:t>
            </w:r>
            <w:r w:rsidRPr="00263DB9">
              <w:rPr>
                <w:color w:val="000000"/>
                <w:szCs w:val="22"/>
              </w:rPr>
              <w:t xml:space="preserve">) </w:t>
            </w:r>
            <w:r w:rsidRPr="00263DB9">
              <w:rPr>
                <w:color w:val="000000"/>
                <w:szCs w:val="22"/>
              </w:rPr>
              <w:sym w:font="Symbol" w:char="F05B"/>
            </w:r>
            <w:r w:rsidRPr="00263DB9">
              <w:rPr>
                <w:color w:val="000000"/>
                <w:szCs w:val="22"/>
              </w:rPr>
              <w:t>IC 95%</w:t>
            </w:r>
            <w:r w:rsidRPr="00263DB9">
              <w:rPr>
                <w:color w:val="000000"/>
                <w:szCs w:val="22"/>
              </w:rPr>
              <w:sym w:font="Symbol" w:char="F05D"/>
            </w:r>
          </w:p>
          <w:p w14:paraId="375EB7AD" w14:textId="77777777" w:rsidR="00C91F25" w:rsidRPr="00263DB9" w:rsidRDefault="00C91F25" w:rsidP="008303F6">
            <w:pPr>
              <w:keepNext/>
              <w:keepLines/>
              <w:widowControl w:val="0"/>
              <w:suppressAutoHyphens/>
              <w:ind w:right="-108"/>
              <w:rPr>
                <w:color w:val="000000"/>
                <w:szCs w:val="22"/>
              </w:rPr>
            </w:pPr>
            <w:r w:rsidRPr="00263DB9">
              <w:rPr>
                <w:color w:val="000000"/>
                <w:szCs w:val="22"/>
              </w:rPr>
              <w:tab/>
              <w:t>Parcial</w:t>
            </w:r>
          </w:p>
        </w:tc>
        <w:tc>
          <w:tcPr>
            <w:tcW w:w="1985" w:type="dxa"/>
          </w:tcPr>
          <w:p w14:paraId="375EB7AE"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65% (61,2–69,5)</w:t>
            </w:r>
          </w:p>
          <w:p w14:paraId="375EB7AF"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53%</w:t>
            </w:r>
          </w:p>
          <w:p w14:paraId="375EB7B0"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 xml:space="preserve">(43%) </w:t>
            </w:r>
            <w:r w:rsidRPr="00263DB9">
              <w:rPr>
                <w:color w:val="000000"/>
                <w:szCs w:val="22"/>
              </w:rPr>
              <w:sym w:font="Symbol" w:char="F05B"/>
            </w:r>
            <w:r w:rsidRPr="00263DB9">
              <w:rPr>
                <w:color w:val="000000"/>
                <w:szCs w:val="22"/>
              </w:rPr>
              <w:t>38,6–47,2</w:t>
            </w:r>
            <w:r w:rsidRPr="00263DB9">
              <w:rPr>
                <w:color w:val="000000"/>
                <w:szCs w:val="22"/>
              </w:rPr>
              <w:sym w:font="Symbol" w:char="F05D"/>
            </w:r>
          </w:p>
          <w:p w14:paraId="375EB7B1"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12%</w:t>
            </w:r>
          </w:p>
        </w:tc>
        <w:tc>
          <w:tcPr>
            <w:tcW w:w="1984" w:type="dxa"/>
          </w:tcPr>
          <w:p w14:paraId="375EB7B2"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28% (22,0–33,9)</w:t>
            </w:r>
          </w:p>
          <w:p w14:paraId="375EB7B3"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20%</w:t>
            </w:r>
          </w:p>
          <w:p w14:paraId="375EB7B4"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 xml:space="preserve">(16%) </w:t>
            </w:r>
            <w:r w:rsidRPr="00263DB9">
              <w:rPr>
                <w:color w:val="000000"/>
                <w:szCs w:val="22"/>
              </w:rPr>
              <w:sym w:font="Symbol" w:char="F05B"/>
            </w:r>
            <w:r w:rsidRPr="00263DB9">
              <w:rPr>
                <w:color w:val="000000"/>
                <w:szCs w:val="22"/>
              </w:rPr>
              <w:t>11,3–21,0</w:t>
            </w:r>
            <w:r w:rsidRPr="00263DB9">
              <w:rPr>
                <w:color w:val="000000"/>
                <w:szCs w:val="22"/>
              </w:rPr>
              <w:sym w:font="Symbol" w:char="F05D"/>
            </w:r>
          </w:p>
          <w:p w14:paraId="375EB7B5" w14:textId="77777777" w:rsidR="00C91F25" w:rsidRPr="00263DB9" w:rsidRDefault="00C91F25" w:rsidP="008303F6">
            <w:pPr>
              <w:keepNext/>
              <w:keepLines/>
              <w:widowControl w:val="0"/>
              <w:suppressAutoHyphens/>
              <w:ind w:left="-108" w:right="-108"/>
              <w:jc w:val="center"/>
              <w:rPr>
                <w:color w:val="000000"/>
                <w:szCs w:val="22"/>
              </w:rPr>
            </w:pPr>
            <w:r w:rsidRPr="00263DB9">
              <w:rPr>
                <w:color w:val="000000"/>
                <w:szCs w:val="22"/>
              </w:rPr>
              <w:t>7%</w:t>
            </w:r>
          </w:p>
        </w:tc>
        <w:tc>
          <w:tcPr>
            <w:tcW w:w="1655" w:type="dxa"/>
          </w:tcPr>
          <w:p w14:paraId="375EB7B6" w14:textId="77777777" w:rsidR="00C91F25" w:rsidRPr="00263DB9" w:rsidRDefault="00C91F25" w:rsidP="008303F6">
            <w:pPr>
              <w:keepNext/>
              <w:keepLines/>
              <w:widowControl w:val="0"/>
              <w:suppressAutoHyphens/>
              <w:ind w:left="-108" w:right="-154"/>
              <w:jc w:val="center"/>
              <w:rPr>
                <w:color w:val="000000"/>
                <w:szCs w:val="22"/>
              </w:rPr>
            </w:pPr>
            <w:r w:rsidRPr="00263DB9">
              <w:rPr>
                <w:color w:val="000000"/>
                <w:szCs w:val="22"/>
              </w:rPr>
              <w:t>15% (11,2–20,4)</w:t>
            </w:r>
          </w:p>
          <w:p w14:paraId="375EB7B7" w14:textId="77777777" w:rsidR="00C91F25" w:rsidRPr="00263DB9" w:rsidRDefault="00C91F25" w:rsidP="008303F6">
            <w:pPr>
              <w:keepNext/>
              <w:keepLines/>
              <w:widowControl w:val="0"/>
              <w:suppressAutoHyphens/>
              <w:ind w:left="-108" w:right="-154"/>
              <w:jc w:val="center"/>
              <w:rPr>
                <w:color w:val="000000"/>
                <w:szCs w:val="22"/>
              </w:rPr>
            </w:pPr>
            <w:r w:rsidRPr="00263DB9">
              <w:rPr>
                <w:color w:val="000000"/>
                <w:szCs w:val="22"/>
              </w:rPr>
              <w:t>7%</w:t>
            </w:r>
          </w:p>
          <w:p w14:paraId="375EB7B8" w14:textId="77777777" w:rsidR="00C91F25" w:rsidRPr="00263DB9" w:rsidRDefault="00C91F25" w:rsidP="008303F6">
            <w:pPr>
              <w:keepNext/>
              <w:keepLines/>
              <w:widowControl w:val="0"/>
              <w:suppressAutoHyphens/>
              <w:ind w:left="-108" w:right="-154"/>
              <w:jc w:val="center"/>
              <w:rPr>
                <w:color w:val="000000"/>
                <w:szCs w:val="22"/>
              </w:rPr>
            </w:pPr>
            <w:r w:rsidRPr="00263DB9">
              <w:rPr>
                <w:color w:val="000000"/>
                <w:szCs w:val="22"/>
              </w:rPr>
              <w:t xml:space="preserve">(2%) </w:t>
            </w:r>
            <w:r w:rsidRPr="00263DB9">
              <w:rPr>
                <w:color w:val="000000"/>
                <w:szCs w:val="22"/>
              </w:rPr>
              <w:sym w:font="Symbol" w:char="F05B"/>
            </w:r>
            <w:r w:rsidRPr="00263DB9">
              <w:rPr>
                <w:color w:val="000000"/>
                <w:szCs w:val="22"/>
              </w:rPr>
              <w:t>0,6–4,4</w:t>
            </w:r>
            <w:r w:rsidRPr="00263DB9">
              <w:rPr>
                <w:color w:val="000000"/>
                <w:szCs w:val="22"/>
              </w:rPr>
              <w:sym w:font="Symbol" w:char="F05D"/>
            </w:r>
          </w:p>
          <w:p w14:paraId="375EB7B9" w14:textId="77777777" w:rsidR="00C91F25" w:rsidRPr="00263DB9" w:rsidRDefault="00C91F25" w:rsidP="008303F6">
            <w:pPr>
              <w:keepNext/>
              <w:keepLines/>
              <w:widowControl w:val="0"/>
              <w:suppressAutoHyphens/>
              <w:ind w:left="-108" w:right="-154"/>
              <w:jc w:val="center"/>
              <w:rPr>
                <w:color w:val="000000"/>
                <w:szCs w:val="22"/>
              </w:rPr>
            </w:pPr>
            <w:r w:rsidRPr="00263DB9">
              <w:rPr>
                <w:color w:val="000000"/>
                <w:szCs w:val="22"/>
              </w:rPr>
              <w:t>8%</w:t>
            </w:r>
          </w:p>
        </w:tc>
      </w:tr>
      <w:tr w:rsidR="00C91F25" w:rsidRPr="00263DB9" w14:paraId="375EB7C3" w14:textId="77777777" w:rsidTr="008303F6">
        <w:trPr>
          <w:cantSplit/>
        </w:trPr>
        <w:tc>
          <w:tcPr>
            <w:tcW w:w="9276" w:type="dxa"/>
            <w:gridSpan w:val="4"/>
          </w:tcPr>
          <w:p w14:paraId="375EB7BB" w14:textId="77777777" w:rsidR="00C91F25" w:rsidRPr="00263DB9" w:rsidRDefault="00C91F25" w:rsidP="008303F6">
            <w:pPr>
              <w:keepNext/>
              <w:keepLines/>
              <w:widowControl w:val="0"/>
              <w:suppressAutoHyphens/>
              <w:rPr>
                <w:color w:val="000000"/>
                <w:szCs w:val="22"/>
              </w:rPr>
            </w:pPr>
            <w:r w:rsidRPr="00263DB9">
              <w:rPr>
                <w:b/>
                <w:color w:val="000000"/>
                <w:szCs w:val="22"/>
                <w:vertAlign w:val="superscript"/>
              </w:rPr>
              <w:t>1</w:t>
            </w:r>
            <w:r w:rsidRPr="00263DB9">
              <w:rPr>
                <w:b/>
                <w:color w:val="000000"/>
                <w:szCs w:val="22"/>
              </w:rPr>
              <w:t xml:space="preserve">Critérios para a resposta hematológica (todas as respostas a ser confirmadas após </w:t>
            </w:r>
            <w:r w:rsidRPr="00263DB9">
              <w:rPr>
                <w:b/>
                <w:color w:val="000000"/>
                <w:szCs w:val="22"/>
              </w:rPr>
              <w:sym w:font="Symbol" w:char="F0B3"/>
            </w:r>
            <w:r w:rsidRPr="00263DB9">
              <w:rPr>
                <w:b/>
                <w:color w:val="000000"/>
                <w:szCs w:val="22"/>
              </w:rPr>
              <w:t> 4 semanas):</w:t>
            </w:r>
          </w:p>
          <w:p w14:paraId="375EB7BC" w14:textId="77777777" w:rsidR="00C91F25" w:rsidRPr="00263DB9" w:rsidRDefault="00C91F25" w:rsidP="008303F6">
            <w:pPr>
              <w:keepNext/>
              <w:keepLines/>
              <w:widowControl w:val="0"/>
              <w:suppressAutoHyphens/>
              <w:ind w:left="709" w:hanging="709"/>
              <w:rPr>
                <w:color w:val="000000"/>
                <w:szCs w:val="22"/>
              </w:rPr>
            </w:pPr>
            <w:r w:rsidRPr="00263DB9">
              <w:rPr>
                <w:color w:val="000000"/>
                <w:szCs w:val="22"/>
              </w:rPr>
              <w:t>CHR:</w:t>
            </w:r>
            <w:r w:rsidRPr="00263DB9">
              <w:rPr>
                <w:color w:val="000000"/>
                <w:szCs w:val="22"/>
              </w:rPr>
              <w:tab/>
              <w:t>Estudo 0110 [WBC &lt; 10 x 10</w:t>
            </w:r>
            <w:r w:rsidRPr="00263DB9">
              <w:rPr>
                <w:color w:val="000000"/>
                <w:szCs w:val="22"/>
                <w:vertAlign w:val="superscript"/>
              </w:rPr>
              <w:t>9</w:t>
            </w:r>
            <w:r w:rsidRPr="00263DB9">
              <w:rPr>
                <w:color w:val="000000"/>
                <w:szCs w:val="22"/>
              </w:rPr>
              <w:t>/l, plaquetas &lt; 450 x 10</w:t>
            </w:r>
            <w:r w:rsidRPr="00263DB9">
              <w:rPr>
                <w:color w:val="000000"/>
                <w:szCs w:val="22"/>
                <w:vertAlign w:val="superscript"/>
              </w:rPr>
              <w:t>9</w:t>
            </w:r>
            <w:r w:rsidRPr="00263DB9">
              <w:rPr>
                <w:color w:val="000000"/>
                <w:szCs w:val="22"/>
              </w:rPr>
              <w:t>/l, mielócitos+metamielócitos &lt; 5% no sangue, ausência de blastos e promielócitos no sangue, basófilos &lt; 20%, sem envolvimento extramedular</w:t>
            </w:r>
            <w:r w:rsidRPr="00263DB9">
              <w:rPr>
                <w:color w:val="000000"/>
                <w:szCs w:val="22"/>
              </w:rPr>
              <w:sym w:font="Symbol" w:char="F05D"/>
            </w:r>
            <w:r w:rsidRPr="00263DB9">
              <w:rPr>
                <w:color w:val="000000"/>
                <w:szCs w:val="22"/>
              </w:rPr>
              <w:t xml:space="preserve"> e nos estudos 0102 e 0109 [ANC </w:t>
            </w:r>
            <w:r w:rsidRPr="00263DB9">
              <w:rPr>
                <w:color w:val="000000"/>
                <w:szCs w:val="22"/>
              </w:rPr>
              <w:sym w:font="Symbol" w:char="F0B3"/>
            </w:r>
            <w:r w:rsidRPr="00263DB9">
              <w:rPr>
                <w:color w:val="000000"/>
                <w:szCs w:val="22"/>
              </w:rPr>
              <w:t> 1,5 x 10</w:t>
            </w:r>
            <w:r w:rsidRPr="00263DB9">
              <w:rPr>
                <w:color w:val="000000"/>
                <w:szCs w:val="22"/>
                <w:vertAlign w:val="superscript"/>
              </w:rPr>
              <w:t>9</w:t>
            </w:r>
            <w:r w:rsidRPr="00263DB9">
              <w:rPr>
                <w:color w:val="000000"/>
                <w:szCs w:val="22"/>
              </w:rPr>
              <w:t xml:space="preserve">/l, plaquetas </w:t>
            </w:r>
            <w:r w:rsidRPr="00263DB9">
              <w:rPr>
                <w:color w:val="000000"/>
                <w:szCs w:val="22"/>
              </w:rPr>
              <w:sym w:font="Symbol" w:char="F0B3"/>
            </w:r>
            <w:r w:rsidRPr="00263DB9">
              <w:rPr>
                <w:color w:val="000000"/>
                <w:szCs w:val="22"/>
              </w:rPr>
              <w:t> 100 x 10</w:t>
            </w:r>
            <w:r w:rsidRPr="00263DB9">
              <w:rPr>
                <w:color w:val="000000"/>
                <w:szCs w:val="22"/>
                <w:vertAlign w:val="superscript"/>
              </w:rPr>
              <w:t>9</w:t>
            </w:r>
            <w:r w:rsidRPr="00263DB9">
              <w:rPr>
                <w:color w:val="000000"/>
                <w:szCs w:val="22"/>
              </w:rPr>
              <w:t>/l, ausência de blastos no sangue, blastos da MO &lt; 5%, ausência de doença extramedular</w:t>
            </w:r>
            <w:r w:rsidRPr="00263DB9">
              <w:rPr>
                <w:color w:val="000000"/>
                <w:szCs w:val="22"/>
              </w:rPr>
              <w:sym w:font="Symbol" w:char="F05D"/>
            </w:r>
          </w:p>
          <w:p w14:paraId="375EB7BD" w14:textId="77777777" w:rsidR="00C91F25" w:rsidRPr="00263DB9" w:rsidRDefault="00C91F25" w:rsidP="008303F6">
            <w:pPr>
              <w:keepNext/>
              <w:keepLines/>
              <w:widowControl w:val="0"/>
              <w:suppressAutoHyphens/>
              <w:ind w:left="709" w:hanging="709"/>
              <w:rPr>
                <w:color w:val="000000"/>
                <w:szCs w:val="22"/>
              </w:rPr>
            </w:pPr>
            <w:r w:rsidRPr="00263DB9">
              <w:rPr>
                <w:color w:val="000000"/>
                <w:szCs w:val="22"/>
              </w:rPr>
              <w:t>NEL:</w:t>
            </w:r>
            <w:r w:rsidRPr="00263DB9">
              <w:rPr>
                <w:color w:val="000000"/>
                <w:szCs w:val="22"/>
              </w:rPr>
              <w:tab/>
              <w:t xml:space="preserve">Mesmos critérios que a CHR mas ANC </w:t>
            </w:r>
            <w:r w:rsidRPr="00263DB9">
              <w:rPr>
                <w:color w:val="000000"/>
                <w:szCs w:val="22"/>
              </w:rPr>
              <w:sym w:font="Symbol" w:char="F0B3"/>
            </w:r>
            <w:r w:rsidRPr="00263DB9">
              <w:rPr>
                <w:color w:val="000000"/>
                <w:szCs w:val="22"/>
              </w:rPr>
              <w:t> 1 x 10</w:t>
            </w:r>
            <w:r w:rsidRPr="00263DB9">
              <w:rPr>
                <w:color w:val="000000"/>
                <w:szCs w:val="22"/>
                <w:vertAlign w:val="superscript"/>
              </w:rPr>
              <w:t>9</w:t>
            </w:r>
            <w:r w:rsidRPr="00263DB9">
              <w:rPr>
                <w:color w:val="000000"/>
                <w:szCs w:val="22"/>
              </w:rPr>
              <w:t xml:space="preserve">/l e plaquetas </w:t>
            </w:r>
            <w:r w:rsidRPr="00263DB9">
              <w:rPr>
                <w:color w:val="000000"/>
                <w:szCs w:val="22"/>
              </w:rPr>
              <w:sym w:font="Symbol" w:char="F0B3"/>
            </w:r>
            <w:r w:rsidRPr="00263DB9">
              <w:rPr>
                <w:color w:val="000000"/>
                <w:szCs w:val="22"/>
              </w:rPr>
              <w:t> 20 x 10</w:t>
            </w:r>
            <w:r w:rsidRPr="00263DB9">
              <w:rPr>
                <w:color w:val="000000"/>
                <w:szCs w:val="22"/>
                <w:vertAlign w:val="superscript"/>
              </w:rPr>
              <w:t>9</w:t>
            </w:r>
            <w:r w:rsidRPr="00263DB9">
              <w:rPr>
                <w:color w:val="000000"/>
                <w:szCs w:val="22"/>
              </w:rPr>
              <w:t>/l (apenas 0102 e 0109)</w:t>
            </w:r>
          </w:p>
          <w:p w14:paraId="375EB7BE" w14:textId="77777777" w:rsidR="00C91F25" w:rsidRPr="00263DB9" w:rsidRDefault="00C91F25" w:rsidP="008303F6">
            <w:pPr>
              <w:keepNext/>
              <w:keepLines/>
              <w:widowControl w:val="0"/>
              <w:suppressAutoHyphens/>
              <w:ind w:left="709" w:hanging="709"/>
              <w:rPr>
                <w:color w:val="000000"/>
                <w:szCs w:val="22"/>
              </w:rPr>
            </w:pPr>
            <w:r w:rsidRPr="00263DB9">
              <w:rPr>
                <w:color w:val="000000"/>
                <w:szCs w:val="22"/>
              </w:rPr>
              <w:t>RTC:</w:t>
            </w:r>
            <w:r w:rsidRPr="00263DB9">
              <w:rPr>
                <w:color w:val="000000"/>
                <w:szCs w:val="22"/>
              </w:rPr>
              <w:tab/>
              <w:t>&lt; 15% blastos MO e SP, &lt; 30% blastos+promielócitos na MO e SP, &lt; 20% basófilos no SP, ausência de doença extramedular para além da esplénica e hepática (apenas para 0102 e 0109).</w:t>
            </w:r>
          </w:p>
          <w:p w14:paraId="375EB7BF" w14:textId="77777777" w:rsidR="00C91F25" w:rsidRPr="00263DB9" w:rsidRDefault="00C91F25" w:rsidP="008303F6">
            <w:pPr>
              <w:keepNext/>
              <w:keepLines/>
              <w:widowControl w:val="0"/>
              <w:suppressAutoHyphens/>
              <w:ind w:left="709" w:hanging="709"/>
              <w:rPr>
                <w:color w:val="000000"/>
                <w:szCs w:val="22"/>
              </w:rPr>
            </w:pPr>
            <w:r w:rsidRPr="00263DB9">
              <w:rPr>
                <w:color w:val="000000"/>
                <w:szCs w:val="22"/>
              </w:rPr>
              <w:t>MO = medula óssea, SP = sangue periférico</w:t>
            </w:r>
          </w:p>
          <w:p w14:paraId="375EB7C0" w14:textId="77777777" w:rsidR="00C91F25" w:rsidRPr="00263DB9" w:rsidRDefault="00C91F25" w:rsidP="008303F6">
            <w:pPr>
              <w:keepNext/>
              <w:keepLines/>
              <w:widowControl w:val="0"/>
              <w:suppressAutoHyphens/>
              <w:ind w:left="709" w:hanging="709"/>
              <w:rPr>
                <w:color w:val="000000"/>
                <w:szCs w:val="22"/>
              </w:rPr>
            </w:pPr>
            <w:r w:rsidRPr="00263DB9">
              <w:rPr>
                <w:b/>
                <w:color w:val="000000"/>
                <w:szCs w:val="22"/>
                <w:vertAlign w:val="superscript"/>
              </w:rPr>
              <w:t>2</w:t>
            </w:r>
            <w:r w:rsidRPr="00263DB9">
              <w:rPr>
                <w:b/>
                <w:color w:val="000000"/>
                <w:szCs w:val="22"/>
              </w:rPr>
              <w:t>Critérios para a resposta citogenética:</w:t>
            </w:r>
          </w:p>
          <w:p w14:paraId="375EB7C1" w14:textId="77777777" w:rsidR="00C91F25" w:rsidRPr="00263DB9" w:rsidRDefault="00C91F25" w:rsidP="008303F6">
            <w:pPr>
              <w:keepNext/>
              <w:keepLines/>
              <w:widowControl w:val="0"/>
              <w:suppressAutoHyphens/>
              <w:rPr>
                <w:color w:val="000000"/>
                <w:szCs w:val="22"/>
              </w:rPr>
            </w:pPr>
            <w:r w:rsidRPr="00263DB9">
              <w:rPr>
                <w:color w:val="000000"/>
                <w:szCs w:val="22"/>
              </w:rPr>
              <w:t xml:space="preserve">Uma resposta </w:t>
            </w:r>
            <w:r w:rsidRPr="00263DB9">
              <w:rPr>
                <w:i/>
                <w:iCs/>
                <w:color w:val="000000"/>
                <w:szCs w:val="22"/>
              </w:rPr>
              <w:t>major</w:t>
            </w:r>
            <w:r w:rsidRPr="00263DB9">
              <w:rPr>
                <w:color w:val="000000"/>
                <w:szCs w:val="22"/>
              </w:rPr>
              <w:t xml:space="preserve"> combina as respostas completa e parcial: completa (0% metafases Ph+), parcial (1–35%).</w:t>
            </w:r>
          </w:p>
          <w:p w14:paraId="375EB7C2" w14:textId="77777777" w:rsidR="00C91F25" w:rsidRPr="00263DB9" w:rsidRDefault="00C91F25" w:rsidP="008303F6">
            <w:pPr>
              <w:keepNext/>
              <w:keepLines/>
              <w:widowControl w:val="0"/>
              <w:suppressAutoHyphens/>
              <w:rPr>
                <w:color w:val="000000"/>
                <w:szCs w:val="22"/>
              </w:rPr>
            </w:pPr>
            <w:r w:rsidRPr="00263DB9">
              <w:rPr>
                <w:color w:val="000000"/>
                <w:szCs w:val="22"/>
                <w:vertAlign w:val="superscript"/>
              </w:rPr>
              <w:t>3</w:t>
            </w:r>
            <w:r w:rsidRPr="00263DB9">
              <w:rPr>
                <w:color w:val="000000"/>
                <w:szCs w:val="22"/>
              </w:rPr>
              <w:t xml:space="preserve"> Resposta citogenética completa confirmada através de segunda avaliação citogenética da medula óssea, realizada pelo menos um mês após o estudo inicial na medula óssea.</w:t>
            </w:r>
          </w:p>
        </w:tc>
      </w:tr>
    </w:tbl>
    <w:p w14:paraId="375EB7C4" w14:textId="77777777" w:rsidR="00C91F25" w:rsidRPr="00263DB9" w:rsidRDefault="00C91F25" w:rsidP="00E51817">
      <w:pPr>
        <w:widowControl w:val="0"/>
        <w:suppressAutoHyphens/>
        <w:rPr>
          <w:color w:val="000000"/>
          <w:szCs w:val="22"/>
        </w:rPr>
      </w:pPr>
    </w:p>
    <w:p w14:paraId="375EB7C5" w14:textId="77777777" w:rsidR="00C91F25" w:rsidRPr="00263DB9" w:rsidRDefault="00C91F25" w:rsidP="00E51817">
      <w:pPr>
        <w:widowControl w:val="0"/>
        <w:suppressAutoHyphens/>
        <w:rPr>
          <w:color w:val="000000"/>
          <w:szCs w:val="22"/>
        </w:rPr>
      </w:pPr>
      <w:r w:rsidRPr="00263DB9">
        <w:rPr>
          <w:i/>
          <w:color w:val="000000"/>
          <w:szCs w:val="22"/>
        </w:rPr>
        <w:t>Doentes pediátricos</w:t>
      </w:r>
      <w:r w:rsidRPr="00263DB9">
        <w:rPr>
          <w:color w:val="000000"/>
          <w:szCs w:val="22"/>
        </w:rPr>
        <w:t>: foram incluídos um total de 26 doentes pediátricos de idade inferior a 18 anos, com LMC em fase crónica (n=11) ou LMC em fase de crise blástica ou com leucemia aguda Ph+ (n=15), num ensaio de fase I de determinação de dose. Esta população de doentes teve tratamento prévio intenso, pois 46% tinham sido sujeitos a transplante de medula óssea e 73% tinham feito multiquimioterapia. Os doentes foram tratados com Glivec em doses de 260 mg/m</w:t>
      </w:r>
      <w:r w:rsidRPr="00263DB9">
        <w:rPr>
          <w:color w:val="000000"/>
          <w:szCs w:val="22"/>
          <w:vertAlign w:val="superscript"/>
        </w:rPr>
        <w:t>2</w:t>
      </w:r>
      <w:r w:rsidRPr="00263DB9">
        <w:rPr>
          <w:color w:val="000000"/>
          <w:szCs w:val="22"/>
        </w:rPr>
        <w:t xml:space="preserve"> por dia (n=5), 340 mg/m</w:t>
      </w:r>
      <w:r w:rsidRPr="00263DB9">
        <w:rPr>
          <w:color w:val="000000"/>
          <w:szCs w:val="22"/>
          <w:vertAlign w:val="superscript"/>
        </w:rPr>
        <w:t>2</w:t>
      </w:r>
      <w:r w:rsidRPr="00263DB9">
        <w:rPr>
          <w:color w:val="000000"/>
          <w:szCs w:val="22"/>
        </w:rPr>
        <w:t xml:space="preserve"> por dia (n=9), 440 mg/m</w:t>
      </w:r>
      <w:r w:rsidRPr="00263DB9">
        <w:rPr>
          <w:color w:val="000000"/>
          <w:szCs w:val="22"/>
          <w:vertAlign w:val="superscript"/>
        </w:rPr>
        <w:t>2</w:t>
      </w:r>
      <w:r w:rsidRPr="00263DB9">
        <w:rPr>
          <w:color w:val="000000"/>
          <w:szCs w:val="22"/>
        </w:rPr>
        <w:t xml:space="preserve"> por dia (n=7) e 570 mg/m</w:t>
      </w:r>
      <w:r w:rsidRPr="00263DB9">
        <w:rPr>
          <w:color w:val="000000"/>
          <w:szCs w:val="22"/>
          <w:vertAlign w:val="superscript"/>
        </w:rPr>
        <w:t>2</w:t>
      </w:r>
      <w:r w:rsidRPr="00263DB9">
        <w:rPr>
          <w:color w:val="000000"/>
          <w:szCs w:val="22"/>
        </w:rPr>
        <w:t xml:space="preserve"> por dia (n=5). De entre 9 doentes com LMC em fase crónica e resultados relativos à resposta citogenética disponíveis, 4 (44%) e 3 (33%) atingiram resposta citogenética completa e parcial, respetivamente, com uma taxa de MCyR de 77%.</w:t>
      </w:r>
    </w:p>
    <w:p w14:paraId="375EB7C6" w14:textId="77777777" w:rsidR="00C91F25" w:rsidRPr="00263DB9" w:rsidRDefault="00C91F25" w:rsidP="00E51817">
      <w:pPr>
        <w:widowControl w:val="0"/>
        <w:suppressAutoHyphens/>
        <w:rPr>
          <w:color w:val="000000"/>
          <w:szCs w:val="22"/>
        </w:rPr>
      </w:pPr>
    </w:p>
    <w:p w14:paraId="375EB7C7" w14:textId="77777777" w:rsidR="00C91F25" w:rsidRPr="00263DB9" w:rsidRDefault="00C91F25" w:rsidP="00E51817">
      <w:pPr>
        <w:widowControl w:val="0"/>
        <w:suppressAutoHyphens/>
        <w:rPr>
          <w:color w:val="000000"/>
          <w:szCs w:val="22"/>
        </w:rPr>
      </w:pPr>
      <w:r w:rsidRPr="00263DB9">
        <w:rPr>
          <w:color w:val="000000"/>
          <w:szCs w:val="22"/>
        </w:rPr>
        <w:lastRenderedPageBreak/>
        <w:t>Um total de 51 doentes pediátricos diagnosticados de novo com LMC e com LMC em fase crónica não tratada foram incluidos num ensaio multicêntrico de fase II, aberto, com braço único. Os doentes foram tratados com Glivec em doses de 340 mg/m</w:t>
      </w:r>
      <w:r w:rsidRPr="00263DB9">
        <w:rPr>
          <w:color w:val="000000"/>
          <w:szCs w:val="22"/>
          <w:vertAlign w:val="superscript"/>
        </w:rPr>
        <w:t>2</w:t>
      </w:r>
      <w:r w:rsidRPr="00263DB9">
        <w:rPr>
          <w:color w:val="000000"/>
          <w:szCs w:val="22"/>
        </w:rPr>
        <w:t xml:space="preserve"> por dia, sem interrupações na ausência de toxicidade condicionada pela dose. O tratamento com Glivec induz uma resposta rápida em doentes pediátricos diagnosticados de novo com LMC com uma CHR de 78% após 8 semanas de tratamento. A taxa elevada de CHR é acompanhada pelo desenvolvimento de uma resposta citogenética completa (CCyR) de 65% a qual é comparável com os resultados observados nos adultos. Adicionalmente, a resposta citogenética parcial (PCyR) foi observada em 16% para uma MCyR de 81%. A maioria dos doentes que atingiram uma CCyR desenvolveram a CCyR entre 3 a 10 meses com uma mediana de tempo de resposta, baseado na estimativa de Kaplan-Meier, de 5,6 meses.</w:t>
      </w:r>
    </w:p>
    <w:p w14:paraId="375EB7C8" w14:textId="77777777" w:rsidR="00C91F25" w:rsidRPr="00263DB9" w:rsidRDefault="00C91F25" w:rsidP="00E51817">
      <w:pPr>
        <w:widowControl w:val="0"/>
        <w:suppressAutoHyphens/>
        <w:rPr>
          <w:color w:val="000000"/>
          <w:szCs w:val="22"/>
        </w:rPr>
      </w:pPr>
    </w:p>
    <w:p w14:paraId="375EB7C9" w14:textId="77777777" w:rsidR="00C91F25" w:rsidRPr="00263DB9" w:rsidRDefault="00C91F25" w:rsidP="00E51817">
      <w:pPr>
        <w:widowControl w:val="0"/>
        <w:suppressAutoHyphens/>
        <w:rPr>
          <w:color w:val="000000"/>
          <w:szCs w:val="22"/>
        </w:rPr>
      </w:pPr>
      <w:r w:rsidRPr="00263DB9">
        <w:rPr>
          <w:color w:val="000000"/>
          <w:szCs w:val="22"/>
        </w:rPr>
        <w:t>A Agência Europeia de Medicamentos dispensou a obrigação de apresentação dos resultados dos estudos com Glivec em todos os sub-grupos da população pediátrica com leucemia mieloide crónica cromossoma de Filadélfia (translocação bcr-abl) positiva (ver secção 4.2 para informação sobre utilização pediátrica).</w:t>
      </w:r>
    </w:p>
    <w:p w14:paraId="375EB7CA" w14:textId="77777777" w:rsidR="00C91F25" w:rsidRPr="00263DB9" w:rsidRDefault="00C91F25" w:rsidP="00E51817">
      <w:pPr>
        <w:widowControl w:val="0"/>
        <w:suppressAutoHyphens/>
        <w:rPr>
          <w:color w:val="000000"/>
          <w:szCs w:val="22"/>
        </w:rPr>
      </w:pPr>
    </w:p>
    <w:p w14:paraId="375EB7CB" w14:textId="77777777" w:rsidR="00C91F25" w:rsidRPr="00263DB9" w:rsidRDefault="00C91F25" w:rsidP="008303F6">
      <w:pPr>
        <w:keepNext/>
        <w:widowControl w:val="0"/>
        <w:suppressAutoHyphens/>
        <w:rPr>
          <w:color w:val="000000"/>
          <w:szCs w:val="22"/>
          <w:u w:val="single"/>
        </w:rPr>
      </w:pPr>
      <w:r w:rsidRPr="00263DB9">
        <w:rPr>
          <w:color w:val="000000"/>
          <w:szCs w:val="22"/>
          <w:u w:val="single"/>
        </w:rPr>
        <w:t>Ensaios clínicos em LLA Ph+</w:t>
      </w:r>
    </w:p>
    <w:p w14:paraId="375EB7CC" w14:textId="77777777" w:rsidR="00C91F25" w:rsidRPr="00263DB9" w:rsidRDefault="00C91F25" w:rsidP="00E51817">
      <w:pPr>
        <w:widowControl w:val="0"/>
        <w:suppressAutoHyphens/>
        <w:rPr>
          <w:color w:val="000000"/>
          <w:szCs w:val="22"/>
        </w:rPr>
      </w:pPr>
      <w:r w:rsidRPr="00263DB9">
        <w:rPr>
          <w:i/>
          <w:color w:val="000000"/>
          <w:szCs w:val="22"/>
        </w:rPr>
        <w:t>LLA Ph+ diagnosticado de novo</w:t>
      </w:r>
      <w:r w:rsidRPr="00263DB9">
        <w:rPr>
          <w:color w:val="000000"/>
          <w:szCs w:val="22"/>
        </w:rPr>
        <w:t>: Num estudo controlado (ADE10) de imatinib versus a quimioterapia de indução em 55 doentes diagnosticados de novo, com 55 anos ou mais, o imatinib utilizado em monoterapia induziu uma taxa de resposta hematológica significativamente maior que a quimioterapia (96,3% vs 50%; p=0,0001). Quando o tratamento de salvação com imatinib foi administrado em doentes que não responderam ou que responderam pouco à quimioterapia, resultou que em 9 doentes (81,8%) num total de 11 alcançaram uma resposta hematológica completa. Este efeito clínico foi associado a uma redução mais elevada das transcrições bcr-abl em doentes tratados com imatinib comparativamente com o braço da quimioterapia após 2 semanas de tratamento (p=0,02). Todos os doentes receberam imatinib e quimioterapia de consolidação (ver Tabela </w:t>
      </w:r>
      <w:r w:rsidR="00445D6F" w:rsidRPr="00263DB9">
        <w:rPr>
          <w:color w:val="000000"/>
          <w:szCs w:val="22"/>
        </w:rPr>
        <w:t>4</w:t>
      </w:r>
      <w:r w:rsidRPr="00263DB9">
        <w:rPr>
          <w:color w:val="000000"/>
          <w:szCs w:val="22"/>
        </w:rPr>
        <w:t>) após indução e os níveis de transcrições bcr-abl foram idênticos nos dois braços na 8ª semana. Como previsto com base no desenho do estudo, não se observaram diferenças na duração de remissão, sobrevivência livre de doença e sobrevivência global, contudo os doentes com resposta molecular completa e permanecendo na doença residual mínima obtiveram melhores resultados tanto na duração de remissão (p=0,01) como na sobrevivência sem doença (p=0,02).</w:t>
      </w:r>
    </w:p>
    <w:p w14:paraId="375EB7CD" w14:textId="77777777" w:rsidR="00C91F25" w:rsidRPr="00263DB9" w:rsidRDefault="00C91F25" w:rsidP="00E51817">
      <w:pPr>
        <w:widowControl w:val="0"/>
        <w:suppressAutoHyphens/>
        <w:rPr>
          <w:color w:val="000000"/>
          <w:szCs w:val="22"/>
        </w:rPr>
      </w:pPr>
    </w:p>
    <w:p w14:paraId="375EB7CE" w14:textId="77777777" w:rsidR="00C91F25" w:rsidRPr="00263DB9" w:rsidRDefault="00C91F25" w:rsidP="00E51817">
      <w:pPr>
        <w:widowControl w:val="0"/>
        <w:suppressAutoHyphens/>
        <w:rPr>
          <w:color w:val="000000"/>
          <w:szCs w:val="22"/>
        </w:rPr>
      </w:pPr>
      <w:r w:rsidRPr="00263DB9">
        <w:rPr>
          <w:color w:val="000000"/>
          <w:szCs w:val="22"/>
        </w:rPr>
        <w:t>Os resultados observados numa população de 211 doentes LLA Ph+ diagnosticados de novo em quatro ensaios clínicos não controlados (AAU02, ADE04, AJP01 e AUS01) são consistentes com os resultados acima descritos. O imatinib em associação com a quimioterapia de indução (ver Tabela </w:t>
      </w:r>
      <w:r w:rsidR="00445D6F" w:rsidRPr="00263DB9">
        <w:rPr>
          <w:color w:val="000000"/>
          <w:szCs w:val="22"/>
        </w:rPr>
        <w:t>4</w:t>
      </w:r>
      <w:r w:rsidRPr="00263DB9">
        <w:rPr>
          <w:color w:val="000000"/>
          <w:szCs w:val="22"/>
        </w:rPr>
        <w:t xml:space="preserve">) originou uma taxa de resposta hematológica completa de 93% (147 de 158 doentes avaliados) e uma taxa de resposta citogénica </w:t>
      </w:r>
      <w:r w:rsidRPr="00263DB9">
        <w:rPr>
          <w:i/>
          <w:iCs/>
          <w:color w:val="000000"/>
          <w:szCs w:val="22"/>
        </w:rPr>
        <w:t>major</w:t>
      </w:r>
      <w:r w:rsidRPr="00263DB9">
        <w:rPr>
          <w:color w:val="000000"/>
          <w:szCs w:val="22"/>
        </w:rPr>
        <w:t xml:space="preserve"> de 90% (19 em 21 doentes avaliados). A taxa de resposta molecular completa foi de 48% (49 de 102 doentes avaliados). A sobrevivência livre de doença (DFS) e a sobrevivência global (OS) excedeu constantemente 1 ano e foi superior ao controlo histórico (DFS p&lt;0,001, OS p&lt;0,0001) em 2 estudos (AJP01 e AUS01).</w:t>
      </w:r>
    </w:p>
    <w:p w14:paraId="375EB7CF" w14:textId="77777777" w:rsidR="00C91F25" w:rsidRPr="00263DB9" w:rsidRDefault="00C91F25" w:rsidP="00E51817">
      <w:pPr>
        <w:widowControl w:val="0"/>
        <w:suppressAutoHyphens/>
        <w:rPr>
          <w:color w:val="000000"/>
          <w:szCs w:val="22"/>
        </w:rPr>
      </w:pPr>
    </w:p>
    <w:p w14:paraId="375EB7D0" w14:textId="77777777" w:rsidR="00C91F25" w:rsidRPr="00263DB9" w:rsidRDefault="00C91F25" w:rsidP="008303F6">
      <w:pPr>
        <w:keepNext/>
        <w:widowControl w:val="0"/>
        <w:suppressAutoHyphens/>
        <w:rPr>
          <w:b/>
          <w:color w:val="000000"/>
          <w:szCs w:val="22"/>
        </w:rPr>
      </w:pPr>
      <w:r w:rsidRPr="00263DB9">
        <w:rPr>
          <w:b/>
          <w:color w:val="000000"/>
          <w:szCs w:val="22"/>
        </w:rPr>
        <w:lastRenderedPageBreak/>
        <w:t>Tabela </w:t>
      </w:r>
      <w:r w:rsidR="00445D6F" w:rsidRPr="00263DB9">
        <w:rPr>
          <w:b/>
          <w:color w:val="000000"/>
          <w:szCs w:val="22"/>
        </w:rPr>
        <w:t>4</w:t>
      </w:r>
      <w:r w:rsidRPr="00263DB9">
        <w:rPr>
          <w:b/>
          <w:color w:val="000000"/>
          <w:szCs w:val="22"/>
        </w:rPr>
        <w:tab/>
        <w:t>Regimes de quimioterapia utilizados em associação com imatinib</w:t>
      </w:r>
    </w:p>
    <w:p w14:paraId="375EB7D1" w14:textId="77777777" w:rsidR="00C91F25" w:rsidRPr="00263DB9" w:rsidRDefault="00C91F25" w:rsidP="008303F6">
      <w:pPr>
        <w:keepNext/>
        <w:widowControl w:val="0"/>
        <w:suppressAutoHyphens/>
        <w:rPr>
          <w:color w:val="000000"/>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C91F25" w:rsidRPr="00263DB9" w14:paraId="375EB7D4" w14:textId="77777777" w:rsidTr="008303F6">
        <w:trPr>
          <w:cantSplit/>
        </w:trPr>
        <w:tc>
          <w:tcPr>
            <w:tcW w:w="2148" w:type="dxa"/>
            <w:tcBorders>
              <w:top w:val="single" w:sz="4" w:space="0" w:color="auto"/>
              <w:bottom w:val="single" w:sz="4" w:space="0" w:color="auto"/>
            </w:tcBorders>
          </w:tcPr>
          <w:p w14:paraId="375EB7D2"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b/>
                <w:color w:val="000000"/>
                <w:szCs w:val="22"/>
                <w:lang w:val="pt-PT"/>
              </w:rPr>
              <w:t>Estudo ADE10</w:t>
            </w:r>
          </w:p>
        </w:tc>
        <w:tc>
          <w:tcPr>
            <w:tcW w:w="6732" w:type="dxa"/>
            <w:gridSpan w:val="4"/>
            <w:tcBorders>
              <w:top w:val="single" w:sz="4" w:space="0" w:color="auto"/>
              <w:bottom w:val="single" w:sz="4" w:space="0" w:color="auto"/>
            </w:tcBorders>
          </w:tcPr>
          <w:p w14:paraId="375EB7D3"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p>
        </w:tc>
      </w:tr>
      <w:tr w:rsidR="00C91F25" w:rsidRPr="00263DB9" w14:paraId="375EB7D9" w14:textId="77777777" w:rsidTr="008303F6">
        <w:trPr>
          <w:cantSplit/>
        </w:trPr>
        <w:tc>
          <w:tcPr>
            <w:tcW w:w="2148" w:type="dxa"/>
            <w:tcBorders>
              <w:top w:val="single" w:sz="4" w:space="0" w:color="auto"/>
              <w:bottom w:val="single" w:sz="4" w:space="0" w:color="auto"/>
            </w:tcBorders>
          </w:tcPr>
          <w:p w14:paraId="375EB7D5"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Pré-fase</w:t>
            </w:r>
          </w:p>
        </w:tc>
        <w:tc>
          <w:tcPr>
            <w:tcW w:w="6732" w:type="dxa"/>
            <w:gridSpan w:val="4"/>
            <w:tcBorders>
              <w:top w:val="single" w:sz="4" w:space="0" w:color="auto"/>
              <w:bottom w:val="single" w:sz="4" w:space="0" w:color="auto"/>
            </w:tcBorders>
          </w:tcPr>
          <w:p w14:paraId="375EB7D6"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DEX 10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1-5;</w:t>
            </w:r>
          </w:p>
          <w:p w14:paraId="375EB7D7"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CP 200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dias 3, 4, 5;</w:t>
            </w:r>
          </w:p>
          <w:p w14:paraId="375EB7D8"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MTX 12 mg intratecal, dia 1</w:t>
            </w:r>
          </w:p>
        </w:tc>
      </w:tr>
      <w:tr w:rsidR="00C91F25" w:rsidRPr="00263DB9" w14:paraId="375EB7E0" w14:textId="77777777" w:rsidTr="008303F6">
        <w:trPr>
          <w:cantSplit/>
        </w:trPr>
        <w:tc>
          <w:tcPr>
            <w:tcW w:w="2148" w:type="dxa"/>
            <w:tcBorders>
              <w:top w:val="single" w:sz="4" w:space="0" w:color="auto"/>
              <w:bottom w:val="single" w:sz="4" w:space="0" w:color="auto"/>
            </w:tcBorders>
          </w:tcPr>
          <w:p w14:paraId="375EB7DA"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Remissão de indução</w:t>
            </w:r>
          </w:p>
        </w:tc>
        <w:tc>
          <w:tcPr>
            <w:tcW w:w="6732" w:type="dxa"/>
            <w:gridSpan w:val="4"/>
            <w:tcBorders>
              <w:top w:val="single" w:sz="4" w:space="0" w:color="auto"/>
              <w:bottom w:val="single" w:sz="4" w:space="0" w:color="auto"/>
            </w:tcBorders>
          </w:tcPr>
          <w:p w14:paraId="375EB7DB"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DEX 10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6-7, 13-16;</w:t>
            </w:r>
          </w:p>
          <w:p w14:paraId="375EB7DC"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VCR 1 mg i.v., dias 7, 14;</w:t>
            </w:r>
          </w:p>
          <w:p w14:paraId="375EB7DD"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IDA 8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(0.5 h), dias 7, 8, 14, 15;</w:t>
            </w:r>
          </w:p>
          <w:p w14:paraId="375EB7DE"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CP 500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i.v.(1 h) dia 1;</w:t>
            </w:r>
          </w:p>
          <w:p w14:paraId="375EB7DF"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Ara-C 60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dias 22-25, 29-32</w:t>
            </w:r>
          </w:p>
        </w:tc>
      </w:tr>
      <w:tr w:rsidR="00C91F25" w:rsidRPr="00263DB9" w14:paraId="375EB7E4" w14:textId="77777777" w:rsidTr="008303F6">
        <w:trPr>
          <w:cantSplit/>
        </w:trPr>
        <w:tc>
          <w:tcPr>
            <w:tcW w:w="2148" w:type="dxa"/>
            <w:tcBorders>
              <w:top w:val="single" w:sz="4" w:space="0" w:color="auto"/>
              <w:bottom w:val="single" w:sz="4" w:space="0" w:color="auto"/>
            </w:tcBorders>
          </w:tcPr>
          <w:p w14:paraId="375EB7E1"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Tratamento de consolidação I, III, V</w:t>
            </w:r>
          </w:p>
        </w:tc>
        <w:tc>
          <w:tcPr>
            <w:tcW w:w="6732" w:type="dxa"/>
            <w:gridSpan w:val="4"/>
            <w:tcBorders>
              <w:top w:val="single" w:sz="4" w:space="0" w:color="auto"/>
              <w:bottom w:val="single" w:sz="4" w:space="0" w:color="auto"/>
            </w:tcBorders>
          </w:tcPr>
          <w:p w14:paraId="375EB7E2"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MTX 500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(24 h), dias 1, 15;</w:t>
            </w:r>
          </w:p>
          <w:p w14:paraId="375EB7E3"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6-MP 25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1-20</w:t>
            </w:r>
          </w:p>
        </w:tc>
      </w:tr>
      <w:tr w:rsidR="00C91F25" w:rsidRPr="00263DB9" w14:paraId="375EB7E8" w14:textId="77777777" w:rsidTr="008303F6">
        <w:trPr>
          <w:cantSplit/>
        </w:trPr>
        <w:tc>
          <w:tcPr>
            <w:tcW w:w="2148" w:type="dxa"/>
            <w:tcBorders>
              <w:top w:val="single" w:sz="4" w:space="0" w:color="auto"/>
              <w:bottom w:val="single" w:sz="4" w:space="0" w:color="auto"/>
            </w:tcBorders>
          </w:tcPr>
          <w:p w14:paraId="375EB7E5"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Tratamento de consolidação II, IV</w:t>
            </w:r>
          </w:p>
        </w:tc>
        <w:tc>
          <w:tcPr>
            <w:tcW w:w="6732" w:type="dxa"/>
            <w:gridSpan w:val="4"/>
            <w:tcBorders>
              <w:top w:val="single" w:sz="4" w:space="0" w:color="auto"/>
              <w:bottom w:val="single" w:sz="4" w:space="0" w:color="auto"/>
            </w:tcBorders>
          </w:tcPr>
          <w:p w14:paraId="375EB7E6" w14:textId="77777777" w:rsidR="00C91F25" w:rsidRPr="00263DB9" w:rsidRDefault="00C91F25" w:rsidP="008303F6">
            <w:pPr>
              <w:pStyle w:val="Table"/>
              <w:keepLines w:val="0"/>
              <w:widowControl w:val="0"/>
              <w:spacing w:before="0" w:after="0"/>
              <w:rPr>
                <w:rFonts w:ascii="Times New Roman" w:hAnsi="Times New Roman"/>
                <w:color w:val="000000"/>
                <w:szCs w:val="22"/>
                <w:lang w:val="pt-BR"/>
              </w:rPr>
            </w:pPr>
            <w:r w:rsidRPr="00263DB9">
              <w:rPr>
                <w:rFonts w:ascii="Times New Roman" w:hAnsi="Times New Roman"/>
                <w:color w:val="000000"/>
                <w:szCs w:val="22"/>
                <w:lang w:val="pt-BR"/>
              </w:rPr>
              <w:t>Ara-C 75 mg/m</w:t>
            </w:r>
            <w:r w:rsidRPr="00263DB9">
              <w:rPr>
                <w:rFonts w:ascii="Times New Roman" w:hAnsi="Times New Roman"/>
                <w:color w:val="000000"/>
                <w:szCs w:val="22"/>
                <w:vertAlign w:val="superscript"/>
                <w:lang w:val="pt-BR"/>
              </w:rPr>
              <w:t>2</w:t>
            </w:r>
            <w:r w:rsidRPr="00263DB9">
              <w:rPr>
                <w:rFonts w:ascii="Times New Roman" w:hAnsi="Times New Roman"/>
                <w:color w:val="000000"/>
                <w:szCs w:val="22"/>
                <w:lang w:val="pt-BR"/>
              </w:rPr>
              <w:t xml:space="preserve"> i.v. (1 h), dias 1-5;</w:t>
            </w:r>
          </w:p>
          <w:p w14:paraId="375EB7E7" w14:textId="77777777" w:rsidR="00C91F25" w:rsidRPr="00263DB9" w:rsidRDefault="00C91F25" w:rsidP="008303F6">
            <w:pPr>
              <w:pStyle w:val="Table"/>
              <w:keepLines w:val="0"/>
              <w:widowControl w:val="0"/>
              <w:spacing w:before="0" w:after="0"/>
              <w:rPr>
                <w:rFonts w:ascii="Times New Roman" w:hAnsi="Times New Roman"/>
                <w:color w:val="000000"/>
                <w:szCs w:val="22"/>
                <w:lang w:val="pt-BR"/>
              </w:rPr>
            </w:pPr>
            <w:r w:rsidRPr="00263DB9">
              <w:rPr>
                <w:rFonts w:ascii="Times New Roman" w:hAnsi="Times New Roman"/>
                <w:color w:val="000000"/>
                <w:szCs w:val="22"/>
                <w:lang w:val="pt-BR"/>
              </w:rPr>
              <w:t>VM26 60 mg/m</w:t>
            </w:r>
            <w:r w:rsidRPr="00263DB9">
              <w:rPr>
                <w:rFonts w:ascii="Times New Roman" w:hAnsi="Times New Roman"/>
                <w:color w:val="000000"/>
                <w:szCs w:val="22"/>
                <w:vertAlign w:val="superscript"/>
                <w:lang w:val="pt-BR"/>
              </w:rPr>
              <w:t>2</w:t>
            </w:r>
            <w:r w:rsidRPr="00263DB9">
              <w:rPr>
                <w:rFonts w:ascii="Times New Roman" w:hAnsi="Times New Roman"/>
                <w:color w:val="000000"/>
                <w:szCs w:val="22"/>
                <w:lang w:val="pt-BR"/>
              </w:rPr>
              <w:t xml:space="preserve"> i.v. (1 h), dias 1-5</w:t>
            </w:r>
          </w:p>
        </w:tc>
      </w:tr>
      <w:tr w:rsidR="00C91F25" w:rsidRPr="00263DB9" w14:paraId="375EB7EE" w14:textId="77777777" w:rsidTr="008303F6">
        <w:trPr>
          <w:cantSplit/>
        </w:trPr>
        <w:tc>
          <w:tcPr>
            <w:tcW w:w="2148" w:type="dxa"/>
            <w:tcBorders>
              <w:top w:val="single" w:sz="4" w:space="0" w:color="auto"/>
              <w:bottom w:val="single" w:sz="4" w:space="0" w:color="auto"/>
            </w:tcBorders>
          </w:tcPr>
          <w:p w14:paraId="375EB7E9" w14:textId="77777777" w:rsidR="00C91F25" w:rsidRPr="00263DB9" w:rsidRDefault="00C91F25" w:rsidP="008303F6">
            <w:pPr>
              <w:pStyle w:val="Table"/>
              <w:keepLines w:val="0"/>
              <w:widowControl w:val="0"/>
              <w:spacing w:before="0" w:after="0"/>
              <w:rPr>
                <w:rFonts w:ascii="Times New Roman" w:hAnsi="Times New Roman"/>
                <w:b/>
                <w:color w:val="000000"/>
                <w:szCs w:val="22"/>
              </w:rPr>
            </w:pPr>
            <w:r w:rsidRPr="00263DB9">
              <w:rPr>
                <w:rFonts w:ascii="Times New Roman" w:hAnsi="Times New Roman"/>
                <w:b/>
                <w:color w:val="000000"/>
                <w:szCs w:val="22"/>
              </w:rPr>
              <w:t>Estudo AAU02</w:t>
            </w:r>
          </w:p>
        </w:tc>
        <w:tc>
          <w:tcPr>
            <w:tcW w:w="2652" w:type="dxa"/>
            <w:tcBorders>
              <w:top w:val="single" w:sz="4" w:space="0" w:color="auto"/>
              <w:bottom w:val="single" w:sz="4" w:space="0" w:color="auto"/>
            </w:tcBorders>
          </w:tcPr>
          <w:p w14:paraId="375EB7EA" w14:textId="77777777" w:rsidR="00C91F25" w:rsidRPr="00263DB9" w:rsidRDefault="00C91F25" w:rsidP="008303F6">
            <w:pPr>
              <w:pStyle w:val="Table"/>
              <w:keepLines w:val="0"/>
              <w:widowControl w:val="0"/>
              <w:spacing w:before="0" w:after="0"/>
              <w:rPr>
                <w:rFonts w:ascii="Times New Roman" w:hAnsi="Times New Roman"/>
                <w:color w:val="000000"/>
                <w:szCs w:val="22"/>
              </w:rPr>
            </w:pPr>
          </w:p>
        </w:tc>
        <w:tc>
          <w:tcPr>
            <w:tcW w:w="1080" w:type="dxa"/>
            <w:tcBorders>
              <w:top w:val="single" w:sz="4" w:space="0" w:color="auto"/>
              <w:bottom w:val="single" w:sz="4" w:space="0" w:color="auto"/>
            </w:tcBorders>
          </w:tcPr>
          <w:p w14:paraId="375EB7EB" w14:textId="77777777" w:rsidR="00C91F25" w:rsidRPr="00263DB9" w:rsidRDefault="00C91F25" w:rsidP="008303F6">
            <w:pPr>
              <w:pStyle w:val="Table"/>
              <w:keepLines w:val="0"/>
              <w:widowControl w:val="0"/>
              <w:spacing w:before="0" w:after="0"/>
              <w:rPr>
                <w:rFonts w:ascii="Times New Roman" w:hAnsi="Times New Roman"/>
                <w:color w:val="000000"/>
                <w:szCs w:val="22"/>
              </w:rPr>
            </w:pPr>
          </w:p>
        </w:tc>
        <w:tc>
          <w:tcPr>
            <w:tcW w:w="1380" w:type="dxa"/>
            <w:tcBorders>
              <w:top w:val="single" w:sz="4" w:space="0" w:color="auto"/>
              <w:bottom w:val="single" w:sz="4" w:space="0" w:color="auto"/>
            </w:tcBorders>
          </w:tcPr>
          <w:p w14:paraId="375EB7EC" w14:textId="77777777" w:rsidR="00C91F25" w:rsidRPr="00263DB9" w:rsidRDefault="00C91F25" w:rsidP="008303F6">
            <w:pPr>
              <w:pStyle w:val="Table"/>
              <w:keepLines w:val="0"/>
              <w:widowControl w:val="0"/>
              <w:spacing w:before="0" w:after="0"/>
              <w:rPr>
                <w:rFonts w:ascii="Times New Roman" w:hAnsi="Times New Roman"/>
                <w:color w:val="000000"/>
                <w:szCs w:val="22"/>
              </w:rPr>
            </w:pPr>
          </w:p>
        </w:tc>
        <w:tc>
          <w:tcPr>
            <w:tcW w:w="1620" w:type="dxa"/>
            <w:tcBorders>
              <w:top w:val="single" w:sz="4" w:space="0" w:color="auto"/>
              <w:bottom w:val="single" w:sz="4" w:space="0" w:color="auto"/>
            </w:tcBorders>
          </w:tcPr>
          <w:p w14:paraId="375EB7ED" w14:textId="77777777" w:rsidR="00C91F25" w:rsidRPr="00263DB9" w:rsidRDefault="00C91F25" w:rsidP="008303F6">
            <w:pPr>
              <w:pStyle w:val="Table"/>
              <w:keepLines w:val="0"/>
              <w:widowControl w:val="0"/>
              <w:spacing w:before="0" w:after="0"/>
              <w:rPr>
                <w:rFonts w:ascii="Times New Roman" w:hAnsi="Times New Roman"/>
                <w:color w:val="000000"/>
                <w:szCs w:val="22"/>
              </w:rPr>
            </w:pPr>
          </w:p>
        </w:tc>
      </w:tr>
      <w:tr w:rsidR="00C91F25" w:rsidRPr="00263DB9" w14:paraId="375EB7F8" w14:textId="77777777" w:rsidTr="008303F6">
        <w:trPr>
          <w:cantSplit/>
        </w:trPr>
        <w:tc>
          <w:tcPr>
            <w:tcW w:w="2148" w:type="dxa"/>
            <w:tcBorders>
              <w:top w:val="single" w:sz="4" w:space="0" w:color="auto"/>
              <w:bottom w:val="single" w:sz="4" w:space="0" w:color="auto"/>
            </w:tcBorders>
          </w:tcPr>
          <w:p w14:paraId="375EB7EF"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Tratamento de indução (</w:t>
            </w:r>
            <w:r w:rsidRPr="00263DB9">
              <w:rPr>
                <w:rFonts w:ascii="Times New Roman" w:hAnsi="Times New Roman"/>
                <w:i/>
                <w:color w:val="000000"/>
                <w:szCs w:val="22"/>
                <w:lang w:val="pt-PT"/>
              </w:rPr>
              <w:t>de novo</w:t>
            </w:r>
            <w:r w:rsidRPr="00263DB9">
              <w:rPr>
                <w:rFonts w:ascii="Times New Roman" w:hAnsi="Times New Roman"/>
                <w:color w:val="000000"/>
                <w:szCs w:val="22"/>
                <w:lang w:val="pt-PT"/>
              </w:rPr>
              <w:t xml:space="preserve"> LLA Ph+)</w:t>
            </w:r>
          </w:p>
        </w:tc>
        <w:tc>
          <w:tcPr>
            <w:tcW w:w="6732" w:type="dxa"/>
            <w:gridSpan w:val="4"/>
            <w:tcBorders>
              <w:top w:val="single" w:sz="4" w:space="0" w:color="auto"/>
              <w:bottom w:val="single" w:sz="4" w:space="0" w:color="auto"/>
            </w:tcBorders>
          </w:tcPr>
          <w:p w14:paraId="375EB7F0"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Daunorrubicina 30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dias 1-3, 15-16;</w:t>
            </w:r>
          </w:p>
          <w:p w14:paraId="375EB7F1"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VCR 2 mg dose total i.v., dias 1, 8, 15, 22;</w:t>
            </w:r>
          </w:p>
          <w:p w14:paraId="375EB7F2"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CP 750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dias 1, 8;</w:t>
            </w:r>
          </w:p>
          <w:p w14:paraId="375EB7F3"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Prednisona 60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1-7, 15-21;</w:t>
            </w:r>
          </w:p>
          <w:p w14:paraId="375EB7F4"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IDA 9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1-28;</w:t>
            </w:r>
          </w:p>
          <w:p w14:paraId="375EB7F5"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MTX 15 mg intratecal, dias 1, 8, 15, 22;</w:t>
            </w:r>
          </w:p>
          <w:p w14:paraId="375EB7F6"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Ara-C 40 mg intratecal, dias 1, 8, 15, 22;</w:t>
            </w:r>
          </w:p>
          <w:p w14:paraId="375EB7F7"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Metilprednisolona 40 mg intratecal, dias 1, 8, 15, 22</w:t>
            </w:r>
          </w:p>
        </w:tc>
      </w:tr>
      <w:tr w:rsidR="00C91F25" w:rsidRPr="00263DB9" w14:paraId="375EB7FE" w14:textId="77777777" w:rsidTr="008303F6">
        <w:trPr>
          <w:cantSplit/>
        </w:trPr>
        <w:tc>
          <w:tcPr>
            <w:tcW w:w="2148" w:type="dxa"/>
            <w:tcBorders>
              <w:top w:val="single" w:sz="4" w:space="0" w:color="auto"/>
              <w:bottom w:val="single" w:sz="4" w:space="0" w:color="auto"/>
            </w:tcBorders>
          </w:tcPr>
          <w:p w14:paraId="375EB7F9" w14:textId="77777777" w:rsidR="00C91F25" w:rsidRPr="00263DB9" w:rsidRDefault="00C91F25" w:rsidP="008303F6">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Consolidação (</w:t>
            </w:r>
            <w:r w:rsidRPr="00263DB9">
              <w:rPr>
                <w:rFonts w:ascii="Times New Roman" w:hAnsi="Times New Roman"/>
                <w:i/>
                <w:color w:val="000000"/>
                <w:szCs w:val="22"/>
                <w:lang w:val="pt-PT"/>
              </w:rPr>
              <w:t>de novo</w:t>
            </w:r>
            <w:r w:rsidRPr="00263DB9">
              <w:rPr>
                <w:rFonts w:ascii="Times New Roman" w:hAnsi="Times New Roman"/>
                <w:color w:val="000000"/>
                <w:szCs w:val="22"/>
                <w:lang w:val="pt-PT"/>
              </w:rPr>
              <w:t xml:space="preserve"> LLA Ph+)</w:t>
            </w:r>
          </w:p>
        </w:tc>
        <w:tc>
          <w:tcPr>
            <w:tcW w:w="6732" w:type="dxa"/>
            <w:gridSpan w:val="4"/>
            <w:tcBorders>
              <w:top w:val="single" w:sz="4" w:space="0" w:color="auto"/>
              <w:bottom w:val="single" w:sz="4" w:space="0" w:color="auto"/>
            </w:tcBorders>
          </w:tcPr>
          <w:p w14:paraId="375EB7FA" w14:textId="77777777" w:rsidR="00C91F25" w:rsidRPr="00263DB9" w:rsidRDefault="00C91F25" w:rsidP="008303F6">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Ara-C 1.000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/12 h i.v.(3 h), dias 1-4;</w:t>
            </w:r>
          </w:p>
          <w:p w14:paraId="375EB7FB" w14:textId="77777777" w:rsidR="00C91F25" w:rsidRPr="00263DB9" w:rsidRDefault="00C91F25" w:rsidP="008303F6">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Mitoxantrona 10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dias 3-5;</w:t>
            </w:r>
          </w:p>
          <w:p w14:paraId="375EB7FC" w14:textId="77777777" w:rsidR="00C91F25" w:rsidRPr="00263DB9" w:rsidRDefault="00C91F25" w:rsidP="008303F6">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MTX 15 mg intratecal, dia 1;</w:t>
            </w:r>
          </w:p>
          <w:p w14:paraId="375EB7FD" w14:textId="77777777" w:rsidR="00C91F25" w:rsidRPr="00263DB9" w:rsidRDefault="00C91F25" w:rsidP="008303F6">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Metilprednisolona 40 mg intratecal, dia 1</w:t>
            </w:r>
          </w:p>
        </w:tc>
      </w:tr>
      <w:tr w:rsidR="00C91F25" w:rsidRPr="00263DB9" w14:paraId="375EB803" w14:textId="77777777" w:rsidTr="008303F6">
        <w:trPr>
          <w:cantSplit/>
        </w:trPr>
        <w:tc>
          <w:tcPr>
            <w:tcW w:w="4800" w:type="dxa"/>
            <w:gridSpan w:val="2"/>
            <w:tcBorders>
              <w:top w:val="single" w:sz="4" w:space="0" w:color="auto"/>
              <w:bottom w:val="single" w:sz="4" w:space="0" w:color="auto"/>
            </w:tcBorders>
          </w:tcPr>
          <w:p w14:paraId="375EB7FF" w14:textId="77777777" w:rsidR="00C91F25" w:rsidRPr="00263DB9" w:rsidRDefault="00C91F25" w:rsidP="008303F6">
            <w:pPr>
              <w:pStyle w:val="Table"/>
              <w:keepLines w:val="0"/>
              <w:widowControl w:val="0"/>
              <w:spacing w:before="0" w:after="0"/>
              <w:rPr>
                <w:rFonts w:ascii="Times New Roman" w:hAnsi="Times New Roman"/>
                <w:b/>
                <w:color w:val="000000"/>
                <w:szCs w:val="22"/>
              </w:rPr>
            </w:pPr>
            <w:r w:rsidRPr="00263DB9">
              <w:rPr>
                <w:rFonts w:ascii="Times New Roman" w:hAnsi="Times New Roman"/>
                <w:b/>
                <w:color w:val="000000"/>
                <w:szCs w:val="22"/>
              </w:rPr>
              <w:t>Estudo ADE04</w:t>
            </w:r>
          </w:p>
        </w:tc>
        <w:tc>
          <w:tcPr>
            <w:tcW w:w="1080" w:type="dxa"/>
            <w:tcBorders>
              <w:top w:val="single" w:sz="4" w:space="0" w:color="auto"/>
              <w:bottom w:val="single" w:sz="4" w:space="0" w:color="auto"/>
            </w:tcBorders>
          </w:tcPr>
          <w:p w14:paraId="375EB800" w14:textId="77777777" w:rsidR="00C91F25" w:rsidRPr="00263DB9" w:rsidRDefault="00C91F25" w:rsidP="008303F6">
            <w:pPr>
              <w:pStyle w:val="Table"/>
              <w:keepLines w:val="0"/>
              <w:widowControl w:val="0"/>
              <w:spacing w:before="0" w:after="0"/>
              <w:rPr>
                <w:rFonts w:ascii="Times New Roman" w:hAnsi="Times New Roman"/>
                <w:color w:val="000000"/>
                <w:szCs w:val="22"/>
              </w:rPr>
            </w:pPr>
          </w:p>
        </w:tc>
        <w:tc>
          <w:tcPr>
            <w:tcW w:w="1380" w:type="dxa"/>
            <w:tcBorders>
              <w:top w:val="single" w:sz="4" w:space="0" w:color="auto"/>
              <w:bottom w:val="single" w:sz="4" w:space="0" w:color="auto"/>
            </w:tcBorders>
          </w:tcPr>
          <w:p w14:paraId="375EB801" w14:textId="77777777" w:rsidR="00C91F25" w:rsidRPr="00263DB9" w:rsidRDefault="00C91F25" w:rsidP="008303F6">
            <w:pPr>
              <w:pStyle w:val="Table"/>
              <w:keepLines w:val="0"/>
              <w:widowControl w:val="0"/>
              <w:spacing w:before="0" w:after="0"/>
              <w:rPr>
                <w:rFonts w:ascii="Times New Roman" w:hAnsi="Times New Roman"/>
                <w:color w:val="000000"/>
                <w:szCs w:val="22"/>
              </w:rPr>
            </w:pPr>
          </w:p>
        </w:tc>
        <w:tc>
          <w:tcPr>
            <w:tcW w:w="1620" w:type="dxa"/>
            <w:tcBorders>
              <w:top w:val="single" w:sz="4" w:space="0" w:color="auto"/>
              <w:bottom w:val="single" w:sz="4" w:space="0" w:color="auto"/>
            </w:tcBorders>
          </w:tcPr>
          <w:p w14:paraId="375EB802" w14:textId="77777777" w:rsidR="00C91F25" w:rsidRPr="00263DB9" w:rsidRDefault="00C91F25" w:rsidP="008303F6">
            <w:pPr>
              <w:pStyle w:val="Table"/>
              <w:keepLines w:val="0"/>
              <w:widowControl w:val="0"/>
              <w:spacing w:before="0" w:after="0"/>
              <w:rPr>
                <w:rFonts w:ascii="Times New Roman" w:hAnsi="Times New Roman"/>
                <w:color w:val="000000"/>
                <w:szCs w:val="22"/>
              </w:rPr>
            </w:pPr>
          </w:p>
        </w:tc>
      </w:tr>
      <w:tr w:rsidR="00C91F25" w:rsidRPr="00263DB9" w14:paraId="375EB808" w14:textId="77777777" w:rsidTr="008303F6">
        <w:trPr>
          <w:cantSplit/>
        </w:trPr>
        <w:tc>
          <w:tcPr>
            <w:tcW w:w="2148" w:type="dxa"/>
            <w:tcBorders>
              <w:top w:val="single" w:sz="4" w:space="0" w:color="auto"/>
              <w:bottom w:val="single" w:sz="4" w:space="0" w:color="auto"/>
            </w:tcBorders>
          </w:tcPr>
          <w:p w14:paraId="375EB804" w14:textId="77777777" w:rsidR="00C91F25" w:rsidRPr="00263DB9" w:rsidRDefault="00C91F25" w:rsidP="008303F6">
            <w:pPr>
              <w:pStyle w:val="Table"/>
              <w:keepLines w:val="0"/>
              <w:widowControl w:val="0"/>
              <w:spacing w:before="0" w:after="0"/>
              <w:rPr>
                <w:rFonts w:ascii="Times New Roman" w:hAnsi="Times New Roman"/>
                <w:color w:val="000000"/>
                <w:szCs w:val="22"/>
              </w:rPr>
            </w:pPr>
            <w:r w:rsidRPr="00263DB9">
              <w:rPr>
                <w:rFonts w:ascii="Times New Roman" w:hAnsi="Times New Roman"/>
                <w:color w:val="000000"/>
                <w:szCs w:val="22"/>
              </w:rPr>
              <w:t>Pré-fase</w:t>
            </w:r>
          </w:p>
        </w:tc>
        <w:tc>
          <w:tcPr>
            <w:tcW w:w="6732" w:type="dxa"/>
            <w:gridSpan w:val="4"/>
            <w:tcBorders>
              <w:top w:val="single" w:sz="4" w:space="0" w:color="auto"/>
              <w:bottom w:val="single" w:sz="4" w:space="0" w:color="auto"/>
            </w:tcBorders>
          </w:tcPr>
          <w:p w14:paraId="375EB805"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DEX 10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1-5;</w:t>
            </w:r>
          </w:p>
          <w:p w14:paraId="375EB806"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CP 200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dias 3-5;</w:t>
            </w:r>
          </w:p>
          <w:p w14:paraId="375EB807"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MTX 15 mg intratecal, dia 1</w:t>
            </w:r>
          </w:p>
        </w:tc>
      </w:tr>
      <w:tr w:rsidR="00C91F25" w:rsidRPr="00263DB9" w14:paraId="375EB80D" w14:textId="77777777" w:rsidTr="008303F6">
        <w:trPr>
          <w:cantSplit/>
        </w:trPr>
        <w:tc>
          <w:tcPr>
            <w:tcW w:w="2148" w:type="dxa"/>
            <w:tcBorders>
              <w:top w:val="single" w:sz="4" w:space="0" w:color="auto"/>
              <w:bottom w:val="single" w:sz="4" w:space="0" w:color="auto"/>
            </w:tcBorders>
          </w:tcPr>
          <w:p w14:paraId="375EB809"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Tratamento de indução I</w:t>
            </w:r>
          </w:p>
        </w:tc>
        <w:tc>
          <w:tcPr>
            <w:tcW w:w="6732" w:type="dxa"/>
            <w:gridSpan w:val="4"/>
            <w:tcBorders>
              <w:top w:val="single" w:sz="4" w:space="0" w:color="auto"/>
              <w:bottom w:val="single" w:sz="4" w:space="0" w:color="auto"/>
            </w:tcBorders>
          </w:tcPr>
          <w:p w14:paraId="375EB80A"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DEX 10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1-5;</w:t>
            </w:r>
          </w:p>
          <w:p w14:paraId="375EB80B"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VCR 2 mg i.v., dias 6, 13, 20;</w:t>
            </w:r>
          </w:p>
          <w:p w14:paraId="375EB80C"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Daunorrubicina 45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dias 6-7, 13-14</w:t>
            </w:r>
          </w:p>
        </w:tc>
      </w:tr>
      <w:tr w:rsidR="00C91F25" w:rsidRPr="00263DB9" w14:paraId="375EB812" w14:textId="77777777" w:rsidTr="008303F6">
        <w:trPr>
          <w:cantSplit/>
        </w:trPr>
        <w:tc>
          <w:tcPr>
            <w:tcW w:w="2148" w:type="dxa"/>
            <w:tcBorders>
              <w:top w:val="single" w:sz="4" w:space="0" w:color="auto"/>
              <w:bottom w:val="single" w:sz="4" w:space="0" w:color="auto"/>
            </w:tcBorders>
          </w:tcPr>
          <w:p w14:paraId="375EB80E"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Tratamento de indução II</w:t>
            </w:r>
          </w:p>
        </w:tc>
        <w:tc>
          <w:tcPr>
            <w:tcW w:w="6732" w:type="dxa"/>
            <w:gridSpan w:val="4"/>
            <w:tcBorders>
              <w:top w:val="single" w:sz="4" w:space="0" w:color="auto"/>
              <w:bottom w:val="single" w:sz="4" w:space="0" w:color="auto"/>
            </w:tcBorders>
          </w:tcPr>
          <w:p w14:paraId="375EB80F"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CP 1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(1 h), dias 26, 46;</w:t>
            </w:r>
          </w:p>
          <w:p w14:paraId="375EB810"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Ara-C 75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(1 h), dias 28-31, 35-38, 42-45;</w:t>
            </w:r>
          </w:p>
          <w:p w14:paraId="375EB811" w14:textId="77777777" w:rsidR="00C91F25" w:rsidRPr="00263DB9" w:rsidRDefault="00C91F25" w:rsidP="008303F6">
            <w:pPr>
              <w:pStyle w:val="Table"/>
              <w:keepLines w:val="0"/>
              <w:widowControl w:val="0"/>
              <w:spacing w:before="0" w:after="0"/>
              <w:rPr>
                <w:rFonts w:ascii="Times New Roman" w:hAnsi="Times New Roman"/>
                <w:color w:val="000000"/>
                <w:szCs w:val="22"/>
                <w:lang w:val="pl-PL"/>
              </w:rPr>
            </w:pPr>
            <w:r w:rsidRPr="00263DB9">
              <w:rPr>
                <w:rFonts w:ascii="Times New Roman" w:hAnsi="Times New Roman"/>
                <w:color w:val="000000"/>
                <w:szCs w:val="22"/>
                <w:lang w:val="pt-PT"/>
              </w:rPr>
              <w:t>6-MP 60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26-46</w:t>
            </w:r>
          </w:p>
        </w:tc>
      </w:tr>
      <w:tr w:rsidR="00C91F25" w:rsidRPr="00263DB9" w14:paraId="375EB819" w14:textId="77777777" w:rsidTr="008303F6">
        <w:trPr>
          <w:cantSplit/>
        </w:trPr>
        <w:tc>
          <w:tcPr>
            <w:tcW w:w="2148" w:type="dxa"/>
            <w:tcBorders>
              <w:top w:val="nil"/>
              <w:bottom w:val="single" w:sz="4" w:space="0" w:color="auto"/>
            </w:tcBorders>
          </w:tcPr>
          <w:p w14:paraId="375EB813" w14:textId="77777777" w:rsidR="00C91F25" w:rsidRPr="00263DB9" w:rsidRDefault="00C91F25" w:rsidP="008303F6">
            <w:pPr>
              <w:pStyle w:val="Table"/>
              <w:keepNext w:val="0"/>
              <w:keepLines w:val="0"/>
              <w:widowControl w:val="0"/>
              <w:spacing w:before="0" w:after="0"/>
              <w:rPr>
                <w:rFonts w:ascii="Times New Roman" w:hAnsi="Times New Roman"/>
                <w:color w:val="000000"/>
                <w:szCs w:val="22"/>
              </w:rPr>
            </w:pPr>
            <w:r w:rsidRPr="00263DB9">
              <w:rPr>
                <w:rFonts w:ascii="Times New Roman" w:hAnsi="Times New Roman"/>
                <w:color w:val="000000"/>
                <w:szCs w:val="22"/>
              </w:rPr>
              <w:t xml:space="preserve">Tratamento de consolidação </w:t>
            </w:r>
          </w:p>
        </w:tc>
        <w:tc>
          <w:tcPr>
            <w:tcW w:w="6732" w:type="dxa"/>
            <w:gridSpan w:val="4"/>
            <w:tcBorders>
              <w:top w:val="nil"/>
              <w:bottom w:val="single" w:sz="4" w:space="0" w:color="auto"/>
            </w:tcBorders>
          </w:tcPr>
          <w:p w14:paraId="375EB814" w14:textId="77777777" w:rsidR="00C91F25" w:rsidRPr="00263DB9" w:rsidRDefault="00C91F25" w:rsidP="008303F6">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DEX 10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1-5;</w:t>
            </w:r>
          </w:p>
          <w:p w14:paraId="375EB815" w14:textId="77777777" w:rsidR="00C91F25" w:rsidRPr="00263DB9" w:rsidRDefault="00C91F25" w:rsidP="008303F6">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Vindesina 3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 1;</w:t>
            </w:r>
          </w:p>
          <w:p w14:paraId="375EB816" w14:textId="77777777" w:rsidR="00C91F25" w:rsidRPr="00263DB9" w:rsidRDefault="00C91F25" w:rsidP="008303F6">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MTX 1,5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(24 h), dia 1;</w:t>
            </w:r>
          </w:p>
          <w:p w14:paraId="375EB817" w14:textId="77777777" w:rsidR="00C91F25" w:rsidRPr="00263DB9" w:rsidRDefault="00C91F25" w:rsidP="008303F6">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Eetoposido 250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(1 h) dias 4-5;</w:t>
            </w:r>
          </w:p>
          <w:p w14:paraId="375EB818" w14:textId="77777777" w:rsidR="00C91F25" w:rsidRPr="00263DB9" w:rsidRDefault="00C91F25" w:rsidP="008303F6">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Ara-C 2x 2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(3 h, q 12 h), dia 5</w:t>
            </w:r>
          </w:p>
        </w:tc>
      </w:tr>
      <w:tr w:rsidR="00C91F25" w:rsidRPr="00263DB9" w14:paraId="375EB81F" w14:textId="77777777" w:rsidTr="008303F6">
        <w:trPr>
          <w:cantSplit/>
        </w:trPr>
        <w:tc>
          <w:tcPr>
            <w:tcW w:w="2148" w:type="dxa"/>
            <w:tcBorders>
              <w:top w:val="nil"/>
              <w:bottom w:val="single" w:sz="4" w:space="0" w:color="auto"/>
            </w:tcBorders>
          </w:tcPr>
          <w:p w14:paraId="375EB81A" w14:textId="77777777" w:rsidR="00C91F25" w:rsidRPr="00263DB9" w:rsidRDefault="00C91F25" w:rsidP="008303F6">
            <w:pPr>
              <w:pStyle w:val="Table"/>
              <w:keepLines w:val="0"/>
              <w:widowControl w:val="0"/>
              <w:spacing w:before="0" w:after="0"/>
              <w:rPr>
                <w:rFonts w:ascii="Times New Roman" w:hAnsi="Times New Roman"/>
                <w:b/>
                <w:color w:val="000000"/>
                <w:szCs w:val="22"/>
              </w:rPr>
            </w:pPr>
            <w:r w:rsidRPr="00263DB9">
              <w:rPr>
                <w:rFonts w:ascii="Times New Roman" w:hAnsi="Times New Roman"/>
                <w:b/>
                <w:color w:val="000000"/>
                <w:szCs w:val="22"/>
              </w:rPr>
              <w:t>Estudo AJP01</w:t>
            </w:r>
          </w:p>
        </w:tc>
        <w:tc>
          <w:tcPr>
            <w:tcW w:w="2652" w:type="dxa"/>
            <w:tcBorders>
              <w:top w:val="nil"/>
              <w:bottom w:val="single" w:sz="4" w:space="0" w:color="auto"/>
            </w:tcBorders>
          </w:tcPr>
          <w:p w14:paraId="375EB81B" w14:textId="77777777" w:rsidR="00C91F25" w:rsidRPr="00263DB9" w:rsidRDefault="00C91F25" w:rsidP="008303F6">
            <w:pPr>
              <w:pStyle w:val="Table"/>
              <w:keepLines w:val="0"/>
              <w:widowControl w:val="0"/>
              <w:spacing w:before="0" w:after="0"/>
              <w:rPr>
                <w:rFonts w:ascii="Times New Roman" w:hAnsi="Times New Roman"/>
                <w:color w:val="000000"/>
                <w:szCs w:val="22"/>
              </w:rPr>
            </w:pPr>
          </w:p>
        </w:tc>
        <w:tc>
          <w:tcPr>
            <w:tcW w:w="1080" w:type="dxa"/>
            <w:tcBorders>
              <w:top w:val="nil"/>
              <w:bottom w:val="single" w:sz="4" w:space="0" w:color="auto"/>
            </w:tcBorders>
          </w:tcPr>
          <w:p w14:paraId="375EB81C" w14:textId="77777777" w:rsidR="00C91F25" w:rsidRPr="00263DB9" w:rsidRDefault="00C91F25" w:rsidP="008303F6">
            <w:pPr>
              <w:pStyle w:val="Table"/>
              <w:keepLines w:val="0"/>
              <w:widowControl w:val="0"/>
              <w:spacing w:before="0" w:after="0"/>
              <w:rPr>
                <w:rFonts w:ascii="Times New Roman" w:hAnsi="Times New Roman"/>
                <w:color w:val="000000"/>
                <w:szCs w:val="22"/>
              </w:rPr>
            </w:pPr>
          </w:p>
        </w:tc>
        <w:tc>
          <w:tcPr>
            <w:tcW w:w="1380" w:type="dxa"/>
            <w:tcBorders>
              <w:top w:val="nil"/>
              <w:bottom w:val="single" w:sz="4" w:space="0" w:color="auto"/>
            </w:tcBorders>
          </w:tcPr>
          <w:p w14:paraId="375EB81D" w14:textId="77777777" w:rsidR="00C91F25" w:rsidRPr="00263DB9" w:rsidRDefault="00C91F25" w:rsidP="008303F6">
            <w:pPr>
              <w:pStyle w:val="Table"/>
              <w:keepLines w:val="0"/>
              <w:widowControl w:val="0"/>
              <w:spacing w:before="0" w:after="0"/>
              <w:rPr>
                <w:rFonts w:ascii="Times New Roman" w:hAnsi="Times New Roman"/>
                <w:color w:val="000000"/>
                <w:szCs w:val="22"/>
              </w:rPr>
            </w:pPr>
          </w:p>
        </w:tc>
        <w:tc>
          <w:tcPr>
            <w:tcW w:w="1620" w:type="dxa"/>
            <w:tcBorders>
              <w:top w:val="nil"/>
              <w:bottom w:val="single" w:sz="4" w:space="0" w:color="auto"/>
            </w:tcBorders>
          </w:tcPr>
          <w:p w14:paraId="375EB81E" w14:textId="77777777" w:rsidR="00C91F25" w:rsidRPr="00263DB9" w:rsidRDefault="00C91F25" w:rsidP="008303F6">
            <w:pPr>
              <w:pStyle w:val="Table"/>
              <w:keepLines w:val="0"/>
              <w:widowControl w:val="0"/>
              <w:spacing w:before="0" w:after="0"/>
              <w:rPr>
                <w:rFonts w:ascii="Times New Roman" w:hAnsi="Times New Roman"/>
                <w:color w:val="000000"/>
                <w:szCs w:val="22"/>
              </w:rPr>
            </w:pPr>
          </w:p>
        </w:tc>
      </w:tr>
      <w:tr w:rsidR="00C91F25" w:rsidRPr="00263DB9" w14:paraId="375EB825" w14:textId="77777777" w:rsidTr="008303F6">
        <w:trPr>
          <w:cantSplit/>
        </w:trPr>
        <w:tc>
          <w:tcPr>
            <w:tcW w:w="2148" w:type="dxa"/>
            <w:tcBorders>
              <w:top w:val="nil"/>
              <w:bottom w:val="single" w:sz="4" w:space="0" w:color="auto"/>
            </w:tcBorders>
          </w:tcPr>
          <w:p w14:paraId="375EB820" w14:textId="77777777" w:rsidR="00C91F25" w:rsidRPr="00263DB9" w:rsidRDefault="00C91F25" w:rsidP="008303F6">
            <w:pPr>
              <w:pStyle w:val="Table"/>
              <w:keepLines w:val="0"/>
              <w:widowControl w:val="0"/>
              <w:spacing w:before="0" w:after="0"/>
              <w:rPr>
                <w:rFonts w:ascii="Times New Roman" w:hAnsi="Times New Roman"/>
                <w:color w:val="000000"/>
                <w:szCs w:val="22"/>
              </w:rPr>
            </w:pPr>
            <w:r w:rsidRPr="00263DB9">
              <w:rPr>
                <w:rFonts w:ascii="Times New Roman" w:hAnsi="Times New Roman"/>
                <w:color w:val="000000"/>
                <w:szCs w:val="22"/>
              </w:rPr>
              <w:t>Tratamento de indução</w:t>
            </w:r>
          </w:p>
        </w:tc>
        <w:tc>
          <w:tcPr>
            <w:tcW w:w="6732" w:type="dxa"/>
            <w:gridSpan w:val="4"/>
            <w:tcBorders>
              <w:top w:val="nil"/>
              <w:bottom w:val="single" w:sz="4" w:space="0" w:color="auto"/>
            </w:tcBorders>
          </w:tcPr>
          <w:p w14:paraId="375EB821"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CP 1,2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(3 h), dia 1;</w:t>
            </w:r>
          </w:p>
          <w:p w14:paraId="375EB822"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Daunorubicina 60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(1 h), dias 1-3;</w:t>
            </w:r>
          </w:p>
          <w:p w14:paraId="375EB823"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Vincristina 1,3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dias 1, 8, 15, 21;</w:t>
            </w:r>
          </w:p>
          <w:p w14:paraId="375EB824"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Prednisolona 60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/dia oral</w:t>
            </w:r>
          </w:p>
        </w:tc>
      </w:tr>
      <w:tr w:rsidR="00C91F25" w:rsidRPr="00263DB9" w14:paraId="375EB828" w14:textId="77777777" w:rsidTr="008303F6">
        <w:trPr>
          <w:cantSplit/>
        </w:trPr>
        <w:tc>
          <w:tcPr>
            <w:tcW w:w="2148" w:type="dxa"/>
            <w:tcBorders>
              <w:top w:val="single" w:sz="4" w:space="0" w:color="auto"/>
              <w:bottom w:val="single" w:sz="4" w:space="0" w:color="auto"/>
            </w:tcBorders>
          </w:tcPr>
          <w:p w14:paraId="375EB826" w14:textId="77777777" w:rsidR="00C91F25" w:rsidRPr="00263DB9" w:rsidRDefault="00C91F25" w:rsidP="008303F6">
            <w:pPr>
              <w:pStyle w:val="Table"/>
              <w:keepLines w:val="0"/>
              <w:widowControl w:val="0"/>
              <w:tabs>
                <w:tab w:val="left" w:pos="0"/>
              </w:tabs>
              <w:spacing w:before="0" w:after="0"/>
              <w:rPr>
                <w:rFonts w:ascii="Times New Roman" w:hAnsi="Times New Roman"/>
                <w:color w:val="000000"/>
                <w:szCs w:val="22"/>
                <w:lang w:val="pt-PT"/>
              </w:rPr>
            </w:pPr>
            <w:r w:rsidRPr="00263DB9">
              <w:rPr>
                <w:rFonts w:ascii="Times New Roman" w:hAnsi="Times New Roman"/>
                <w:color w:val="000000"/>
                <w:szCs w:val="22"/>
                <w:lang w:val="pt-PT"/>
              </w:rPr>
              <w:t>Tratamento de consolidação</w:t>
            </w:r>
          </w:p>
        </w:tc>
        <w:tc>
          <w:tcPr>
            <w:tcW w:w="6732" w:type="dxa"/>
            <w:gridSpan w:val="4"/>
            <w:tcBorders>
              <w:top w:val="single" w:sz="4" w:space="0" w:color="auto"/>
              <w:bottom w:val="single" w:sz="4" w:space="0" w:color="auto"/>
            </w:tcBorders>
          </w:tcPr>
          <w:p w14:paraId="375EB827"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Sequência alternante de quimioterapia: quimioterapia de regimes de alta dose com MTX 1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(24 h), dia 1, e Ara-C 2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(q 12 h), dias 2-3, para 4 ciclos</w:t>
            </w:r>
          </w:p>
        </w:tc>
      </w:tr>
      <w:tr w:rsidR="00C91F25" w:rsidRPr="00263DB9" w14:paraId="375EB82C" w14:textId="77777777" w:rsidTr="008303F6">
        <w:trPr>
          <w:cantSplit/>
        </w:trPr>
        <w:tc>
          <w:tcPr>
            <w:tcW w:w="2148" w:type="dxa"/>
            <w:tcBorders>
              <w:top w:val="single" w:sz="4" w:space="0" w:color="auto"/>
              <w:bottom w:val="single" w:sz="4" w:space="0" w:color="auto"/>
            </w:tcBorders>
          </w:tcPr>
          <w:p w14:paraId="375EB829" w14:textId="77777777" w:rsidR="00C91F25" w:rsidRPr="00263DB9" w:rsidRDefault="00C91F25" w:rsidP="008303F6">
            <w:pPr>
              <w:pStyle w:val="Table"/>
              <w:keepNext w:val="0"/>
              <w:keepLines w:val="0"/>
              <w:widowControl w:val="0"/>
              <w:tabs>
                <w:tab w:val="left" w:pos="0"/>
              </w:tabs>
              <w:spacing w:before="0" w:after="0"/>
              <w:rPr>
                <w:rFonts w:ascii="Times New Roman" w:hAnsi="Times New Roman"/>
                <w:color w:val="000000"/>
                <w:szCs w:val="22"/>
              </w:rPr>
            </w:pPr>
            <w:r w:rsidRPr="00263DB9">
              <w:rPr>
                <w:rFonts w:ascii="Times New Roman" w:hAnsi="Times New Roman"/>
                <w:color w:val="000000"/>
                <w:szCs w:val="22"/>
              </w:rPr>
              <w:t>Manutenção</w:t>
            </w:r>
          </w:p>
        </w:tc>
        <w:tc>
          <w:tcPr>
            <w:tcW w:w="6732" w:type="dxa"/>
            <w:gridSpan w:val="4"/>
            <w:tcBorders>
              <w:top w:val="single" w:sz="4" w:space="0" w:color="auto"/>
              <w:bottom w:val="single" w:sz="4" w:space="0" w:color="auto"/>
            </w:tcBorders>
          </w:tcPr>
          <w:p w14:paraId="375EB82A" w14:textId="77777777" w:rsidR="00C91F25" w:rsidRPr="00263DB9" w:rsidRDefault="00C91F25" w:rsidP="008303F6">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VCR 1,3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dia 1;</w:t>
            </w:r>
          </w:p>
          <w:p w14:paraId="375EB82B" w14:textId="77777777" w:rsidR="00C91F25" w:rsidRPr="00263DB9" w:rsidRDefault="00C91F25" w:rsidP="008303F6">
            <w:pPr>
              <w:pStyle w:val="Table"/>
              <w:keepNext w:val="0"/>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Prednisolona 60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oral, dias 1-5</w:t>
            </w:r>
          </w:p>
        </w:tc>
      </w:tr>
      <w:tr w:rsidR="00C91F25" w:rsidRPr="00263DB9" w14:paraId="375EB831" w14:textId="77777777" w:rsidTr="008303F6">
        <w:trPr>
          <w:cantSplit/>
        </w:trPr>
        <w:tc>
          <w:tcPr>
            <w:tcW w:w="4800" w:type="dxa"/>
            <w:gridSpan w:val="2"/>
            <w:tcBorders>
              <w:top w:val="single" w:sz="4" w:space="0" w:color="auto"/>
              <w:bottom w:val="single" w:sz="4" w:space="0" w:color="auto"/>
            </w:tcBorders>
          </w:tcPr>
          <w:p w14:paraId="375EB82D"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b/>
                <w:color w:val="000000"/>
                <w:szCs w:val="22"/>
                <w:lang w:val="pt-PT"/>
              </w:rPr>
              <w:lastRenderedPageBreak/>
              <w:t>Estudo AUS01</w:t>
            </w:r>
          </w:p>
        </w:tc>
        <w:tc>
          <w:tcPr>
            <w:tcW w:w="1080" w:type="dxa"/>
            <w:tcBorders>
              <w:top w:val="single" w:sz="4" w:space="0" w:color="auto"/>
              <w:bottom w:val="single" w:sz="4" w:space="0" w:color="auto"/>
            </w:tcBorders>
          </w:tcPr>
          <w:p w14:paraId="375EB82E"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p>
        </w:tc>
        <w:tc>
          <w:tcPr>
            <w:tcW w:w="1380" w:type="dxa"/>
            <w:tcBorders>
              <w:top w:val="single" w:sz="4" w:space="0" w:color="auto"/>
              <w:bottom w:val="single" w:sz="4" w:space="0" w:color="auto"/>
            </w:tcBorders>
          </w:tcPr>
          <w:p w14:paraId="375EB82F"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p>
        </w:tc>
        <w:tc>
          <w:tcPr>
            <w:tcW w:w="1620" w:type="dxa"/>
            <w:tcBorders>
              <w:top w:val="single" w:sz="4" w:space="0" w:color="auto"/>
              <w:bottom w:val="single" w:sz="4" w:space="0" w:color="auto"/>
            </w:tcBorders>
          </w:tcPr>
          <w:p w14:paraId="375EB830"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p>
        </w:tc>
      </w:tr>
      <w:tr w:rsidR="00C91F25" w:rsidRPr="00263DB9" w14:paraId="375EB837" w14:textId="77777777" w:rsidTr="008303F6">
        <w:trPr>
          <w:cantSplit/>
        </w:trPr>
        <w:tc>
          <w:tcPr>
            <w:tcW w:w="2148" w:type="dxa"/>
            <w:tcBorders>
              <w:top w:val="single" w:sz="4" w:space="0" w:color="auto"/>
              <w:bottom w:val="single" w:sz="4" w:space="0" w:color="auto"/>
            </w:tcBorders>
          </w:tcPr>
          <w:p w14:paraId="375EB832"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Tratamento de indução-consolidação</w:t>
            </w:r>
          </w:p>
        </w:tc>
        <w:tc>
          <w:tcPr>
            <w:tcW w:w="6732" w:type="dxa"/>
            <w:gridSpan w:val="4"/>
            <w:tcBorders>
              <w:top w:val="single" w:sz="4" w:space="0" w:color="auto"/>
              <w:bottom w:val="single" w:sz="4" w:space="0" w:color="auto"/>
            </w:tcBorders>
          </w:tcPr>
          <w:p w14:paraId="375EB833"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Regime hiper-CVAD: CP 300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(3 h, q 12 h), dias 1-3;</w:t>
            </w:r>
          </w:p>
          <w:p w14:paraId="375EB834"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Vincristina 2 mg i.v., dias 4, 11;</w:t>
            </w:r>
          </w:p>
          <w:p w14:paraId="375EB835"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Doxorrubicina 50 mg/m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(24 h), dia 4;</w:t>
            </w:r>
          </w:p>
          <w:p w14:paraId="375EB836"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DEX 40 mg/dia em dias 1-4 e 11-14, alternado com MTX 1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(24 h), dia 1, Ara-C 1 g/m</w:t>
            </w:r>
            <w:r w:rsidRPr="00263DB9">
              <w:rPr>
                <w:rFonts w:ascii="Times New Roman" w:hAnsi="Times New Roman"/>
                <w:color w:val="000000"/>
                <w:szCs w:val="22"/>
                <w:vertAlign w:val="superscript"/>
                <w:lang w:val="pt-PT"/>
              </w:rPr>
              <w:t>2</w:t>
            </w:r>
            <w:r w:rsidRPr="00263DB9">
              <w:rPr>
                <w:rFonts w:ascii="Times New Roman" w:hAnsi="Times New Roman"/>
                <w:color w:val="000000"/>
                <w:szCs w:val="22"/>
                <w:lang w:val="pt-PT"/>
              </w:rPr>
              <w:t xml:space="preserve"> i.v. (2 h, q 12 h), dias 2-3 (total de 8 sequências)</w:t>
            </w:r>
          </w:p>
        </w:tc>
      </w:tr>
      <w:tr w:rsidR="00C91F25" w:rsidRPr="00263DB9" w14:paraId="375EB83B" w14:textId="77777777" w:rsidTr="008303F6">
        <w:trPr>
          <w:cantSplit/>
        </w:trPr>
        <w:tc>
          <w:tcPr>
            <w:tcW w:w="2148" w:type="dxa"/>
            <w:tcBorders>
              <w:top w:val="single" w:sz="4" w:space="0" w:color="auto"/>
              <w:bottom w:val="single" w:sz="4" w:space="0" w:color="auto"/>
            </w:tcBorders>
          </w:tcPr>
          <w:p w14:paraId="375EB838"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 xml:space="preserve">Manutenção </w:t>
            </w:r>
          </w:p>
        </w:tc>
        <w:tc>
          <w:tcPr>
            <w:tcW w:w="6732" w:type="dxa"/>
            <w:gridSpan w:val="4"/>
            <w:tcBorders>
              <w:top w:val="single" w:sz="4" w:space="0" w:color="auto"/>
              <w:bottom w:val="single" w:sz="4" w:space="0" w:color="auto"/>
            </w:tcBorders>
          </w:tcPr>
          <w:p w14:paraId="375EB839"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VCR 2 mg i.v. mensalmente durante 13 meses;</w:t>
            </w:r>
          </w:p>
          <w:p w14:paraId="375EB83A"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Prednisolona 200 mg oral, 5 dias em cada mês durante 13 meses</w:t>
            </w:r>
          </w:p>
        </w:tc>
      </w:tr>
      <w:tr w:rsidR="00C91F25" w:rsidRPr="00263DB9" w14:paraId="375EB83D" w14:textId="77777777" w:rsidTr="008303F6">
        <w:trPr>
          <w:cantSplit/>
        </w:trPr>
        <w:tc>
          <w:tcPr>
            <w:tcW w:w="8880" w:type="dxa"/>
            <w:gridSpan w:val="5"/>
            <w:tcBorders>
              <w:top w:val="single" w:sz="4" w:space="0" w:color="auto"/>
              <w:bottom w:val="single" w:sz="4" w:space="0" w:color="auto"/>
            </w:tcBorders>
          </w:tcPr>
          <w:p w14:paraId="375EB83C"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Todos os regimes de tratamento incluem a administração de esteroides para profilaxia do SNC.</w:t>
            </w:r>
          </w:p>
        </w:tc>
      </w:tr>
      <w:tr w:rsidR="00C91F25" w:rsidRPr="00263DB9" w14:paraId="375EB83F" w14:textId="77777777" w:rsidTr="008303F6">
        <w:trPr>
          <w:cantSplit/>
        </w:trPr>
        <w:tc>
          <w:tcPr>
            <w:tcW w:w="8880" w:type="dxa"/>
            <w:gridSpan w:val="5"/>
            <w:tcBorders>
              <w:top w:val="single" w:sz="4" w:space="0" w:color="auto"/>
              <w:bottom w:val="single" w:sz="4" w:space="0" w:color="auto"/>
            </w:tcBorders>
          </w:tcPr>
          <w:p w14:paraId="375EB83E" w14:textId="77777777" w:rsidR="00C91F25" w:rsidRPr="00263DB9" w:rsidRDefault="00C91F25" w:rsidP="008303F6">
            <w:pPr>
              <w:pStyle w:val="Table"/>
              <w:keepLines w:val="0"/>
              <w:widowControl w:val="0"/>
              <w:spacing w:before="0" w:after="0"/>
              <w:rPr>
                <w:rFonts w:ascii="Times New Roman" w:hAnsi="Times New Roman"/>
                <w:color w:val="000000"/>
                <w:szCs w:val="22"/>
                <w:lang w:val="pt-PT"/>
              </w:rPr>
            </w:pPr>
            <w:r w:rsidRPr="00263DB9">
              <w:rPr>
                <w:rFonts w:ascii="Times New Roman" w:hAnsi="Times New Roman"/>
                <w:color w:val="000000"/>
                <w:szCs w:val="22"/>
                <w:lang w:val="pt-PT"/>
              </w:rPr>
              <w:t>Ara-C: citosina arabinósido; CP: ciclofosfamida; DEX: dexametasona; MTX: metotrexato; 6-MP: 6-mercaptopurina; VM26: teniposido; VCR: vincristina; IDA: idarrubicina; i.v.: via intravenosa</w:t>
            </w:r>
          </w:p>
        </w:tc>
      </w:tr>
    </w:tbl>
    <w:p w14:paraId="375EB840" w14:textId="77777777" w:rsidR="00C91F25" w:rsidRPr="00263DB9" w:rsidRDefault="00C91F25" w:rsidP="008303F6">
      <w:pPr>
        <w:widowControl w:val="0"/>
        <w:suppressAutoHyphens/>
        <w:rPr>
          <w:color w:val="000000"/>
          <w:szCs w:val="22"/>
        </w:rPr>
      </w:pPr>
    </w:p>
    <w:p w14:paraId="375EB841" w14:textId="77777777" w:rsidR="00C91F25" w:rsidRPr="00263DB9" w:rsidRDefault="00C91F25" w:rsidP="008303F6">
      <w:pPr>
        <w:widowControl w:val="0"/>
        <w:suppressAutoHyphens/>
        <w:rPr>
          <w:color w:val="000000"/>
        </w:rPr>
      </w:pPr>
      <w:r w:rsidRPr="00263DB9">
        <w:rPr>
          <w:i/>
          <w:color w:val="000000"/>
          <w:szCs w:val="22"/>
        </w:rPr>
        <w:t>Doentes pediátricos</w:t>
      </w:r>
      <w:r w:rsidRPr="00263DB9">
        <w:rPr>
          <w:color w:val="000000"/>
          <w:szCs w:val="22"/>
        </w:rPr>
        <w:t>: No estudo I2301 de fase III, aberto, multicêntrico, de cohort sequencial, não aleatorizado, foram incluídos um total de 93 doentes pediátricos, adolescentes e jovens adultos (de 1 a 22 anos de idade) com LLA Ph+ tratados com Glivec (340 mg/m</w:t>
      </w:r>
      <w:r w:rsidRPr="00263DB9">
        <w:rPr>
          <w:color w:val="000000"/>
          <w:szCs w:val="22"/>
          <w:vertAlign w:val="superscript"/>
        </w:rPr>
        <w:t>2</w:t>
      </w:r>
      <w:r w:rsidRPr="00263DB9">
        <w:rPr>
          <w:color w:val="000000"/>
          <w:szCs w:val="22"/>
        </w:rPr>
        <w:t>/dia) em associação com quimioterapia intensiva após tratamento de indução. Glivec foi administrado intermitentemente nos cohorts</w:t>
      </w:r>
      <w:r w:rsidRPr="00263DB9">
        <w:rPr>
          <w:color w:val="000000"/>
          <w:szCs w:val="22"/>
          <w:u w:val="single"/>
        </w:rPr>
        <w:t xml:space="preserve"> </w:t>
      </w:r>
      <w:r w:rsidRPr="00263DB9">
        <w:rPr>
          <w:color w:val="000000"/>
        </w:rPr>
        <w:t>1</w:t>
      </w:r>
      <w:r w:rsidRPr="00263DB9">
        <w:rPr>
          <w:color w:val="000000"/>
        </w:rPr>
        <w:noBreakHyphen/>
        <w:t>5, com aumento na duração e antecipação de início de Glivec de cohort em cohort: cohort 1 recebeu a dose mais baixa e cohort 5 recebeu a dose mais alta de Glivec (duração maior em dias com administração diária contínua de Glivec durante os primeiros ciclos de tratamento com quimioterapia). A exposição diária contínua a Glivec no início do regime de tratamento em associação com quimioterapia nos doentes</w:t>
      </w:r>
      <w:r w:rsidRPr="00263DB9">
        <w:t xml:space="preserve"> d</w:t>
      </w:r>
      <w:r w:rsidRPr="00263DB9">
        <w:rPr>
          <w:color w:val="000000"/>
        </w:rPr>
        <w:t xml:space="preserve">o cohort 5 (n=50) melhorou a sobrevivência sem eventos (EFS, </w:t>
      </w:r>
      <w:r w:rsidRPr="00263DB9">
        <w:rPr>
          <w:i/>
          <w:color w:val="000000"/>
        </w:rPr>
        <w:t>Event Free Survival</w:t>
      </w:r>
      <w:r w:rsidRPr="00263DB9">
        <w:rPr>
          <w:color w:val="000000"/>
        </w:rPr>
        <w:t xml:space="preserve">) aos 4 anos comparativamente com os doentes de controlo anteriores (n=120), que receberam quimioterapia padrão sem Glivec (69,6% </w:t>
      </w:r>
      <w:r w:rsidRPr="00263DB9">
        <w:rPr>
          <w:i/>
          <w:color w:val="000000"/>
        </w:rPr>
        <w:t>vs</w:t>
      </w:r>
      <w:r w:rsidRPr="00263DB9">
        <w:rPr>
          <w:color w:val="000000"/>
        </w:rPr>
        <w:t>. 31,6%, respetivamente). A Sobrevivência Global estimada a 4 anos nos doentes do cohort 5 foi 83,6% comparativamente com 44,8% nos doentes de controlo anteriores, 20 dos 50 (40%) doentes no cohort 5 receberam transplante de células estaminais.</w:t>
      </w:r>
    </w:p>
    <w:p w14:paraId="375EB842" w14:textId="77777777" w:rsidR="00C91F25" w:rsidRPr="00263DB9" w:rsidRDefault="00C91F25" w:rsidP="00E51817">
      <w:pPr>
        <w:widowControl w:val="0"/>
        <w:suppressAutoHyphens/>
        <w:rPr>
          <w:color w:val="000000"/>
        </w:rPr>
      </w:pPr>
    </w:p>
    <w:p w14:paraId="375EB843" w14:textId="77777777" w:rsidR="00C91F25" w:rsidRPr="00263DB9" w:rsidRDefault="00C91F25" w:rsidP="008303F6">
      <w:pPr>
        <w:pStyle w:val="EndnoteText"/>
        <w:keepNext/>
        <w:tabs>
          <w:tab w:val="clear" w:pos="567"/>
        </w:tabs>
        <w:ind w:left="1134" w:hanging="1134"/>
        <w:rPr>
          <w:b/>
          <w:color w:val="000000"/>
        </w:rPr>
      </w:pPr>
      <w:r w:rsidRPr="00263DB9">
        <w:rPr>
          <w:b/>
          <w:color w:val="000000"/>
        </w:rPr>
        <w:t>Tabela </w:t>
      </w:r>
      <w:r w:rsidR="00445D6F" w:rsidRPr="00263DB9">
        <w:rPr>
          <w:b/>
          <w:color w:val="000000"/>
        </w:rPr>
        <w:t>5</w:t>
      </w:r>
      <w:r w:rsidRPr="00263DB9">
        <w:rPr>
          <w:b/>
          <w:color w:val="000000"/>
        </w:rPr>
        <w:tab/>
      </w:r>
      <w:r w:rsidRPr="00263DB9">
        <w:rPr>
          <w:b/>
          <w:color w:val="000000"/>
          <w:szCs w:val="22"/>
        </w:rPr>
        <w:t>Regimes de quimioterapia utilizados em associação com imatinib no estudo</w:t>
      </w:r>
      <w:r w:rsidRPr="00263DB9">
        <w:rPr>
          <w:b/>
          <w:color w:val="000000"/>
        </w:rPr>
        <w:t xml:space="preserve"> I2301</w:t>
      </w:r>
    </w:p>
    <w:p w14:paraId="375EB844" w14:textId="77777777" w:rsidR="00C91F25" w:rsidRPr="00263DB9" w:rsidRDefault="00C91F25" w:rsidP="008303F6">
      <w:pPr>
        <w:pStyle w:val="EndnoteText"/>
        <w:keepNext/>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6723"/>
      </w:tblGrid>
      <w:tr w:rsidR="00C91F25" w:rsidRPr="00263DB9" w14:paraId="375EB84D" w14:textId="77777777" w:rsidTr="008303F6">
        <w:trPr>
          <w:cantSplit/>
        </w:trPr>
        <w:tc>
          <w:tcPr>
            <w:tcW w:w="2357" w:type="dxa"/>
            <w:shd w:val="clear" w:color="auto" w:fill="auto"/>
          </w:tcPr>
          <w:p w14:paraId="375EB845" w14:textId="77777777" w:rsidR="00C91F25" w:rsidRPr="00263DB9" w:rsidRDefault="00C91F25" w:rsidP="008303F6">
            <w:pPr>
              <w:pStyle w:val="EndnoteText"/>
              <w:keepNext/>
              <w:rPr>
                <w:color w:val="000000"/>
              </w:rPr>
            </w:pPr>
            <w:r w:rsidRPr="00263DB9">
              <w:rPr>
                <w:color w:val="000000"/>
              </w:rPr>
              <w:t>Bloco de consolidação 1</w:t>
            </w:r>
          </w:p>
          <w:p w14:paraId="375EB846" w14:textId="77777777" w:rsidR="00C91F25" w:rsidRPr="00263DB9" w:rsidRDefault="00C91F25" w:rsidP="008303F6">
            <w:pPr>
              <w:pStyle w:val="EndnoteText"/>
              <w:keepNext/>
              <w:rPr>
                <w:color w:val="000000"/>
              </w:rPr>
            </w:pPr>
            <w:r w:rsidRPr="00263DB9">
              <w:rPr>
                <w:color w:val="000000"/>
              </w:rPr>
              <w:t>(3 semanas)</w:t>
            </w:r>
          </w:p>
        </w:tc>
        <w:tc>
          <w:tcPr>
            <w:tcW w:w="6919" w:type="dxa"/>
            <w:shd w:val="clear" w:color="auto" w:fill="auto"/>
          </w:tcPr>
          <w:p w14:paraId="375EB847" w14:textId="77777777" w:rsidR="00C91F25" w:rsidRPr="00263DB9" w:rsidRDefault="00C91F25" w:rsidP="008303F6">
            <w:pPr>
              <w:pStyle w:val="EndnoteText"/>
              <w:keepNext/>
              <w:rPr>
                <w:color w:val="000000"/>
              </w:rPr>
            </w:pPr>
            <w:r w:rsidRPr="00263DB9">
              <w:rPr>
                <w:color w:val="000000"/>
              </w:rPr>
              <w:t>VP-16 (100 mg/m</w:t>
            </w:r>
            <w:r w:rsidRPr="00263DB9">
              <w:rPr>
                <w:color w:val="000000"/>
                <w:vertAlign w:val="superscript"/>
              </w:rPr>
              <w:t>2</w:t>
            </w:r>
            <w:r w:rsidRPr="00263DB9">
              <w:rPr>
                <w:color w:val="000000"/>
              </w:rPr>
              <w:t>/dia, IV): dias 1</w:t>
            </w:r>
            <w:r w:rsidRPr="00263DB9">
              <w:rPr>
                <w:color w:val="000000"/>
              </w:rPr>
              <w:noBreakHyphen/>
              <w:t>5</w:t>
            </w:r>
          </w:p>
          <w:p w14:paraId="375EB848" w14:textId="77777777" w:rsidR="00C91F25" w:rsidRPr="00263DB9" w:rsidRDefault="00C91F25" w:rsidP="008303F6">
            <w:pPr>
              <w:pStyle w:val="EndnoteText"/>
              <w:keepNext/>
              <w:rPr>
                <w:color w:val="000000"/>
              </w:rPr>
            </w:pPr>
            <w:r w:rsidRPr="00263DB9">
              <w:rPr>
                <w:color w:val="000000"/>
              </w:rPr>
              <w:t>Ifosfamido (1,8 g/m</w:t>
            </w:r>
            <w:r w:rsidRPr="00263DB9">
              <w:rPr>
                <w:color w:val="000000"/>
                <w:vertAlign w:val="superscript"/>
              </w:rPr>
              <w:t>2</w:t>
            </w:r>
            <w:r w:rsidRPr="00263DB9">
              <w:rPr>
                <w:color w:val="000000"/>
              </w:rPr>
              <w:t>/dia, IV): dias 1</w:t>
            </w:r>
            <w:r w:rsidRPr="00263DB9">
              <w:rPr>
                <w:color w:val="000000"/>
              </w:rPr>
              <w:noBreakHyphen/>
              <w:t>5</w:t>
            </w:r>
          </w:p>
          <w:p w14:paraId="375EB849" w14:textId="77777777" w:rsidR="00C91F25" w:rsidRPr="00263DB9" w:rsidRDefault="00C91F25" w:rsidP="008303F6">
            <w:pPr>
              <w:pStyle w:val="EndnoteText"/>
              <w:keepNext/>
              <w:rPr>
                <w:color w:val="000000"/>
              </w:rPr>
            </w:pPr>
            <w:r w:rsidRPr="00263DB9">
              <w:rPr>
                <w:color w:val="000000"/>
              </w:rPr>
              <w:t>MESNA (360 mg/m</w:t>
            </w:r>
            <w:r w:rsidRPr="00263DB9">
              <w:rPr>
                <w:color w:val="000000"/>
                <w:vertAlign w:val="superscript"/>
              </w:rPr>
              <w:t>2</w:t>
            </w:r>
            <w:r w:rsidRPr="00263DB9">
              <w:rPr>
                <w:color w:val="000000"/>
              </w:rPr>
              <w:t>/dose q3h, x 8 doses/dia, IV): dias 1</w:t>
            </w:r>
            <w:r w:rsidRPr="00263DB9">
              <w:rPr>
                <w:color w:val="000000"/>
              </w:rPr>
              <w:noBreakHyphen/>
              <w:t>5</w:t>
            </w:r>
          </w:p>
          <w:p w14:paraId="375EB84A" w14:textId="77777777" w:rsidR="00C91F25" w:rsidRPr="00263DB9" w:rsidRDefault="00C91F25" w:rsidP="008303F6">
            <w:pPr>
              <w:pStyle w:val="EndnoteText"/>
              <w:keepNext/>
              <w:rPr>
                <w:color w:val="000000"/>
              </w:rPr>
            </w:pPr>
            <w:r w:rsidRPr="00263DB9">
              <w:rPr>
                <w:color w:val="000000"/>
              </w:rPr>
              <w:t>G-CSF (5 μg/kg, SC): dias 6</w:t>
            </w:r>
            <w:r w:rsidRPr="00263DB9">
              <w:rPr>
                <w:color w:val="000000"/>
              </w:rPr>
              <w:noBreakHyphen/>
              <w:t>15 ou até ANC &gt; 1500 pós nadir</w:t>
            </w:r>
          </w:p>
          <w:p w14:paraId="375EB84B" w14:textId="77777777" w:rsidR="00C91F25" w:rsidRPr="00263DB9" w:rsidRDefault="00C91F25" w:rsidP="008303F6">
            <w:pPr>
              <w:pStyle w:val="EndnoteText"/>
              <w:keepNext/>
              <w:rPr>
                <w:color w:val="000000"/>
              </w:rPr>
            </w:pPr>
            <w:r w:rsidRPr="00263DB9">
              <w:rPr>
                <w:color w:val="000000"/>
              </w:rPr>
              <w:t>IT Metotrexato (ajustado à idade): dia 1 APENAS</w:t>
            </w:r>
          </w:p>
          <w:p w14:paraId="375EB84C" w14:textId="77777777" w:rsidR="00C91F25" w:rsidRPr="00263DB9" w:rsidRDefault="00C91F25" w:rsidP="008303F6">
            <w:pPr>
              <w:pStyle w:val="EndnoteText"/>
              <w:keepNext/>
              <w:rPr>
                <w:color w:val="000000"/>
              </w:rPr>
            </w:pPr>
            <w:r w:rsidRPr="00263DB9">
              <w:rPr>
                <w:color w:val="000000"/>
              </w:rPr>
              <w:t>Terapêutica tripla IT (ajustada à idade): dia 8, 15</w:t>
            </w:r>
          </w:p>
        </w:tc>
      </w:tr>
      <w:tr w:rsidR="00C91F25" w:rsidRPr="00263DB9" w14:paraId="375EB855" w14:textId="77777777" w:rsidTr="008303F6">
        <w:trPr>
          <w:cantSplit/>
        </w:trPr>
        <w:tc>
          <w:tcPr>
            <w:tcW w:w="2357" w:type="dxa"/>
            <w:shd w:val="clear" w:color="auto" w:fill="auto"/>
          </w:tcPr>
          <w:p w14:paraId="375EB84E" w14:textId="77777777" w:rsidR="00C91F25" w:rsidRPr="00263DB9" w:rsidRDefault="00C91F25" w:rsidP="00E51817">
            <w:pPr>
              <w:pStyle w:val="EndnoteText"/>
              <w:rPr>
                <w:color w:val="000000"/>
              </w:rPr>
            </w:pPr>
            <w:r w:rsidRPr="00263DB9">
              <w:rPr>
                <w:color w:val="000000"/>
              </w:rPr>
              <w:t>Bloco de consolidação 2</w:t>
            </w:r>
          </w:p>
          <w:p w14:paraId="375EB84F" w14:textId="77777777" w:rsidR="00C91F25" w:rsidRPr="00263DB9" w:rsidRDefault="00C91F25" w:rsidP="00E51817">
            <w:pPr>
              <w:pStyle w:val="EndnoteText"/>
              <w:rPr>
                <w:color w:val="000000"/>
              </w:rPr>
            </w:pPr>
            <w:r w:rsidRPr="00263DB9">
              <w:rPr>
                <w:color w:val="000000"/>
              </w:rPr>
              <w:t>(3 semanas)</w:t>
            </w:r>
          </w:p>
        </w:tc>
        <w:tc>
          <w:tcPr>
            <w:tcW w:w="6919" w:type="dxa"/>
            <w:shd w:val="clear" w:color="auto" w:fill="auto"/>
          </w:tcPr>
          <w:p w14:paraId="375EB850" w14:textId="77777777" w:rsidR="00C91F25" w:rsidRPr="00263DB9" w:rsidRDefault="00C91F25" w:rsidP="00E51817">
            <w:pPr>
              <w:pStyle w:val="EndnoteText"/>
              <w:rPr>
                <w:color w:val="000000"/>
              </w:rPr>
            </w:pPr>
            <w:r w:rsidRPr="00263DB9">
              <w:rPr>
                <w:color w:val="000000"/>
              </w:rPr>
              <w:t>Metotrexato (5 g/m</w:t>
            </w:r>
            <w:r w:rsidRPr="00263DB9">
              <w:rPr>
                <w:color w:val="000000"/>
                <w:vertAlign w:val="superscript"/>
              </w:rPr>
              <w:t>2</w:t>
            </w:r>
            <w:r w:rsidRPr="00263DB9">
              <w:rPr>
                <w:color w:val="000000"/>
              </w:rPr>
              <w:t xml:space="preserve"> durante 24 horas, IV): dia 1</w:t>
            </w:r>
          </w:p>
          <w:p w14:paraId="375EB851" w14:textId="77777777" w:rsidR="00C91F25" w:rsidRPr="00263DB9" w:rsidRDefault="00C91F25" w:rsidP="00E51817">
            <w:pPr>
              <w:pStyle w:val="EndnoteText"/>
              <w:rPr>
                <w:color w:val="000000"/>
              </w:rPr>
            </w:pPr>
            <w:r w:rsidRPr="00263DB9">
              <w:rPr>
                <w:color w:val="000000"/>
              </w:rPr>
              <w:t>Leucovorina (75 mg/m</w:t>
            </w:r>
            <w:r w:rsidRPr="00263DB9">
              <w:rPr>
                <w:color w:val="000000"/>
                <w:vertAlign w:val="superscript"/>
              </w:rPr>
              <w:t>2</w:t>
            </w:r>
            <w:r w:rsidRPr="00263DB9">
              <w:rPr>
                <w:color w:val="000000"/>
              </w:rPr>
              <w:t xml:space="preserve"> a  36 hora, IV; 15 mg/m</w:t>
            </w:r>
            <w:r w:rsidRPr="00263DB9">
              <w:rPr>
                <w:color w:val="000000"/>
                <w:vertAlign w:val="superscript"/>
              </w:rPr>
              <w:t>2</w:t>
            </w:r>
            <w:r w:rsidRPr="00263DB9">
              <w:rPr>
                <w:color w:val="000000"/>
              </w:rPr>
              <w:t xml:space="preserve"> IV ou PO q6h x 6 doses)iii: Dias 2 e 3</w:t>
            </w:r>
          </w:p>
          <w:p w14:paraId="375EB852" w14:textId="77777777" w:rsidR="00C91F25" w:rsidRPr="00263DB9" w:rsidRDefault="00C91F25" w:rsidP="00E51817">
            <w:pPr>
              <w:pStyle w:val="EndnoteText"/>
              <w:rPr>
                <w:color w:val="000000"/>
              </w:rPr>
            </w:pPr>
            <w:r w:rsidRPr="00263DB9">
              <w:rPr>
                <w:color w:val="000000"/>
              </w:rPr>
              <w:t>Terapêutica tripla IT (ajustado à idade): dia 1</w:t>
            </w:r>
          </w:p>
          <w:p w14:paraId="375EB853" w14:textId="77777777" w:rsidR="00C91F25" w:rsidRPr="00263DB9" w:rsidRDefault="00C91F25" w:rsidP="00E51817">
            <w:pPr>
              <w:pStyle w:val="EndnoteText"/>
              <w:rPr>
                <w:color w:val="000000"/>
              </w:rPr>
            </w:pPr>
            <w:r w:rsidRPr="00263DB9">
              <w:rPr>
                <w:color w:val="000000"/>
              </w:rPr>
              <w:t>ARA-C (3 g/m</w:t>
            </w:r>
            <w:r w:rsidRPr="00263DB9">
              <w:rPr>
                <w:color w:val="000000"/>
                <w:vertAlign w:val="superscript"/>
              </w:rPr>
              <w:t>2</w:t>
            </w:r>
            <w:r w:rsidRPr="00263DB9">
              <w:rPr>
                <w:color w:val="000000"/>
              </w:rPr>
              <w:t>/dose q 12 h x 4, IV): dias 2 e 3</w:t>
            </w:r>
          </w:p>
          <w:p w14:paraId="375EB854" w14:textId="77777777" w:rsidR="00C91F25" w:rsidRPr="00263DB9" w:rsidRDefault="00C91F25" w:rsidP="00E51817">
            <w:pPr>
              <w:pStyle w:val="EndnoteText"/>
              <w:rPr>
                <w:color w:val="000000"/>
              </w:rPr>
            </w:pPr>
            <w:r w:rsidRPr="00263DB9">
              <w:rPr>
                <w:color w:val="000000"/>
              </w:rPr>
              <w:t>G-CSF (5 μg/kg, SC): dias 4-13 ou até ANC &gt; 1500 pós nadir</w:t>
            </w:r>
          </w:p>
        </w:tc>
      </w:tr>
      <w:tr w:rsidR="00C91F25" w:rsidRPr="00263DB9" w14:paraId="375EB85F" w14:textId="77777777" w:rsidTr="008303F6">
        <w:trPr>
          <w:cantSplit/>
        </w:trPr>
        <w:tc>
          <w:tcPr>
            <w:tcW w:w="2357" w:type="dxa"/>
            <w:shd w:val="clear" w:color="auto" w:fill="auto"/>
          </w:tcPr>
          <w:p w14:paraId="375EB856" w14:textId="77777777" w:rsidR="00C91F25" w:rsidRPr="00263DB9" w:rsidRDefault="00C91F25" w:rsidP="00E51817">
            <w:pPr>
              <w:pStyle w:val="EndnoteText"/>
              <w:rPr>
                <w:color w:val="000000"/>
              </w:rPr>
            </w:pPr>
            <w:r w:rsidRPr="00263DB9">
              <w:rPr>
                <w:color w:val="000000"/>
              </w:rPr>
              <w:t>Bloco de reindução 1</w:t>
            </w:r>
          </w:p>
          <w:p w14:paraId="375EB857" w14:textId="77777777" w:rsidR="00C91F25" w:rsidRPr="00263DB9" w:rsidRDefault="00C91F25" w:rsidP="00E51817">
            <w:pPr>
              <w:pStyle w:val="EndnoteText"/>
              <w:rPr>
                <w:color w:val="000000"/>
              </w:rPr>
            </w:pPr>
            <w:r w:rsidRPr="00263DB9">
              <w:rPr>
                <w:color w:val="000000"/>
              </w:rPr>
              <w:t>(3 semanas)</w:t>
            </w:r>
          </w:p>
        </w:tc>
        <w:tc>
          <w:tcPr>
            <w:tcW w:w="6919" w:type="dxa"/>
            <w:shd w:val="clear" w:color="auto" w:fill="auto"/>
          </w:tcPr>
          <w:p w14:paraId="375EB858" w14:textId="77777777" w:rsidR="00C91F25" w:rsidRPr="00263DB9" w:rsidRDefault="00C91F25" w:rsidP="00E51817">
            <w:pPr>
              <w:pStyle w:val="EndnoteText"/>
              <w:rPr>
                <w:color w:val="000000"/>
              </w:rPr>
            </w:pPr>
            <w:r w:rsidRPr="00263DB9">
              <w:rPr>
                <w:color w:val="000000"/>
              </w:rPr>
              <w:t>VCR (1,5 mg/m</w:t>
            </w:r>
            <w:r w:rsidRPr="00263DB9">
              <w:rPr>
                <w:color w:val="000000"/>
                <w:vertAlign w:val="superscript"/>
              </w:rPr>
              <w:t>2</w:t>
            </w:r>
            <w:r w:rsidRPr="00263DB9">
              <w:rPr>
                <w:color w:val="000000"/>
              </w:rPr>
              <w:t>/dia, IV): dias 1, 8, e 15</w:t>
            </w:r>
          </w:p>
          <w:p w14:paraId="375EB859" w14:textId="77777777" w:rsidR="00C91F25" w:rsidRPr="00263DB9" w:rsidRDefault="00C91F25" w:rsidP="00E51817">
            <w:pPr>
              <w:pStyle w:val="EndnoteText"/>
              <w:rPr>
                <w:color w:val="000000"/>
              </w:rPr>
            </w:pPr>
            <w:r w:rsidRPr="00263DB9">
              <w:rPr>
                <w:color w:val="000000"/>
              </w:rPr>
              <w:t>DAUN (45 mg/m</w:t>
            </w:r>
            <w:r w:rsidRPr="00263DB9">
              <w:rPr>
                <w:color w:val="000000"/>
                <w:vertAlign w:val="superscript"/>
              </w:rPr>
              <w:t>2</w:t>
            </w:r>
            <w:r w:rsidRPr="00263DB9">
              <w:rPr>
                <w:color w:val="000000"/>
              </w:rPr>
              <w:t>/dia em bólus, IV): dias 1 e 2</w:t>
            </w:r>
          </w:p>
          <w:p w14:paraId="375EB85A" w14:textId="77777777" w:rsidR="00C91F25" w:rsidRPr="00263DB9" w:rsidRDefault="00C91F25" w:rsidP="00E51817">
            <w:pPr>
              <w:pStyle w:val="EndnoteText"/>
              <w:rPr>
                <w:color w:val="000000"/>
              </w:rPr>
            </w:pPr>
            <w:r w:rsidRPr="00263DB9">
              <w:rPr>
                <w:color w:val="000000"/>
              </w:rPr>
              <w:t>CPM (250 mg/m</w:t>
            </w:r>
            <w:r w:rsidRPr="00263DB9">
              <w:rPr>
                <w:color w:val="000000"/>
                <w:vertAlign w:val="superscript"/>
              </w:rPr>
              <w:t>2</w:t>
            </w:r>
            <w:r w:rsidRPr="00263DB9">
              <w:rPr>
                <w:color w:val="000000"/>
              </w:rPr>
              <w:t>/dose q12h x 4 doses, IV): dias 3 e 4</w:t>
            </w:r>
          </w:p>
          <w:p w14:paraId="375EB85B" w14:textId="77777777" w:rsidR="00C91F25" w:rsidRPr="00263DB9" w:rsidRDefault="00C91F25" w:rsidP="00E51817">
            <w:pPr>
              <w:pStyle w:val="EndnoteText"/>
              <w:rPr>
                <w:color w:val="000000"/>
                <w:lang w:val="de-DE"/>
              </w:rPr>
            </w:pPr>
            <w:r w:rsidRPr="00263DB9">
              <w:rPr>
                <w:color w:val="000000"/>
                <w:lang w:val="de-DE"/>
              </w:rPr>
              <w:t>PEG-ASP (2500 UI/m</w:t>
            </w:r>
            <w:r w:rsidRPr="00263DB9">
              <w:rPr>
                <w:color w:val="000000"/>
                <w:vertAlign w:val="superscript"/>
                <w:lang w:val="de-DE"/>
              </w:rPr>
              <w:t>2</w:t>
            </w:r>
            <w:r w:rsidRPr="00263DB9">
              <w:rPr>
                <w:color w:val="000000"/>
                <w:lang w:val="de-DE"/>
              </w:rPr>
              <w:t>, IM): dia 4</w:t>
            </w:r>
          </w:p>
          <w:p w14:paraId="375EB85C" w14:textId="77777777" w:rsidR="00C91F25" w:rsidRPr="00263DB9" w:rsidRDefault="00C91F25" w:rsidP="00E51817">
            <w:pPr>
              <w:pStyle w:val="EndnoteText"/>
              <w:rPr>
                <w:color w:val="000000"/>
              </w:rPr>
            </w:pPr>
            <w:r w:rsidRPr="00263DB9">
              <w:rPr>
                <w:color w:val="000000"/>
              </w:rPr>
              <w:t>G-CSF (5 μg/kg, SC): dias 5</w:t>
            </w:r>
            <w:r w:rsidRPr="00263DB9">
              <w:rPr>
                <w:color w:val="000000"/>
              </w:rPr>
              <w:noBreakHyphen/>
              <w:t>14 ou até ANC &gt; 1500 pós nadir</w:t>
            </w:r>
          </w:p>
          <w:p w14:paraId="375EB85D" w14:textId="77777777" w:rsidR="00C91F25" w:rsidRPr="00263DB9" w:rsidRDefault="00C91F25" w:rsidP="00E51817">
            <w:pPr>
              <w:pStyle w:val="EndnoteText"/>
              <w:rPr>
                <w:color w:val="000000"/>
              </w:rPr>
            </w:pPr>
            <w:r w:rsidRPr="00263DB9">
              <w:rPr>
                <w:color w:val="000000"/>
              </w:rPr>
              <w:t>Terapêutica tripla IT (ajustada à idade): dias 1 e 15</w:t>
            </w:r>
          </w:p>
          <w:p w14:paraId="375EB85E" w14:textId="77777777" w:rsidR="00C91F25" w:rsidRPr="00263DB9" w:rsidRDefault="00C91F25" w:rsidP="00E51817">
            <w:pPr>
              <w:pStyle w:val="EndnoteText"/>
              <w:rPr>
                <w:color w:val="000000"/>
              </w:rPr>
            </w:pPr>
            <w:r w:rsidRPr="00263DB9">
              <w:rPr>
                <w:color w:val="000000"/>
              </w:rPr>
              <w:t>DEX (6 mg/m</w:t>
            </w:r>
            <w:r w:rsidRPr="00263DB9">
              <w:rPr>
                <w:color w:val="000000"/>
                <w:vertAlign w:val="superscript"/>
              </w:rPr>
              <w:t>2</w:t>
            </w:r>
            <w:r w:rsidRPr="00263DB9">
              <w:rPr>
                <w:color w:val="000000"/>
              </w:rPr>
              <w:t>/dia, PO): dias 1</w:t>
            </w:r>
            <w:r w:rsidRPr="00263DB9">
              <w:rPr>
                <w:color w:val="000000"/>
              </w:rPr>
              <w:noBreakHyphen/>
              <w:t>7 e 15</w:t>
            </w:r>
            <w:r w:rsidRPr="00263DB9">
              <w:rPr>
                <w:color w:val="000000"/>
              </w:rPr>
              <w:noBreakHyphen/>
              <w:t>21</w:t>
            </w:r>
          </w:p>
        </w:tc>
      </w:tr>
      <w:tr w:rsidR="00C91F25" w:rsidRPr="00263DB9" w14:paraId="375EB86B" w14:textId="77777777" w:rsidTr="008303F6">
        <w:trPr>
          <w:cantSplit/>
        </w:trPr>
        <w:tc>
          <w:tcPr>
            <w:tcW w:w="2357" w:type="dxa"/>
            <w:shd w:val="clear" w:color="auto" w:fill="auto"/>
          </w:tcPr>
          <w:p w14:paraId="375EB860" w14:textId="77777777" w:rsidR="00C91F25" w:rsidRPr="00263DB9" w:rsidRDefault="00C91F25" w:rsidP="00E51817">
            <w:pPr>
              <w:pStyle w:val="EndnoteText"/>
              <w:rPr>
                <w:color w:val="000000"/>
              </w:rPr>
            </w:pPr>
            <w:r w:rsidRPr="00263DB9">
              <w:rPr>
                <w:color w:val="000000"/>
              </w:rPr>
              <w:lastRenderedPageBreak/>
              <w:t>Bloco de intensificação 1</w:t>
            </w:r>
          </w:p>
          <w:p w14:paraId="375EB861" w14:textId="77777777" w:rsidR="00C91F25" w:rsidRPr="00263DB9" w:rsidRDefault="00C91F25" w:rsidP="00E51817">
            <w:pPr>
              <w:pStyle w:val="EndnoteText"/>
              <w:rPr>
                <w:color w:val="000000"/>
              </w:rPr>
            </w:pPr>
            <w:r w:rsidRPr="00263DB9">
              <w:rPr>
                <w:color w:val="000000"/>
              </w:rPr>
              <w:t>(9 semanas)</w:t>
            </w:r>
          </w:p>
        </w:tc>
        <w:tc>
          <w:tcPr>
            <w:tcW w:w="6919" w:type="dxa"/>
            <w:shd w:val="clear" w:color="auto" w:fill="auto"/>
          </w:tcPr>
          <w:p w14:paraId="375EB862" w14:textId="77777777" w:rsidR="00C91F25" w:rsidRPr="00263DB9" w:rsidRDefault="00C91F25" w:rsidP="00E51817">
            <w:pPr>
              <w:pStyle w:val="EndnoteText"/>
              <w:rPr>
                <w:color w:val="000000"/>
              </w:rPr>
            </w:pPr>
            <w:r w:rsidRPr="00263DB9">
              <w:rPr>
                <w:color w:val="000000"/>
              </w:rPr>
              <w:t>Metotrexato (5 g/m</w:t>
            </w:r>
            <w:r w:rsidRPr="00263DB9">
              <w:rPr>
                <w:color w:val="000000"/>
                <w:vertAlign w:val="superscript"/>
              </w:rPr>
              <w:t>2</w:t>
            </w:r>
            <w:r w:rsidRPr="00263DB9">
              <w:rPr>
                <w:color w:val="000000"/>
              </w:rPr>
              <w:t xml:space="preserve"> durante 24 horas, IV): dias 1 e 15</w:t>
            </w:r>
          </w:p>
          <w:p w14:paraId="375EB863" w14:textId="77777777" w:rsidR="00C91F25" w:rsidRPr="00263DB9" w:rsidRDefault="00C91F25" w:rsidP="00E51817">
            <w:pPr>
              <w:pStyle w:val="EndnoteText"/>
              <w:rPr>
                <w:color w:val="000000"/>
              </w:rPr>
            </w:pPr>
            <w:r w:rsidRPr="00263DB9">
              <w:rPr>
                <w:color w:val="000000"/>
              </w:rPr>
              <w:t>Leucovorina (75 mg/m</w:t>
            </w:r>
            <w:r w:rsidRPr="00263DB9">
              <w:rPr>
                <w:color w:val="000000"/>
                <w:vertAlign w:val="superscript"/>
              </w:rPr>
              <w:t>2</w:t>
            </w:r>
            <w:r w:rsidRPr="00263DB9">
              <w:rPr>
                <w:color w:val="000000"/>
              </w:rPr>
              <w:t xml:space="preserve"> a 36 hora, IV; 15 mg/m</w:t>
            </w:r>
            <w:r w:rsidRPr="00263DB9">
              <w:rPr>
                <w:color w:val="000000"/>
                <w:vertAlign w:val="superscript"/>
              </w:rPr>
              <w:t>2</w:t>
            </w:r>
            <w:r w:rsidRPr="00263DB9">
              <w:rPr>
                <w:color w:val="000000"/>
              </w:rPr>
              <w:t xml:space="preserve"> IV ou PO q6h x 6 doses)iii: Dias 2, 3, 16, e 17</w:t>
            </w:r>
          </w:p>
          <w:p w14:paraId="375EB864" w14:textId="77777777" w:rsidR="00C91F25" w:rsidRPr="00263DB9" w:rsidRDefault="00C91F25" w:rsidP="00E51817">
            <w:pPr>
              <w:pStyle w:val="EndnoteText"/>
              <w:rPr>
                <w:color w:val="000000"/>
              </w:rPr>
            </w:pPr>
            <w:r w:rsidRPr="00263DB9">
              <w:rPr>
                <w:color w:val="000000"/>
              </w:rPr>
              <w:t>Terapêutica tripla IT (ajustada à idade): dias 1 e 22</w:t>
            </w:r>
          </w:p>
          <w:p w14:paraId="375EB865" w14:textId="77777777" w:rsidR="00C91F25" w:rsidRPr="00263DB9" w:rsidRDefault="00C91F25" w:rsidP="00E51817">
            <w:pPr>
              <w:pStyle w:val="EndnoteText"/>
              <w:rPr>
                <w:color w:val="000000"/>
              </w:rPr>
            </w:pPr>
            <w:r w:rsidRPr="00263DB9">
              <w:rPr>
                <w:color w:val="000000"/>
              </w:rPr>
              <w:t>VP-16 (100 mg/m</w:t>
            </w:r>
            <w:r w:rsidRPr="00263DB9">
              <w:rPr>
                <w:color w:val="000000"/>
                <w:vertAlign w:val="superscript"/>
              </w:rPr>
              <w:t>2</w:t>
            </w:r>
            <w:r w:rsidRPr="00263DB9">
              <w:rPr>
                <w:color w:val="000000"/>
              </w:rPr>
              <w:t>/dia, IV): dias 22</w:t>
            </w:r>
            <w:r w:rsidRPr="00263DB9">
              <w:rPr>
                <w:color w:val="000000"/>
              </w:rPr>
              <w:noBreakHyphen/>
              <w:t>26</w:t>
            </w:r>
          </w:p>
          <w:p w14:paraId="375EB866" w14:textId="77777777" w:rsidR="00C91F25" w:rsidRPr="00263DB9" w:rsidRDefault="00C91F25" w:rsidP="00E51817">
            <w:pPr>
              <w:pStyle w:val="EndnoteText"/>
              <w:rPr>
                <w:color w:val="000000"/>
              </w:rPr>
            </w:pPr>
            <w:r w:rsidRPr="00263DB9">
              <w:rPr>
                <w:color w:val="000000"/>
              </w:rPr>
              <w:t>CPM (300 mg/m</w:t>
            </w:r>
            <w:r w:rsidRPr="00263DB9">
              <w:rPr>
                <w:color w:val="000000"/>
                <w:vertAlign w:val="superscript"/>
              </w:rPr>
              <w:t>2</w:t>
            </w:r>
            <w:r w:rsidRPr="00263DB9">
              <w:rPr>
                <w:color w:val="000000"/>
              </w:rPr>
              <w:t>/dia, IV): dias 22</w:t>
            </w:r>
            <w:r w:rsidRPr="00263DB9">
              <w:rPr>
                <w:color w:val="000000"/>
              </w:rPr>
              <w:noBreakHyphen/>
              <w:t>26</w:t>
            </w:r>
          </w:p>
          <w:p w14:paraId="375EB867" w14:textId="77777777" w:rsidR="00C91F25" w:rsidRPr="00263DB9" w:rsidRDefault="00C91F25" w:rsidP="00E51817">
            <w:pPr>
              <w:pStyle w:val="EndnoteText"/>
              <w:rPr>
                <w:color w:val="000000"/>
              </w:rPr>
            </w:pPr>
            <w:r w:rsidRPr="00263DB9">
              <w:rPr>
                <w:color w:val="000000"/>
              </w:rPr>
              <w:t>MESNA (150 mg/m</w:t>
            </w:r>
            <w:r w:rsidRPr="00263DB9">
              <w:rPr>
                <w:color w:val="000000"/>
                <w:vertAlign w:val="superscript"/>
              </w:rPr>
              <w:t>2</w:t>
            </w:r>
            <w:r w:rsidRPr="00263DB9">
              <w:rPr>
                <w:color w:val="000000"/>
              </w:rPr>
              <w:t>/dia, IV): dias 22</w:t>
            </w:r>
            <w:r w:rsidRPr="00263DB9">
              <w:rPr>
                <w:color w:val="000000"/>
              </w:rPr>
              <w:noBreakHyphen/>
              <w:t>26</w:t>
            </w:r>
          </w:p>
          <w:p w14:paraId="375EB868" w14:textId="77777777" w:rsidR="00C91F25" w:rsidRPr="00263DB9" w:rsidRDefault="00C91F25" w:rsidP="00E51817">
            <w:pPr>
              <w:pStyle w:val="EndnoteText"/>
              <w:rPr>
                <w:color w:val="000000"/>
              </w:rPr>
            </w:pPr>
            <w:r w:rsidRPr="00263DB9">
              <w:rPr>
                <w:color w:val="000000"/>
              </w:rPr>
              <w:t>G-CSF (5 μg/kg, SC): dias 27</w:t>
            </w:r>
            <w:r w:rsidRPr="00263DB9">
              <w:rPr>
                <w:color w:val="000000"/>
              </w:rPr>
              <w:noBreakHyphen/>
              <w:t>36 ou até ANC &gt; 1500 pós nadir</w:t>
            </w:r>
          </w:p>
          <w:p w14:paraId="375EB869" w14:textId="77777777" w:rsidR="00C91F25" w:rsidRPr="00263DB9" w:rsidRDefault="00C91F25" w:rsidP="00E51817">
            <w:pPr>
              <w:pStyle w:val="EndnoteText"/>
              <w:rPr>
                <w:color w:val="000000"/>
              </w:rPr>
            </w:pPr>
            <w:r w:rsidRPr="00263DB9">
              <w:rPr>
                <w:color w:val="000000"/>
              </w:rPr>
              <w:t>ARA-C (3 g/m</w:t>
            </w:r>
            <w:r w:rsidRPr="00263DB9">
              <w:rPr>
                <w:color w:val="000000"/>
                <w:vertAlign w:val="superscript"/>
              </w:rPr>
              <w:t>2</w:t>
            </w:r>
            <w:r w:rsidRPr="00263DB9">
              <w:rPr>
                <w:color w:val="000000"/>
              </w:rPr>
              <w:t>, q12h, IV): dias 43, 44</w:t>
            </w:r>
          </w:p>
          <w:p w14:paraId="375EB86A" w14:textId="77777777" w:rsidR="00C91F25" w:rsidRPr="00263DB9" w:rsidRDefault="00C91F25" w:rsidP="00E51817">
            <w:pPr>
              <w:pStyle w:val="EndnoteText"/>
              <w:rPr>
                <w:color w:val="000000"/>
                <w:lang w:val="de-DE"/>
              </w:rPr>
            </w:pPr>
            <w:r w:rsidRPr="00263DB9">
              <w:rPr>
                <w:color w:val="000000"/>
                <w:lang w:val="de-DE"/>
              </w:rPr>
              <w:t>L-ASP (6000 UI/m</w:t>
            </w:r>
            <w:r w:rsidRPr="00263DB9">
              <w:rPr>
                <w:color w:val="000000"/>
                <w:vertAlign w:val="superscript"/>
                <w:lang w:val="de-DE"/>
              </w:rPr>
              <w:t>2</w:t>
            </w:r>
            <w:r w:rsidRPr="00263DB9">
              <w:rPr>
                <w:color w:val="000000"/>
                <w:lang w:val="de-DE"/>
              </w:rPr>
              <w:t>, IM): dia 44</w:t>
            </w:r>
          </w:p>
        </w:tc>
      </w:tr>
      <w:tr w:rsidR="00C91F25" w:rsidRPr="00263DB9" w14:paraId="375EB875" w14:textId="77777777" w:rsidTr="008303F6">
        <w:trPr>
          <w:cantSplit/>
        </w:trPr>
        <w:tc>
          <w:tcPr>
            <w:tcW w:w="2357" w:type="dxa"/>
            <w:shd w:val="clear" w:color="auto" w:fill="auto"/>
          </w:tcPr>
          <w:p w14:paraId="375EB86C" w14:textId="77777777" w:rsidR="00C91F25" w:rsidRPr="00263DB9" w:rsidRDefault="00C91F25" w:rsidP="00E51817">
            <w:pPr>
              <w:pStyle w:val="EndnoteText"/>
              <w:rPr>
                <w:color w:val="000000"/>
              </w:rPr>
            </w:pPr>
            <w:r w:rsidRPr="00263DB9">
              <w:rPr>
                <w:color w:val="000000"/>
              </w:rPr>
              <w:t>Bloco de reindução 2</w:t>
            </w:r>
          </w:p>
          <w:p w14:paraId="375EB86D" w14:textId="77777777" w:rsidR="00C91F25" w:rsidRPr="00263DB9" w:rsidRDefault="00C91F25" w:rsidP="00E51817">
            <w:pPr>
              <w:pStyle w:val="EndnoteText"/>
              <w:rPr>
                <w:color w:val="000000"/>
              </w:rPr>
            </w:pPr>
            <w:r w:rsidRPr="00263DB9">
              <w:rPr>
                <w:color w:val="000000"/>
              </w:rPr>
              <w:t>(3 semanas)</w:t>
            </w:r>
          </w:p>
        </w:tc>
        <w:tc>
          <w:tcPr>
            <w:tcW w:w="6919" w:type="dxa"/>
            <w:shd w:val="clear" w:color="auto" w:fill="auto"/>
          </w:tcPr>
          <w:p w14:paraId="375EB86E" w14:textId="77777777" w:rsidR="00C91F25" w:rsidRPr="00263DB9" w:rsidRDefault="00C91F25" w:rsidP="00E51817">
            <w:pPr>
              <w:pStyle w:val="EndnoteText"/>
              <w:rPr>
                <w:color w:val="000000"/>
              </w:rPr>
            </w:pPr>
            <w:r w:rsidRPr="00263DB9">
              <w:rPr>
                <w:color w:val="000000"/>
              </w:rPr>
              <w:t>VCR (1.5 mg/m</w:t>
            </w:r>
            <w:r w:rsidRPr="00263DB9">
              <w:rPr>
                <w:color w:val="000000"/>
                <w:vertAlign w:val="superscript"/>
              </w:rPr>
              <w:t>2</w:t>
            </w:r>
            <w:r w:rsidRPr="00263DB9">
              <w:rPr>
                <w:color w:val="000000"/>
              </w:rPr>
              <w:t>/dia, IV): dias 1, 8 e 15</w:t>
            </w:r>
          </w:p>
          <w:p w14:paraId="375EB86F" w14:textId="77777777" w:rsidR="00C91F25" w:rsidRPr="00263DB9" w:rsidRDefault="00C91F25" w:rsidP="00E51817">
            <w:pPr>
              <w:pStyle w:val="EndnoteText"/>
              <w:rPr>
                <w:color w:val="000000"/>
              </w:rPr>
            </w:pPr>
            <w:r w:rsidRPr="00263DB9">
              <w:rPr>
                <w:color w:val="000000"/>
              </w:rPr>
              <w:t>DAUN (45 mg/m</w:t>
            </w:r>
            <w:r w:rsidRPr="00263DB9">
              <w:rPr>
                <w:color w:val="000000"/>
                <w:vertAlign w:val="superscript"/>
              </w:rPr>
              <w:t>2</w:t>
            </w:r>
            <w:r w:rsidRPr="00263DB9">
              <w:rPr>
                <w:color w:val="000000"/>
              </w:rPr>
              <w:t>/dia em bólus, IV): dias 1 e 2</w:t>
            </w:r>
          </w:p>
          <w:p w14:paraId="375EB870" w14:textId="77777777" w:rsidR="00C91F25" w:rsidRPr="00263DB9" w:rsidRDefault="00C91F25" w:rsidP="00E51817">
            <w:pPr>
              <w:pStyle w:val="EndnoteText"/>
              <w:rPr>
                <w:color w:val="000000"/>
              </w:rPr>
            </w:pPr>
            <w:r w:rsidRPr="00263DB9">
              <w:rPr>
                <w:color w:val="000000"/>
              </w:rPr>
              <w:t>CPM (250 mg/m</w:t>
            </w:r>
            <w:r w:rsidRPr="00263DB9">
              <w:rPr>
                <w:color w:val="000000"/>
                <w:vertAlign w:val="superscript"/>
              </w:rPr>
              <w:t>2</w:t>
            </w:r>
            <w:r w:rsidRPr="00263DB9">
              <w:rPr>
                <w:color w:val="000000"/>
              </w:rPr>
              <w:t>/dose q12h x 4 doses, iv): Dias 3 e 4</w:t>
            </w:r>
          </w:p>
          <w:p w14:paraId="375EB871" w14:textId="77777777" w:rsidR="00C91F25" w:rsidRPr="00263DB9" w:rsidRDefault="00C91F25" w:rsidP="00E51817">
            <w:pPr>
              <w:pStyle w:val="EndnoteText"/>
              <w:rPr>
                <w:color w:val="000000"/>
                <w:lang w:val="de-DE"/>
              </w:rPr>
            </w:pPr>
            <w:r w:rsidRPr="00263DB9">
              <w:rPr>
                <w:color w:val="000000"/>
                <w:lang w:val="de-DE"/>
              </w:rPr>
              <w:t>PEG-ASP (2500 UI/m</w:t>
            </w:r>
            <w:r w:rsidRPr="00263DB9">
              <w:rPr>
                <w:color w:val="000000"/>
                <w:vertAlign w:val="superscript"/>
                <w:lang w:val="de-DE"/>
              </w:rPr>
              <w:t>2</w:t>
            </w:r>
            <w:r w:rsidRPr="00263DB9">
              <w:rPr>
                <w:color w:val="000000"/>
                <w:lang w:val="de-DE"/>
              </w:rPr>
              <w:t>, IM): dia 4</w:t>
            </w:r>
          </w:p>
          <w:p w14:paraId="375EB872" w14:textId="77777777" w:rsidR="00C91F25" w:rsidRPr="00263DB9" w:rsidRDefault="00C91F25" w:rsidP="00E51817">
            <w:pPr>
              <w:pStyle w:val="EndnoteText"/>
              <w:rPr>
                <w:color w:val="000000"/>
              </w:rPr>
            </w:pPr>
            <w:r w:rsidRPr="00263DB9">
              <w:rPr>
                <w:color w:val="000000"/>
              </w:rPr>
              <w:t>G-CSF (5 μg/kg, SC): dias 5-14 ou até ANC &gt; 1500 pós nadir</w:t>
            </w:r>
          </w:p>
          <w:p w14:paraId="375EB873" w14:textId="77777777" w:rsidR="00C91F25" w:rsidRPr="00263DB9" w:rsidRDefault="00C91F25" w:rsidP="00E51817">
            <w:pPr>
              <w:pStyle w:val="EndnoteText"/>
              <w:rPr>
                <w:color w:val="000000"/>
              </w:rPr>
            </w:pPr>
            <w:r w:rsidRPr="00263DB9">
              <w:rPr>
                <w:color w:val="000000"/>
              </w:rPr>
              <w:t>Terapêutica tripla IT (ajustada à idade): dias 1 e 15</w:t>
            </w:r>
          </w:p>
          <w:p w14:paraId="375EB874" w14:textId="77777777" w:rsidR="00C91F25" w:rsidRPr="00263DB9" w:rsidRDefault="00C91F25" w:rsidP="00E51817">
            <w:pPr>
              <w:pStyle w:val="EndnoteText"/>
              <w:rPr>
                <w:color w:val="000000"/>
              </w:rPr>
            </w:pPr>
            <w:r w:rsidRPr="00263DB9">
              <w:rPr>
                <w:color w:val="000000"/>
              </w:rPr>
              <w:t>DEX (6 mg/m</w:t>
            </w:r>
            <w:r w:rsidRPr="00263DB9">
              <w:rPr>
                <w:color w:val="000000"/>
                <w:vertAlign w:val="superscript"/>
              </w:rPr>
              <w:t>2</w:t>
            </w:r>
            <w:r w:rsidRPr="00263DB9">
              <w:rPr>
                <w:color w:val="000000"/>
              </w:rPr>
              <w:t>/dia, PO): dias 1</w:t>
            </w:r>
            <w:r w:rsidRPr="00263DB9">
              <w:rPr>
                <w:color w:val="000000"/>
              </w:rPr>
              <w:noBreakHyphen/>
              <w:t>7 e 15</w:t>
            </w:r>
            <w:r w:rsidRPr="00263DB9">
              <w:rPr>
                <w:color w:val="000000"/>
              </w:rPr>
              <w:noBreakHyphen/>
              <w:t>21</w:t>
            </w:r>
          </w:p>
        </w:tc>
      </w:tr>
      <w:tr w:rsidR="00C91F25" w:rsidRPr="00263DB9" w14:paraId="375EB881" w14:textId="77777777" w:rsidTr="008303F6">
        <w:trPr>
          <w:cantSplit/>
        </w:trPr>
        <w:tc>
          <w:tcPr>
            <w:tcW w:w="2357" w:type="dxa"/>
            <w:shd w:val="clear" w:color="auto" w:fill="auto"/>
          </w:tcPr>
          <w:p w14:paraId="375EB876" w14:textId="77777777" w:rsidR="00C91F25" w:rsidRPr="00263DB9" w:rsidRDefault="00C91F25" w:rsidP="00E51817">
            <w:pPr>
              <w:pStyle w:val="EndnoteText"/>
              <w:rPr>
                <w:color w:val="000000"/>
              </w:rPr>
            </w:pPr>
            <w:r w:rsidRPr="00263DB9">
              <w:rPr>
                <w:color w:val="000000"/>
              </w:rPr>
              <w:t>Bloco de intensificação 2</w:t>
            </w:r>
          </w:p>
          <w:p w14:paraId="375EB877" w14:textId="77777777" w:rsidR="00C91F25" w:rsidRPr="00263DB9" w:rsidRDefault="00C91F25" w:rsidP="00E51817">
            <w:pPr>
              <w:pStyle w:val="EndnoteText"/>
              <w:rPr>
                <w:color w:val="000000"/>
              </w:rPr>
            </w:pPr>
            <w:r w:rsidRPr="00263DB9">
              <w:rPr>
                <w:color w:val="000000"/>
              </w:rPr>
              <w:t>(9 semanas)</w:t>
            </w:r>
          </w:p>
        </w:tc>
        <w:tc>
          <w:tcPr>
            <w:tcW w:w="6919" w:type="dxa"/>
            <w:shd w:val="clear" w:color="auto" w:fill="auto"/>
          </w:tcPr>
          <w:p w14:paraId="375EB878" w14:textId="77777777" w:rsidR="00C91F25" w:rsidRPr="00263DB9" w:rsidRDefault="00C91F25" w:rsidP="00E51817">
            <w:pPr>
              <w:pStyle w:val="EndnoteText"/>
              <w:rPr>
                <w:color w:val="000000"/>
              </w:rPr>
            </w:pPr>
            <w:r w:rsidRPr="00263DB9">
              <w:rPr>
                <w:color w:val="000000"/>
              </w:rPr>
              <w:t>Metotrexato (5 g/m</w:t>
            </w:r>
            <w:r w:rsidRPr="00263DB9">
              <w:rPr>
                <w:color w:val="000000"/>
                <w:vertAlign w:val="superscript"/>
              </w:rPr>
              <w:t>2</w:t>
            </w:r>
            <w:r w:rsidRPr="00263DB9">
              <w:rPr>
                <w:color w:val="000000"/>
              </w:rPr>
              <w:t xml:space="preserve"> durante 24 horas, IV): dias 1 e 15</w:t>
            </w:r>
          </w:p>
          <w:p w14:paraId="375EB879" w14:textId="77777777" w:rsidR="00C91F25" w:rsidRPr="00263DB9" w:rsidRDefault="00C91F25" w:rsidP="00E51817">
            <w:pPr>
              <w:pStyle w:val="EndnoteText"/>
              <w:rPr>
                <w:color w:val="000000"/>
              </w:rPr>
            </w:pPr>
            <w:r w:rsidRPr="00263DB9">
              <w:rPr>
                <w:color w:val="000000"/>
              </w:rPr>
              <w:t>Leucovorina (75 mg/m</w:t>
            </w:r>
            <w:r w:rsidRPr="00263DB9">
              <w:rPr>
                <w:color w:val="000000"/>
                <w:vertAlign w:val="superscript"/>
              </w:rPr>
              <w:t>2</w:t>
            </w:r>
            <w:r w:rsidRPr="00263DB9">
              <w:rPr>
                <w:color w:val="000000"/>
              </w:rPr>
              <w:t xml:space="preserve"> à 36 hora, IV; 15 mg/m</w:t>
            </w:r>
            <w:r w:rsidRPr="00263DB9">
              <w:rPr>
                <w:color w:val="000000"/>
                <w:vertAlign w:val="superscript"/>
              </w:rPr>
              <w:t>2</w:t>
            </w:r>
            <w:r w:rsidRPr="00263DB9">
              <w:rPr>
                <w:color w:val="000000"/>
              </w:rPr>
              <w:t xml:space="preserve"> IV ou PO q6h x 6 doses)iii: dias 2, 3, 16, e 17</w:t>
            </w:r>
          </w:p>
          <w:p w14:paraId="375EB87A" w14:textId="77777777" w:rsidR="00C91F25" w:rsidRPr="00263DB9" w:rsidRDefault="00C91F25" w:rsidP="00E51817">
            <w:pPr>
              <w:pStyle w:val="EndnoteText"/>
              <w:rPr>
                <w:color w:val="000000"/>
              </w:rPr>
            </w:pPr>
            <w:r w:rsidRPr="00263DB9">
              <w:rPr>
                <w:color w:val="000000"/>
              </w:rPr>
              <w:t>Terapêutica tripla IT (ajustada à idade): dias 1 e 22</w:t>
            </w:r>
          </w:p>
          <w:p w14:paraId="375EB87B" w14:textId="77777777" w:rsidR="00C91F25" w:rsidRPr="00263DB9" w:rsidRDefault="00C91F25" w:rsidP="00E51817">
            <w:pPr>
              <w:pStyle w:val="EndnoteText"/>
              <w:rPr>
                <w:color w:val="000000"/>
              </w:rPr>
            </w:pPr>
            <w:r w:rsidRPr="00263DB9">
              <w:rPr>
                <w:color w:val="000000"/>
              </w:rPr>
              <w:t>VP-16 (100 mg/m</w:t>
            </w:r>
            <w:r w:rsidRPr="00263DB9">
              <w:rPr>
                <w:color w:val="000000"/>
                <w:vertAlign w:val="superscript"/>
              </w:rPr>
              <w:t>2</w:t>
            </w:r>
            <w:r w:rsidRPr="00263DB9">
              <w:rPr>
                <w:color w:val="000000"/>
              </w:rPr>
              <w:t>/dia, IV): dias 22</w:t>
            </w:r>
            <w:r w:rsidRPr="00263DB9">
              <w:rPr>
                <w:color w:val="000000"/>
              </w:rPr>
              <w:noBreakHyphen/>
              <w:t>26</w:t>
            </w:r>
          </w:p>
          <w:p w14:paraId="375EB87C" w14:textId="77777777" w:rsidR="00C91F25" w:rsidRPr="00263DB9" w:rsidRDefault="00C91F25" w:rsidP="00E51817">
            <w:pPr>
              <w:pStyle w:val="EndnoteText"/>
              <w:rPr>
                <w:color w:val="000000"/>
              </w:rPr>
            </w:pPr>
            <w:r w:rsidRPr="00263DB9">
              <w:rPr>
                <w:color w:val="000000"/>
              </w:rPr>
              <w:t>CPM (300 mg/m</w:t>
            </w:r>
            <w:r w:rsidRPr="00263DB9">
              <w:rPr>
                <w:color w:val="000000"/>
                <w:vertAlign w:val="superscript"/>
              </w:rPr>
              <w:t>2</w:t>
            </w:r>
            <w:r w:rsidRPr="00263DB9">
              <w:rPr>
                <w:color w:val="000000"/>
              </w:rPr>
              <w:t>/dia, IV): dias 22</w:t>
            </w:r>
            <w:r w:rsidRPr="00263DB9">
              <w:rPr>
                <w:color w:val="000000"/>
              </w:rPr>
              <w:noBreakHyphen/>
              <w:t>26</w:t>
            </w:r>
          </w:p>
          <w:p w14:paraId="375EB87D" w14:textId="77777777" w:rsidR="00C91F25" w:rsidRPr="00263DB9" w:rsidRDefault="00C91F25" w:rsidP="00E51817">
            <w:pPr>
              <w:pStyle w:val="EndnoteText"/>
              <w:rPr>
                <w:color w:val="000000"/>
              </w:rPr>
            </w:pPr>
            <w:r w:rsidRPr="00263DB9">
              <w:rPr>
                <w:color w:val="000000"/>
              </w:rPr>
              <w:t>MESNA (150 mg/m</w:t>
            </w:r>
            <w:r w:rsidRPr="00263DB9">
              <w:rPr>
                <w:color w:val="000000"/>
                <w:vertAlign w:val="superscript"/>
              </w:rPr>
              <w:t>2</w:t>
            </w:r>
            <w:r w:rsidRPr="00263DB9">
              <w:rPr>
                <w:color w:val="000000"/>
              </w:rPr>
              <w:t>/dia, IV): dias 22</w:t>
            </w:r>
            <w:r w:rsidRPr="00263DB9">
              <w:rPr>
                <w:color w:val="000000"/>
              </w:rPr>
              <w:noBreakHyphen/>
              <w:t>26</w:t>
            </w:r>
          </w:p>
          <w:p w14:paraId="375EB87E" w14:textId="77777777" w:rsidR="00C91F25" w:rsidRPr="00263DB9" w:rsidRDefault="00C91F25" w:rsidP="00E51817">
            <w:pPr>
              <w:pStyle w:val="EndnoteText"/>
              <w:rPr>
                <w:color w:val="000000"/>
              </w:rPr>
            </w:pPr>
            <w:r w:rsidRPr="00263DB9">
              <w:rPr>
                <w:color w:val="000000"/>
              </w:rPr>
              <w:t>G-CSF (5 μg/kg, SC): dias 27</w:t>
            </w:r>
            <w:r w:rsidRPr="00263DB9">
              <w:rPr>
                <w:color w:val="000000"/>
              </w:rPr>
              <w:noBreakHyphen/>
              <w:t>36 ou até ANC &gt; 1500 pós nadir</w:t>
            </w:r>
          </w:p>
          <w:p w14:paraId="375EB87F" w14:textId="77777777" w:rsidR="00C91F25" w:rsidRPr="00263DB9" w:rsidRDefault="00C91F25" w:rsidP="00E51817">
            <w:pPr>
              <w:pStyle w:val="EndnoteText"/>
              <w:rPr>
                <w:color w:val="000000"/>
              </w:rPr>
            </w:pPr>
            <w:r w:rsidRPr="00263DB9">
              <w:rPr>
                <w:color w:val="000000"/>
              </w:rPr>
              <w:t>ARA-C (3 g/m</w:t>
            </w:r>
            <w:r w:rsidRPr="00263DB9">
              <w:rPr>
                <w:color w:val="000000"/>
                <w:vertAlign w:val="superscript"/>
              </w:rPr>
              <w:t>2</w:t>
            </w:r>
            <w:r w:rsidRPr="00263DB9">
              <w:rPr>
                <w:color w:val="000000"/>
              </w:rPr>
              <w:t>, q12h, IV): dias 43, 44</w:t>
            </w:r>
          </w:p>
          <w:p w14:paraId="375EB880" w14:textId="77777777" w:rsidR="00C91F25" w:rsidRPr="00263DB9" w:rsidRDefault="00C91F25" w:rsidP="00E51817">
            <w:pPr>
              <w:pStyle w:val="EndnoteText"/>
              <w:rPr>
                <w:color w:val="000000"/>
                <w:lang w:val="de-DE"/>
              </w:rPr>
            </w:pPr>
            <w:r w:rsidRPr="00263DB9">
              <w:rPr>
                <w:color w:val="000000"/>
                <w:lang w:val="de-DE"/>
              </w:rPr>
              <w:t>L-ASP (6000 UI/m</w:t>
            </w:r>
            <w:r w:rsidRPr="00263DB9">
              <w:rPr>
                <w:color w:val="000000"/>
                <w:vertAlign w:val="superscript"/>
                <w:lang w:val="de-DE"/>
              </w:rPr>
              <w:t>2</w:t>
            </w:r>
            <w:r w:rsidRPr="00263DB9">
              <w:rPr>
                <w:color w:val="000000"/>
                <w:lang w:val="de-DE"/>
              </w:rPr>
              <w:t>, IM): dia 44</w:t>
            </w:r>
          </w:p>
        </w:tc>
      </w:tr>
      <w:tr w:rsidR="00C91F25" w:rsidRPr="00263DB9" w14:paraId="375EB890" w14:textId="77777777" w:rsidTr="008303F6">
        <w:trPr>
          <w:cantSplit/>
        </w:trPr>
        <w:tc>
          <w:tcPr>
            <w:tcW w:w="2357" w:type="dxa"/>
            <w:shd w:val="clear" w:color="auto" w:fill="auto"/>
          </w:tcPr>
          <w:p w14:paraId="375EB882" w14:textId="77777777" w:rsidR="00C91F25" w:rsidRPr="00263DB9" w:rsidRDefault="00C91F25" w:rsidP="00E51817">
            <w:pPr>
              <w:pStyle w:val="EndnoteText"/>
              <w:rPr>
                <w:color w:val="000000"/>
              </w:rPr>
            </w:pPr>
            <w:r w:rsidRPr="00263DB9">
              <w:rPr>
                <w:color w:val="000000"/>
              </w:rPr>
              <w:t>Manutenção</w:t>
            </w:r>
          </w:p>
          <w:p w14:paraId="375EB883" w14:textId="77777777" w:rsidR="00C91F25" w:rsidRPr="00263DB9" w:rsidRDefault="00C91F25" w:rsidP="00E51817">
            <w:pPr>
              <w:pStyle w:val="EndnoteText"/>
              <w:rPr>
                <w:color w:val="000000"/>
              </w:rPr>
            </w:pPr>
            <w:r w:rsidRPr="00263DB9">
              <w:rPr>
                <w:color w:val="000000"/>
              </w:rPr>
              <w:t>(Ciclos de 8-semanas)</w:t>
            </w:r>
          </w:p>
          <w:p w14:paraId="375EB884" w14:textId="77777777" w:rsidR="00C91F25" w:rsidRPr="00263DB9" w:rsidRDefault="00C91F25" w:rsidP="00E51817">
            <w:pPr>
              <w:pStyle w:val="EndnoteText"/>
              <w:rPr>
                <w:color w:val="000000"/>
              </w:rPr>
            </w:pPr>
            <w:r w:rsidRPr="00263DB9">
              <w:rPr>
                <w:color w:val="000000"/>
              </w:rPr>
              <w:t>Ciclos 1–4</w:t>
            </w:r>
          </w:p>
        </w:tc>
        <w:tc>
          <w:tcPr>
            <w:tcW w:w="6919" w:type="dxa"/>
            <w:shd w:val="clear" w:color="auto" w:fill="auto"/>
          </w:tcPr>
          <w:p w14:paraId="375EB885" w14:textId="77777777" w:rsidR="00C91F25" w:rsidRPr="00263DB9" w:rsidRDefault="00C91F25" w:rsidP="00E51817">
            <w:pPr>
              <w:pStyle w:val="EndnoteText"/>
              <w:rPr>
                <w:color w:val="000000"/>
              </w:rPr>
            </w:pPr>
            <w:r w:rsidRPr="00263DB9">
              <w:rPr>
                <w:color w:val="000000"/>
              </w:rPr>
              <w:t>MTX (5 g/m</w:t>
            </w:r>
            <w:r w:rsidRPr="00263DB9">
              <w:rPr>
                <w:color w:val="000000"/>
                <w:vertAlign w:val="superscript"/>
              </w:rPr>
              <w:t>2</w:t>
            </w:r>
            <w:r w:rsidRPr="00263DB9">
              <w:rPr>
                <w:color w:val="000000"/>
              </w:rPr>
              <w:t xml:space="preserve"> durante 24 horas, IV): dia 1</w:t>
            </w:r>
          </w:p>
          <w:p w14:paraId="375EB886" w14:textId="77777777" w:rsidR="00C91F25" w:rsidRPr="00263DB9" w:rsidRDefault="00C91F25" w:rsidP="00E51817">
            <w:pPr>
              <w:pStyle w:val="EndnoteText"/>
              <w:rPr>
                <w:color w:val="000000"/>
              </w:rPr>
            </w:pPr>
            <w:r w:rsidRPr="00263DB9">
              <w:rPr>
                <w:color w:val="000000"/>
              </w:rPr>
              <w:t>Leucovorina (75 mg/m</w:t>
            </w:r>
            <w:r w:rsidRPr="00263DB9">
              <w:rPr>
                <w:color w:val="000000"/>
                <w:vertAlign w:val="superscript"/>
              </w:rPr>
              <w:t>2</w:t>
            </w:r>
            <w:r w:rsidRPr="00263DB9">
              <w:rPr>
                <w:color w:val="000000"/>
              </w:rPr>
              <w:t xml:space="preserve"> à 36 hora, IV; 15 mg/m</w:t>
            </w:r>
            <w:r w:rsidRPr="00263DB9">
              <w:rPr>
                <w:color w:val="000000"/>
                <w:vertAlign w:val="superscript"/>
              </w:rPr>
              <w:t>2</w:t>
            </w:r>
            <w:r w:rsidRPr="00263DB9">
              <w:rPr>
                <w:color w:val="000000"/>
              </w:rPr>
              <w:t xml:space="preserve"> IV ou PO q6h x 6 doses)iii: dias 2 e 3</w:t>
            </w:r>
          </w:p>
          <w:p w14:paraId="375EB887" w14:textId="77777777" w:rsidR="00C91F25" w:rsidRPr="00263DB9" w:rsidRDefault="00C91F25" w:rsidP="00E51817">
            <w:pPr>
              <w:pStyle w:val="EndnoteText"/>
              <w:rPr>
                <w:color w:val="000000"/>
              </w:rPr>
            </w:pPr>
            <w:r w:rsidRPr="00263DB9">
              <w:rPr>
                <w:color w:val="000000"/>
              </w:rPr>
              <w:t>Terapêutica tripla IT (ajustada à idade): dias 1, 29</w:t>
            </w:r>
          </w:p>
          <w:p w14:paraId="375EB888" w14:textId="77777777" w:rsidR="00C91F25" w:rsidRPr="00263DB9" w:rsidRDefault="00C91F25" w:rsidP="00E51817">
            <w:pPr>
              <w:pStyle w:val="EndnoteText"/>
              <w:rPr>
                <w:color w:val="000000"/>
              </w:rPr>
            </w:pPr>
            <w:r w:rsidRPr="00263DB9">
              <w:rPr>
                <w:color w:val="000000"/>
              </w:rPr>
              <w:t>VCR (1,5 mg/m</w:t>
            </w:r>
            <w:r w:rsidRPr="00263DB9">
              <w:rPr>
                <w:color w:val="000000"/>
                <w:vertAlign w:val="superscript"/>
              </w:rPr>
              <w:t>2</w:t>
            </w:r>
            <w:r w:rsidRPr="00263DB9">
              <w:rPr>
                <w:color w:val="000000"/>
              </w:rPr>
              <w:t>, IV): dias 1, 29</w:t>
            </w:r>
          </w:p>
          <w:p w14:paraId="375EB889" w14:textId="77777777" w:rsidR="00C91F25" w:rsidRPr="00263DB9" w:rsidRDefault="00C91F25" w:rsidP="00E51817">
            <w:pPr>
              <w:pStyle w:val="EndnoteText"/>
              <w:rPr>
                <w:color w:val="000000"/>
              </w:rPr>
            </w:pPr>
            <w:r w:rsidRPr="00263DB9">
              <w:rPr>
                <w:color w:val="000000"/>
              </w:rPr>
              <w:t>DEX (6 mg/m</w:t>
            </w:r>
            <w:r w:rsidRPr="00263DB9">
              <w:rPr>
                <w:color w:val="000000"/>
                <w:vertAlign w:val="superscript"/>
              </w:rPr>
              <w:t>2</w:t>
            </w:r>
            <w:r w:rsidRPr="00263DB9">
              <w:rPr>
                <w:color w:val="000000"/>
              </w:rPr>
              <w:t>/dia PO): dias 1</w:t>
            </w:r>
            <w:r w:rsidRPr="00263DB9">
              <w:rPr>
                <w:color w:val="000000"/>
              </w:rPr>
              <w:noBreakHyphen/>
              <w:t>5; 29</w:t>
            </w:r>
            <w:r w:rsidRPr="00263DB9">
              <w:rPr>
                <w:color w:val="000000"/>
              </w:rPr>
              <w:noBreakHyphen/>
              <w:t>33</w:t>
            </w:r>
          </w:p>
          <w:p w14:paraId="375EB88A" w14:textId="77777777" w:rsidR="00C91F25" w:rsidRPr="00263DB9" w:rsidRDefault="00C91F25" w:rsidP="00E51817">
            <w:pPr>
              <w:pStyle w:val="EndnoteText"/>
              <w:rPr>
                <w:color w:val="000000"/>
              </w:rPr>
            </w:pPr>
            <w:r w:rsidRPr="00263DB9">
              <w:rPr>
                <w:color w:val="000000"/>
              </w:rPr>
              <w:t>6-MP (75 mg/m</w:t>
            </w:r>
            <w:r w:rsidRPr="00263DB9">
              <w:rPr>
                <w:color w:val="000000"/>
                <w:vertAlign w:val="superscript"/>
              </w:rPr>
              <w:t>2</w:t>
            </w:r>
            <w:r w:rsidRPr="00263DB9">
              <w:rPr>
                <w:color w:val="000000"/>
              </w:rPr>
              <w:t>/dia, PO): dias 8</w:t>
            </w:r>
            <w:r w:rsidRPr="00263DB9">
              <w:rPr>
                <w:color w:val="000000"/>
              </w:rPr>
              <w:noBreakHyphen/>
              <w:t>28</w:t>
            </w:r>
          </w:p>
          <w:p w14:paraId="375EB88B" w14:textId="77777777" w:rsidR="00C91F25" w:rsidRPr="00263DB9" w:rsidRDefault="00C91F25" w:rsidP="00E51817">
            <w:pPr>
              <w:pStyle w:val="EndnoteText"/>
              <w:rPr>
                <w:color w:val="000000"/>
                <w:lang w:val="it-IT"/>
              </w:rPr>
            </w:pPr>
            <w:r w:rsidRPr="00263DB9">
              <w:rPr>
                <w:color w:val="000000"/>
                <w:lang w:val="it-IT"/>
              </w:rPr>
              <w:t>Metotrexato (20 mg/m</w:t>
            </w:r>
            <w:r w:rsidRPr="00263DB9">
              <w:rPr>
                <w:color w:val="000000"/>
                <w:vertAlign w:val="superscript"/>
                <w:lang w:val="it-IT"/>
              </w:rPr>
              <w:t>2</w:t>
            </w:r>
            <w:r w:rsidRPr="00263DB9">
              <w:rPr>
                <w:color w:val="000000"/>
                <w:lang w:val="it-IT"/>
              </w:rPr>
              <w:t>/semana, PO): dias 8, 15, 22</w:t>
            </w:r>
          </w:p>
          <w:p w14:paraId="375EB88C" w14:textId="77777777" w:rsidR="00C91F25" w:rsidRPr="00263DB9" w:rsidRDefault="00C91F25" w:rsidP="00E51817">
            <w:pPr>
              <w:pStyle w:val="EndnoteText"/>
              <w:rPr>
                <w:color w:val="000000"/>
              </w:rPr>
            </w:pPr>
            <w:r w:rsidRPr="00263DB9">
              <w:rPr>
                <w:color w:val="000000"/>
              </w:rPr>
              <w:t>VP-16 (100 mg/m</w:t>
            </w:r>
            <w:r w:rsidRPr="00263DB9">
              <w:rPr>
                <w:color w:val="000000"/>
                <w:vertAlign w:val="superscript"/>
              </w:rPr>
              <w:t>2</w:t>
            </w:r>
            <w:r w:rsidRPr="00263DB9">
              <w:rPr>
                <w:color w:val="000000"/>
              </w:rPr>
              <w:t>, IV): dias 29</w:t>
            </w:r>
            <w:r w:rsidRPr="00263DB9">
              <w:rPr>
                <w:color w:val="000000"/>
              </w:rPr>
              <w:noBreakHyphen/>
              <w:t>33</w:t>
            </w:r>
          </w:p>
          <w:p w14:paraId="375EB88D" w14:textId="77777777" w:rsidR="00C91F25" w:rsidRPr="00263DB9" w:rsidRDefault="00C91F25" w:rsidP="00E51817">
            <w:pPr>
              <w:pStyle w:val="EndnoteText"/>
              <w:rPr>
                <w:color w:val="000000"/>
              </w:rPr>
            </w:pPr>
            <w:r w:rsidRPr="00263DB9">
              <w:rPr>
                <w:color w:val="000000"/>
              </w:rPr>
              <w:t>CPM (300 mg/m</w:t>
            </w:r>
            <w:r w:rsidRPr="00263DB9">
              <w:rPr>
                <w:color w:val="000000"/>
                <w:vertAlign w:val="superscript"/>
              </w:rPr>
              <w:t>2</w:t>
            </w:r>
            <w:r w:rsidRPr="00263DB9">
              <w:rPr>
                <w:color w:val="000000"/>
              </w:rPr>
              <w:t>, IV): dias 29</w:t>
            </w:r>
            <w:r w:rsidRPr="00263DB9">
              <w:rPr>
                <w:color w:val="000000"/>
              </w:rPr>
              <w:noBreakHyphen/>
              <w:t>33</w:t>
            </w:r>
          </w:p>
          <w:p w14:paraId="375EB88E" w14:textId="77777777" w:rsidR="00C91F25" w:rsidRPr="00263DB9" w:rsidRDefault="00C91F25" w:rsidP="00E51817">
            <w:pPr>
              <w:pStyle w:val="EndnoteText"/>
              <w:rPr>
                <w:color w:val="000000"/>
              </w:rPr>
            </w:pPr>
            <w:r w:rsidRPr="00263DB9">
              <w:rPr>
                <w:color w:val="000000"/>
              </w:rPr>
              <w:t>MESNA IV dias 29</w:t>
            </w:r>
            <w:r w:rsidRPr="00263DB9">
              <w:rPr>
                <w:color w:val="000000"/>
              </w:rPr>
              <w:noBreakHyphen/>
              <w:t>33</w:t>
            </w:r>
          </w:p>
          <w:p w14:paraId="375EB88F" w14:textId="77777777" w:rsidR="00C91F25" w:rsidRPr="00263DB9" w:rsidRDefault="00C91F25" w:rsidP="00E51817">
            <w:pPr>
              <w:pStyle w:val="EndnoteText"/>
              <w:rPr>
                <w:color w:val="000000"/>
              </w:rPr>
            </w:pPr>
            <w:r w:rsidRPr="00263DB9">
              <w:rPr>
                <w:color w:val="000000"/>
              </w:rPr>
              <w:t>G-CSF (5 μg/kg, SC): dias 34</w:t>
            </w:r>
            <w:r w:rsidRPr="00263DB9">
              <w:rPr>
                <w:color w:val="000000"/>
              </w:rPr>
              <w:noBreakHyphen/>
              <w:t>43</w:t>
            </w:r>
          </w:p>
        </w:tc>
      </w:tr>
      <w:tr w:rsidR="00C91F25" w:rsidRPr="00263DB9" w14:paraId="375EB89B" w14:textId="77777777" w:rsidTr="008303F6">
        <w:trPr>
          <w:cantSplit/>
        </w:trPr>
        <w:tc>
          <w:tcPr>
            <w:tcW w:w="2357" w:type="dxa"/>
            <w:shd w:val="clear" w:color="auto" w:fill="auto"/>
          </w:tcPr>
          <w:p w14:paraId="375EB891" w14:textId="77777777" w:rsidR="00C91F25" w:rsidRPr="00263DB9" w:rsidRDefault="00C91F25" w:rsidP="00E51817">
            <w:pPr>
              <w:pStyle w:val="EndnoteText"/>
              <w:rPr>
                <w:color w:val="000000"/>
              </w:rPr>
            </w:pPr>
            <w:r w:rsidRPr="00263DB9">
              <w:rPr>
                <w:color w:val="000000"/>
              </w:rPr>
              <w:t>Manutenção</w:t>
            </w:r>
          </w:p>
          <w:p w14:paraId="375EB892" w14:textId="77777777" w:rsidR="00C91F25" w:rsidRPr="00263DB9" w:rsidRDefault="00C91F25" w:rsidP="00E51817">
            <w:pPr>
              <w:pStyle w:val="EndnoteText"/>
              <w:rPr>
                <w:color w:val="000000"/>
              </w:rPr>
            </w:pPr>
            <w:r w:rsidRPr="00263DB9">
              <w:rPr>
                <w:color w:val="000000"/>
              </w:rPr>
              <w:t>(Ciclos de 8-semanas)</w:t>
            </w:r>
          </w:p>
          <w:p w14:paraId="375EB893" w14:textId="77777777" w:rsidR="00C91F25" w:rsidRPr="00263DB9" w:rsidRDefault="00C91F25" w:rsidP="00E51817">
            <w:pPr>
              <w:pStyle w:val="EndnoteText"/>
              <w:rPr>
                <w:color w:val="000000"/>
              </w:rPr>
            </w:pPr>
            <w:r w:rsidRPr="00263DB9">
              <w:rPr>
                <w:color w:val="000000"/>
              </w:rPr>
              <w:t>Ciclo 5</w:t>
            </w:r>
          </w:p>
        </w:tc>
        <w:tc>
          <w:tcPr>
            <w:tcW w:w="6919" w:type="dxa"/>
            <w:shd w:val="clear" w:color="auto" w:fill="auto"/>
          </w:tcPr>
          <w:p w14:paraId="375EB894" w14:textId="77777777" w:rsidR="00C91F25" w:rsidRPr="00263DB9" w:rsidRDefault="00C91F25" w:rsidP="00E51817">
            <w:pPr>
              <w:pStyle w:val="EndnoteText"/>
              <w:rPr>
                <w:color w:val="000000"/>
                <w:lang w:val="es-ES"/>
              </w:rPr>
            </w:pPr>
            <w:r w:rsidRPr="00263DB9">
              <w:rPr>
                <w:color w:val="000000"/>
                <w:lang w:val="es-ES"/>
              </w:rPr>
              <w:t>Irradiação craniana (Apenas bloco 5)</w:t>
            </w:r>
          </w:p>
          <w:p w14:paraId="375EB895" w14:textId="77777777" w:rsidR="00C91F25" w:rsidRPr="00263DB9" w:rsidRDefault="00C91F25" w:rsidP="00E51817">
            <w:pPr>
              <w:pStyle w:val="EndnoteText"/>
              <w:rPr>
                <w:color w:val="000000"/>
              </w:rPr>
            </w:pPr>
            <w:r w:rsidRPr="00263DB9">
              <w:rPr>
                <w:color w:val="000000"/>
              </w:rPr>
              <w:t>12 Gy em 8 frações para todos os doentes que são CNS1 e CNS2 ao diagnóstico</w:t>
            </w:r>
          </w:p>
          <w:p w14:paraId="375EB896" w14:textId="77777777" w:rsidR="00C91F25" w:rsidRPr="00263DB9" w:rsidRDefault="00C91F25" w:rsidP="00E51817">
            <w:pPr>
              <w:pStyle w:val="EndnoteText"/>
              <w:rPr>
                <w:color w:val="000000"/>
              </w:rPr>
            </w:pPr>
            <w:r w:rsidRPr="00263DB9">
              <w:rPr>
                <w:color w:val="000000"/>
              </w:rPr>
              <w:t>18 Gy em 10 frações para doentes que são CNS3 ao diagnóstico</w:t>
            </w:r>
          </w:p>
          <w:p w14:paraId="375EB897" w14:textId="77777777" w:rsidR="00C91F25" w:rsidRPr="00263DB9" w:rsidRDefault="00C91F25" w:rsidP="00E51817">
            <w:pPr>
              <w:pStyle w:val="EndnoteText"/>
              <w:rPr>
                <w:color w:val="000000"/>
              </w:rPr>
            </w:pPr>
            <w:r w:rsidRPr="00263DB9">
              <w:rPr>
                <w:color w:val="000000"/>
              </w:rPr>
              <w:t>VCR (1,5 mg/m</w:t>
            </w:r>
            <w:r w:rsidRPr="00263DB9">
              <w:rPr>
                <w:color w:val="000000"/>
                <w:vertAlign w:val="superscript"/>
              </w:rPr>
              <w:t>2</w:t>
            </w:r>
            <w:r w:rsidRPr="00263DB9">
              <w:rPr>
                <w:color w:val="000000"/>
              </w:rPr>
              <w:t>/dia, IV): dias 1, 29</w:t>
            </w:r>
          </w:p>
          <w:p w14:paraId="375EB898" w14:textId="77777777" w:rsidR="00C91F25" w:rsidRPr="00263DB9" w:rsidRDefault="00C91F25" w:rsidP="00E51817">
            <w:pPr>
              <w:pStyle w:val="EndnoteText"/>
              <w:rPr>
                <w:color w:val="000000"/>
              </w:rPr>
            </w:pPr>
            <w:r w:rsidRPr="00263DB9">
              <w:rPr>
                <w:color w:val="000000"/>
              </w:rPr>
              <w:t>DEX (6 mg/m</w:t>
            </w:r>
            <w:r w:rsidRPr="00263DB9">
              <w:rPr>
                <w:color w:val="000000"/>
                <w:vertAlign w:val="superscript"/>
              </w:rPr>
              <w:t>2</w:t>
            </w:r>
            <w:r w:rsidRPr="00263DB9">
              <w:rPr>
                <w:color w:val="000000"/>
              </w:rPr>
              <w:t>/dia, PO): dias 1</w:t>
            </w:r>
            <w:r w:rsidRPr="00263DB9">
              <w:rPr>
                <w:color w:val="000000"/>
              </w:rPr>
              <w:noBreakHyphen/>
              <w:t>5; 29</w:t>
            </w:r>
            <w:r w:rsidRPr="00263DB9">
              <w:rPr>
                <w:color w:val="000000"/>
              </w:rPr>
              <w:noBreakHyphen/>
              <w:t>33</w:t>
            </w:r>
          </w:p>
          <w:p w14:paraId="375EB899" w14:textId="77777777" w:rsidR="00C91F25" w:rsidRPr="00263DB9" w:rsidRDefault="00C91F25" w:rsidP="00E51817">
            <w:pPr>
              <w:pStyle w:val="EndnoteText"/>
              <w:rPr>
                <w:color w:val="000000"/>
              </w:rPr>
            </w:pPr>
            <w:r w:rsidRPr="00263DB9">
              <w:rPr>
                <w:color w:val="000000"/>
              </w:rPr>
              <w:t>6-MP (75 mg/m</w:t>
            </w:r>
            <w:r w:rsidRPr="00263DB9">
              <w:rPr>
                <w:color w:val="000000"/>
                <w:vertAlign w:val="superscript"/>
              </w:rPr>
              <w:t>2</w:t>
            </w:r>
            <w:r w:rsidRPr="00263DB9">
              <w:rPr>
                <w:color w:val="000000"/>
              </w:rPr>
              <w:t>/dia, PO): dias 11</w:t>
            </w:r>
            <w:r w:rsidRPr="00263DB9">
              <w:rPr>
                <w:color w:val="000000"/>
              </w:rPr>
              <w:noBreakHyphen/>
              <w:t>56 (Suspender 6-MP durante os 6</w:t>
            </w:r>
            <w:r w:rsidRPr="00263DB9">
              <w:rPr>
                <w:color w:val="000000"/>
              </w:rPr>
              <w:noBreakHyphen/>
              <w:t>10 dias de irradiação craniana no dia 1 do Ciclo 5. Iniciar 6-MP no 1º dia após finalização da irradiação craniana.)</w:t>
            </w:r>
          </w:p>
          <w:p w14:paraId="375EB89A" w14:textId="77777777" w:rsidR="00C91F25" w:rsidRPr="00263DB9" w:rsidRDefault="00C91F25" w:rsidP="00E51817">
            <w:pPr>
              <w:pStyle w:val="EndnoteText"/>
              <w:rPr>
                <w:color w:val="000000"/>
              </w:rPr>
            </w:pPr>
            <w:r w:rsidRPr="00263DB9">
              <w:rPr>
                <w:color w:val="000000"/>
              </w:rPr>
              <w:t>Metotrexato (20 mg/m</w:t>
            </w:r>
            <w:r w:rsidRPr="00263DB9">
              <w:rPr>
                <w:color w:val="000000"/>
                <w:vertAlign w:val="superscript"/>
              </w:rPr>
              <w:t>2</w:t>
            </w:r>
            <w:r w:rsidRPr="00263DB9">
              <w:rPr>
                <w:color w:val="000000"/>
              </w:rPr>
              <w:t>/semana, PO): dias 8, 15, 22, 29, 36, 43, 50</w:t>
            </w:r>
          </w:p>
        </w:tc>
      </w:tr>
      <w:tr w:rsidR="00C91F25" w:rsidRPr="00263DB9" w14:paraId="375EB8A3" w14:textId="77777777" w:rsidTr="008303F6">
        <w:trPr>
          <w:cantSplit/>
        </w:trPr>
        <w:tc>
          <w:tcPr>
            <w:tcW w:w="2357" w:type="dxa"/>
            <w:shd w:val="clear" w:color="auto" w:fill="auto"/>
          </w:tcPr>
          <w:p w14:paraId="375EB89C" w14:textId="77777777" w:rsidR="00C91F25" w:rsidRPr="00263DB9" w:rsidRDefault="00C91F25" w:rsidP="008303F6">
            <w:pPr>
              <w:pStyle w:val="EndnoteText"/>
              <w:keepNext/>
              <w:keepLines/>
              <w:rPr>
                <w:color w:val="000000"/>
              </w:rPr>
            </w:pPr>
            <w:r w:rsidRPr="00263DB9">
              <w:rPr>
                <w:color w:val="000000"/>
              </w:rPr>
              <w:lastRenderedPageBreak/>
              <w:t>Manutenção</w:t>
            </w:r>
          </w:p>
          <w:p w14:paraId="375EB89D" w14:textId="77777777" w:rsidR="00C91F25" w:rsidRPr="00263DB9" w:rsidRDefault="00C91F25" w:rsidP="008303F6">
            <w:pPr>
              <w:pStyle w:val="EndnoteText"/>
              <w:keepNext/>
              <w:keepLines/>
              <w:rPr>
                <w:color w:val="000000"/>
              </w:rPr>
            </w:pPr>
            <w:r w:rsidRPr="00263DB9">
              <w:rPr>
                <w:color w:val="000000"/>
              </w:rPr>
              <w:t>(Ciclos de 8-semanas)</w:t>
            </w:r>
          </w:p>
          <w:p w14:paraId="375EB89E" w14:textId="77777777" w:rsidR="00C91F25" w:rsidRPr="00263DB9" w:rsidRDefault="00C91F25" w:rsidP="008303F6">
            <w:pPr>
              <w:pStyle w:val="EndnoteText"/>
              <w:keepNext/>
              <w:keepLines/>
              <w:rPr>
                <w:color w:val="000000"/>
              </w:rPr>
            </w:pPr>
            <w:r w:rsidRPr="00263DB9">
              <w:rPr>
                <w:color w:val="000000"/>
              </w:rPr>
              <w:t>Ciclos 6</w:t>
            </w:r>
            <w:r w:rsidRPr="00263DB9">
              <w:rPr>
                <w:color w:val="000000"/>
              </w:rPr>
              <w:noBreakHyphen/>
              <w:t>12</w:t>
            </w:r>
          </w:p>
        </w:tc>
        <w:tc>
          <w:tcPr>
            <w:tcW w:w="6919" w:type="dxa"/>
            <w:shd w:val="clear" w:color="auto" w:fill="auto"/>
          </w:tcPr>
          <w:p w14:paraId="375EB89F" w14:textId="77777777" w:rsidR="00C91F25" w:rsidRPr="00263DB9" w:rsidRDefault="00C91F25" w:rsidP="008303F6">
            <w:pPr>
              <w:pStyle w:val="EndnoteText"/>
              <w:keepNext/>
              <w:keepLines/>
              <w:rPr>
                <w:color w:val="000000"/>
              </w:rPr>
            </w:pPr>
            <w:r w:rsidRPr="00263DB9">
              <w:rPr>
                <w:color w:val="000000"/>
              </w:rPr>
              <w:t>VCR (1,5 mg/m2/dia, IV): dias 1, 29</w:t>
            </w:r>
          </w:p>
          <w:p w14:paraId="375EB8A0" w14:textId="77777777" w:rsidR="00C91F25" w:rsidRPr="00263DB9" w:rsidRDefault="00C91F25" w:rsidP="008303F6">
            <w:pPr>
              <w:pStyle w:val="EndnoteText"/>
              <w:keepNext/>
              <w:keepLines/>
              <w:rPr>
                <w:color w:val="000000"/>
              </w:rPr>
            </w:pPr>
            <w:r w:rsidRPr="00263DB9">
              <w:rPr>
                <w:color w:val="000000"/>
              </w:rPr>
              <w:t>DEX (6 mg/m2/dia, PO): dias 1</w:t>
            </w:r>
            <w:r w:rsidRPr="00263DB9">
              <w:rPr>
                <w:color w:val="000000"/>
              </w:rPr>
              <w:noBreakHyphen/>
              <w:t>5; 29</w:t>
            </w:r>
            <w:r w:rsidRPr="00263DB9">
              <w:rPr>
                <w:color w:val="000000"/>
              </w:rPr>
              <w:noBreakHyphen/>
              <w:t>33</w:t>
            </w:r>
          </w:p>
          <w:p w14:paraId="375EB8A1" w14:textId="77777777" w:rsidR="00C91F25" w:rsidRPr="00263DB9" w:rsidRDefault="00C91F25" w:rsidP="008303F6">
            <w:pPr>
              <w:pStyle w:val="EndnoteText"/>
              <w:keepNext/>
              <w:keepLines/>
              <w:rPr>
                <w:color w:val="000000"/>
              </w:rPr>
            </w:pPr>
            <w:r w:rsidRPr="00263DB9">
              <w:rPr>
                <w:color w:val="000000"/>
              </w:rPr>
              <w:t>6-MP (75 mg/m2/dia, PO): dias 1</w:t>
            </w:r>
            <w:r w:rsidRPr="00263DB9">
              <w:rPr>
                <w:color w:val="000000"/>
              </w:rPr>
              <w:noBreakHyphen/>
              <w:t>56</w:t>
            </w:r>
          </w:p>
          <w:p w14:paraId="375EB8A2" w14:textId="77777777" w:rsidR="00C91F25" w:rsidRPr="00263DB9" w:rsidRDefault="00C91F25" w:rsidP="008303F6">
            <w:pPr>
              <w:pStyle w:val="EndnoteText"/>
              <w:keepNext/>
              <w:keepLines/>
              <w:rPr>
                <w:color w:val="000000"/>
                <w:lang w:val="it-IT"/>
              </w:rPr>
            </w:pPr>
            <w:r w:rsidRPr="00263DB9">
              <w:rPr>
                <w:color w:val="000000"/>
                <w:lang w:val="it-IT"/>
              </w:rPr>
              <w:t>Metotrexato (20 mg/m2/semana, PO): dias 1, 8, 15, 22, 29, 36, 43, 50</w:t>
            </w:r>
          </w:p>
        </w:tc>
      </w:tr>
    </w:tbl>
    <w:p w14:paraId="375EB8A4" w14:textId="77777777" w:rsidR="00C91F25" w:rsidRPr="00263DB9" w:rsidRDefault="00C91F25" w:rsidP="008303F6">
      <w:pPr>
        <w:pStyle w:val="EndnoteText"/>
        <w:keepNext/>
        <w:keepLines/>
        <w:rPr>
          <w:color w:val="000000"/>
          <w:szCs w:val="22"/>
          <w:lang w:val="it-IT"/>
        </w:rPr>
      </w:pPr>
      <w:r w:rsidRPr="00263DB9">
        <w:rPr>
          <w:color w:val="000000"/>
          <w:szCs w:val="22"/>
          <w:lang w:val="it-IT"/>
        </w:rPr>
        <w:t>G-CSF = factor de estimulação da colónia granulocitária, VP-16 = etoposido, MTX = metotrexato, IV = intravenoso, SC = subcutâneo, IT = intratecal, PO = oral, IM = intramuscular, ARA-C = citarabina, CPM = ciclofosfamido, VCR = vincristina, DEX = dexametasona, DAUN = daunorubicina, 6-MP = 6-mercaptopurina, E.Coli L-ASP = L-asparaginase, PEG-ASP = PEG asparaginase, MESNA= 2-mercaptoetano sulfonato de sódio, iii= ou até nível MTX é &lt; 0,1 µM, q6h = de 6 em 6 horas, Gy= Gray</w:t>
      </w:r>
    </w:p>
    <w:p w14:paraId="375EB8A5" w14:textId="77777777" w:rsidR="00C91F25" w:rsidRPr="00263DB9" w:rsidRDefault="00C91F25" w:rsidP="00E51817">
      <w:pPr>
        <w:widowControl w:val="0"/>
        <w:suppressAutoHyphens/>
        <w:rPr>
          <w:color w:val="000000"/>
          <w:szCs w:val="22"/>
          <w:lang w:val="it-IT"/>
        </w:rPr>
      </w:pPr>
    </w:p>
    <w:p w14:paraId="375EB8A6" w14:textId="77777777" w:rsidR="00C91F25" w:rsidRPr="00263DB9" w:rsidRDefault="00C91F25" w:rsidP="00E51817">
      <w:pPr>
        <w:widowControl w:val="0"/>
        <w:suppressAutoHyphens/>
        <w:rPr>
          <w:color w:val="000000"/>
          <w:szCs w:val="22"/>
        </w:rPr>
      </w:pPr>
      <w:r w:rsidRPr="00263DB9">
        <w:rPr>
          <w:color w:val="000000"/>
          <w:szCs w:val="22"/>
        </w:rPr>
        <w:t>O estudo AIT07 foi um estudo multicêntrico, aberto, aleatorizado de fase II/III que incluiu 128 doentes (1 a &lt; 18 anos) tratados com imatinib em associação com quimioterapia. Os dados de segurança deste estudo parecem estar em linha com o perfil de segurança de imatinib em doentes com</w:t>
      </w:r>
      <w:r w:rsidRPr="00263DB9">
        <w:rPr>
          <w:color w:val="000000"/>
          <w:szCs w:val="22"/>
          <w:u w:val="single"/>
        </w:rPr>
        <w:t xml:space="preserve"> </w:t>
      </w:r>
      <w:r w:rsidRPr="00263DB9">
        <w:rPr>
          <w:color w:val="000000"/>
          <w:szCs w:val="22"/>
        </w:rPr>
        <w:t>LLA Ph+.</w:t>
      </w:r>
    </w:p>
    <w:p w14:paraId="375EB8A7" w14:textId="77777777" w:rsidR="00C91F25" w:rsidRPr="00263DB9" w:rsidRDefault="00C91F25" w:rsidP="00E51817">
      <w:pPr>
        <w:widowControl w:val="0"/>
        <w:suppressAutoHyphens/>
        <w:rPr>
          <w:color w:val="000000"/>
          <w:szCs w:val="22"/>
        </w:rPr>
      </w:pPr>
    </w:p>
    <w:p w14:paraId="375EB8A8" w14:textId="77777777" w:rsidR="00C91F25" w:rsidRPr="00263DB9" w:rsidRDefault="00C91F25" w:rsidP="00E51817">
      <w:pPr>
        <w:widowControl w:val="0"/>
        <w:suppressAutoHyphens/>
        <w:rPr>
          <w:color w:val="000000"/>
          <w:szCs w:val="22"/>
        </w:rPr>
      </w:pPr>
      <w:r w:rsidRPr="00263DB9">
        <w:rPr>
          <w:i/>
          <w:color w:val="000000"/>
          <w:szCs w:val="22"/>
        </w:rPr>
        <w:t>LLA Ph+ Recorrentes/refratários</w:t>
      </w:r>
      <w:r w:rsidRPr="00263DB9">
        <w:rPr>
          <w:color w:val="000000"/>
          <w:szCs w:val="22"/>
        </w:rPr>
        <w:t xml:space="preserve">: Quando imatinib foi usado em monoterapia em doentes com LLA Ph+ recorrentes/refratários, originou, em 53 de 411 doentes avaliados relativamente a resposta, uma taxa de resposta hematológica de 30% (9% completos) e uma taxa de resposta citogenética </w:t>
      </w:r>
      <w:r w:rsidRPr="00263DB9">
        <w:rPr>
          <w:i/>
          <w:iCs/>
          <w:color w:val="000000"/>
          <w:szCs w:val="22"/>
        </w:rPr>
        <w:t>major</w:t>
      </w:r>
      <w:r w:rsidRPr="00263DB9">
        <w:rPr>
          <w:color w:val="000000"/>
          <w:szCs w:val="22"/>
        </w:rPr>
        <w:t xml:space="preserve"> de 23%. (De notar, dos 411 doentes, 353 foram tratados num programa de acesso expandido sem a recolha de dados de resposta primária). A mediana do tempo de progressão na população total de 411 doentes com LLA Ph+ recorrentes/refratários variou entre 2,6 a 3,1 meses, e a mediana da sobrevivência global nos 401 doentes avaliados variou entre 4,9 a 9 meses. A informação foi similar quando foi efetuada uma re-análise para incluir só os doentes com 55 anos ou mais.</w:t>
      </w:r>
    </w:p>
    <w:p w14:paraId="375EB8A9" w14:textId="77777777" w:rsidR="00C91F25" w:rsidRPr="00263DB9" w:rsidRDefault="00C91F25" w:rsidP="00E51817">
      <w:pPr>
        <w:widowControl w:val="0"/>
        <w:suppressAutoHyphens/>
        <w:rPr>
          <w:color w:val="000000"/>
          <w:szCs w:val="22"/>
        </w:rPr>
      </w:pPr>
    </w:p>
    <w:p w14:paraId="375EB8AA" w14:textId="77777777" w:rsidR="00C91F25" w:rsidRPr="00263DB9" w:rsidRDefault="00C91F25" w:rsidP="008303F6">
      <w:pPr>
        <w:keepNext/>
        <w:widowControl w:val="0"/>
        <w:suppressAutoHyphens/>
        <w:rPr>
          <w:color w:val="000000"/>
          <w:szCs w:val="22"/>
          <w:u w:val="single"/>
        </w:rPr>
      </w:pPr>
      <w:r w:rsidRPr="00263DB9">
        <w:rPr>
          <w:color w:val="000000"/>
          <w:szCs w:val="22"/>
          <w:u w:val="single"/>
        </w:rPr>
        <w:t>Ensaios Clínicos em MSD/MPD</w:t>
      </w:r>
    </w:p>
    <w:p w14:paraId="375EB8AB" w14:textId="77777777" w:rsidR="00051370" w:rsidRPr="00263DB9" w:rsidRDefault="00C91F25" w:rsidP="00E51817">
      <w:pPr>
        <w:pStyle w:val="EndnoteText"/>
        <w:tabs>
          <w:tab w:val="clear" w:pos="567"/>
        </w:tabs>
        <w:rPr>
          <w:color w:val="000000"/>
          <w:szCs w:val="22"/>
          <w:lang w:eastAsia="ja-JP"/>
        </w:rPr>
      </w:pPr>
      <w:r w:rsidRPr="00263DB9">
        <w:rPr>
          <w:color w:val="000000"/>
          <w:szCs w:val="22"/>
        </w:rPr>
        <w:t>A experiência com Glivec nesta indicação é muito limitadae é baseada em taxas de resposta hematológica e citogenética. Não existem ensaios controlados demonstrando um benefício clínico ou aumento da sobrevivência. Foi efetuado um ensaio clínico aberto, multicêntrico, de Fase II (estudo B2225) com Glivec em várias populações de doentes sofrendo de doenças que põem a risco a vida associadas com a Abl, Kit ou</w:t>
      </w:r>
      <w:r w:rsidRPr="00263DB9">
        <w:rPr>
          <w:color w:val="000000"/>
          <w:szCs w:val="22"/>
          <w:lang w:eastAsia="ja-JP"/>
        </w:rPr>
        <w:t xml:space="preserve"> PDGFR proteína tirosina cinases</w:t>
      </w:r>
      <w:r w:rsidRPr="00263DB9">
        <w:rPr>
          <w:color w:val="000000"/>
          <w:szCs w:val="22"/>
        </w:rPr>
        <w:t xml:space="preserve">. Este estudo incluiu 7 doentes com MDS/MPD que foram tratados com Glivec 400 mg por dia. Três doentes apresentaram uma resposta hematológica completa (CHR) e um doente teve uma resposta hematológica parcial (PHR). Na análise original, três dos quatro doentes com re-arranjos do gene PDGFR detectados desenvolveram resposta hematológica (2 CHR e 1 PHR). A idade destes doentes variou entre </w:t>
      </w:r>
      <w:r w:rsidRPr="00263DB9">
        <w:rPr>
          <w:color w:val="000000"/>
          <w:szCs w:val="22"/>
          <w:lang w:eastAsia="ja-JP"/>
        </w:rPr>
        <w:t>20 a 72 anos.</w:t>
      </w:r>
    </w:p>
    <w:p w14:paraId="375EB8AC" w14:textId="77777777" w:rsidR="00051370" w:rsidRPr="00263DB9" w:rsidRDefault="00051370" w:rsidP="00E51817">
      <w:pPr>
        <w:pStyle w:val="EndnoteText"/>
        <w:tabs>
          <w:tab w:val="clear" w:pos="567"/>
        </w:tabs>
        <w:rPr>
          <w:color w:val="000000"/>
          <w:szCs w:val="22"/>
          <w:lang w:eastAsia="ja-JP"/>
        </w:rPr>
      </w:pPr>
    </w:p>
    <w:p w14:paraId="375EB8AD" w14:textId="77777777" w:rsidR="00051370" w:rsidRPr="00263DB9" w:rsidRDefault="00051370" w:rsidP="00E51817">
      <w:pPr>
        <w:pStyle w:val="EndnoteText"/>
        <w:tabs>
          <w:tab w:val="clear" w:pos="567"/>
        </w:tabs>
        <w:rPr>
          <w:color w:val="000000"/>
          <w:szCs w:val="22"/>
          <w:lang w:eastAsia="ja-JP"/>
        </w:rPr>
      </w:pPr>
      <w:r w:rsidRPr="00263DB9">
        <w:rPr>
          <w:color w:val="000000"/>
          <w:szCs w:val="22"/>
        </w:rPr>
        <w:t>Foi realizado um registo observacional (estudo L2401) para recolher dados de segurança de longa duração e de eficácia em doentes com neoplasias mieloproliferativas com</w:t>
      </w:r>
      <w:r w:rsidRPr="00263DB9">
        <w:rPr>
          <w:rFonts w:eastAsia="TimesNewRoman"/>
          <w:szCs w:val="22"/>
        </w:rPr>
        <w:t xml:space="preserve"> re-arranjos do gene PDGFR- </w:t>
      </w:r>
      <w:r w:rsidRPr="00263DB9">
        <w:rPr>
          <w:rFonts w:eastAsia="TimesNewRoman"/>
          <w:szCs w:val="22"/>
          <w:lang w:val="en-US"/>
        </w:rPr>
        <w:t>β</w:t>
      </w:r>
      <w:r w:rsidRPr="00263DB9">
        <w:rPr>
          <w:rFonts w:eastAsia="TimesNewRoman"/>
          <w:szCs w:val="22"/>
        </w:rPr>
        <w:t xml:space="preserve"> e que foram tratados com Glivec.</w:t>
      </w:r>
      <w:r w:rsidRPr="00263DB9">
        <w:rPr>
          <w:color w:val="000000"/>
          <w:szCs w:val="22"/>
        </w:rPr>
        <w:t xml:space="preserve"> Os 23 doentes envolvidos neste registo receberam Glivec numa dose mediana diária de 264 mg (intervalo: 100 a 400 mg) para uma mediana de duração de 7,2 anos (intervalo 0,1 a 12,7 anos). </w:t>
      </w:r>
      <w:r w:rsidRPr="00263DB9">
        <w:rPr>
          <w:rFonts w:eastAsia="TimesNewRoman"/>
          <w:szCs w:val="22"/>
        </w:rPr>
        <w:t xml:space="preserve">Devido à natureza observacional deste registo, os dados hematológicos, citogenéticos e dados de avaliação molecular foram disponibilizados para </w:t>
      </w:r>
      <w:r w:rsidRPr="00263DB9">
        <w:rPr>
          <w:color w:val="000000"/>
          <w:szCs w:val="22"/>
        </w:rPr>
        <w:t>22, 9 e 17 dos 23 doentes envolvidos, respetivamente. Assumindo, de forma conservadora, que os doentes com dados inexistentes eram não respondedores, observou-se CHR em 20/23 (87%) doentes, CCyR em 9/23 (39,1%) doentes e MR em 11/23 (47,8%) doentes, respetivamente. Quando a taxa de resposta é calculada com doentes com pelo menos uma avaliação válida, a taxa de resposta para CHR, CCyR e MR foi 20/22 (90,9%), 9/9 (100%) e 11/17 (64,7%), respetivamente.</w:t>
      </w:r>
    </w:p>
    <w:p w14:paraId="375EB8AE" w14:textId="77777777" w:rsidR="00051370" w:rsidRPr="00263DB9" w:rsidRDefault="00051370" w:rsidP="00E51817">
      <w:pPr>
        <w:pStyle w:val="EndnoteText"/>
        <w:tabs>
          <w:tab w:val="clear" w:pos="567"/>
        </w:tabs>
        <w:rPr>
          <w:color w:val="000000"/>
          <w:szCs w:val="22"/>
          <w:lang w:eastAsia="ja-JP"/>
        </w:rPr>
      </w:pPr>
    </w:p>
    <w:p w14:paraId="375EB8AF" w14:textId="77777777" w:rsidR="00C91F25" w:rsidRPr="00263DB9" w:rsidRDefault="00C91F25" w:rsidP="00E51817">
      <w:pPr>
        <w:pStyle w:val="EndnoteText"/>
        <w:tabs>
          <w:tab w:val="clear" w:pos="567"/>
        </w:tabs>
        <w:rPr>
          <w:color w:val="000000"/>
          <w:szCs w:val="22"/>
        </w:rPr>
      </w:pPr>
      <w:r w:rsidRPr="00263DB9">
        <w:rPr>
          <w:color w:val="000000"/>
          <w:szCs w:val="22"/>
          <w:lang w:eastAsia="ja-JP"/>
        </w:rPr>
        <w:t xml:space="preserve">Para além disso, foram notificados outros </w:t>
      </w:r>
      <w:r w:rsidRPr="00263DB9">
        <w:rPr>
          <w:color w:val="000000"/>
          <w:szCs w:val="22"/>
        </w:rPr>
        <w:t>24 doentes com MDS/MPD em 13 publicações. 21 doentes foram tratados com Glivec 400 mg por dia, enquanto os outros 3 doentes receberam doses inferiores. Em onze doentes foi detetado re-arranjo do gene PDGFR, 9 dos quais atingiram CHR e 1 PHR. A idade destes doentes variou entre 2 a 79 anos. Numa publicação recente, informação atualizada sobre 6 destes 11 doentes revelou que todos estes doentes se mantinham em remissão citogenética (intervalo 32</w:t>
      </w:r>
      <w:r w:rsidRPr="00263DB9">
        <w:rPr>
          <w:color w:val="000000"/>
          <w:szCs w:val="22"/>
        </w:rPr>
        <w:noBreakHyphen/>
        <w:t xml:space="preserve">38 meses). A mesma publicação relatou dados de seguimento de longa duração de 12 doentes com MDS/MPD com re-arranjo do gene PDGFR (5 doentes do estudo B2225). Estes doentes receberam Glivec durante um período médio de 47 meses (intervalo 24 dias – 60 meses). Em 6 destes doentes, o seguimento excede agora os 4 anos. Onze doentes atingiram rapidamente CHR; dez tiveram resolução </w:t>
      </w:r>
      <w:r w:rsidRPr="00263DB9">
        <w:rPr>
          <w:color w:val="000000"/>
          <w:szCs w:val="22"/>
        </w:rPr>
        <w:lastRenderedPageBreak/>
        <w:t>completa das anomalias genéticas e uma diminuição ou desaparecimento de fusão transcriptase, medida por RT-PCR. As respostas hematológicas e citogenéticas foram mantidas por um período médio de 49 meses (intervalo 19</w:t>
      </w:r>
      <w:r w:rsidRPr="00263DB9">
        <w:rPr>
          <w:color w:val="000000"/>
          <w:szCs w:val="22"/>
        </w:rPr>
        <w:noBreakHyphen/>
        <w:t>60) e 47 meses (intervalo 16</w:t>
      </w:r>
      <w:r w:rsidRPr="00263DB9">
        <w:rPr>
          <w:color w:val="000000"/>
          <w:szCs w:val="22"/>
        </w:rPr>
        <w:noBreakHyphen/>
        <w:t>59), respetivamente. A sobrevivência global é de 65 meses desde o diagnóstico (intervalo 25</w:t>
      </w:r>
      <w:r w:rsidRPr="00263DB9">
        <w:rPr>
          <w:color w:val="000000"/>
          <w:szCs w:val="22"/>
        </w:rPr>
        <w:noBreakHyphen/>
        <w:t>234). A administração de Glivec a doentes a doentes sem translocação genética não resulta geralmente em melhoria.</w:t>
      </w:r>
    </w:p>
    <w:p w14:paraId="375EB8B0" w14:textId="77777777" w:rsidR="00C91F25" w:rsidRPr="00263DB9" w:rsidRDefault="00C91F25" w:rsidP="00E51817">
      <w:pPr>
        <w:pStyle w:val="EndnoteText"/>
        <w:tabs>
          <w:tab w:val="clear" w:pos="567"/>
        </w:tabs>
        <w:rPr>
          <w:color w:val="000000"/>
          <w:szCs w:val="22"/>
        </w:rPr>
      </w:pPr>
    </w:p>
    <w:p w14:paraId="375EB8B1" w14:textId="77777777" w:rsidR="00C91F25" w:rsidRPr="00263DB9" w:rsidRDefault="00C91F25" w:rsidP="00E51817">
      <w:pPr>
        <w:pStyle w:val="EndnoteText"/>
        <w:tabs>
          <w:tab w:val="clear" w:pos="567"/>
        </w:tabs>
        <w:rPr>
          <w:color w:val="000000"/>
          <w:szCs w:val="22"/>
        </w:rPr>
      </w:pPr>
      <w:r w:rsidRPr="00263DB9">
        <w:rPr>
          <w:color w:val="000000"/>
          <w:szCs w:val="22"/>
        </w:rPr>
        <w:t>Não existem ensaios controlados em doentes pediátricos com MDS/MPD. Cinco (5) doentes com MDS/MPD associado com re-arranjos do gene PDGFR foram descritos em 4 publicações. Estes doentes apresentavam idades entre os 3 meses e os 4 anos e o imatinib foi administrado na dose de 50 mg por dia ou em doses de 92,5 a 340 mg/m</w:t>
      </w:r>
      <w:r w:rsidRPr="00263DB9">
        <w:rPr>
          <w:color w:val="000000"/>
          <w:szCs w:val="22"/>
          <w:vertAlign w:val="superscript"/>
        </w:rPr>
        <w:t xml:space="preserve">2 </w:t>
      </w:r>
      <w:r w:rsidRPr="00263DB9">
        <w:rPr>
          <w:color w:val="000000"/>
          <w:szCs w:val="22"/>
        </w:rPr>
        <w:t>por dia. Todos os doentes atingiram resposta hematológica completa, resposta citogénica e/ou resposta clínica.</w:t>
      </w:r>
    </w:p>
    <w:p w14:paraId="375EB8B2" w14:textId="77777777" w:rsidR="00C91F25" w:rsidRPr="00263DB9" w:rsidRDefault="00C91F25" w:rsidP="00E51817">
      <w:pPr>
        <w:pStyle w:val="EndnoteText"/>
        <w:tabs>
          <w:tab w:val="clear" w:pos="567"/>
        </w:tabs>
        <w:rPr>
          <w:color w:val="000000"/>
          <w:szCs w:val="22"/>
        </w:rPr>
      </w:pPr>
    </w:p>
    <w:p w14:paraId="375EB8B3" w14:textId="77777777" w:rsidR="00C91F25" w:rsidRPr="00263DB9" w:rsidRDefault="00C91F25" w:rsidP="008303F6">
      <w:pPr>
        <w:pStyle w:val="EndnoteText"/>
        <w:keepNext/>
        <w:tabs>
          <w:tab w:val="clear" w:pos="567"/>
        </w:tabs>
        <w:rPr>
          <w:color w:val="000000"/>
          <w:szCs w:val="22"/>
          <w:u w:val="single"/>
        </w:rPr>
      </w:pPr>
      <w:r w:rsidRPr="00263DB9">
        <w:rPr>
          <w:color w:val="000000"/>
          <w:szCs w:val="22"/>
          <w:u w:val="single"/>
        </w:rPr>
        <w:t>Ensaios clínicos na síndrome hipereosinofílica avançada/leucemia eosinofílica crónica</w:t>
      </w:r>
    </w:p>
    <w:p w14:paraId="375EB8B4" w14:textId="77777777" w:rsidR="00C91F25" w:rsidRPr="00263DB9" w:rsidRDefault="00C91F25" w:rsidP="00E51817">
      <w:pPr>
        <w:pStyle w:val="Text"/>
        <w:widowControl w:val="0"/>
        <w:spacing w:before="0"/>
        <w:jc w:val="left"/>
        <w:rPr>
          <w:color w:val="000000"/>
          <w:sz w:val="22"/>
          <w:szCs w:val="22"/>
          <w:lang w:val="pt-PT"/>
        </w:rPr>
      </w:pPr>
      <w:r w:rsidRPr="00263DB9">
        <w:rPr>
          <w:color w:val="000000"/>
          <w:sz w:val="22"/>
          <w:szCs w:val="22"/>
          <w:lang w:val="pt-PT" w:eastAsia="ja-JP"/>
        </w:rPr>
        <w:t xml:space="preserve">Foi efetuado um ensaio clínico aberto, multicêntrico,de Fase II (estudo B2225) </w:t>
      </w:r>
      <w:r w:rsidRPr="00263DB9">
        <w:rPr>
          <w:color w:val="000000"/>
          <w:sz w:val="22"/>
          <w:szCs w:val="22"/>
          <w:lang w:val="pt-PT"/>
        </w:rPr>
        <w:t>com Glivec em várias populações de doentes sofrendo de doenças que põem a risco a vida associadas com a Abl, Kit ou</w:t>
      </w:r>
      <w:r w:rsidRPr="00263DB9">
        <w:rPr>
          <w:color w:val="000000"/>
          <w:sz w:val="22"/>
          <w:szCs w:val="22"/>
          <w:lang w:val="pt-PT" w:eastAsia="ja-JP"/>
        </w:rPr>
        <w:t xml:space="preserve"> PDGFR proteína tirosina cinases. Neste estudo, 14 doentes com síndrome hipereosinofílica avançada/leucemia eosinofílica crónica foram tratados com 100 mg a 1.000 mg de Glivec por dia. Outros 162 doentes com síndrome hipereosinofílica avançada/leucemia eosinofílica crónica, notificados em </w:t>
      </w:r>
      <w:r w:rsidRPr="00263DB9">
        <w:rPr>
          <w:color w:val="000000"/>
          <w:sz w:val="22"/>
          <w:szCs w:val="22"/>
          <w:lang w:val="pt-PT"/>
        </w:rPr>
        <w:t>35 relatos de casos publicados e séries de casos receberam Glivec em doses desde 75 mg a 800 mg por dia. As anomalias citogenéticas foram avaliadas em 117 doentes de uma população total de 176 doentes. Em 61 destes 117 doentes foi identificada FIP1L1-PDGFR</w:t>
      </w:r>
      <w:r w:rsidRPr="00263DB9">
        <w:rPr>
          <w:color w:val="000000"/>
          <w:sz w:val="22"/>
          <w:szCs w:val="22"/>
          <w:lang w:val="en-GB"/>
        </w:rPr>
        <w:t>α</w:t>
      </w:r>
      <w:r w:rsidRPr="00263DB9">
        <w:rPr>
          <w:color w:val="000000"/>
          <w:sz w:val="22"/>
          <w:szCs w:val="22"/>
          <w:lang w:val="pt-PT"/>
        </w:rPr>
        <w:t xml:space="preserve"> fusão cinase. Verificou-se que outros quatro doentes adicionais com síndrome hipereosinofílica eram FIP1L1-PDGFR</w:t>
      </w:r>
      <w:r w:rsidRPr="00263DB9">
        <w:rPr>
          <w:color w:val="000000"/>
          <w:sz w:val="22"/>
          <w:szCs w:val="22"/>
          <w:lang w:val="en-GB"/>
        </w:rPr>
        <w:t>α</w:t>
      </w:r>
      <w:r w:rsidRPr="00263DB9">
        <w:rPr>
          <w:color w:val="000000"/>
          <w:sz w:val="22"/>
          <w:szCs w:val="22"/>
          <w:lang w:val="pt-PT"/>
        </w:rPr>
        <w:t>-positivos em outros 3 relatos publicados. Todos os 65 doentes FIP1L1-PDGFR</w:t>
      </w:r>
      <w:r w:rsidRPr="00263DB9">
        <w:rPr>
          <w:color w:val="000000"/>
          <w:sz w:val="22"/>
          <w:szCs w:val="22"/>
          <w:lang w:val="en-GB"/>
        </w:rPr>
        <w:t>α</w:t>
      </w:r>
      <w:r w:rsidRPr="00263DB9">
        <w:rPr>
          <w:color w:val="000000"/>
          <w:sz w:val="22"/>
          <w:szCs w:val="22"/>
          <w:lang w:val="pt-PT"/>
        </w:rPr>
        <w:t xml:space="preserve"> fusão cinase positivos atingiram uma CHR sustentada durante meses (entre 1+ a 44+ meses, censurados na altura do relato). Conforme relatado numa publicação recente, 21 destes 65 doentes também atingiram remissão molecular completa com uma período de seguimento médio de 28 meses (intervalo 13</w:t>
      </w:r>
      <w:r w:rsidRPr="00263DB9">
        <w:rPr>
          <w:color w:val="000000"/>
          <w:sz w:val="22"/>
          <w:szCs w:val="22"/>
          <w:lang w:val="pt-PT"/>
        </w:rPr>
        <w:noBreakHyphen/>
        <w:t>67 meses). A idade destes doentes variou entre 25 a 72 anos. Foram também relatadas melhorias na sintomatologia e outras anomalias orgânicas pelos investigadores nos casos relatatados. Foram relatadas melhorias nos sistemas de órgãos cardíaco, nervoso, pele/tecido subcutâneo, respiratório/torácico/mediastínico, musculoesquelético/tecido conectivo/vascular e gastrointestinal.</w:t>
      </w:r>
    </w:p>
    <w:p w14:paraId="375EB8B5" w14:textId="77777777" w:rsidR="00C91F25" w:rsidRPr="00263DB9" w:rsidRDefault="00C91F25" w:rsidP="00E51817">
      <w:pPr>
        <w:pStyle w:val="EndnoteText"/>
        <w:tabs>
          <w:tab w:val="clear" w:pos="567"/>
        </w:tabs>
        <w:rPr>
          <w:color w:val="000000"/>
          <w:szCs w:val="22"/>
        </w:rPr>
      </w:pPr>
    </w:p>
    <w:p w14:paraId="375EB8B6" w14:textId="77777777" w:rsidR="00C91F25" w:rsidRPr="00263DB9" w:rsidRDefault="00C91F25" w:rsidP="00E51817">
      <w:pPr>
        <w:pStyle w:val="EndnoteText"/>
        <w:tabs>
          <w:tab w:val="clear" w:pos="567"/>
        </w:tabs>
        <w:rPr>
          <w:color w:val="000000"/>
          <w:szCs w:val="22"/>
        </w:rPr>
      </w:pPr>
      <w:r w:rsidRPr="00263DB9">
        <w:rPr>
          <w:color w:val="000000"/>
          <w:szCs w:val="22"/>
        </w:rPr>
        <w:t>Não existem ensaios controlados em doentes pediátricos com síndrome hipereosinofílica avançada/leucemia eosinofílica crónica. Três (3 ) doentes com síndrome hipereosinofílica avançada/leucemia eosinofílica crónica associada com re-arranjos do gene PDGFR foram descritos em 3 publicações. Estes doentes apresentavam idades entre os 2 e os 16 anos e o imatinib foi administrado em doses de 300 mg/m</w:t>
      </w:r>
      <w:r w:rsidRPr="00263DB9">
        <w:rPr>
          <w:color w:val="000000"/>
          <w:szCs w:val="22"/>
          <w:vertAlign w:val="superscript"/>
        </w:rPr>
        <w:t>2</w:t>
      </w:r>
      <w:r w:rsidRPr="00263DB9">
        <w:rPr>
          <w:color w:val="000000"/>
          <w:szCs w:val="22"/>
        </w:rPr>
        <w:t xml:space="preserve"> por dia ou em doses de 200 a 400 mg </w:t>
      </w:r>
      <w:r w:rsidRPr="00263DB9">
        <w:rPr>
          <w:color w:val="000000"/>
          <w:szCs w:val="22"/>
          <w:vertAlign w:val="superscript"/>
        </w:rPr>
        <w:t xml:space="preserve"> </w:t>
      </w:r>
      <w:r w:rsidRPr="00263DB9">
        <w:rPr>
          <w:color w:val="000000"/>
          <w:szCs w:val="22"/>
        </w:rPr>
        <w:t>por dia. Todos os doentes atingiram resposta hematológica completa, resposta citogénica completa  e/ou resposta molecular completa.</w:t>
      </w:r>
    </w:p>
    <w:p w14:paraId="375EB8B7" w14:textId="77777777" w:rsidR="00C91F25" w:rsidRPr="00263DB9" w:rsidRDefault="00C91F25" w:rsidP="00E51817">
      <w:pPr>
        <w:widowControl w:val="0"/>
        <w:suppressAutoHyphens/>
        <w:rPr>
          <w:color w:val="000000"/>
          <w:szCs w:val="22"/>
          <w:u w:val="single"/>
        </w:rPr>
      </w:pPr>
    </w:p>
    <w:p w14:paraId="375EB8B8" w14:textId="77777777" w:rsidR="00C91F25" w:rsidRPr="00263DB9" w:rsidRDefault="00C91F25" w:rsidP="008303F6">
      <w:pPr>
        <w:keepNext/>
        <w:widowControl w:val="0"/>
        <w:suppressAutoHyphens/>
        <w:rPr>
          <w:color w:val="000000"/>
          <w:szCs w:val="22"/>
          <w:u w:val="single"/>
        </w:rPr>
      </w:pPr>
      <w:r w:rsidRPr="00263DB9">
        <w:rPr>
          <w:color w:val="000000"/>
          <w:szCs w:val="22"/>
          <w:u w:val="single"/>
        </w:rPr>
        <w:t>Ensaios clínicos em doentes com GIST metastáticos e/ou irressecáveis</w:t>
      </w:r>
    </w:p>
    <w:p w14:paraId="375EB8B9" w14:textId="77777777" w:rsidR="00C91F25" w:rsidRPr="00263DB9" w:rsidRDefault="00C91F25" w:rsidP="00E51817">
      <w:pPr>
        <w:widowControl w:val="0"/>
        <w:suppressAutoHyphens/>
        <w:rPr>
          <w:color w:val="000000"/>
          <w:szCs w:val="22"/>
        </w:rPr>
      </w:pPr>
      <w:r w:rsidRPr="00263DB9">
        <w:rPr>
          <w:color w:val="000000"/>
          <w:szCs w:val="22"/>
        </w:rPr>
        <w:t>Foi efetuado um ensaio multicêntrico de fase II, aberto, aleatorizado e não controlado, em doentes com GIST malignos metastáticos ou irressecáveis. Neste estudo foram incluídos 147 doentes, os quais foram aleatorizados para tratamento com 400 mg ou 600 mg por via oral, uma vez por dia, durante 36 meses. Os doentes tinham entre 18 e 83 anos e diagnóstico patológico de GIST maligno Kit-positivo metastático e/ou irressecável. Foram efetuados testes imunohistoquímicos por rotina com anticorpos para o Kit (A-4502, antisoro policlonal de coelho, 1:100; DAKO Corporation, Carpinteria, CA) e análise após deteção do antigénio pelo método do complexo avidina-biotina-peroxidase.</w:t>
      </w:r>
    </w:p>
    <w:p w14:paraId="375EB8BA" w14:textId="77777777" w:rsidR="00C91F25" w:rsidRPr="00263DB9" w:rsidRDefault="00C91F25" w:rsidP="00E51817">
      <w:pPr>
        <w:widowControl w:val="0"/>
        <w:suppressAutoHyphens/>
        <w:rPr>
          <w:color w:val="000000"/>
          <w:szCs w:val="22"/>
        </w:rPr>
      </w:pPr>
    </w:p>
    <w:p w14:paraId="375EB8BB" w14:textId="77777777" w:rsidR="00C91F25" w:rsidRPr="00263DB9" w:rsidRDefault="00C91F25" w:rsidP="00E51817">
      <w:pPr>
        <w:widowControl w:val="0"/>
        <w:suppressAutoHyphens/>
        <w:rPr>
          <w:color w:val="000000"/>
          <w:szCs w:val="22"/>
        </w:rPr>
      </w:pPr>
      <w:r w:rsidRPr="00263DB9">
        <w:rPr>
          <w:color w:val="000000"/>
          <w:szCs w:val="22"/>
        </w:rPr>
        <w:t>A evidência primária de eficácia foram as taxas de resposta objetiva. Os tumores deveriam ser mensuráveis em pelo menos uma localização da doença, e a resposta caracterizada com base nos critérios do Southwestern Oncology Group (SWOG). Apresentam-se os resultados na Tabela </w:t>
      </w:r>
      <w:r w:rsidR="00445D6F" w:rsidRPr="00263DB9">
        <w:rPr>
          <w:color w:val="000000"/>
          <w:szCs w:val="22"/>
        </w:rPr>
        <w:t>6</w:t>
      </w:r>
      <w:r w:rsidR="00F94EBB" w:rsidRPr="00263DB9">
        <w:rPr>
          <w:color w:val="000000"/>
          <w:szCs w:val="22"/>
        </w:rPr>
        <w:t>.</w:t>
      </w:r>
    </w:p>
    <w:p w14:paraId="375EB8BC" w14:textId="77777777" w:rsidR="00C91F25" w:rsidRPr="00263DB9" w:rsidRDefault="00C91F25" w:rsidP="00E51817">
      <w:pPr>
        <w:widowControl w:val="0"/>
        <w:suppressAutoHyphens/>
        <w:rPr>
          <w:color w:val="000000"/>
          <w:szCs w:val="22"/>
        </w:rPr>
      </w:pPr>
    </w:p>
    <w:p w14:paraId="375EB8BD" w14:textId="77777777" w:rsidR="00C91F25" w:rsidRPr="00263DB9" w:rsidRDefault="00C91F25" w:rsidP="008303F6">
      <w:pPr>
        <w:keepNext/>
        <w:keepLines/>
        <w:widowControl w:val="0"/>
        <w:suppressAutoHyphens/>
        <w:rPr>
          <w:b/>
          <w:color w:val="000000"/>
          <w:szCs w:val="22"/>
        </w:rPr>
      </w:pPr>
      <w:r w:rsidRPr="00263DB9">
        <w:rPr>
          <w:b/>
          <w:color w:val="000000"/>
          <w:szCs w:val="22"/>
        </w:rPr>
        <w:lastRenderedPageBreak/>
        <w:t>Tabela </w:t>
      </w:r>
      <w:r w:rsidR="00445D6F" w:rsidRPr="00263DB9">
        <w:rPr>
          <w:b/>
          <w:color w:val="000000"/>
          <w:szCs w:val="22"/>
        </w:rPr>
        <w:t>6</w:t>
      </w:r>
      <w:r w:rsidRPr="00263DB9">
        <w:rPr>
          <w:b/>
          <w:color w:val="000000"/>
          <w:szCs w:val="22"/>
        </w:rPr>
        <w:tab/>
        <w:t>Melhor resposta tumoral no ensaio STIB2222 (GIST)</w:t>
      </w:r>
    </w:p>
    <w:p w14:paraId="375EB8BE" w14:textId="77777777" w:rsidR="00C91F25" w:rsidRPr="00263DB9" w:rsidRDefault="00C91F25" w:rsidP="008303F6">
      <w:pPr>
        <w:keepNext/>
        <w:keepLines/>
        <w:widowControl w:val="0"/>
        <w:suppressAutoHyphens/>
        <w:rPr>
          <w:color w:val="000000"/>
          <w:szCs w:val="22"/>
        </w:rPr>
      </w:pPr>
    </w:p>
    <w:tbl>
      <w:tblPr>
        <w:tblW w:w="0" w:type="auto"/>
        <w:tblLayout w:type="fixed"/>
        <w:tblLook w:val="0000" w:firstRow="0" w:lastRow="0" w:firstColumn="0" w:lastColumn="0" w:noHBand="0" w:noVBand="0"/>
      </w:tblPr>
      <w:tblGrid>
        <w:gridCol w:w="4638"/>
        <w:gridCol w:w="4638"/>
      </w:tblGrid>
      <w:tr w:rsidR="00C91F25" w:rsidRPr="00263DB9" w14:paraId="375EB8C7" w14:textId="77777777" w:rsidTr="008303F6">
        <w:trPr>
          <w:cantSplit/>
        </w:trPr>
        <w:tc>
          <w:tcPr>
            <w:tcW w:w="4638" w:type="dxa"/>
            <w:tcBorders>
              <w:top w:val="single" w:sz="4" w:space="0" w:color="auto"/>
              <w:bottom w:val="single" w:sz="4" w:space="0" w:color="auto"/>
            </w:tcBorders>
          </w:tcPr>
          <w:p w14:paraId="375EB8BF" w14:textId="77777777" w:rsidR="00C91F25" w:rsidRPr="00263DB9" w:rsidRDefault="00C91F25" w:rsidP="008303F6">
            <w:pPr>
              <w:keepNext/>
              <w:keepLines/>
              <w:widowControl w:val="0"/>
              <w:suppressAutoHyphens/>
              <w:rPr>
                <w:color w:val="000000"/>
                <w:szCs w:val="22"/>
              </w:rPr>
            </w:pPr>
          </w:p>
          <w:p w14:paraId="375EB8C0" w14:textId="77777777" w:rsidR="00C91F25" w:rsidRPr="00263DB9" w:rsidRDefault="00C91F25" w:rsidP="008303F6">
            <w:pPr>
              <w:keepNext/>
              <w:keepLines/>
              <w:widowControl w:val="0"/>
              <w:suppressAutoHyphens/>
              <w:rPr>
                <w:color w:val="000000"/>
                <w:szCs w:val="22"/>
              </w:rPr>
            </w:pPr>
          </w:p>
          <w:p w14:paraId="375EB8C1" w14:textId="77777777" w:rsidR="00C91F25" w:rsidRPr="00263DB9" w:rsidRDefault="00C91F25" w:rsidP="008303F6">
            <w:pPr>
              <w:keepNext/>
              <w:keepLines/>
              <w:widowControl w:val="0"/>
              <w:suppressAutoHyphens/>
              <w:rPr>
                <w:color w:val="000000"/>
                <w:szCs w:val="22"/>
              </w:rPr>
            </w:pPr>
          </w:p>
          <w:p w14:paraId="375EB8C2" w14:textId="77777777" w:rsidR="00C91F25" w:rsidRPr="00263DB9" w:rsidRDefault="00C91F25" w:rsidP="008303F6">
            <w:pPr>
              <w:keepNext/>
              <w:keepLines/>
              <w:widowControl w:val="0"/>
              <w:suppressAutoHyphens/>
              <w:rPr>
                <w:color w:val="000000"/>
                <w:szCs w:val="22"/>
              </w:rPr>
            </w:pPr>
            <w:r w:rsidRPr="00263DB9">
              <w:rPr>
                <w:color w:val="000000"/>
                <w:szCs w:val="22"/>
              </w:rPr>
              <w:t>Melhor resposta</w:t>
            </w:r>
          </w:p>
        </w:tc>
        <w:tc>
          <w:tcPr>
            <w:tcW w:w="4638" w:type="dxa"/>
            <w:tcBorders>
              <w:top w:val="single" w:sz="4" w:space="0" w:color="auto"/>
              <w:bottom w:val="single" w:sz="4" w:space="0" w:color="auto"/>
            </w:tcBorders>
          </w:tcPr>
          <w:p w14:paraId="375EB8C3" w14:textId="77777777" w:rsidR="00C91F25" w:rsidRPr="00263DB9" w:rsidRDefault="00C91F25" w:rsidP="008303F6">
            <w:pPr>
              <w:keepNext/>
              <w:keepLines/>
              <w:widowControl w:val="0"/>
              <w:suppressAutoHyphens/>
              <w:jc w:val="center"/>
              <w:rPr>
                <w:color w:val="000000"/>
                <w:szCs w:val="22"/>
              </w:rPr>
            </w:pPr>
            <w:r w:rsidRPr="00263DB9">
              <w:rPr>
                <w:color w:val="000000"/>
                <w:szCs w:val="22"/>
              </w:rPr>
              <w:t>Todas as doses (n=147)</w:t>
            </w:r>
          </w:p>
          <w:p w14:paraId="375EB8C4" w14:textId="77777777" w:rsidR="00C91F25" w:rsidRPr="00263DB9" w:rsidRDefault="00C91F25" w:rsidP="008303F6">
            <w:pPr>
              <w:keepNext/>
              <w:keepLines/>
              <w:widowControl w:val="0"/>
              <w:suppressAutoHyphens/>
              <w:jc w:val="center"/>
              <w:rPr>
                <w:color w:val="000000"/>
                <w:szCs w:val="22"/>
              </w:rPr>
            </w:pPr>
            <w:r w:rsidRPr="00263DB9">
              <w:rPr>
                <w:color w:val="000000"/>
                <w:szCs w:val="22"/>
              </w:rPr>
              <w:t>400 mg (n=73)</w:t>
            </w:r>
          </w:p>
          <w:p w14:paraId="375EB8C5" w14:textId="77777777" w:rsidR="00C91F25" w:rsidRPr="00263DB9" w:rsidRDefault="00C91F25" w:rsidP="008303F6">
            <w:pPr>
              <w:keepNext/>
              <w:keepLines/>
              <w:widowControl w:val="0"/>
              <w:suppressAutoHyphens/>
              <w:jc w:val="center"/>
              <w:rPr>
                <w:color w:val="000000"/>
                <w:szCs w:val="22"/>
              </w:rPr>
            </w:pPr>
            <w:r w:rsidRPr="00263DB9">
              <w:rPr>
                <w:color w:val="000000"/>
                <w:szCs w:val="22"/>
              </w:rPr>
              <w:t>600 mg (n=74)</w:t>
            </w:r>
          </w:p>
          <w:p w14:paraId="375EB8C6" w14:textId="77777777" w:rsidR="00C91F25" w:rsidRPr="00263DB9" w:rsidRDefault="00C91F25" w:rsidP="008303F6">
            <w:pPr>
              <w:keepNext/>
              <w:keepLines/>
              <w:widowControl w:val="0"/>
              <w:suppressAutoHyphens/>
              <w:jc w:val="center"/>
              <w:rPr>
                <w:color w:val="000000"/>
                <w:szCs w:val="22"/>
              </w:rPr>
            </w:pPr>
            <w:r w:rsidRPr="00263DB9">
              <w:rPr>
                <w:color w:val="000000"/>
                <w:szCs w:val="22"/>
              </w:rPr>
              <w:t>n (%)</w:t>
            </w:r>
          </w:p>
        </w:tc>
      </w:tr>
      <w:tr w:rsidR="00C91F25" w:rsidRPr="00263DB9" w14:paraId="375EB8CA" w14:textId="77777777" w:rsidTr="008303F6">
        <w:trPr>
          <w:cantSplit/>
        </w:trPr>
        <w:tc>
          <w:tcPr>
            <w:tcW w:w="4638" w:type="dxa"/>
          </w:tcPr>
          <w:p w14:paraId="375EB8C8" w14:textId="77777777" w:rsidR="00C91F25" w:rsidRPr="00263DB9" w:rsidRDefault="00C91F25" w:rsidP="008303F6">
            <w:pPr>
              <w:keepNext/>
              <w:keepLines/>
              <w:widowControl w:val="0"/>
              <w:suppressAutoHyphens/>
              <w:rPr>
                <w:color w:val="000000"/>
                <w:szCs w:val="22"/>
              </w:rPr>
            </w:pPr>
            <w:r w:rsidRPr="00263DB9">
              <w:rPr>
                <w:color w:val="000000"/>
                <w:szCs w:val="22"/>
              </w:rPr>
              <w:t>Resposta completa</w:t>
            </w:r>
          </w:p>
        </w:tc>
        <w:tc>
          <w:tcPr>
            <w:tcW w:w="4638" w:type="dxa"/>
          </w:tcPr>
          <w:p w14:paraId="375EB8C9" w14:textId="77777777" w:rsidR="00C91F25" w:rsidRPr="00263DB9" w:rsidRDefault="00C91F25" w:rsidP="008303F6">
            <w:pPr>
              <w:keepNext/>
              <w:keepLines/>
              <w:widowControl w:val="0"/>
              <w:suppressAutoHyphens/>
              <w:jc w:val="center"/>
              <w:rPr>
                <w:color w:val="000000"/>
                <w:szCs w:val="22"/>
              </w:rPr>
            </w:pPr>
            <w:r w:rsidRPr="00263DB9">
              <w:rPr>
                <w:color w:val="000000"/>
                <w:szCs w:val="22"/>
              </w:rPr>
              <w:t>1 (0,7)</w:t>
            </w:r>
          </w:p>
        </w:tc>
      </w:tr>
      <w:tr w:rsidR="00C91F25" w:rsidRPr="00263DB9" w14:paraId="375EB8CD" w14:textId="77777777" w:rsidTr="008303F6">
        <w:trPr>
          <w:cantSplit/>
        </w:trPr>
        <w:tc>
          <w:tcPr>
            <w:tcW w:w="4638" w:type="dxa"/>
          </w:tcPr>
          <w:p w14:paraId="375EB8CB" w14:textId="77777777" w:rsidR="00C91F25" w:rsidRPr="00263DB9" w:rsidRDefault="00C91F25" w:rsidP="008303F6">
            <w:pPr>
              <w:keepNext/>
              <w:keepLines/>
              <w:widowControl w:val="0"/>
              <w:suppressAutoHyphens/>
              <w:rPr>
                <w:color w:val="000000"/>
                <w:szCs w:val="22"/>
              </w:rPr>
            </w:pPr>
            <w:r w:rsidRPr="00263DB9">
              <w:rPr>
                <w:color w:val="000000"/>
                <w:szCs w:val="22"/>
              </w:rPr>
              <w:t>Resposta parcial</w:t>
            </w:r>
          </w:p>
        </w:tc>
        <w:tc>
          <w:tcPr>
            <w:tcW w:w="4638" w:type="dxa"/>
          </w:tcPr>
          <w:p w14:paraId="375EB8CC" w14:textId="77777777" w:rsidR="00C91F25" w:rsidRPr="00263DB9" w:rsidRDefault="00C91F25" w:rsidP="008303F6">
            <w:pPr>
              <w:keepNext/>
              <w:keepLines/>
              <w:widowControl w:val="0"/>
              <w:suppressAutoHyphens/>
              <w:jc w:val="center"/>
              <w:rPr>
                <w:color w:val="000000"/>
                <w:szCs w:val="22"/>
              </w:rPr>
            </w:pPr>
            <w:r w:rsidRPr="00263DB9">
              <w:rPr>
                <w:color w:val="000000"/>
                <w:szCs w:val="22"/>
              </w:rPr>
              <w:t>98 (66,7)</w:t>
            </w:r>
          </w:p>
        </w:tc>
      </w:tr>
      <w:tr w:rsidR="00C91F25" w:rsidRPr="00263DB9" w14:paraId="375EB8D0" w14:textId="77777777" w:rsidTr="008303F6">
        <w:trPr>
          <w:cantSplit/>
        </w:trPr>
        <w:tc>
          <w:tcPr>
            <w:tcW w:w="4638" w:type="dxa"/>
          </w:tcPr>
          <w:p w14:paraId="375EB8CE" w14:textId="77777777" w:rsidR="00C91F25" w:rsidRPr="00263DB9" w:rsidRDefault="00C91F25" w:rsidP="008303F6">
            <w:pPr>
              <w:keepNext/>
              <w:keepLines/>
              <w:widowControl w:val="0"/>
              <w:suppressAutoHyphens/>
              <w:rPr>
                <w:color w:val="000000"/>
                <w:szCs w:val="22"/>
              </w:rPr>
            </w:pPr>
            <w:r w:rsidRPr="00263DB9">
              <w:rPr>
                <w:color w:val="000000"/>
                <w:szCs w:val="22"/>
              </w:rPr>
              <w:t>Doença estabilizada</w:t>
            </w:r>
          </w:p>
        </w:tc>
        <w:tc>
          <w:tcPr>
            <w:tcW w:w="4638" w:type="dxa"/>
          </w:tcPr>
          <w:p w14:paraId="375EB8CF" w14:textId="77777777" w:rsidR="00C91F25" w:rsidRPr="00263DB9" w:rsidRDefault="00C91F25" w:rsidP="008303F6">
            <w:pPr>
              <w:keepNext/>
              <w:keepLines/>
              <w:widowControl w:val="0"/>
              <w:suppressAutoHyphens/>
              <w:jc w:val="center"/>
              <w:rPr>
                <w:color w:val="000000"/>
                <w:szCs w:val="22"/>
              </w:rPr>
            </w:pPr>
            <w:r w:rsidRPr="00263DB9">
              <w:rPr>
                <w:color w:val="000000"/>
                <w:szCs w:val="22"/>
              </w:rPr>
              <w:t>23 (15,6)</w:t>
            </w:r>
          </w:p>
        </w:tc>
      </w:tr>
      <w:tr w:rsidR="00C91F25" w:rsidRPr="00263DB9" w14:paraId="375EB8D3" w14:textId="77777777" w:rsidTr="008303F6">
        <w:trPr>
          <w:cantSplit/>
        </w:trPr>
        <w:tc>
          <w:tcPr>
            <w:tcW w:w="4638" w:type="dxa"/>
          </w:tcPr>
          <w:p w14:paraId="375EB8D1" w14:textId="77777777" w:rsidR="00C91F25" w:rsidRPr="00263DB9" w:rsidRDefault="00C91F25" w:rsidP="008303F6">
            <w:pPr>
              <w:keepNext/>
              <w:keepLines/>
              <w:widowControl w:val="0"/>
              <w:suppressAutoHyphens/>
              <w:rPr>
                <w:color w:val="000000"/>
                <w:szCs w:val="22"/>
              </w:rPr>
            </w:pPr>
            <w:r w:rsidRPr="00263DB9">
              <w:rPr>
                <w:color w:val="000000"/>
                <w:szCs w:val="22"/>
              </w:rPr>
              <w:t>Doença progressiva</w:t>
            </w:r>
          </w:p>
        </w:tc>
        <w:tc>
          <w:tcPr>
            <w:tcW w:w="4638" w:type="dxa"/>
          </w:tcPr>
          <w:p w14:paraId="375EB8D2" w14:textId="77777777" w:rsidR="00C91F25" w:rsidRPr="00263DB9" w:rsidRDefault="00C91F25" w:rsidP="008303F6">
            <w:pPr>
              <w:keepNext/>
              <w:keepLines/>
              <w:widowControl w:val="0"/>
              <w:suppressAutoHyphens/>
              <w:jc w:val="center"/>
              <w:rPr>
                <w:color w:val="000000"/>
                <w:szCs w:val="22"/>
              </w:rPr>
            </w:pPr>
            <w:r w:rsidRPr="00263DB9">
              <w:rPr>
                <w:color w:val="000000"/>
                <w:szCs w:val="22"/>
              </w:rPr>
              <w:t>18 (12,2)</w:t>
            </w:r>
          </w:p>
        </w:tc>
      </w:tr>
      <w:tr w:rsidR="00C91F25" w:rsidRPr="00263DB9" w14:paraId="375EB8D6" w14:textId="77777777" w:rsidTr="008303F6">
        <w:trPr>
          <w:cantSplit/>
        </w:trPr>
        <w:tc>
          <w:tcPr>
            <w:tcW w:w="4638" w:type="dxa"/>
          </w:tcPr>
          <w:p w14:paraId="375EB8D4" w14:textId="77777777" w:rsidR="00C91F25" w:rsidRPr="00263DB9" w:rsidRDefault="00C91F25" w:rsidP="008303F6">
            <w:pPr>
              <w:keepNext/>
              <w:keepLines/>
              <w:widowControl w:val="0"/>
              <w:suppressAutoHyphens/>
              <w:rPr>
                <w:color w:val="000000"/>
                <w:szCs w:val="22"/>
              </w:rPr>
            </w:pPr>
            <w:r w:rsidRPr="00263DB9">
              <w:rPr>
                <w:color w:val="000000"/>
                <w:szCs w:val="22"/>
              </w:rPr>
              <w:t>Não avaliável</w:t>
            </w:r>
          </w:p>
        </w:tc>
        <w:tc>
          <w:tcPr>
            <w:tcW w:w="4638" w:type="dxa"/>
          </w:tcPr>
          <w:p w14:paraId="375EB8D5" w14:textId="77777777" w:rsidR="00C91F25" w:rsidRPr="00263DB9" w:rsidRDefault="00C91F25" w:rsidP="008303F6">
            <w:pPr>
              <w:keepNext/>
              <w:keepLines/>
              <w:widowControl w:val="0"/>
              <w:suppressAutoHyphens/>
              <w:jc w:val="center"/>
              <w:rPr>
                <w:color w:val="000000"/>
                <w:szCs w:val="22"/>
              </w:rPr>
            </w:pPr>
            <w:r w:rsidRPr="00263DB9">
              <w:rPr>
                <w:color w:val="000000"/>
                <w:szCs w:val="22"/>
              </w:rPr>
              <w:t>5 (3,4)</w:t>
            </w:r>
          </w:p>
        </w:tc>
      </w:tr>
      <w:tr w:rsidR="00C91F25" w:rsidRPr="00263DB9" w14:paraId="375EB8D9" w14:textId="77777777" w:rsidTr="008303F6">
        <w:trPr>
          <w:cantSplit/>
        </w:trPr>
        <w:tc>
          <w:tcPr>
            <w:tcW w:w="4638" w:type="dxa"/>
            <w:tcBorders>
              <w:bottom w:val="single" w:sz="4" w:space="0" w:color="auto"/>
            </w:tcBorders>
          </w:tcPr>
          <w:p w14:paraId="375EB8D7" w14:textId="77777777" w:rsidR="00C91F25" w:rsidRPr="00263DB9" w:rsidRDefault="00C91F25" w:rsidP="008303F6">
            <w:pPr>
              <w:keepNext/>
              <w:keepLines/>
              <w:widowControl w:val="0"/>
              <w:suppressAutoHyphens/>
              <w:rPr>
                <w:color w:val="000000"/>
                <w:szCs w:val="22"/>
              </w:rPr>
            </w:pPr>
            <w:r w:rsidRPr="00263DB9">
              <w:rPr>
                <w:color w:val="000000"/>
                <w:szCs w:val="22"/>
              </w:rPr>
              <w:t>Desconhecido</w:t>
            </w:r>
          </w:p>
        </w:tc>
        <w:tc>
          <w:tcPr>
            <w:tcW w:w="4638" w:type="dxa"/>
            <w:tcBorders>
              <w:bottom w:val="single" w:sz="4" w:space="0" w:color="auto"/>
            </w:tcBorders>
          </w:tcPr>
          <w:p w14:paraId="375EB8D8" w14:textId="77777777" w:rsidR="00C91F25" w:rsidRPr="00263DB9" w:rsidRDefault="00C91F25" w:rsidP="008303F6">
            <w:pPr>
              <w:keepNext/>
              <w:keepLines/>
              <w:widowControl w:val="0"/>
              <w:suppressAutoHyphens/>
              <w:jc w:val="center"/>
              <w:rPr>
                <w:color w:val="000000"/>
                <w:szCs w:val="22"/>
              </w:rPr>
            </w:pPr>
            <w:r w:rsidRPr="00263DB9">
              <w:rPr>
                <w:color w:val="000000"/>
                <w:szCs w:val="22"/>
              </w:rPr>
              <w:t>2 (1,4)</w:t>
            </w:r>
          </w:p>
        </w:tc>
      </w:tr>
    </w:tbl>
    <w:p w14:paraId="375EB8DA" w14:textId="77777777" w:rsidR="00C91F25" w:rsidRPr="00263DB9" w:rsidRDefault="00C91F25" w:rsidP="00E51817">
      <w:pPr>
        <w:widowControl w:val="0"/>
        <w:suppressAutoHyphens/>
        <w:rPr>
          <w:color w:val="000000"/>
          <w:szCs w:val="22"/>
        </w:rPr>
      </w:pPr>
    </w:p>
    <w:p w14:paraId="375EB8DB" w14:textId="77777777" w:rsidR="00C91F25" w:rsidRPr="00263DB9" w:rsidRDefault="00C91F25" w:rsidP="00E51817">
      <w:pPr>
        <w:widowControl w:val="0"/>
        <w:suppressAutoHyphens/>
        <w:rPr>
          <w:color w:val="000000"/>
          <w:szCs w:val="22"/>
        </w:rPr>
      </w:pPr>
      <w:r w:rsidRPr="00263DB9">
        <w:rPr>
          <w:color w:val="000000"/>
          <w:szCs w:val="22"/>
        </w:rPr>
        <w:t>Não se verificaram diferenças entre as taxas de resposta dos grupos tratados com as duas doses. Um número significativo de doentes que tinha doença estável aquando da análise interina, atingiu resposta parcial com o tratamento prolongado (mediana do período de seguimento de 31 meses). A Mediana do tempo para resposta foi de 13 semanas (IC 95% 12–23). A mediana do tempo para falência do tratamento nos doentes que responderam ao tratamento foi de 122 semanas (IC 95% 106–147), enquanto que na população total do estudo foi de 84 semanas (IC 95% 71–109). Não foi atingida a mediana da sobrevivência global. A estimativa (método Kaplan-Meier) para a sobrevivência após 36 meses de seguimento é de 68%.</w:t>
      </w:r>
    </w:p>
    <w:p w14:paraId="375EB8DC" w14:textId="77777777" w:rsidR="00C91F25" w:rsidRPr="00263DB9" w:rsidRDefault="00C91F25" w:rsidP="00E51817">
      <w:pPr>
        <w:widowControl w:val="0"/>
        <w:suppressAutoHyphens/>
        <w:rPr>
          <w:color w:val="000000"/>
          <w:szCs w:val="22"/>
        </w:rPr>
      </w:pPr>
    </w:p>
    <w:p w14:paraId="375EB8DD" w14:textId="77777777" w:rsidR="00C91F25" w:rsidRPr="00263DB9" w:rsidRDefault="00C91F25" w:rsidP="00E51817">
      <w:pPr>
        <w:widowControl w:val="0"/>
        <w:suppressAutoHyphens/>
        <w:rPr>
          <w:color w:val="000000"/>
          <w:szCs w:val="22"/>
        </w:rPr>
      </w:pPr>
      <w:r w:rsidRPr="00263DB9">
        <w:rPr>
          <w:color w:val="000000"/>
          <w:szCs w:val="22"/>
        </w:rPr>
        <w:t>Em dois ensaios clínicos (estudo B2222 e estudo intergrupos S0033) a dose diária de Glivec foi aumentada para 800 mg em doentes com progressão da doença nas doses diárias inferiores de 400 mg ou 600 mg. A dose diária foi aumentada para 800 mg num total de 103 doentes; 6 doentes atingiram resposta parcial e 21 atingiram estabilização da doença após aumento da dose, para um benefício clínico global de 26%. A informação de segurança disponível indica que o aumento da dose para 800 mg por dia, em doentes com doses iniciais de 400 mg ou 600 mg por dia, não parece afetar o perfil de segurança de Glivec.</w:t>
      </w:r>
    </w:p>
    <w:p w14:paraId="375EB8DE" w14:textId="77777777" w:rsidR="00C91F25" w:rsidRPr="00263DB9" w:rsidRDefault="00C91F25" w:rsidP="00E51817">
      <w:pPr>
        <w:widowControl w:val="0"/>
        <w:suppressAutoHyphens/>
        <w:rPr>
          <w:color w:val="000000"/>
          <w:szCs w:val="22"/>
          <w:u w:val="single"/>
        </w:rPr>
      </w:pPr>
    </w:p>
    <w:p w14:paraId="375EB8DF" w14:textId="77777777" w:rsidR="00C91F25" w:rsidRPr="00263DB9" w:rsidRDefault="00C91F25" w:rsidP="008303F6">
      <w:pPr>
        <w:keepNext/>
        <w:widowControl w:val="0"/>
        <w:suppressAutoHyphens/>
        <w:rPr>
          <w:color w:val="000000"/>
          <w:szCs w:val="22"/>
          <w:u w:val="single"/>
        </w:rPr>
      </w:pPr>
      <w:r w:rsidRPr="00263DB9">
        <w:rPr>
          <w:color w:val="000000"/>
          <w:szCs w:val="22"/>
          <w:u w:val="single"/>
        </w:rPr>
        <w:t>Ensaios clínicos em GIST adjuvante</w:t>
      </w:r>
    </w:p>
    <w:p w14:paraId="375EB8E0" w14:textId="77777777" w:rsidR="00C91F25" w:rsidRPr="00263DB9" w:rsidRDefault="00C91F25" w:rsidP="00E51817">
      <w:pPr>
        <w:widowControl w:val="0"/>
        <w:suppressAutoHyphens/>
        <w:rPr>
          <w:color w:val="000000"/>
          <w:szCs w:val="22"/>
        </w:rPr>
      </w:pPr>
      <w:r w:rsidRPr="00263DB9">
        <w:rPr>
          <w:color w:val="000000"/>
          <w:szCs w:val="22"/>
        </w:rPr>
        <w:t>No contexto adjuvante, o Glivec foi investigado num ensaio clínico de fase III (Z9001), multicêntrico, em dupla ocultação, de longo termo, controlado com placebo, envolvendo 773 doentes. A idade dos doentes variou dos 18 aos 91 anos. Foram incluídos doentes com diagnóstico histológico de GIST primário com expressão da proteína Kit por imunohistoquímica e um tamanho ≥ 3 cm na maior dimensão, com ressecção macroscópica completa do GIST primário nos 14</w:t>
      </w:r>
      <w:r w:rsidRPr="00263DB9">
        <w:rPr>
          <w:color w:val="000000"/>
          <w:szCs w:val="22"/>
        </w:rPr>
        <w:noBreakHyphen/>
        <w:t>70 dias anteriores ao registo. Após ressecção do GIST primário, os doentes foram aleatorizados para um de dois braços: Glivec 400 mg/dia ou placebo, durante um ano.</w:t>
      </w:r>
    </w:p>
    <w:p w14:paraId="375EB8E1" w14:textId="77777777" w:rsidR="00C91F25" w:rsidRPr="00263DB9" w:rsidRDefault="00C91F25" w:rsidP="00E51817">
      <w:pPr>
        <w:widowControl w:val="0"/>
        <w:suppressAutoHyphens/>
        <w:rPr>
          <w:color w:val="000000"/>
          <w:szCs w:val="22"/>
        </w:rPr>
      </w:pPr>
    </w:p>
    <w:p w14:paraId="375EB8E2" w14:textId="77777777" w:rsidR="00C91F25" w:rsidRPr="00263DB9" w:rsidRDefault="00C91F25" w:rsidP="00E51817">
      <w:pPr>
        <w:widowControl w:val="0"/>
        <w:suppressAutoHyphens/>
        <w:rPr>
          <w:color w:val="000000"/>
          <w:szCs w:val="22"/>
        </w:rPr>
      </w:pPr>
      <w:r w:rsidRPr="00263DB9">
        <w:rPr>
          <w:color w:val="000000"/>
          <w:szCs w:val="22"/>
        </w:rPr>
        <w:t>O parâmetro de avaliação primário do estudo foi a sobrevivência livre de recorrência (RFS), definida como o tempo entre a data de aleatorização e a data de recorrência, ou morte por qualquer causa.</w:t>
      </w:r>
    </w:p>
    <w:p w14:paraId="375EB8E3" w14:textId="77777777" w:rsidR="00C91F25" w:rsidRPr="00263DB9" w:rsidRDefault="00C91F25" w:rsidP="00E51817">
      <w:pPr>
        <w:widowControl w:val="0"/>
        <w:suppressAutoHyphens/>
        <w:rPr>
          <w:color w:val="000000"/>
          <w:szCs w:val="22"/>
        </w:rPr>
      </w:pPr>
    </w:p>
    <w:p w14:paraId="375EB8E4" w14:textId="77777777" w:rsidR="00C91F25" w:rsidRPr="00263DB9" w:rsidRDefault="00C91F25" w:rsidP="00E51817">
      <w:pPr>
        <w:widowControl w:val="0"/>
        <w:suppressAutoHyphens/>
        <w:rPr>
          <w:color w:val="000000"/>
          <w:szCs w:val="22"/>
        </w:rPr>
      </w:pPr>
      <w:r w:rsidRPr="00263DB9">
        <w:rPr>
          <w:color w:val="000000"/>
          <w:szCs w:val="22"/>
        </w:rPr>
        <w:t>Glivec prolongou de forma significativa a RFS, com 75% dos doentes livres de recorrência aos 38 meses no grupo de Glivec vs. 20 meses no grupo de placebo (95% ICs, [30 - não</w:t>
      </w:r>
      <w:r w:rsidRPr="00263DB9">
        <w:rPr>
          <w:color w:val="000000"/>
          <w:szCs w:val="22"/>
        </w:rPr>
        <w:noBreakHyphen/>
        <w:t>estimável], [14 - não</w:t>
      </w:r>
      <w:r w:rsidRPr="00263DB9">
        <w:rPr>
          <w:color w:val="000000"/>
          <w:szCs w:val="22"/>
        </w:rPr>
        <w:noBreakHyphen/>
        <w:t>estimável], respetivamente), (taxa de risco = 0,398 [0,259</w:t>
      </w:r>
      <w:r w:rsidRPr="00263DB9">
        <w:rPr>
          <w:color w:val="000000"/>
          <w:szCs w:val="22"/>
        </w:rPr>
        <w:noBreakHyphen/>
        <w:t>0,610], p&lt;0,0001). A um ano, a RFS global foi significantemente melhor para Glivec (97,7%) vs. placebo (82,3%), (p&lt;0,0001). O risco de recorrência foi, por isso, reduzido em aproximadamente 89% quando comparado com placebo (risco relativo = 0,113 [0,049</w:t>
      </w:r>
      <w:r w:rsidRPr="00263DB9">
        <w:rPr>
          <w:color w:val="000000"/>
          <w:szCs w:val="22"/>
        </w:rPr>
        <w:noBreakHyphen/>
        <w:t>0,264]).</w:t>
      </w:r>
    </w:p>
    <w:p w14:paraId="375EB8E5" w14:textId="77777777" w:rsidR="00C91F25" w:rsidRPr="00263DB9" w:rsidRDefault="00C91F25" w:rsidP="00E51817">
      <w:pPr>
        <w:widowControl w:val="0"/>
        <w:suppressAutoHyphens/>
        <w:rPr>
          <w:color w:val="000000"/>
          <w:szCs w:val="22"/>
        </w:rPr>
      </w:pPr>
    </w:p>
    <w:p w14:paraId="375EB8E6" w14:textId="77777777" w:rsidR="00C91F25" w:rsidRPr="00263DB9" w:rsidRDefault="00C91F25" w:rsidP="00E51817">
      <w:pPr>
        <w:widowControl w:val="0"/>
        <w:suppressAutoHyphens/>
        <w:rPr>
          <w:color w:val="000000"/>
          <w:szCs w:val="22"/>
        </w:rPr>
      </w:pPr>
      <w:r w:rsidRPr="00263DB9">
        <w:rPr>
          <w:color w:val="000000"/>
          <w:szCs w:val="22"/>
        </w:rPr>
        <w:t xml:space="preserve">O risco de recorrência em doentes após cirurgia do seu GIST primário foi avaliada retrospetivamente com base nos seguintes fatores de prognóstico: tamanho do tumor, índice mitótico, localização do tumor. Os dados de índice mitótico estavam disponíveis para 556 dos 713 da população intenção-para-tratar (ITT). Os resultados das análises de subgrupo de acordo com as classificações do risco do </w:t>
      </w:r>
      <w:r w:rsidRPr="00263DB9">
        <w:rPr>
          <w:i/>
          <w:iCs/>
          <w:color w:val="000000"/>
          <w:szCs w:val="22"/>
        </w:rPr>
        <w:t>National Institutes of Health</w:t>
      </w:r>
      <w:r w:rsidRPr="00263DB9">
        <w:rPr>
          <w:color w:val="000000"/>
          <w:szCs w:val="22"/>
        </w:rPr>
        <w:t xml:space="preserve"> (NIH) e do </w:t>
      </w:r>
      <w:r w:rsidRPr="00263DB9">
        <w:rPr>
          <w:i/>
          <w:iCs/>
          <w:color w:val="000000"/>
          <w:szCs w:val="22"/>
        </w:rPr>
        <w:t xml:space="preserve">Armed Forces Institute of Pathology </w:t>
      </w:r>
      <w:r w:rsidRPr="00263DB9">
        <w:rPr>
          <w:color w:val="000000"/>
          <w:szCs w:val="22"/>
        </w:rPr>
        <w:t>(AFIP) dos Estados Unidos são apresentados na Tabela </w:t>
      </w:r>
      <w:r w:rsidR="00445D6F" w:rsidRPr="00263DB9">
        <w:rPr>
          <w:color w:val="000000"/>
          <w:szCs w:val="22"/>
        </w:rPr>
        <w:t>7</w:t>
      </w:r>
      <w:r w:rsidRPr="00263DB9">
        <w:rPr>
          <w:color w:val="000000"/>
          <w:szCs w:val="22"/>
        </w:rPr>
        <w:t>. Não se observou benefício nos grupos de risco baixo e muito baixo. Não se observou benefício na sobrevivência global.</w:t>
      </w:r>
    </w:p>
    <w:p w14:paraId="375EB8E7" w14:textId="77777777" w:rsidR="00C91F25" w:rsidRPr="00263DB9" w:rsidRDefault="00C91F25" w:rsidP="00E51817">
      <w:pPr>
        <w:widowControl w:val="0"/>
        <w:suppressAutoHyphens/>
        <w:rPr>
          <w:color w:val="000000"/>
          <w:szCs w:val="22"/>
          <w:u w:val="single"/>
        </w:rPr>
      </w:pPr>
    </w:p>
    <w:p w14:paraId="375EB8E8" w14:textId="77777777" w:rsidR="00C91F25" w:rsidRPr="00263DB9" w:rsidRDefault="00C91F25" w:rsidP="008303F6">
      <w:pPr>
        <w:pStyle w:val="Heading6"/>
        <w:keepLines/>
        <w:widowControl w:val="0"/>
        <w:tabs>
          <w:tab w:val="clear" w:pos="567"/>
          <w:tab w:val="clear" w:pos="4536"/>
          <w:tab w:val="left" w:pos="1134"/>
        </w:tabs>
        <w:spacing w:line="240" w:lineRule="auto"/>
        <w:ind w:left="1134" w:hanging="1134"/>
        <w:rPr>
          <w:rFonts w:eastAsia="MS Mincho"/>
          <w:b/>
          <w:i w:val="0"/>
          <w:color w:val="000000"/>
          <w:szCs w:val="22"/>
          <w:lang w:val="pt-PT" w:eastAsia="ja-JP"/>
        </w:rPr>
      </w:pPr>
      <w:r w:rsidRPr="00263DB9">
        <w:rPr>
          <w:rFonts w:eastAsia="MS Mincho"/>
          <w:b/>
          <w:i w:val="0"/>
          <w:color w:val="000000"/>
          <w:szCs w:val="22"/>
          <w:lang w:val="pt-PT" w:eastAsia="ja-JP"/>
        </w:rPr>
        <w:lastRenderedPageBreak/>
        <w:t>Tabela </w:t>
      </w:r>
      <w:r w:rsidR="00445D6F" w:rsidRPr="00263DB9">
        <w:rPr>
          <w:rFonts w:eastAsia="MS Mincho"/>
          <w:b/>
          <w:i w:val="0"/>
          <w:color w:val="000000"/>
          <w:szCs w:val="22"/>
          <w:lang w:val="pt-PT" w:eastAsia="ja-JP"/>
        </w:rPr>
        <w:t>7</w:t>
      </w:r>
      <w:r w:rsidRPr="00263DB9">
        <w:rPr>
          <w:rFonts w:eastAsia="MS Mincho"/>
          <w:b/>
          <w:i w:val="0"/>
          <w:color w:val="000000"/>
          <w:szCs w:val="22"/>
          <w:lang w:val="pt-PT" w:eastAsia="ja-JP"/>
        </w:rPr>
        <w:tab/>
        <w:t>Resumo das análises de RFS do estudo Z9001 de acordo com as classificações do risco do NIH e da AFIP</w:t>
      </w:r>
    </w:p>
    <w:p w14:paraId="375EB8E9" w14:textId="77777777" w:rsidR="00C91F25" w:rsidRPr="00263DB9" w:rsidRDefault="00C91F25" w:rsidP="008303F6">
      <w:pPr>
        <w:keepNext/>
        <w:keepLines/>
        <w:widowControl w:val="0"/>
        <w:rPr>
          <w:rFonts w:eastAsia="MS Mincho"/>
          <w:color w:val="000000"/>
          <w:lang w:eastAsia="ja-JP"/>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417"/>
        <w:gridCol w:w="986"/>
        <w:gridCol w:w="2083"/>
        <w:gridCol w:w="1351"/>
        <w:gridCol w:w="1440"/>
        <w:gridCol w:w="1360"/>
      </w:tblGrid>
      <w:tr w:rsidR="00C91F25" w:rsidRPr="00263DB9" w14:paraId="375EB8F1" w14:textId="77777777" w:rsidTr="00112A85">
        <w:trPr>
          <w:cantSplit/>
        </w:trPr>
        <w:tc>
          <w:tcPr>
            <w:tcW w:w="1101" w:type="dxa"/>
            <w:vMerge w:val="restart"/>
          </w:tcPr>
          <w:p w14:paraId="375EB8EA" w14:textId="77777777" w:rsidR="00C91F25" w:rsidRPr="00263DB9" w:rsidRDefault="00C91F25" w:rsidP="008303F6">
            <w:pPr>
              <w:keepNext/>
              <w:keepLines/>
              <w:widowControl w:val="0"/>
              <w:tabs>
                <w:tab w:val="left" w:pos="567"/>
              </w:tabs>
              <w:spacing w:before="120" w:line="260" w:lineRule="exact"/>
              <w:jc w:val="center"/>
              <w:rPr>
                <w:b/>
                <w:color w:val="000000"/>
                <w:szCs w:val="22"/>
              </w:rPr>
            </w:pPr>
            <w:r w:rsidRPr="00263DB9">
              <w:rPr>
                <w:b/>
                <w:color w:val="000000"/>
                <w:szCs w:val="22"/>
              </w:rPr>
              <w:t>Critérios de risco</w:t>
            </w:r>
          </w:p>
        </w:tc>
        <w:tc>
          <w:tcPr>
            <w:tcW w:w="1417" w:type="dxa"/>
            <w:vMerge w:val="restart"/>
            <w:tcBorders>
              <w:right w:val="single" w:sz="4" w:space="0" w:color="auto"/>
            </w:tcBorders>
          </w:tcPr>
          <w:p w14:paraId="375EB8EB" w14:textId="77777777" w:rsidR="00C91F25" w:rsidRPr="00263DB9" w:rsidRDefault="00C91F25" w:rsidP="008303F6">
            <w:pPr>
              <w:keepNext/>
              <w:keepLines/>
              <w:widowControl w:val="0"/>
              <w:tabs>
                <w:tab w:val="left" w:pos="567"/>
              </w:tabs>
              <w:spacing w:before="120" w:line="260" w:lineRule="exact"/>
              <w:rPr>
                <w:b/>
                <w:color w:val="000000"/>
                <w:szCs w:val="22"/>
              </w:rPr>
            </w:pPr>
            <w:r w:rsidRPr="00263DB9">
              <w:rPr>
                <w:b/>
                <w:color w:val="000000"/>
                <w:szCs w:val="22"/>
              </w:rPr>
              <w:t>Nível de Risco</w:t>
            </w:r>
          </w:p>
          <w:p w14:paraId="375EB8EC" w14:textId="77777777" w:rsidR="00C91F25" w:rsidRPr="00263DB9" w:rsidRDefault="00C91F25" w:rsidP="008303F6">
            <w:pPr>
              <w:keepNext/>
              <w:keepLines/>
              <w:widowControl w:val="0"/>
              <w:tabs>
                <w:tab w:val="left" w:pos="567"/>
              </w:tabs>
              <w:spacing w:before="120" w:line="260" w:lineRule="exact"/>
              <w:rPr>
                <w:b/>
                <w:color w:val="000000"/>
                <w:szCs w:val="22"/>
              </w:rPr>
            </w:pPr>
          </w:p>
        </w:tc>
        <w:tc>
          <w:tcPr>
            <w:tcW w:w="986" w:type="dxa"/>
            <w:vMerge w:val="restart"/>
            <w:tcBorders>
              <w:left w:val="single" w:sz="4" w:space="0" w:color="auto"/>
              <w:right w:val="single" w:sz="4" w:space="0" w:color="auto"/>
            </w:tcBorders>
          </w:tcPr>
          <w:p w14:paraId="375EB8ED" w14:textId="77777777" w:rsidR="00C91F25" w:rsidRPr="00263DB9" w:rsidRDefault="00C91F25" w:rsidP="008303F6">
            <w:pPr>
              <w:keepNext/>
              <w:keepLines/>
              <w:widowControl w:val="0"/>
              <w:tabs>
                <w:tab w:val="left" w:pos="567"/>
              </w:tabs>
              <w:spacing w:before="120" w:line="260" w:lineRule="exact"/>
              <w:jc w:val="center"/>
              <w:rPr>
                <w:b/>
                <w:color w:val="000000"/>
                <w:szCs w:val="22"/>
              </w:rPr>
            </w:pPr>
            <w:r w:rsidRPr="00263DB9">
              <w:rPr>
                <w:b/>
                <w:color w:val="000000"/>
                <w:szCs w:val="22"/>
              </w:rPr>
              <w:t>% de doentes</w:t>
            </w:r>
          </w:p>
        </w:tc>
        <w:tc>
          <w:tcPr>
            <w:tcW w:w="2083" w:type="dxa"/>
            <w:vMerge w:val="restart"/>
            <w:tcBorders>
              <w:left w:val="single" w:sz="4" w:space="0" w:color="auto"/>
              <w:right w:val="single" w:sz="4" w:space="0" w:color="auto"/>
            </w:tcBorders>
          </w:tcPr>
          <w:p w14:paraId="375EB8EE" w14:textId="77777777" w:rsidR="00C91F25" w:rsidRPr="00263DB9" w:rsidRDefault="00C91F25" w:rsidP="008303F6">
            <w:pPr>
              <w:keepNext/>
              <w:keepLines/>
              <w:widowControl w:val="0"/>
              <w:tabs>
                <w:tab w:val="left" w:pos="567"/>
              </w:tabs>
              <w:spacing w:before="120" w:line="260" w:lineRule="exact"/>
              <w:jc w:val="center"/>
              <w:rPr>
                <w:b/>
                <w:color w:val="000000"/>
                <w:szCs w:val="22"/>
              </w:rPr>
            </w:pPr>
            <w:r w:rsidRPr="00263DB9">
              <w:rPr>
                <w:b/>
                <w:color w:val="000000"/>
                <w:szCs w:val="22"/>
              </w:rPr>
              <w:t>N.º de acontecimentos/</w:t>
            </w:r>
            <w:r w:rsidRPr="00263DB9">
              <w:rPr>
                <w:b/>
                <w:color w:val="000000"/>
                <w:szCs w:val="22"/>
              </w:rPr>
              <w:br/>
              <w:t>N.º de doentes</w:t>
            </w:r>
          </w:p>
        </w:tc>
        <w:tc>
          <w:tcPr>
            <w:tcW w:w="1351" w:type="dxa"/>
            <w:vMerge w:val="restart"/>
            <w:tcBorders>
              <w:left w:val="single" w:sz="4" w:space="0" w:color="auto"/>
              <w:right w:val="single" w:sz="4" w:space="0" w:color="auto"/>
            </w:tcBorders>
          </w:tcPr>
          <w:p w14:paraId="375EB8EF" w14:textId="77777777" w:rsidR="00C91F25" w:rsidRPr="00263DB9" w:rsidRDefault="00C91F25" w:rsidP="008303F6">
            <w:pPr>
              <w:keepNext/>
              <w:keepLines/>
              <w:widowControl w:val="0"/>
              <w:tabs>
                <w:tab w:val="left" w:pos="567"/>
              </w:tabs>
              <w:spacing w:line="260" w:lineRule="exact"/>
              <w:jc w:val="center"/>
              <w:rPr>
                <w:b/>
                <w:color w:val="000000"/>
                <w:szCs w:val="22"/>
              </w:rPr>
            </w:pPr>
            <w:r w:rsidRPr="00263DB9">
              <w:rPr>
                <w:b/>
                <w:color w:val="000000"/>
                <w:szCs w:val="22"/>
              </w:rPr>
              <w:t>Taxa de risco global (95%IC)*</w:t>
            </w:r>
          </w:p>
        </w:tc>
        <w:tc>
          <w:tcPr>
            <w:tcW w:w="2800" w:type="dxa"/>
            <w:gridSpan w:val="2"/>
            <w:tcBorders>
              <w:left w:val="single" w:sz="4" w:space="0" w:color="auto"/>
            </w:tcBorders>
          </w:tcPr>
          <w:p w14:paraId="375EB8F0" w14:textId="77777777" w:rsidR="00C91F25" w:rsidRPr="00263DB9" w:rsidRDefault="00C91F25" w:rsidP="008303F6">
            <w:pPr>
              <w:keepNext/>
              <w:keepLines/>
              <w:widowControl w:val="0"/>
              <w:tabs>
                <w:tab w:val="left" w:pos="567"/>
              </w:tabs>
              <w:spacing w:line="260" w:lineRule="exact"/>
              <w:jc w:val="center"/>
              <w:rPr>
                <w:b/>
                <w:color w:val="000000"/>
                <w:szCs w:val="22"/>
              </w:rPr>
            </w:pPr>
            <w:r w:rsidRPr="00263DB9">
              <w:rPr>
                <w:b/>
                <w:color w:val="000000"/>
                <w:szCs w:val="22"/>
              </w:rPr>
              <w:t>Taxa de RFS (%)</w:t>
            </w:r>
          </w:p>
        </w:tc>
      </w:tr>
      <w:tr w:rsidR="00C91F25" w:rsidRPr="00263DB9" w14:paraId="375EB8F9" w14:textId="77777777" w:rsidTr="00112A85">
        <w:trPr>
          <w:cantSplit/>
        </w:trPr>
        <w:tc>
          <w:tcPr>
            <w:tcW w:w="1101" w:type="dxa"/>
            <w:vMerge/>
          </w:tcPr>
          <w:p w14:paraId="375EB8F2" w14:textId="77777777" w:rsidR="00C91F25" w:rsidRPr="00263DB9" w:rsidRDefault="00C91F25" w:rsidP="008303F6">
            <w:pPr>
              <w:keepNext/>
              <w:keepLines/>
              <w:widowControl w:val="0"/>
              <w:tabs>
                <w:tab w:val="left" w:pos="567"/>
              </w:tabs>
              <w:spacing w:line="260" w:lineRule="exact"/>
              <w:rPr>
                <w:b/>
                <w:color w:val="000000"/>
                <w:szCs w:val="22"/>
              </w:rPr>
            </w:pPr>
          </w:p>
        </w:tc>
        <w:tc>
          <w:tcPr>
            <w:tcW w:w="1417" w:type="dxa"/>
            <w:vMerge/>
            <w:tcBorders>
              <w:right w:val="single" w:sz="4" w:space="0" w:color="auto"/>
            </w:tcBorders>
          </w:tcPr>
          <w:p w14:paraId="375EB8F3" w14:textId="77777777" w:rsidR="00C91F25" w:rsidRPr="00263DB9" w:rsidRDefault="00C91F25" w:rsidP="008303F6">
            <w:pPr>
              <w:keepNext/>
              <w:keepLines/>
              <w:widowControl w:val="0"/>
              <w:tabs>
                <w:tab w:val="left" w:pos="567"/>
              </w:tabs>
              <w:spacing w:line="260" w:lineRule="exact"/>
              <w:rPr>
                <w:b/>
                <w:color w:val="000000"/>
                <w:szCs w:val="22"/>
              </w:rPr>
            </w:pPr>
          </w:p>
        </w:tc>
        <w:tc>
          <w:tcPr>
            <w:tcW w:w="986" w:type="dxa"/>
            <w:vMerge/>
            <w:tcBorders>
              <w:left w:val="single" w:sz="4" w:space="0" w:color="auto"/>
              <w:right w:val="single" w:sz="4" w:space="0" w:color="auto"/>
            </w:tcBorders>
          </w:tcPr>
          <w:p w14:paraId="375EB8F4" w14:textId="77777777" w:rsidR="00C91F25" w:rsidRPr="00263DB9" w:rsidRDefault="00C91F25" w:rsidP="008303F6">
            <w:pPr>
              <w:keepNext/>
              <w:keepLines/>
              <w:widowControl w:val="0"/>
              <w:tabs>
                <w:tab w:val="left" w:pos="567"/>
              </w:tabs>
              <w:spacing w:line="260" w:lineRule="exact"/>
              <w:jc w:val="center"/>
              <w:rPr>
                <w:b/>
                <w:color w:val="000000"/>
                <w:szCs w:val="22"/>
              </w:rPr>
            </w:pPr>
          </w:p>
        </w:tc>
        <w:tc>
          <w:tcPr>
            <w:tcW w:w="2083" w:type="dxa"/>
            <w:vMerge/>
            <w:tcBorders>
              <w:left w:val="single" w:sz="4" w:space="0" w:color="auto"/>
              <w:right w:val="single" w:sz="4" w:space="0" w:color="auto"/>
            </w:tcBorders>
          </w:tcPr>
          <w:p w14:paraId="375EB8F5" w14:textId="77777777" w:rsidR="00C91F25" w:rsidRPr="00263DB9" w:rsidRDefault="00C91F25" w:rsidP="008303F6">
            <w:pPr>
              <w:keepNext/>
              <w:keepLines/>
              <w:widowControl w:val="0"/>
              <w:tabs>
                <w:tab w:val="left" w:pos="567"/>
              </w:tabs>
              <w:spacing w:line="260" w:lineRule="exact"/>
              <w:jc w:val="center"/>
              <w:rPr>
                <w:b/>
                <w:color w:val="000000"/>
                <w:szCs w:val="22"/>
              </w:rPr>
            </w:pPr>
          </w:p>
        </w:tc>
        <w:tc>
          <w:tcPr>
            <w:tcW w:w="1351" w:type="dxa"/>
            <w:vMerge/>
            <w:tcBorders>
              <w:left w:val="single" w:sz="4" w:space="0" w:color="auto"/>
              <w:right w:val="single" w:sz="4" w:space="0" w:color="auto"/>
            </w:tcBorders>
          </w:tcPr>
          <w:p w14:paraId="375EB8F6" w14:textId="77777777" w:rsidR="00C91F25" w:rsidRPr="00263DB9" w:rsidRDefault="00C91F25" w:rsidP="008303F6">
            <w:pPr>
              <w:keepNext/>
              <w:keepLines/>
              <w:widowControl w:val="0"/>
              <w:tabs>
                <w:tab w:val="left" w:pos="567"/>
              </w:tabs>
              <w:spacing w:line="260" w:lineRule="exact"/>
              <w:rPr>
                <w:b/>
                <w:color w:val="000000"/>
                <w:szCs w:val="22"/>
              </w:rPr>
            </w:pPr>
          </w:p>
        </w:tc>
        <w:tc>
          <w:tcPr>
            <w:tcW w:w="1440" w:type="dxa"/>
            <w:tcBorders>
              <w:left w:val="single" w:sz="4" w:space="0" w:color="auto"/>
              <w:right w:val="single" w:sz="4" w:space="0" w:color="auto"/>
            </w:tcBorders>
          </w:tcPr>
          <w:p w14:paraId="375EB8F7" w14:textId="77777777" w:rsidR="00C91F25" w:rsidRPr="00263DB9" w:rsidRDefault="00C91F25" w:rsidP="008303F6">
            <w:pPr>
              <w:keepNext/>
              <w:keepLines/>
              <w:widowControl w:val="0"/>
              <w:tabs>
                <w:tab w:val="left" w:pos="567"/>
              </w:tabs>
              <w:spacing w:line="260" w:lineRule="exact"/>
              <w:jc w:val="center"/>
              <w:rPr>
                <w:b/>
                <w:color w:val="000000"/>
                <w:szCs w:val="22"/>
              </w:rPr>
            </w:pPr>
            <w:r w:rsidRPr="00263DB9">
              <w:rPr>
                <w:b/>
                <w:color w:val="000000"/>
                <w:szCs w:val="22"/>
              </w:rPr>
              <w:t>12 meses</w:t>
            </w:r>
          </w:p>
        </w:tc>
        <w:tc>
          <w:tcPr>
            <w:tcW w:w="1360" w:type="dxa"/>
            <w:tcBorders>
              <w:left w:val="single" w:sz="4" w:space="0" w:color="auto"/>
            </w:tcBorders>
          </w:tcPr>
          <w:p w14:paraId="375EB8F8" w14:textId="77777777" w:rsidR="00C91F25" w:rsidRPr="00263DB9" w:rsidRDefault="00C91F25" w:rsidP="008303F6">
            <w:pPr>
              <w:keepNext/>
              <w:keepLines/>
              <w:widowControl w:val="0"/>
              <w:tabs>
                <w:tab w:val="left" w:pos="567"/>
              </w:tabs>
              <w:spacing w:line="260" w:lineRule="exact"/>
              <w:jc w:val="center"/>
              <w:rPr>
                <w:b/>
                <w:color w:val="000000"/>
                <w:szCs w:val="22"/>
              </w:rPr>
            </w:pPr>
            <w:r w:rsidRPr="00263DB9">
              <w:rPr>
                <w:b/>
                <w:color w:val="000000"/>
                <w:szCs w:val="22"/>
              </w:rPr>
              <w:t>24 meses</w:t>
            </w:r>
          </w:p>
        </w:tc>
      </w:tr>
      <w:tr w:rsidR="00C91F25" w:rsidRPr="00263DB9" w14:paraId="375EB901" w14:textId="77777777" w:rsidTr="00112A85">
        <w:trPr>
          <w:cantSplit/>
        </w:trPr>
        <w:tc>
          <w:tcPr>
            <w:tcW w:w="1101" w:type="dxa"/>
            <w:vMerge/>
          </w:tcPr>
          <w:p w14:paraId="375EB8FA" w14:textId="77777777" w:rsidR="00C91F25" w:rsidRPr="00263DB9" w:rsidRDefault="00C91F25" w:rsidP="008303F6">
            <w:pPr>
              <w:keepNext/>
              <w:keepLines/>
              <w:widowControl w:val="0"/>
              <w:tabs>
                <w:tab w:val="left" w:pos="567"/>
              </w:tabs>
              <w:spacing w:line="260" w:lineRule="exact"/>
              <w:rPr>
                <w:b/>
                <w:color w:val="000000"/>
                <w:szCs w:val="22"/>
              </w:rPr>
            </w:pPr>
          </w:p>
        </w:tc>
        <w:tc>
          <w:tcPr>
            <w:tcW w:w="1417" w:type="dxa"/>
            <w:vMerge/>
            <w:tcBorders>
              <w:right w:val="single" w:sz="4" w:space="0" w:color="auto"/>
            </w:tcBorders>
          </w:tcPr>
          <w:p w14:paraId="375EB8FB" w14:textId="77777777" w:rsidR="00C91F25" w:rsidRPr="00263DB9" w:rsidRDefault="00C91F25" w:rsidP="008303F6">
            <w:pPr>
              <w:keepNext/>
              <w:keepLines/>
              <w:widowControl w:val="0"/>
              <w:tabs>
                <w:tab w:val="left" w:pos="567"/>
              </w:tabs>
              <w:spacing w:line="260" w:lineRule="exact"/>
              <w:rPr>
                <w:b/>
                <w:color w:val="000000"/>
                <w:szCs w:val="22"/>
              </w:rPr>
            </w:pPr>
          </w:p>
        </w:tc>
        <w:tc>
          <w:tcPr>
            <w:tcW w:w="986" w:type="dxa"/>
            <w:vMerge/>
            <w:tcBorders>
              <w:left w:val="single" w:sz="4" w:space="0" w:color="auto"/>
              <w:right w:val="single" w:sz="4" w:space="0" w:color="auto"/>
            </w:tcBorders>
          </w:tcPr>
          <w:p w14:paraId="375EB8FC" w14:textId="77777777" w:rsidR="00C91F25" w:rsidRPr="00263DB9" w:rsidRDefault="00C91F25" w:rsidP="008303F6">
            <w:pPr>
              <w:keepNext/>
              <w:keepLines/>
              <w:widowControl w:val="0"/>
              <w:tabs>
                <w:tab w:val="left" w:pos="567"/>
              </w:tabs>
              <w:spacing w:line="260" w:lineRule="exact"/>
              <w:jc w:val="center"/>
              <w:rPr>
                <w:b/>
                <w:color w:val="000000"/>
                <w:szCs w:val="22"/>
              </w:rPr>
            </w:pPr>
          </w:p>
        </w:tc>
        <w:tc>
          <w:tcPr>
            <w:tcW w:w="2083" w:type="dxa"/>
            <w:tcBorders>
              <w:left w:val="single" w:sz="4" w:space="0" w:color="auto"/>
              <w:bottom w:val="single" w:sz="4" w:space="0" w:color="auto"/>
              <w:right w:val="single" w:sz="4" w:space="0" w:color="auto"/>
            </w:tcBorders>
          </w:tcPr>
          <w:p w14:paraId="375EB8FD" w14:textId="77777777" w:rsidR="00C91F25" w:rsidRPr="00263DB9" w:rsidRDefault="00C91F25" w:rsidP="008303F6">
            <w:pPr>
              <w:keepNext/>
              <w:keepLines/>
              <w:widowControl w:val="0"/>
              <w:tabs>
                <w:tab w:val="left" w:pos="567"/>
              </w:tabs>
              <w:spacing w:line="260" w:lineRule="exact"/>
              <w:jc w:val="center"/>
              <w:rPr>
                <w:b/>
                <w:color w:val="000000"/>
                <w:szCs w:val="22"/>
              </w:rPr>
            </w:pPr>
            <w:r w:rsidRPr="00263DB9">
              <w:rPr>
                <w:b/>
                <w:color w:val="000000"/>
                <w:szCs w:val="22"/>
              </w:rPr>
              <w:t>Glivec vs placebo</w:t>
            </w:r>
          </w:p>
        </w:tc>
        <w:tc>
          <w:tcPr>
            <w:tcW w:w="1351" w:type="dxa"/>
            <w:vMerge/>
            <w:tcBorders>
              <w:left w:val="single" w:sz="4" w:space="0" w:color="auto"/>
              <w:bottom w:val="single" w:sz="4" w:space="0" w:color="auto"/>
              <w:right w:val="single" w:sz="4" w:space="0" w:color="auto"/>
            </w:tcBorders>
          </w:tcPr>
          <w:p w14:paraId="375EB8FE" w14:textId="77777777" w:rsidR="00C91F25" w:rsidRPr="00263DB9" w:rsidRDefault="00C91F25" w:rsidP="008303F6">
            <w:pPr>
              <w:keepNext/>
              <w:keepLines/>
              <w:widowControl w:val="0"/>
              <w:tabs>
                <w:tab w:val="left" w:pos="567"/>
              </w:tabs>
              <w:spacing w:line="260" w:lineRule="exact"/>
              <w:jc w:val="center"/>
              <w:rPr>
                <w:b/>
                <w:color w:val="000000"/>
                <w:szCs w:val="22"/>
              </w:rPr>
            </w:pPr>
          </w:p>
        </w:tc>
        <w:tc>
          <w:tcPr>
            <w:tcW w:w="1440" w:type="dxa"/>
            <w:tcBorders>
              <w:left w:val="single" w:sz="4" w:space="0" w:color="auto"/>
              <w:bottom w:val="single" w:sz="4" w:space="0" w:color="auto"/>
              <w:right w:val="single" w:sz="4" w:space="0" w:color="auto"/>
            </w:tcBorders>
          </w:tcPr>
          <w:p w14:paraId="375EB8FF" w14:textId="77777777" w:rsidR="00C91F25" w:rsidRPr="00263DB9" w:rsidRDefault="00C91F25" w:rsidP="008303F6">
            <w:pPr>
              <w:keepNext/>
              <w:keepLines/>
              <w:widowControl w:val="0"/>
              <w:tabs>
                <w:tab w:val="left" w:pos="567"/>
              </w:tabs>
              <w:spacing w:line="260" w:lineRule="exact"/>
              <w:jc w:val="center"/>
              <w:rPr>
                <w:b/>
                <w:color w:val="000000"/>
                <w:szCs w:val="22"/>
              </w:rPr>
            </w:pPr>
            <w:r w:rsidRPr="00263DB9">
              <w:rPr>
                <w:b/>
                <w:color w:val="000000"/>
                <w:szCs w:val="22"/>
              </w:rPr>
              <w:t>Glivec vs placebo</w:t>
            </w:r>
          </w:p>
        </w:tc>
        <w:tc>
          <w:tcPr>
            <w:tcW w:w="1360" w:type="dxa"/>
            <w:tcBorders>
              <w:left w:val="single" w:sz="4" w:space="0" w:color="auto"/>
            </w:tcBorders>
          </w:tcPr>
          <w:p w14:paraId="375EB900" w14:textId="77777777" w:rsidR="00C91F25" w:rsidRPr="00263DB9" w:rsidRDefault="00C91F25" w:rsidP="008303F6">
            <w:pPr>
              <w:keepNext/>
              <w:keepLines/>
              <w:widowControl w:val="0"/>
              <w:tabs>
                <w:tab w:val="left" w:pos="567"/>
              </w:tabs>
              <w:spacing w:line="260" w:lineRule="exact"/>
              <w:jc w:val="center"/>
              <w:rPr>
                <w:b/>
                <w:color w:val="000000"/>
                <w:szCs w:val="22"/>
              </w:rPr>
            </w:pPr>
            <w:r w:rsidRPr="00263DB9">
              <w:rPr>
                <w:b/>
                <w:color w:val="000000"/>
                <w:szCs w:val="22"/>
              </w:rPr>
              <w:t>Glivec vs placebo</w:t>
            </w:r>
          </w:p>
        </w:tc>
      </w:tr>
      <w:tr w:rsidR="00C91F25" w:rsidRPr="00263DB9" w14:paraId="375EB909" w14:textId="77777777" w:rsidTr="00112A85">
        <w:trPr>
          <w:cantSplit/>
        </w:trPr>
        <w:tc>
          <w:tcPr>
            <w:tcW w:w="1101" w:type="dxa"/>
            <w:vMerge w:val="restart"/>
            <w:vAlign w:val="center"/>
          </w:tcPr>
          <w:p w14:paraId="375EB902" w14:textId="77777777" w:rsidR="00C91F25" w:rsidRPr="00263DB9" w:rsidRDefault="00C91F25" w:rsidP="008303F6">
            <w:pPr>
              <w:pStyle w:val="Text"/>
              <w:keepNext/>
              <w:keepLines/>
              <w:widowControl w:val="0"/>
              <w:tabs>
                <w:tab w:val="left" w:pos="567"/>
              </w:tabs>
              <w:spacing w:before="40" w:after="20" w:line="260" w:lineRule="exact"/>
              <w:jc w:val="left"/>
              <w:rPr>
                <w:color w:val="000000"/>
                <w:sz w:val="22"/>
                <w:szCs w:val="22"/>
              </w:rPr>
            </w:pPr>
            <w:r w:rsidRPr="00263DB9">
              <w:rPr>
                <w:color w:val="000000"/>
                <w:sz w:val="22"/>
                <w:szCs w:val="22"/>
              </w:rPr>
              <w:t>NIH</w:t>
            </w:r>
          </w:p>
        </w:tc>
        <w:tc>
          <w:tcPr>
            <w:tcW w:w="1417" w:type="dxa"/>
            <w:tcBorders>
              <w:bottom w:val="nil"/>
              <w:right w:val="single" w:sz="4" w:space="0" w:color="auto"/>
            </w:tcBorders>
            <w:vAlign w:val="bottom"/>
          </w:tcPr>
          <w:p w14:paraId="375EB903" w14:textId="77777777" w:rsidR="00C91F25" w:rsidRPr="00263DB9" w:rsidRDefault="00C91F25" w:rsidP="008303F6">
            <w:pPr>
              <w:pStyle w:val="Nottoc-headings"/>
              <w:widowControl w:val="0"/>
              <w:tabs>
                <w:tab w:val="left" w:pos="567"/>
              </w:tabs>
              <w:spacing w:before="40" w:after="20" w:line="260" w:lineRule="exact"/>
              <w:ind w:left="57" w:hanging="57"/>
              <w:rPr>
                <w:rFonts w:ascii="Times New Roman" w:hAnsi="Times New Roman"/>
                <w:b w:val="0"/>
                <w:color w:val="000000"/>
                <w:sz w:val="22"/>
                <w:szCs w:val="22"/>
              </w:rPr>
            </w:pPr>
            <w:r w:rsidRPr="00263DB9">
              <w:rPr>
                <w:rFonts w:ascii="Times New Roman" w:hAnsi="Times New Roman"/>
                <w:b w:val="0"/>
                <w:color w:val="000000"/>
                <w:sz w:val="22"/>
                <w:szCs w:val="22"/>
              </w:rPr>
              <w:t>Baixo</w:t>
            </w:r>
          </w:p>
        </w:tc>
        <w:tc>
          <w:tcPr>
            <w:tcW w:w="986" w:type="dxa"/>
            <w:tcBorders>
              <w:left w:val="single" w:sz="4" w:space="0" w:color="auto"/>
              <w:bottom w:val="nil"/>
              <w:right w:val="single" w:sz="4" w:space="0" w:color="auto"/>
            </w:tcBorders>
            <w:vAlign w:val="bottom"/>
          </w:tcPr>
          <w:p w14:paraId="375EB904" w14:textId="77777777" w:rsidR="00C91F25" w:rsidRPr="00263DB9" w:rsidRDefault="00C91F25" w:rsidP="008303F6">
            <w:pPr>
              <w:pStyle w:val="Nottoc-headings"/>
              <w:widowControl w:val="0"/>
              <w:tabs>
                <w:tab w:val="left" w:pos="567"/>
              </w:tabs>
              <w:spacing w:before="40" w:after="20" w:line="260" w:lineRule="exact"/>
              <w:ind w:left="57" w:hanging="57"/>
              <w:jc w:val="center"/>
              <w:rPr>
                <w:rFonts w:ascii="Times New Roman" w:hAnsi="Times New Roman"/>
                <w:b w:val="0"/>
                <w:color w:val="000000"/>
                <w:sz w:val="22"/>
                <w:szCs w:val="22"/>
              </w:rPr>
            </w:pPr>
            <w:r w:rsidRPr="00263DB9">
              <w:rPr>
                <w:rFonts w:ascii="Times New Roman" w:hAnsi="Times New Roman"/>
                <w:b w:val="0"/>
                <w:color w:val="000000"/>
                <w:sz w:val="22"/>
                <w:szCs w:val="22"/>
              </w:rPr>
              <w:t>29,5</w:t>
            </w:r>
          </w:p>
        </w:tc>
        <w:tc>
          <w:tcPr>
            <w:tcW w:w="2083" w:type="dxa"/>
            <w:tcBorders>
              <w:left w:val="single" w:sz="4" w:space="0" w:color="auto"/>
              <w:bottom w:val="nil"/>
              <w:right w:val="single" w:sz="4" w:space="0" w:color="auto"/>
            </w:tcBorders>
            <w:vAlign w:val="bottom"/>
          </w:tcPr>
          <w:p w14:paraId="375EB905" w14:textId="77777777" w:rsidR="00C91F25" w:rsidRPr="00263DB9" w:rsidRDefault="00C91F25" w:rsidP="008303F6">
            <w:pPr>
              <w:pStyle w:val="Nottoc-headings"/>
              <w:widowControl w:val="0"/>
              <w:tabs>
                <w:tab w:val="left" w:pos="567"/>
              </w:tabs>
              <w:spacing w:before="40" w:after="20" w:line="260" w:lineRule="exact"/>
              <w:ind w:left="57" w:hanging="57"/>
              <w:rPr>
                <w:rFonts w:ascii="Times New Roman" w:hAnsi="Times New Roman"/>
                <w:b w:val="0"/>
                <w:color w:val="000000"/>
                <w:sz w:val="22"/>
                <w:szCs w:val="22"/>
              </w:rPr>
            </w:pPr>
            <w:r w:rsidRPr="00263DB9">
              <w:rPr>
                <w:rFonts w:ascii="Times New Roman" w:hAnsi="Times New Roman"/>
                <w:b w:val="0"/>
                <w:color w:val="000000"/>
                <w:sz w:val="22"/>
                <w:szCs w:val="22"/>
              </w:rPr>
              <w:t>0/86 vs. 2/90</w:t>
            </w:r>
          </w:p>
        </w:tc>
        <w:tc>
          <w:tcPr>
            <w:tcW w:w="1351" w:type="dxa"/>
            <w:tcBorders>
              <w:left w:val="single" w:sz="4" w:space="0" w:color="auto"/>
              <w:bottom w:val="nil"/>
              <w:right w:val="single" w:sz="4" w:space="0" w:color="auto"/>
            </w:tcBorders>
            <w:vAlign w:val="bottom"/>
          </w:tcPr>
          <w:p w14:paraId="375EB906" w14:textId="77777777" w:rsidR="00C91F25" w:rsidRPr="00263DB9" w:rsidRDefault="00C91F25" w:rsidP="008303F6">
            <w:pPr>
              <w:pStyle w:val="Nottoc-headings"/>
              <w:widowControl w:val="0"/>
              <w:tabs>
                <w:tab w:val="left" w:pos="567"/>
              </w:tabs>
              <w:spacing w:before="40" w:after="20" w:line="260" w:lineRule="exact"/>
              <w:ind w:left="57" w:hanging="57"/>
              <w:jc w:val="center"/>
              <w:rPr>
                <w:rFonts w:ascii="Times New Roman" w:hAnsi="Times New Roman"/>
                <w:b w:val="0"/>
                <w:color w:val="000000"/>
                <w:sz w:val="22"/>
                <w:szCs w:val="22"/>
              </w:rPr>
            </w:pPr>
            <w:r w:rsidRPr="00263DB9">
              <w:rPr>
                <w:rFonts w:ascii="Times New Roman" w:hAnsi="Times New Roman"/>
                <w:b w:val="0"/>
                <w:color w:val="000000"/>
                <w:sz w:val="22"/>
                <w:szCs w:val="22"/>
              </w:rPr>
              <w:t>N.E.</w:t>
            </w:r>
          </w:p>
        </w:tc>
        <w:tc>
          <w:tcPr>
            <w:tcW w:w="1440" w:type="dxa"/>
            <w:tcBorders>
              <w:left w:val="single" w:sz="4" w:space="0" w:color="auto"/>
              <w:bottom w:val="nil"/>
              <w:right w:val="single" w:sz="4" w:space="0" w:color="auto"/>
            </w:tcBorders>
            <w:vAlign w:val="bottom"/>
          </w:tcPr>
          <w:p w14:paraId="375EB907" w14:textId="77777777" w:rsidR="00C91F25" w:rsidRPr="00263DB9" w:rsidRDefault="00C91F25" w:rsidP="008303F6">
            <w:pPr>
              <w:pStyle w:val="Nottoc-headings"/>
              <w:widowControl w:val="0"/>
              <w:tabs>
                <w:tab w:val="left" w:pos="567"/>
              </w:tabs>
              <w:spacing w:before="40" w:after="20" w:line="260" w:lineRule="exact"/>
              <w:ind w:left="57" w:hanging="57"/>
              <w:rPr>
                <w:rFonts w:ascii="Times New Roman" w:hAnsi="Times New Roman"/>
                <w:b w:val="0"/>
                <w:color w:val="000000"/>
                <w:sz w:val="22"/>
                <w:szCs w:val="22"/>
              </w:rPr>
            </w:pPr>
            <w:r w:rsidRPr="00263DB9">
              <w:rPr>
                <w:rFonts w:ascii="Times New Roman" w:hAnsi="Times New Roman"/>
                <w:b w:val="0"/>
                <w:color w:val="000000"/>
                <w:sz w:val="22"/>
                <w:szCs w:val="22"/>
              </w:rPr>
              <w:t>100 vs. 98,7</w:t>
            </w:r>
          </w:p>
        </w:tc>
        <w:tc>
          <w:tcPr>
            <w:tcW w:w="1360" w:type="dxa"/>
            <w:tcBorders>
              <w:left w:val="single" w:sz="4" w:space="0" w:color="auto"/>
              <w:bottom w:val="nil"/>
            </w:tcBorders>
            <w:vAlign w:val="bottom"/>
          </w:tcPr>
          <w:p w14:paraId="375EB908" w14:textId="77777777" w:rsidR="00C91F25" w:rsidRPr="00263DB9" w:rsidRDefault="00C91F25" w:rsidP="008303F6">
            <w:pPr>
              <w:pStyle w:val="Nottoc-headings"/>
              <w:widowControl w:val="0"/>
              <w:tabs>
                <w:tab w:val="left" w:pos="567"/>
              </w:tabs>
              <w:spacing w:before="40" w:after="20" w:line="260" w:lineRule="exact"/>
              <w:ind w:left="57" w:hanging="57"/>
              <w:rPr>
                <w:rFonts w:ascii="Times New Roman" w:hAnsi="Times New Roman"/>
                <w:b w:val="0"/>
                <w:color w:val="000000"/>
                <w:sz w:val="22"/>
                <w:szCs w:val="22"/>
              </w:rPr>
            </w:pPr>
            <w:r w:rsidRPr="00263DB9">
              <w:rPr>
                <w:rFonts w:ascii="Times New Roman" w:hAnsi="Times New Roman"/>
                <w:b w:val="0"/>
                <w:color w:val="000000"/>
                <w:sz w:val="22"/>
                <w:szCs w:val="22"/>
              </w:rPr>
              <w:t>100 vs. 95,5</w:t>
            </w:r>
          </w:p>
        </w:tc>
      </w:tr>
      <w:tr w:rsidR="00C91F25" w:rsidRPr="00263DB9" w14:paraId="375EB912" w14:textId="77777777" w:rsidTr="00112A85">
        <w:trPr>
          <w:cantSplit/>
        </w:trPr>
        <w:tc>
          <w:tcPr>
            <w:tcW w:w="1101" w:type="dxa"/>
            <w:vMerge/>
          </w:tcPr>
          <w:p w14:paraId="375EB90A" w14:textId="77777777" w:rsidR="00C91F25" w:rsidRPr="00263DB9" w:rsidRDefault="00C91F25" w:rsidP="008303F6">
            <w:pPr>
              <w:pStyle w:val="Nottoc-headings"/>
              <w:widowControl w:val="0"/>
              <w:tabs>
                <w:tab w:val="left" w:pos="567"/>
              </w:tabs>
              <w:spacing w:line="260" w:lineRule="exact"/>
              <w:rPr>
                <w:rFonts w:ascii="Times New Roman" w:hAnsi="Times New Roman"/>
                <w:b w:val="0"/>
                <w:color w:val="000000"/>
                <w:sz w:val="22"/>
                <w:szCs w:val="22"/>
              </w:rPr>
            </w:pPr>
          </w:p>
        </w:tc>
        <w:tc>
          <w:tcPr>
            <w:tcW w:w="1417" w:type="dxa"/>
            <w:tcBorders>
              <w:top w:val="nil"/>
              <w:bottom w:val="nil"/>
              <w:right w:val="single" w:sz="4" w:space="0" w:color="auto"/>
            </w:tcBorders>
            <w:vAlign w:val="bottom"/>
          </w:tcPr>
          <w:p w14:paraId="375EB90B"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Intermédio</w:t>
            </w:r>
          </w:p>
        </w:tc>
        <w:tc>
          <w:tcPr>
            <w:tcW w:w="986" w:type="dxa"/>
            <w:tcBorders>
              <w:top w:val="nil"/>
              <w:left w:val="single" w:sz="4" w:space="0" w:color="auto"/>
              <w:bottom w:val="nil"/>
              <w:right w:val="single" w:sz="4" w:space="0" w:color="auto"/>
            </w:tcBorders>
            <w:vAlign w:val="bottom"/>
          </w:tcPr>
          <w:p w14:paraId="375EB90C" w14:textId="77777777" w:rsidR="00C91F25" w:rsidRPr="00263DB9" w:rsidRDefault="00C91F25" w:rsidP="008303F6">
            <w:pPr>
              <w:keepNext/>
              <w:keepLines/>
              <w:widowControl w:val="0"/>
              <w:tabs>
                <w:tab w:val="left" w:pos="567"/>
              </w:tabs>
              <w:spacing w:line="260" w:lineRule="exact"/>
              <w:jc w:val="center"/>
              <w:rPr>
                <w:color w:val="000000"/>
                <w:szCs w:val="22"/>
              </w:rPr>
            </w:pPr>
            <w:r w:rsidRPr="00263DB9">
              <w:rPr>
                <w:color w:val="000000"/>
                <w:szCs w:val="22"/>
              </w:rPr>
              <w:t>25,7</w:t>
            </w:r>
          </w:p>
        </w:tc>
        <w:tc>
          <w:tcPr>
            <w:tcW w:w="2083" w:type="dxa"/>
            <w:tcBorders>
              <w:top w:val="nil"/>
              <w:left w:val="single" w:sz="4" w:space="0" w:color="auto"/>
              <w:bottom w:val="nil"/>
              <w:right w:val="single" w:sz="4" w:space="0" w:color="auto"/>
            </w:tcBorders>
            <w:vAlign w:val="bottom"/>
          </w:tcPr>
          <w:p w14:paraId="375EB90D"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4/75 vs. 6/78</w:t>
            </w:r>
          </w:p>
        </w:tc>
        <w:tc>
          <w:tcPr>
            <w:tcW w:w="1351" w:type="dxa"/>
            <w:tcBorders>
              <w:top w:val="nil"/>
              <w:left w:val="single" w:sz="4" w:space="0" w:color="auto"/>
              <w:bottom w:val="nil"/>
              <w:right w:val="single" w:sz="4" w:space="0" w:color="auto"/>
            </w:tcBorders>
            <w:vAlign w:val="bottom"/>
          </w:tcPr>
          <w:p w14:paraId="375EB90E" w14:textId="77777777" w:rsidR="00C91F25" w:rsidRPr="00263DB9" w:rsidRDefault="00C91F25" w:rsidP="008303F6">
            <w:pPr>
              <w:keepNext/>
              <w:keepLines/>
              <w:widowControl w:val="0"/>
              <w:tabs>
                <w:tab w:val="left" w:pos="567"/>
              </w:tabs>
              <w:spacing w:line="260" w:lineRule="exact"/>
              <w:jc w:val="center"/>
              <w:rPr>
                <w:color w:val="000000"/>
                <w:szCs w:val="22"/>
              </w:rPr>
            </w:pPr>
            <w:r w:rsidRPr="00263DB9">
              <w:rPr>
                <w:color w:val="000000"/>
                <w:szCs w:val="22"/>
              </w:rPr>
              <w:t>0,59</w:t>
            </w:r>
          </w:p>
          <w:p w14:paraId="375EB90F" w14:textId="77777777" w:rsidR="00C91F25" w:rsidRPr="00263DB9" w:rsidRDefault="00C91F25" w:rsidP="008303F6">
            <w:pPr>
              <w:keepNext/>
              <w:keepLines/>
              <w:widowControl w:val="0"/>
              <w:tabs>
                <w:tab w:val="left" w:pos="567"/>
              </w:tabs>
              <w:spacing w:line="260" w:lineRule="exact"/>
              <w:jc w:val="center"/>
              <w:rPr>
                <w:color w:val="000000"/>
                <w:szCs w:val="22"/>
              </w:rPr>
            </w:pPr>
            <w:r w:rsidRPr="00263DB9">
              <w:rPr>
                <w:color w:val="000000"/>
                <w:szCs w:val="22"/>
              </w:rPr>
              <w:t>(0,17; 2,10)</w:t>
            </w:r>
          </w:p>
        </w:tc>
        <w:tc>
          <w:tcPr>
            <w:tcW w:w="1440" w:type="dxa"/>
            <w:tcBorders>
              <w:top w:val="nil"/>
              <w:left w:val="single" w:sz="4" w:space="0" w:color="auto"/>
              <w:bottom w:val="nil"/>
              <w:right w:val="single" w:sz="4" w:space="0" w:color="auto"/>
            </w:tcBorders>
            <w:vAlign w:val="bottom"/>
          </w:tcPr>
          <w:p w14:paraId="375EB910"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100 vs. 94,8</w:t>
            </w:r>
          </w:p>
        </w:tc>
        <w:tc>
          <w:tcPr>
            <w:tcW w:w="1360" w:type="dxa"/>
            <w:tcBorders>
              <w:top w:val="nil"/>
              <w:left w:val="single" w:sz="4" w:space="0" w:color="auto"/>
              <w:bottom w:val="nil"/>
            </w:tcBorders>
            <w:vAlign w:val="bottom"/>
          </w:tcPr>
          <w:p w14:paraId="375EB911"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97,8 vs. 89,5</w:t>
            </w:r>
          </w:p>
        </w:tc>
      </w:tr>
      <w:tr w:rsidR="00C91F25" w:rsidRPr="00263DB9" w14:paraId="375EB91B" w14:textId="77777777" w:rsidTr="00112A85">
        <w:trPr>
          <w:cantSplit/>
          <w:trHeight w:val="216"/>
        </w:trPr>
        <w:tc>
          <w:tcPr>
            <w:tcW w:w="1101" w:type="dxa"/>
            <w:vMerge/>
          </w:tcPr>
          <w:p w14:paraId="375EB913" w14:textId="77777777" w:rsidR="00C91F25" w:rsidRPr="00263DB9" w:rsidRDefault="00C91F25" w:rsidP="008303F6">
            <w:pPr>
              <w:keepNext/>
              <w:keepLines/>
              <w:widowControl w:val="0"/>
              <w:tabs>
                <w:tab w:val="left" w:pos="567"/>
              </w:tabs>
              <w:spacing w:line="260" w:lineRule="exact"/>
              <w:rPr>
                <w:color w:val="000000"/>
                <w:szCs w:val="22"/>
              </w:rPr>
            </w:pPr>
          </w:p>
        </w:tc>
        <w:tc>
          <w:tcPr>
            <w:tcW w:w="1417" w:type="dxa"/>
            <w:tcBorders>
              <w:top w:val="nil"/>
              <w:right w:val="single" w:sz="4" w:space="0" w:color="auto"/>
            </w:tcBorders>
            <w:vAlign w:val="bottom"/>
          </w:tcPr>
          <w:p w14:paraId="375EB914"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Alto</w:t>
            </w:r>
          </w:p>
        </w:tc>
        <w:tc>
          <w:tcPr>
            <w:tcW w:w="986" w:type="dxa"/>
            <w:tcBorders>
              <w:top w:val="nil"/>
              <w:left w:val="single" w:sz="4" w:space="0" w:color="auto"/>
              <w:right w:val="single" w:sz="4" w:space="0" w:color="auto"/>
            </w:tcBorders>
            <w:vAlign w:val="bottom"/>
          </w:tcPr>
          <w:p w14:paraId="375EB915" w14:textId="77777777" w:rsidR="00C91F25" w:rsidRPr="00263DB9" w:rsidRDefault="00C91F25" w:rsidP="008303F6">
            <w:pPr>
              <w:keepNext/>
              <w:keepLines/>
              <w:widowControl w:val="0"/>
              <w:tabs>
                <w:tab w:val="left" w:pos="567"/>
              </w:tabs>
              <w:spacing w:line="260" w:lineRule="exact"/>
              <w:jc w:val="center"/>
              <w:rPr>
                <w:color w:val="000000"/>
                <w:szCs w:val="22"/>
              </w:rPr>
            </w:pPr>
            <w:r w:rsidRPr="00263DB9">
              <w:rPr>
                <w:color w:val="000000"/>
                <w:szCs w:val="22"/>
              </w:rPr>
              <w:t>44,8</w:t>
            </w:r>
          </w:p>
        </w:tc>
        <w:tc>
          <w:tcPr>
            <w:tcW w:w="2083" w:type="dxa"/>
            <w:tcBorders>
              <w:top w:val="nil"/>
              <w:left w:val="single" w:sz="4" w:space="0" w:color="auto"/>
              <w:right w:val="single" w:sz="4" w:space="0" w:color="auto"/>
            </w:tcBorders>
            <w:vAlign w:val="bottom"/>
          </w:tcPr>
          <w:p w14:paraId="375EB916"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21/140 vs. 51/127</w:t>
            </w:r>
          </w:p>
        </w:tc>
        <w:tc>
          <w:tcPr>
            <w:tcW w:w="1351" w:type="dxa"/>
            <w:tcBorders>
              <w:top w:val="nil"/>
              <w:left w:val="single" w:sz="4" w:space="0" w:color="auto"/>
              <w:right w:val="single" w:sz="4" w:space="0" w:color="auto"/>
            </w:tcBorders>
            <w:vAlign w:val="bottom"/>
          </w:tcPr>
          <w:p w14:paraId="375EB917" w14:textId="77777777" w:rsidR="00C91F25" w:rsidRPr="00263DB9" w:rsidRDefault="00C91F25" w:rsidP="008303F6">
            <w:pPr>
              <w:keepNext/>
              <w:keepLines/>
              <w:widowControl w:val="0"/>
              <w:tabs>
                <w:tab w:val="left" w:pos="567"/>
              </w:tabs>
              <w:spacing w:line="260" w:lineRule="exact"/>
              <w:jc w:val="center"/>
              <w:rPr>
                <w:color w:val="000000"/>
                <w:szCs w:val="22"/>
              </w:rPr>
            </w:pPr>
            <w:r w:rsidRPr="00263DB9">
              <w:rPr>
                <w:color w:val="000000"/>
                <w:szCs w:val="22"/>
              </w:rPr>
              <w:t>0,29</w:t>
            </w:r>
          </w:p>
          <w:p w14:paraId="375EB918" w14:textId="77777777" w:rsidR="00C91F25" w:rsidRPr="00263DB9" w:rsidRDefault="00C91F25" w:rsidP="008303F6">
            <w:pPr>
              <w:keepNext/>
              <w:keepLines/>
              <w:widowControl w:val="0"/>
              <w:tabs>
                <w:tab w:val="left" w:pos="567"/>
              </w:tabs>
              <w:spacing w:line="260" w:lineRule="exact"/>
              <w:jc w:val="center"/>
              <w:rPr>
                <w:color w:val="000000"/>
                <w:szCs w:val="22"/>
              </w:rPr>
            </w:pPr>
            <w:r w:rsidRPr="00263DB9">
              <w:rPr>
                <w:color w:val="000000"/>
                <w:szCs w:val="22"/>
              </w:rPr>
              <w:t>(0,18; 0,49)</w:t>
            </w:r>
          </w:p>
        </w:tc>
        <w:tc>
          <w:tcPr>
            <w:tcW w:w="1440" w:type="dxa"/>
            <w:tcBorders>
              <w:top w:val="nil"/>
              <w:left w:val="single" w:sz="4" w:space="0" w:color="auto"/>
              <w:right w:val="single" w:sz="4" w:space="0" w:color="auto"/>
            </w:tcBorders>
            <w:vAlign w:val="bottom"/>
          </w:tcPr>
          <w:p w14:paraId="375EB919"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94,8 vs. 64,0</w:t>
            </w:r>
          </w:p>
        </w:tc>
        <w:tc>
          <w:tcPr>
            <w:tcW w:w="1360" w:type="dxa"/>
            <w:tcBorders>
              <w:top w:val="nil"/>
              <w:left w:val="single" w:sz="4" w:space="0" w:color="auto"/>
            </w:tcBorders>
            <w:vAlign w:val="bottom"/>
          </w:tcPr>
          <w:p w14:paraId="375EB91A"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80,7 vs. 46,6</w:t>
            </w:r>
          </w:p>
        </w:tc>
      </w:tr>
      <w:tr w:rsidR="00C91F25" w:rsidRPr="00263DB9" w14:paraId="375EB923" w14:textId="77777777" w:rsidTr="00112A85">
        <w:trPr>
          <w:cantSplit/>
        </w:trPr>
        <w:tc>
          <w:tcPr>
            <w:tcW w:w="1101" w:type="dxa"/>
            <w:vMerge w:val="restart"/>
            <w:vAlign w:val="center"/>
          </w:tcPr>
          <w:p w14:paraId="375EB91C"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AFIP</w:t>
            </w:r>
          </w:p>
        </w:tc>
        <w:tc>
          <w:tcPr>
            <w:tcW w:w="1417" w:type="dxa"/>
            <w:tcBorders>
              <w:bottom w:val="nil"/>
              <w:right w:val="single" w:sz="4" w:space="0" w:color="auto"/>
            </w:tcBorders>
            <w:vAlign w:val="bottom"/>
          </w:tcPr>
          <w:p w14:paraId="375EB91D"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Muito baixo</w:t>
            </w:r>
          </w:p>
        </w:tc>
        <w:tc>
          <w:tcPr>
            <w:tcW w:w="986" w:type="dxa"/>
            <w:tcBorders>
              <w:left w:val="single" w:sz="4" w:space="0" w:color="auto"/>
              <w:bottom w:val="nil"/>
              <w:right w:val="single" w:sz="4" w:space="0" w:color="auto"/>
            </w:tcBorders>
            <w:vAlign w:val="bottom"/>
          </w:tcPr>
          <w:p w14:paraId="375EB91E" w14:textId="77777777" w:rsidR="00C91F25" w:rsidRPr="00263DB9" w:rsidRDefault="00C91F25" w:rsidP="008303F6">
            <w:pPr>
              <w:keepNext/>
              <w:keepLines/>
              <w:widowControl w:val="0"/>
              <w:tabs>
                <w:tab w:val="left" w:pos="567"/>
              </w:tabs>
              <w:spacing w:line="260" w:lineRule="exact"/>
              <w:jc w:val="center"/>
              <w:rPr>
                <w:color w:val="000000"/>
                <w:szCs w:val="22"/>
              </w:rPr>
            </w:pPr>
            <w:r w:rsidRPr="00263DB9">
              <w:rPr>
                <w:color w:val="000000"/>
                <w:szCs w:val="22"/>
              </w:rPr>
              <w:t>20,7</w:t>
            </w:r>
          </w:p>
        </w:tc>
        <w:tc>
          <w:tcPr>
            <w:tcW w:w="2083" w:type="dxa"/>
            <w:tcBorders>
              <w:left w:val="single" w:sz="4" w:space="0" w:color="auto"/>
              <w:bottom w:val="nil"/>
              <w:right w:val="single" w:sz="4" w:space="0" w:color="auto"/>
            </w:tcBorders>
            <w:vAlign w:val="bottom"/>
          </w:tcPr>
          <w:p w14:paraId="375EB91F"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0/52 vs. 2/63</w:t>
            </w:r>
          </w:p>
        </w:tc>
        <w:tc>
          <w:tcPr>
            <w:tcW w:w="1351" w:type="dxa"/>
            <w:tcBorders>
              <w:left w:val="single" w:sz="4" w:space="0" w:color="auto"/>
              <w:bottom w:val="nil"/>
              <w:right w:val="single" w:sz="4" w:space="0" w:color="auto"/>
            </w:tcBorders>
            <w:vAlign w:val="bottom"/>
          </w:tcPr>
          <w:p w14:paraId="375EB920" w14:textId="77777777" w:rsidR="00C91F25" w:rsidRPr="00263DB9" w:rsidRDefault="00C91F25" w:rsidP="008303F6">
            <w:pPr>
              <w:keepNext/>
              <w:keepLines/>
              <w:widowControl w:val="0"/>
              <w:tabs>
                <w:tab w:val="left" w:pos="567"/>
              </w:tabs>
              <w:spacing w:line="260" w:lineRule="exact"/>
              <w:jc w:val="center"/>
              <w:rPr>
                <w:color w:val="000000"/>
                <w:szCs w:val="22"/>
              </w:rPr>
            </w:pPr>
            <w:r w:rsidRPr="00263DB9">
              <w:rPr>
                <w:color w:val="000000"/>
                <w:szCs w:val="22"/>
              </w:rPr>
              <w:t>N.E.</w:t>
            </w:r>
          </w:p>
        </w:tc>
        <w:tc>
          <w:tcPr>
            <w:tcW w:w="1440" w:type="dxa"/>
            <w:tcBorders>
              <w:left w:val="single" w:sz="4" w:space="0" w:color="auto"/>
              <w:bottom w:val="nil"/>
              <w:right w:val="single" w:sz="4" w:space="0" w:color="auto"/>
            </w:tcBorders>
            <w:vAlign w:val="bottom"/>
          </w:tcPr>
          <w:p w14:paraId="375EB921"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100 vs. 98,1</w:t>
            </w:r>
          </w:p>
        </w:tc>
        <w:tc>
          <w:tcPr>
            <w:tcW w:w="1360" w:type="dxa"/>
            <w:tcBorders>
              <w:left w:val="single" w:sz="4" w:space="0" w:color="auto"/>
              <w:bottom w:val="nil"/>
            </w:tcBorders>
            <w:vAlign w:val="bottom"/>
          </w:tcPr>
          <w:p w14:paraId="375EB922"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100 vs. 93,0</w:t>
            </w:r>
          </w:p>
        </w:tc>
      </w:tr>
      <w:tr w:rsidR="00C91F25" w:rsidRPr="00263DB9" w14:paraId="375EB92B" w14:textId="77777777" w:rsidTr="00112A85">
        <w:trPr>
          <w:cantSplit/>
        </w:trPr>
        <w:tc>
          <w:tcPr>
            <w:tcW w:w="1101" w:type="dxa"/>
            <w:vMerge/>
          </w:tcPr>
          <w:p w14:paraId="375EB924" w14:textId="77777777" w:rsidR="00C91F25" w:rsidRPr="00263DB9" w:rsidRDefault="00C91F25" w:rsidP="008303F6">
            <w:pPr>
              <w:keepNext/>
              <w:keepLines/>
              <w:widowControl w:val="0"/>
              <w:tabs>
                <w:tab w:val="left" w:pos="567"/>
              </w:tabs>
              <w:spacing w:line="260" w:lineRule="exact"/>
              <w:rPr>
                <w:color w:val="000000"/>
                <w:szCs w:val="22"/>
              </w:rPr>
            </w:pPr>
          </w:p>
        </w:tc>
        <w:tc>
          <w:tcPr>
            <w:tcW w:w="1417" w:type="dxa"/>
            <w:tcBorders>
              <w:top w:val="nil"/>
              <w:bottom w:val="nil"/>
              <w:right w:val="single" w:sz="4" w:space="0" w:color="auto"/>
            </w:tcBorders>
            <w:vAlign w:val="bottom"/>
          </w:tcPr>
          <w:p w14:paraId="375EB925"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Baixo</w:t>
            </w:r>
          </w:p>
        </w:tc>
        <w:tc>
          <w:tcPr>
            <w:tcW w:w="986" w:type="dxa"/>
            <w:tcBorders>
              <w:top w:val="nil"/>
              <w:left w:val="single" w:sz="4" w:space="0" w:color="auto"/>
              <w:bottom w:val="nil"/>
              <w:right w:val="single" w:sz="4" w:space="0" w:color="auto"/>
            </w:tcBorders>
            <w:vAlign w:val="bottom"/>
          </w:tcPr>
          <w:p w14:paraId="375EB926" w14:textId="77777777" w:rsidR="00C91F25" w:rsidRPr="00263DB9" w:rsidRDefault="00C91F25" w:rsidP="008303F6">
            <w:pPr>
              <w:keepNext/>
              <w:keepLines/>
              <w:widowControl w:val="0"/>
              <w:tabs>
                <w:tab w:val="left" w:pos="567"/>
              </w:tabs>
              <w:spacing w:line="260" w:lineRule="exact"/>
              <w:jc w:val="center"/>
              <w:rPr>
                <w:color w:val="000000"/>
                <w:szCs w:val="22"/>
              </w:rPr>
            </w:pPr>
            <w:r w:rsidRPr="00263DB9">
              <w:rPr>
                <w:color w:val="000000"/>
                <w:szCs w:val="22"/>
              </w:rPr>
              <w:t>25,0</w:t>
            </w:r>
          </w:p>
        </w:tc>
        <w:tc>
          <w:tcPr>
            <w:tcW w:w="2083" w:type="dxa"/>
            <w:tcBorders>
              <w:top w:val="nil"/>
              <w:left w:val="single" w:sz="4" w:space="0" w:color="auto"/>
              <w:bottom w:val="nil"/>
              <w:right w:val="single" w:sz="4" w:space="0" w:color="auto"/>
            </w:tcBorders>
            <w:vAlign w:val="bottom"/>
          </w:tcPr>
          <w:p w14:paraId="375EB927"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2/70 vs. 0/69</w:t>
            </w:r>
          </w:p>
        </w:tc>
        <w:tc>
          <w:tcPr>
            <w:tcW w:w="1351" w:type="dxa"/>
            <w:tcBorders>
              <w:top w:val="nil"/>
              <w:left w:val="single" w:sz="4" w:space="0" w:color="auto"/>
              <w:bottom w:val="nil"/>
              <w:right w:val="single" w:sz="4" w:space="0" w:color="auto"/>
            </w:tcBorders>
            <w:vAlign w:val="bottom"/>
          </w:tcPr>
          <w:p w14:paraId="375EB928" w14:textId="77777777" w:rsidR="00C91F25" w:rsidRPr="00263DB9" w:rsidRDefault="00C91F25" w:rsidP="008303F6">
            <w:pPr>
              <w:keepNext/>
              <w:keepLines/>
              <w:widowControl w:val="0"/>
              <w:tabs>
                <w:tab w:val="left" w:pos="567"/>
              </w:tabs>
              <w:spacing w:line="260" w:lineRule="exact"/>
              <w:jc w:val="center"/>
              <w:rPr>
                <w:color w:val="000000"/>
                <w:szCs w:val="22"/>
              </w:rPr>
            </w:pPr>
            <w:r w:rsidRPr="00263DB9">
              <w:rPr>
                <w:color w:val="000000"/>
                <w:szCs w:val="22"/>
              </w:rPr>
              <w:t>N.E.</w:t>
            </w:r>
          </w:p>
        </w:tc>
        <w:tc>
          <w:tcPr>
            <w:tcW w:w="1440" w:type="dxa"/>
            <w:tcBorders>
              <w:top w:val="nil"/>
              <w:left w:val="single" w:sz="4" w:space="0" w:color="auto"/>
              <w:bottom w:val="nil"/>
              <w:right w:val="single" w:sz="4" w:space="0" w:color="auto"/>
            </w:tcBorders>
            <w:vAlign w:val="bottom"/>
          </w:tcPr>
          <w:p w14:paraId="375EB929"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100 vs. 100</w:t>
            </w:r>
          </w:p>
        </w:tc>
        <w:tc>
          <w:tcPr>
            <w:tcW w:w="1360" w:type="dxa"/>
            <w:tcBorders>
              <w:top w:val="nil"/>
              <w:left w:val="single" w:sz="4" w:space="0" w:color="auto"/>
              <w:bottom w:val="nil"/>
            </w:tcBorders>
            <w:vAlign w:val="bottom"/>
          </w:tcPr>
          <w:p w14:paraId="375EB92A"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97,8 vs. 100</w:t>
            </w:r>
          </w:p>
        </w:tc>
      </w:tr>
      <w:tr w:rsidR="00C91F25" w:rsidRPr="00263DB9" w14:paraId="375EB934" w14:textId="77777777" w:rsidTr="00112A85">
        <w:trPr>
          <w:cantSplit/>
        </w:trPr>
        <w:tc>
          <w:tcPr>
            <w:tcW w:w="1101" w:type="dxa"/>
            <w:vMerge/>
          </w:tcPr>
          <w:p w14:paraId="375EB92C" w14:textId="77777777" w:rsidR="00C91F25" w:rsidRPr="00263DB9" w:rsidRDefault="00C91F25" w:rsidP="008303F6">
            <w:pPr>
              <w:keepNext/>
              <w:keepLines/>
              <w:widowControl w:val="0"/>
              <w:tabs>
                <w:tab w:val="left" w:pos="567"/>
              </w:tabs>
              <w:spacing w:line="260" w:lineRule="exact"/>
              <w:rPr>
                <w:b/>
                <w:color w:val="000000"/>
                <w:szCs w:val="22"/>
              </w:rPr>
            </w:pPr>
          </w:p>
        </w:tc>
        <w:tc>
          <w:tcPr>
            <w:tcW w:w="1417" w:type="dxa"/>
            <w:tcBorders>
              <w:top w:val="nil"/>
              <w:bottom w:val="nil"/>
              <w:right w:val="single" w:sz="4" w:space="0" w:color="auto"/>
            </w:tcBorders>
            <w:vAlign w:val="bottom"/>
          </w:tcPr>
          <w:p w14:paraId="375EB92D"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Moderado</w:t>
            </w:r>
          </w:p>
        </w:tc>
        <w:tc>
          <w:tcPr>
            <w:tcW w:w="986" w:type="dxa"/>
            <w:tcBorders>
              <w:top w:val="nil"/>
              <w:left w:val="single" w:sz="4" w:space="0" w:color="auto"/>
              <w:bottom w:val="nil"/>
              <w:right w:val="single" w:sz="4" w:space="0" w:color="auto"/>
            </w:tcBorders>
            <w:vAlign w:val="bottom"/>
          </w:tcPr>
          <w:p w14:paraId="375EB92E" w14:textId="77777777" w:rsidR="00C91F25" w:rsidRPr="00263DB9" w:rsidRDefault="00C91F25" w:rsidP="008303F6">
            <w:pPr>
              <w:keepNext/>
              <w:keepLines/>
              <w:widowControl w:val="0"/>
              <w:tabs>
                <w:tab w:val="left" w:pos="567"/>
              </w:tabs>
              <w:spacing w:line="260" w:lineRule="exact"/>
              <w:jc w:val="center"/>
              <w:rPr>
                <w:color w:val="000000"/>
                <w:szCs w:val="22"/>
              </w:rPr>
            </w:pPr>
            <w:r w:rsidRPr="00263DB9">
              <w:rPr>
                <w:color w:val="000000"/>
                <w:szCs w:val="22"/>
              </w:rPr>
              <w:t>24,6</w:t>
            </w:r>
          </w:p>
        </w:tc>
        <w:tc>
          <w:tcPr>
            <w:tcW w:w="2083" w:type="dxa"/>
            <w:tcBorders>
              <w:top w:val="nil"/>
              <w:left w:val="single" w:sz="4" w:space="0" w:color="auto"/>
              <w:bottom w:val="nil"/>
              <w:right w:val="single" w:sz="4" w:space="0" w:color="auto"/>
            </w:tcBorders>
            <w:vAlign w:val="bottom"/>
          </w:tcPr>
          <w:p w14:paraId="375EB92F"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2/70 vs. 11/67</w:t>
            </w:r>
          </w:p>
        </w:tc>
        <w:tc>
          <w:tcPr>
            <w:tcW w:w="1351" w:type="dxa"/>
            <w:tcBorders>
              <w:top w:val="nil"/>
              <w:left w:val="single" w:sz="4" w:space="0" w:color="auto"/>
              <w:bottom w:val="nil"/>
              <w:right w:val="single" w:sz="4" w:space="0" w:color="auto"/>
            </w:tcBorders>
            <w:vAlign w:val="bottom"/>
          </w:tcPr>
          <w:p w14:paraId="375EB930" w14:textId="77777777" w:rsidR="00C91F25" w:rsidRPr="00263DB9" w:rsidRDefault="00C91F25" w:rsidP="008303F6">
            <w:pPr>
              <w:keepNext/>
              <w:keepLines/>
              <w:widowControl w:val="0"/>
              <w:tabs>
                <w:tab w:val="left" w:pos="567"/>
              </w:tabs>
              <w:spacing w:line="260" w:lineRule="exact"/>
              <w:jc w:val="center"/>
              <w:rPr>
                <w:color w:val="000000"/>
                <w:szCs w:val="22"/>
              </w:rPr>
            </w:pPr>
            <w:r w:rsidRPr="00263DB9">
              <w:rPr>
                <w:color w:val="000000"/>
                <w:szCs w:val="22"/>
              </w:rPr>
              <w:t>0,16</w:t>
            </w:r>
          </w:p>
          <w:p w14:paraId="375EB931" w14:textId="77777777" w:rsidR="00C91F25" w:rsidRPr="00263DB9" w:rsidRDefault="00C91F25" w:rsidP="008303F6">
            <w:pPr>
              <w:keepNext/>
              <w:keepLines/>
              <w:widowControl w:val="0"/>
              <w:tabs>
                <w:tab w:val="left" w:pos="567"/>
              </w:tabs>
              <w:spacing w:line="260" w:lineRule="exact"/>
              <w:jc w:val="center"/>
              <w:rPr>
                <w:color w:val="000000"/>
                <w:szCs w:val="22"/>
              </w:rPr>
            </w:pPr>
            <w:r w:rsidRPr="00263DB9">
              <w:rPr>
                <w:color w:val="000000"/>
                <w:szCs w:val="22"/>
              </w:rPr>
              <w:t>(0,03; 0,70)</w:t>
            </w:r>
          </w:p>
        </w:tc>
        <w:tc>
          <w:tcPr>
            <w:tcW w:w="1440" w:type="dxa"/>
            <w:tcBorders>
              <w:top w:val="nil"/>
              <w:left w:val="single" w:sz="4" w:space="0" w:color="auto"/>
              <w:bottom w:val="nil"/>
              <w:right w:val="single" w:sz="4" w:space="0" w:color="auto"/>
            </w:tcBorders>
            <w:vAlign w:val="bottom"/>
          </w:tcPr>
          <w:p w14:paraId="375EB932"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97,9 vs. 90,8</w:t>
            </w:r>
          </w:p>
        </w:tc>
        <w:tc>
          <w:tcPr>
            <w:tcW w:w="1360" w:type="dxa"/>
            <w:tcBorders>
              <w:top w:val="nil"/>
              <w:left w:val="single" w:sz="4" w:space="0" w:color="auto"/>
              <w:bottom w:val="nil"/>
            </w:tcBorders>
            <w:vAlign w:val="bottom"/>
          </w:tcPr>
          <w:p w14:paraId="375EB933"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97,9 vs. 73,3</w:t>
            </w:r>
          </w:p>
        </w:tc>
      </w:tr>
      <w:tr w:rsidR="00C91F25" w:rsidRPr="00263DB9" w14:paraId="375EB93D" w14:textId="77777777" w:rsidTr="00112A85">
        <w:trPr>
          <w:cantSplit/>
        </w:trPr>
        <w:tc>
          <w:tcPr>
            <w:tcW w:w="1101" w:type="dxa"/>
            <w:vMerge/>
            <w:tcBorders>
              <w:bottom w:val="single" w:sz="4" w:space="0" w:color="auto"/>
            </w:tcBorders>
          </w:tcPr>
          <w:p w14:paraId="375EB935" w14:textId="77777777" w:rsidR="00C91F25" w:rsidRPr="00263DB9" w:rsidRDefault="00C91F25" w:rsidP="008303F6">
            <w:pPr>
              <w:keepNext/>
              <w:keepLines/>
              <w:widowControl w:val="0"/>
              <w:tabs>
                <w:tab w:val="left" w:pos="567"/>
              </w:tabs>
              <w:spacing w:line="260" w:lineRule="exact"/>
              <w:rPr>
                <w:color w:val="000000"/>
                <w:szCs w:val="22"/>
              </w:rPr>
            </w:pPr>
          </w:p>
        </w:tc>
        <w:tc>
          <w:tcPr>
            <w:tcW w:w="1417" w:type="dxa"/>
            <w:tcBorders>
              <w:top w:val="nil"/>
              <w:bottom w:val="single" w:sz="4" w:space="0" w:color="auto"/>
              <w:right w:val="single" w:sz="4" w:space="0" w:color="auto"/>
            </w:tcBorders>
            <w:vAlign w:val="bottom"/>
          </w:tcPr>
          <w:p w14:paraId="375EB936"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Alto</w:t>
            </w:r>
          </w:p>
        </w:tc>
        <w:tc>
          <w:tcPr>
            <w:tcW w:w="986" w:type="dxa"/>
            <w:tcBorders>
              <w:top w:val="nil"/>
              <w:left w:val="single" w:sz="4" w:space="0" w:color="auto"/>
              <w:bottom w:val="single" w:sz="4" w:space="0" w:color="auto"/>
              <w:right w:val="single" w:sz="4" w:space="0" w:color="auto"/>
            </w:tcBorders>
            <w:vAlign w:val="bottom"/>
          </w:tcPr>
          <w:p w14:paraId="375EB937" w14:textId="77777777" w:rsidR="00C91F25" w:rsidRPr="00263DB9" w:rsidRDefault="00C91F25" w:rsidP="008303F6">
            <w:pPr>
              <w:keepNext/>
              <w:keepLines/>
              <w:widowControl w:val="0"/>
              <w:tabs>
                <w:tab w:val="left" w:pos="567"/>
              </w:tabs>
              <w:spacing w:line="260" w:lineRule="exact"/>
              <w:ind w:right="-3"/>
              <w:jc w:val="center"/>
              <w:rPr>
                <w:color w:val="000000"/>
                <w:szCs w:val="22"/>
              </w:rPr>
            </w:pPr>
            <w:r w:rsidRPr="00263DB9">
              <w:rPr>
                <w:color w:val="000000"/>
                <w:szCs w:val="22"/>
              </w:rPr>
              <w:t>29,7</w:t>
            </w:r>
          </w:p>
        </w:tc>
        <w:tc>
          <w:tcPr>
            <w:tcW w:w="2083" w:type="dxa"/>
            <w:tcBorders>
              <w:top w:val="nil"/>
              <w:left w:val="single" w:sz="4" w:space="0" w:color="auto"/>
              <w:bottom w:val="single" w:sz="4" w:space="0" w:color="auto"/>
              <w:right w:val="single" w:sz="4" w:space="0" w:color="auto"/>
            </w:tcBorders>
            <w:vAlign w:val="bottom"/>
          </w:tcPr>
          <w:p w14:paraId="375EB938"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16/84 vs. 39/81</w:t>
            </w:r>
          </w:p>
        </w:tc>
        <w:tc>
          <w:tcPr>
            <w:tcW w:w="1351" w:type="dxa"/>
            <w:tcBorders>
              <w:top w:val="nil"/>
              <w:left w:val="single" w:sz="4" w:space="0" w:color="auto"/>
              <w:bottom w:val="single" w:sz="4" w:space="0" w:color="auto"/>
              <w:right w:val="single" w:sz="4" w:space="0" w:color="auto"/>
            </w:tcBorders>
            <w:vAlign w:val="bottom"/>
          </w:tcPr>
          <w:p w14:paraId="375EB939" w14:textId="77777777" w:rsidR="00C91F25" w:rsidRPr="00263DB9" w:rsidRDefault="00C91F25" w:rsidP="008303F6">
            <w:pPr>
              <w:keepNext/>
              <w:keepLines/>
              <w:widowControl w:val="0"/>
              <w:tabs>
                <w:tab w:val="left" w:pos="567"/>
              </w:tabs>
              <w:spacing w:line="260" w:lineRule="exact"/>
              <w:jc w:val="center"/>
              <w:rPr>
                <w:color w:val="000000"/>
                <w:szCs w:val="22"/>
              </w:rPr>
            </w:pPr>
            <w:r w:rsidRPr="00263DB9">
              <w:rPr>
                <w:color w:val="000000"/>
                <w:szCs w:val="22"/>
              </w:rPr>
              <w:t>0,27</w:t>
            </w:r>
          </w:p>
          <w:p w14:paraId="375EB93A" w14:textId="77777777" w:rsidR="00C91F25" w:rsidRPr="00263DB9" w:rsidRDefault="00C91F25" w:rsidP="008303F6">
            <w:pPr>
              <w:keepNext/>
              <w:keepLines/>
              <w:widowControl w:val="0"/>
              <w:tabs>
                <w:tab w:val="left" w:pos="567"/>
              </w:tabs>
              <w:spacing w:line="260" w:lineRule="exact"/>
              <w:jc w:val="center"/>
              <w:rPr>
                <w:color w:val="000000"/>
                <w:szCs w:val="22"/>
              </w:rPr>
            </w:pPr>
            <w:r w:rsidRPr="00263DB9">
              <w:rPr>
                <w:color w:val="000000"/>
                <w:szCs w:val="22"/>
              </w:rPr>
              <w:t>(0,15; 0,48)</w:t>
            </w:r>
          </w:p>
        </w:tc>
        <w:tc>
          <w:tcPr>
            <w:tcW w:w="1440" w:type="dxa"/>
            <w:tcBorders>
              <w:top w:val="nil"/>
              <w:left w:val="single" w:sz="4" w:space="0" w:color="auto"/>
              <w:bottom w:val="single" w:sz="4" w:space="0" w:color="auto"/>
              <w:right w:val="single" w:sz="4" w:space="0" w:color="auto"/>
            </w:tcBorders>
            <w:vAlign w:val="bottom"/>
          </w:tcPr>
          <w:p w14:paraId="375EB93B"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98,7 vs. 56,1</w:t>
            </w:r>
          </w:p>
        </w:tc>
        <w:tc>
          <w:tcPr>
            <w:tcW w:w="1360" w:type="dxa"/>
            <w:tcBorders>
              <w:top w:val="nil"/>
              <w:left w:val="single" w:sz="4" w:space="0" w:color="auto"/>
              <w:bottom w:val="single" w:sz="4" w:space="0" w:color="auto"/>
            </w:tcBorders>
            <w:vAlign w:val="bottom"/>
          </w:tcPr>
          <w:p w14:paraId="375EB93C" w14:textId="77777777" w:rsidR="00C91F25" w:rsidRPr="00263DB9" w:rsidRDefault="00C91F25" w:rsidP="008303F6">
            <w:pPr>
              <w:keepNext/>
              <w:keepLines/>
              <w:widowControl w:val="0"/>
              <w:tabs>
                <w:tab w:val="left" w:pos="567"/>
              </w:tabs>
              <w:spacing w:line="260" w:lineRule="exact"/>
              <w:rPr>
                <w:color w:val="000000"/>
                <w:szCs w:val="22"/>
              </w:rPr>
            </w:pPr>
            <w:r w:rsidRPr="00263DB9">
              <w:rPr>
                <w:color w:val="000000"/>
                <w:szCs w:val="22"/>
              </w:rPr>
              <w:t>79,9 vs. 41,5</w:t>
            </w:r>
          </w:p>
        </w:tc>
      </w:tr>
    </w:tbl>
    <w:p w14:paraId="375EB93E" w14:textId="77777777" w:rsidR="00C91F25" w:rsidRPr="00263DB9" w:rsidRDefault="00C91F25" w:rsidP="008303F6">
      <w:pPr>
        <w:pStyle w:val="Text"/>
        <w:keepNext/>
        <w:keepLines/>
        <w:widowControl w:val="0"/>
        <w:spacing w:before="0"/>
        <w:rPr>
          <w:color w:val="000000"/>
          <w:sz w:val="22"/>
          <w:szCs w:val="22"/>
          <w:lang w:val="pt-PT"/>
        </w:rPr>
      </w:pPr>
      <w:r w:rsidRPr="00263DB9">
        <w:rPr>
          <w:color w:val="000000"/>
          <w:sz w:val="22"/>
          <w:szCs w:val="22"/>
          <w:lang w:val="pt-PT"/>
        </w:rPr>
        <w:t>* Período total de acompanhamento; NE – Não estimável</w:t>
      </w:r>
    </w:p>
    <w:p w14:paraId="375EB93F" w14:textId="77777777" w:rsidR="00C91F25" w:rsidRPr="00263DB9" w:rsidRDefault="00C91F25" w:rsidP="00E51817">
      <w:pPr>
        <w:widowControl w:val="0"/>
        <w:rPr>
          <w:rFonts w:eastAsia="MS Mincho"/>
          <w:szCs w:val="22"/>
          <w:lang w:val="es-ES" w:eastAsia="ja-JP"/>
        </w:rPr>
      </w:pPr>
    </w:p>
    <w:p w14:paraId="375EB940" w14:textId="093CD0E9" w:rsidR="00C91F25" w:rsidRPr="00263DB9" w:rsidRDefault="00C91F25" w:rsidP="00E51817">
      <w:pPr>
        <w:widowControl w:val="0"/>
        <w:rPr>
          <w:rFonts w:eastAsia="MS Mincho"/>
          <w:szCs w:val="22"/>
          <w:lang w:eastAsia="ja-JP"/>
        </w:rPr>
      </w:pPr>
      <w:r w:rsidRPr="00263DB9">
        <w:rPr>
          <w:rFonts w:eastAsia="MS Mincho"/>
          <w:szCs w:val="22"/>
          <w:lang w:eastAsia="ja-JP"/>
        </w:rPr>
        <w:t xml:space="preserve">Um segundo estudo de fase III, multicêntrico, aberto (SSG XVIII/AIO) comparou 400 mg/dia de Glivec durante 12 meses de tratamento vs. 36 meses de tratamento em doentes submetidos a ressecção cirúrgica do GIST e um dos seguintes: diâmetro do tumor &gt; 5 cm e contagem mitótica &gt; 5/50 campos de alta potência (HPF); ou diâmetro do tumor &gt; 10 cm e qualquer contagem mitótica ou tumor de qualquer dimensão com contagem mitótica &gt; 10/50 HPF ou tumores com rutura para a cavidade peritoneal. Num total de 397 doentes com consentimento e aleatorizados para o estudo (199 doentes no grupo dos 12-meses e 198 doentes no grupo dos 36-meses), a idade mediana foi 61 anos (intervalo entre 22 e 84 anos). O tempo mediano de acompanhamento foi 54 meses (desde a data de aleatorização até ao </w:t>
      </w:r>
      <w:r w:rsidR="001C5365" w:rsidRPr="00406041">
        <w:rPr>
          <w:rFonts w:eastAsia="MS Mincho"/>
          <w:i/>
          <w:szCs w:val="22"/>
          <w:lang w:eastAsia="ja-JP"/>
        </w:rPr>
        <w:t>cut-off</w:t>
      </w:r>
      <w:r w:rsidR="001C5365">
        <w:rPr>
          <w:rFonts w:eastAsia="MS Mincho"/>
          <w:szCs w:val="22"/>
          <w:lang w:eastAsia="ja-JP"/>
        </w:rPr>
        <w:t xml:space="preserve"> dos dados</w:t>
      </w:r>
      <w:r w:rsidRPr="00263DB9">
        <w:rPr>
          <w:rFonts w:eastAsia="MS Mincho"/>
          <w:szCs w:val="22"/>
          <w:lang w:eastAsia="ja-JP"/>
        </w:rPr>
        <w:t>), com um total de 83 meses entre o primeiro doente aleatorizado e a data final do estudo.</w:t>
      </w:r>
    </w:p>
    <w:p w14:paraId="375EB941" w14:textId="77777777" w:rsidR="00C91F25" w:rsidRPr="00263DB9" w:rsidRDefault="00C91F25" w:rsidP="00E51817">
      <w:pPr>
        <w:widowControl w:val="0"/>
        <w:rPr>
          <w:rFonts w:eastAsia="MS Mincho"/>
          <w:iCs/>
          <w:szCs w:val="22"/>
          <w:lang w:eastAsia="ja-JP"/>
        </w:rPr>
      </w:pPr>
    </w:p>
    <w:p w14:paraId="375EB942" w14:textId="77777777" w:rsidR="00C91F25" w:rsidRPr="00263DB9" w:rsidRDefault="00C91F25" w:rsidP="00E51817">
      <w:pPr>
        <w:widowControl w:val="0"/>
        <w:rPr>
          <w:rFonts w:eastAsia="MS Mincho"/>
          <w:szCs w:val="22"/>
          <w:lang w:eastAsia="ja-JP"/>
        </w:rPr>
      </w:pPr>
      <w:r w:rsidRPr="00263DB9">
        <w:rPr>
          <w:rFonts w:eastAsia="MS Mincho"/>
          <w:szCs w:val="22"/>
          <w:lang w:eastAsia="ja-JP"/>
        </w:rPr>
        <w:t xml:space="preserve">O </w:t>
      </w:r>
      <w:r w:rsidRPr="00263DB9">
        <w:rPr>
          <w:rFonts w:eastAsia="MS Mincho"/>
          <w:iCs/>
          <w:szCs w:val="22"/>
          <w:lang w:eastAsia="ja-JP"/>
        </w:rPr>
        <w:t>objetivo</w:t>
      </w:r>
      <w:r w:rsidRPr="00263DB9">
        <w:rPr>
          <w:rFonts w:eastAsia="MS Mincho"/>
          <w:szCs w:val="22"/>
          <w:lang w:eastAsia="ja-JP"/>
        </w:rPr>
        <w:t xml:space="preserve"> primário do estudo foi sobrevivência livre de recidiva (RFS), definida como o tempo desde a data de aleatorização até à data de recorrência ou morte por qualquer causa.</w:t>
      </w:r>
    </w:p>
    <w:p w14:paraId="375EB943" w14:textId="77777777" w:rsidR="00C91F25" w:rsidRPr="00263DB9" w:rsidRDefault="00C91F25" w:rsidP="00E51817">
      <w:pPr>
        <w:widowControl w:val="0"/>
        <w:rPr>
          <w:rFonts w:eastAsia="MS Mincho"/>
          <w:iCs/>
          <w:color w:val="000000"/>
          <w:szCs w:val="22"/>
          <w:lang w:eastAsia="ja-JP"/>
        </w:rPr>
      </w:pPr>
    </w:p>
    <w:p w14:paraId="375EB944" w14:textId="77777777" w:rsidR="00C91F25" w:rsidRPr="00263DB9" w:rsidRDefault="00C91F25" w:rsidP="00E51817">
      <w:pPr>
        <w:widowControl w:val="0"/>
        <w:rPr>
          <w:rFonts w:eastAsia="MS Mincho"/>
          <w:iCs/>
          <w:color w:val="000000"/>
          <w:szCs w:val="22"/>
          <w:lang w:eastAsia="ja-JP"/>
        </w:rPr>
      </w:pPr>
      <w:r w:rsidRPr="00263DB9">
        <w:rPr>
          <w:rFonts w:eastAsia="MS Mincho"/>
          <w:iCs/>
          <w:color w:val="000000"/>
          <w:szCs w:val="22"/>
          <w:lang w:eastAsia="ja-JP"/>
        </w:rPr>
        <w:t>Trinta e seis (36) meses de tratamento com Glivec, prolongaram significativamente a RFS em comparação com 12 meses de tratamento com Glivec</w:t>
      </w:r>
      <w:r w:rsidRPr="00263DB9">
        <w:rPr>
          <w:rFonts w:eastAsia="MS Mincho"/>
          <w:iCs/>
          <w:szCs w:val="22"/>
          <w:lang w:eastAsia="ja-JP"/>
        </w:rPr>
        <w:t xml:space="preserve"> </w:t>
      </w:r>
      <w:r w:rsidRPr="00263DB9">
        <w:rPr>
          <w:rFonts w:eastAsia="MS Mincho"/>
          <w:iCs/>
          <w:color w:val="000000"/>
          <w:szCs w:val="22"/>
          <w:lang w:eastAsia="ja-JP"/>
        </w:rPr>
        <w:t>(com taxa de risco global = 0,46 [0,32; 0,65], p&lt;0,0001) (Tabela</w:t>
      </w:r>
      <w:r w:rsidRPr="00263DB9">
        <w:rPr>
          <w:rFonts w:eastAsia="MS Mincho"/>
          <w:color w:val="000000"/>
          <w:szCs w:val="22"/>
          <w:lang w:eastAsia="ja-JP"/>
        </w:rPr>
        <w:t> </w:t>
      </w:r>
      <w:r w:rsidR="00445D6F" w:rsidRPr="00263DB9">
        <w:rPr>
          <w:rFonts w:eastAsia="MS Mincho"/>
          <w:iCs/>
          <w:color w:val="000000"/>
          <w:szCs w:val="22"/>
          <w:lang w:eastAsia="ja-JP"/>
        </w:rPr>
        <w:t>8</w:t>
      </w:r>
      <w:r w:rsidRPr="00263DB9">
        <w:rPr>
          <w:rFonts w:eastAsia="MS Mincho"/>
          <w:iCs/>
          <w:color w:val="000000"/>
          <w:szCs w:val="22"/>
          <w:lang w:eastAsia="ja-JP"/>
        </w:rPr>
        <w:t xml:space="preserve">, </w:t>
      </w:r>
      <w:r w:rsidRPr="00263DB9">
        <w:rPr>
          <w:rFonts w:eastAsia="MS Mincho"/>
        </w:rPr>
        <w:t>Figura 1</w:t>
      </w:r>
      <w:r w:rsidRPr="00263DB9">
        <w:rPr>
          <w:rFonts w:eastAsia="MS Mincho"/>
          <w:iCs/>
          <w:color w:val="000000"/>
          <w:szCs w:val="22"/>
          <w:lang w:eastAsia="ja-JP"/>
        </w:rPr>
        <w:t>).</w:t>
      </w:r>
    </w:p>
    <w:p w14:paraId="375EB945" w14:textId="77777777" w:rsidR="00C91F25" w:rsidRPr="00263DB9" w:rsidRDefault="00C91F25" w:rsidP="00E51817">
      <w:pPr>
        <w:widowControl w:val="0"/>
        <w:rPr>
          <w:rFonts w:eastAsia="MS Mincho"/>
          <w:iCs/>
          <w:color w:val="000000"/>
          <w:szCs w:val="22"/>
          <w:lang w:eastAsia="ja-JP"/>
        </w:rPr>
      </w:pPr>
    </w:p>
    <w:p w14:paraId="375EB946" w14:textId="77777777" w:rsidR="00C91F25" w:rsidRPr="00263DB9" w:rsidRDefault="00C91F25" w:rsidP="00E51817">
      <w:pPr>
        <w:widowControl w:val="0"/>
        <w:rPr>
          <w:rFonts w:eastAsia="MS Mincho"/>
          <w:iCs/>
          <w:color w:val="000000"/>
          <w:szCs w:val="22"/>
          <w:lang w:eastAsia="ja-JP"/>
        </w:rPr>
      </w:pPr>
      <w:r w:rsidRPr="00263DB9">
        <w:rPr>
          <w:rFonts w:eastAsia="MS Mincho"/>
          <w:iCs/>
          <w:color w:val="000000"/>
          <w:szCs w:val="22"/>
          <w:lang w:eastAsia="ja-JP"/>
        </w:rPr>
        <w:t xml:space="preserve">Adicionalmente, trinta e seis (36) meses de tratamento com Glivec prolongaram significativamente </w:t>
      </w:r>
      <w:r w:rsidRPr="00263DB9">
        <w:rPr>
          <w:color w:val="000000"/>
          <w:szCs w:val="22"/>
        </w:rPr>
        <w:t>a sobrevivência global (OS)</w:t>
      </w:r>
      <w:r w:rsidRPr="00263DB9">
        <w:rPr>
          <w:rFonts w:eastAsia="MS Mincho"/>
          <w:iCs/>
          <w:color w:val="000000"/>
          <w:szCs w:val="22"/>
          <w:lang w:eastAsia="ja-JP"/>
        </w:rPr>
        <w:t xml:space="preserve"> em comparação com 12</w:t>
      </w:r>
      <w:r w:rsidRPr="00263DB9">
        <w:rPr>
          <w:rFonts w:eastAsia="MS Mincho"/>
          <w:color w:val="000000"/>
          <w:szCs w:val="22"/>
          <w:lang w:eastAsia="ja-JP"/>
        </w:rPr>
        <w:t> </w:t>
      </w:r>
      <w:r w:rsidRPr="00263DB9">
        <w:rPr>
          <w:rFonts w:eastAsia="MS Mincho"/>
          <w:iCs/>
          <w:color w:val="000000"/>
          <w:szCs w:val="22"/>
          <w:lang w:eastAsia="ja-JP"/>
        </w:rPr>
        <w:t>meses de tratamento com Glivec (taxa de risco = 0,45 [0,22, 0,89], p=0,0187) (Tabela</w:t>
      </w:r>
      <w:r w:rsidRPr="00263DB9">
        <w:rPr>
          <w:rFonts w:eastAsia="MS Mincho"/>
          <w:color w:val="000000"/>
          <w:szCs w:val="22"/>
          <w:lang w:eastAsia="ja-JP"/>
        </w:rPr>
        <w:t> </w:t>
      </w:r>
      <w:r w:rsidR="00445D6F" w:rsidRPr="00263DB9">
        <w:rPr>
          <w:rFonts w:eastAsia="MS Mincho"/>
          <w:iCs/>
          <w:color w:val="000000"/>
          <w:szCs w:val="22"/>
          <w:lang w:eastAsia="ja-JP"/>
        </w:rPr>
        <w:t>8</w:t>
      </w:r>
      <w:r w:rsidRPr="00263DB9">
        <w:rPr>
          <w:rFonts w:eastAsia="MS Mincho"/>
          <w:iCs/>
          <w:color w:val="000000"/>
          <w:szCs w:val="22"/>
          <w:lang w:eastAsia="ja-JP"/>
        </w:rPr>
        <w:t>, Figura 2).</w:t>
      </w:r>
    </w:p>
    <w:p w14:paraId="375EB947" w14:textId="77777777" w:rsidR="00C91F25" w:rsidRPr="00263DB9" w:rsidRDefault="00C91F25" w:rsidP="00E51817">
      <w:pPr>
        <w:widowControl w:val="0"/>
        <w:rPr>
          <w:rFonts w:eastAsia="MS Mincho"/>
          <w:iCs/>
          <w:color w:val="000000"/>
          <w:szCs w:val="22"/>
          <w:lang w:eastAsia="ja-JP"/>
        </w:rPr>
      </w:pPr>
    </w:p>
    <w:p w14:paraId="375EB948" w14:textId="77777777" w:rsidR="00C91F25" w:rsidRPr="00263DB9" w:rsidRDefault="00C91F25" w:rsidP="00E51817">
      <w:pPr>
        <w:widowControl w:val="0"/>
        <w:rPr>
          <w:rFonts w:eastAsia="MS Mincho"/>
          <w:iCs/>
          <w:color w:val="000000"/>
          <w:szCs w:val="22"/>
          <w:lang w:eastAsia="ja-JP"/>
        </w:rPr>
      </w:pPr>
      <w:r w:rsidRPr="00263DB9">
        <w:rPr>
          <w:rFonts w:eastAsia="MS Mincho"/>
          <w:iCs/>
          <w:color w:val="000000"/>
          <w:szCs w:val="22"/>
          <w:lang w:eastAsia="ja-JP"/>
        </w:rPr>
        <w:t>A maior duração de tratamento (&gt; 36 meses) pode atrasar o aparecimento de novas recorrências; no entanto, o impacto desta informação na sobrevivência global mantém-se desconhecido.</w:t>
      </w:r>
    </w:p>
    <w:p w14:paraId="375EB949" w14:textId="77777777" w:rsidR="00C91F25" w:rsidRPr="00263DB9" w:rsidRDefault="00C91F25" w:rsidP="00E51817">
      <w:pPr>
        <w:widowControl w:val="0"/>
        <w:rPr>
          <w:rFonts w:eastAsia="MS Mincho"/>
          <w:iCs/>
          <w:color w:val="000000"/>
          <w:szCs w:val="22"/>
          <w:lang w:eastAsia="ja-JP"/>
        </w:rPr>
      </w:pPr>
    </w:p>
    <w:p w14:paraId="375EB94A" w14:textId="77777777" w:rsidR="00C91F25" w:rsidRPr="00263DB9" w:rsidRDefault="00C91F25" w:rsidP="00E51817">
      <w:pPr>
        <w:widowControl w:val="0"/>
        <w:rPr>
          <w:rFonts w:eastAsia="MS Mincho"/>
          <w:iCs/>
          <w:color w:val="000000"/>
          <w:szCs w:val="22"/>
          <w:lang w:eastAsia="ja-JP"/>
        </w:rPr>
      </w:pPr>
      <w:r w:rsidRPr="00263DB9">
        <w:rPr>
          <w:rFonts w:eastAsia="MS Mincho"/>
          <w:iCs/>
          <w:color w:val="000000"/>
          <w:szCs w:val="22"/>
          <w:lang w:eastAsia="ja-JP"/>
        </w:rPr>
        <w:t>O número total de mortes foram 25 para o grupo de 12-meses de tratamento e 12 para o grupo de 36-meses de tratamento.</w:t>
      </w:r>
    </w:p>
    <w:p w14:paraId="375EB94B" w14:textId="77777777" w:rsidR="00C91F25" w:rsidRPr="00263DB9" w:rsidRDefault="00C91F25" w:rsidP="00E51817">
      <w:pPr>
        <w:widowControl w:val="0"/>
        <w:rPr>
          <w:rFonts w:eastAsia="MS Mincho"/>
          <w:iCs/>
          <w:szCs w:val="22"/>
          <w:lang w:eastAsia="ja-JP"/>
        </w:rPr>
      </w:pPr>
    </w:p>
    <w:p w14:paraId="375EB94C" w14:textId="77777777" w:rsidR="00C91F25" w:rsidRPr="00263DB9" w:rsidRDefault="00C91F25" w:rsidP="00E51817">
      <w:pPr>
        <w:widowControl w:val="0"/>
        <w:rPr>
          <w:rFonts w:eastAsia="MS Mincho"/>
          <w:iCs/>
          <w:szCs w:val="22"/>
          <w:lang w:eastAsia="ja-JP"/>
        </w:rPr>
      </w:pPr>
      <w:r w:rsidRPr="00263DB9">
        <w:rPr>
          <w:rFonts w:eastAsia="MS Mincho"/>
          <w:iCs/>
          <w:szCs w:val="22"/>
          <w:lang w:eastAsia="ja-JP"/>
        </w:rPr>
        <w:t>O tratamento com imatinib durante 36 mesesfoi superior ao tratamento durante 12 meses na análise ITT, isto é, incluindo a populaçãototal do estudo. Numa análise planeada de subgrupos por tipo de mutação, a taxa de risco para RFS para 36 meses de tratamento em doentes com mutações de exon 11 foi de 0,35 [95% IC; 0,22; 0,56]. Não podem ser extraídas conclusões para outros subgrupos de mutações menos frequentes devido ao número reduzido de acontecimentos observado.</w:t>
      </w:r>
    </w:p>
    <w:p w14:paraId="375EB94D" w14:textId="77777777" w:rsidR="00C91F25" w:rsidRPr="00263DB9" w:rsidRDefault="00C91F25" w:rsidP="00E51817">
      <w:pPr>
        <w:widowControl w:val="0"/>
        <w:rPr>
          <w:rFonts w:eastAsia="MS Mincho"/>
          <w:iCs/>
          <w:szCs w:val="22"/>
          <w:lang w:eastAsia="ja-JP"/>
        </w:rPr>
      </w:pPr>
    </w:p>
    <w:p w14:paraId="375EB94E" w14:textId="77777777" w:rsidR="00C91F25" w:rsidRPr="00263DB9" w:rsidRDefault="00C91F25" w:rsidP="008303F6">
      <w:pPr>
        <w:keepNext/>
        <w:keepLines/>
        <w:widowControl w:val="0"/>
        <w:ind w:left="1134" w:hanging="1134"/>
        <w:rPr>
          <w:rFonts w:eastAsia="MS Mincho"/>
          <w:b/>
          <w:szCs w:val="22"/>
          <w:lang w:eastAsia="ja-JP"/>
        </w:rPr>
      </w:pPr>
      <w:r w:rsidRPr="00263DB9">
        <w:rPr>
          <w:rFonts w:eastAsia="MS Mincho"/>
          <w:b/>
          <w:szCs w:val="22"/>
        </w:rPr>
        <w:lastRenderedPageBreak/>
        <w:t>Tabela </w:t>
      </w:r>
      <w:r w:rsidR="00445D6F" w:rsidRPr="00263DB9">
        <w:rPr>
          <w:rFonts w:eastAsia="MS Mincho"/>
          <w:b/>
          <w:szCs w:val="22"/>
        </w:rPr>
        <w:t>8</w:t>
      </w:r>
      <w:r w:rsidRPr="00263DB9">
        <w:rPr>
          <w:rFonts w:eastAsia="MS Mincho"/>
          <w:szCs w:val="22"/>
        </w:rPr>
        <w:tab/>
      </w:r>
      <w:r w:rsidRPr="00263DB9">
        <w:rPr>
          <w:rFonts w:eastAsia="MS Mincho"/>
          <w:b/>
          <w:szCs w:val="22"/>
          <w:lang w:eastAsia="ja-JP"/>
        </w:rPr>
        <w:t>Tratamento com Glivec 12-meses e 36-meses (Estudo SSGXVIII/AIO)</w:t>
      </w:r>
    </w:p>
    <w:p w14:paraId="375EB94F" w14:textId="77777777" w:rsidR="00C91F25" w:rsidRPr="00263DB9" w:rsidRDefault="00C91F25" w:rsidP="008303F6">
      <w:pPr>
        <w:keepNext/>
        <w:keepLines/>
        <w:widowControl w:val="0"/>
        <w:rPr>
          <w:rFonts w:eastAsia="MS Mincho"/>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C91F25" w:rsidRPr="00263DB9" w14:paraId="375EB953" w14:textId="77777777" w:rsidTr="008303F6">
        <w:trPr>
          <w:cantSplit/>
        </w:trPr>
        <w:tc>
          <w:tcPr>
            <w:tcW w:w="3099" w:type="dxa"/>
            <w:tcBorders>
              <w:top w:val="single" w:sz="4" w:space="0" w:color="auto"/>
              <w:bottom w:val="nil"/>
            </w:tcBorders>
          </w:tcPr>
          <w:p w14:paraId="375EB950" w14:textId="77777777" w:rsidR="00C91F25" w:rsidRPr="00263DB9" w:rsidRDefault="00C91F25" w:rsidP="008303F6">
            <w:pPr>
              <w:keepNext/>
              <w:keepLines/>
              <w:widowControl w:val="0"/>
              <w:tabs>
                <w:tab w:val="left" w:pos="284"/>
              </w:tabs>
              <w:rPr>
                <w:rFonts w:eastAsia="MS Mincho"/>
                <w:szCs w:val="22"/>
              </w:rPr>
            </w:pPr>
          </w:p>
        </w:tc>
        <w:tc>
          <w:tcPr>
            <w:tcW w:w="3100" w:type="dxa"/>
            <w:tcBorders>
              <w:top w:val="single" w:sz="4" w:space="0" w:color="auto"/>
              <w:bottom w:val="nil"/>
            </w:tcBorders>
          </w:tcPr>
          <w:p w14:paraId="375EB951" w14:textId="77777777" w:rsidR="00C91F25" w:rsidRPr="00263DB9" w:rsidRDefault="00C91F25" w:rsidP="008303F6">
            <w:pPr>
              <w:keepNext/>
              <w:keepLines/>
              <w:widowControl w:val="0"/>
              <w:tabs>
                <w:tab w:val="left" w:pos="284"/>
              </w:tabs>
              <w:rPr>
                <w:rFonts w:eastAsia="MS Mincho"/>
                <w:b/>
                <w:szCs w:val="22"/>
              </w:rPr>
            </w:pPr>
            <w:r w:rsidRPr="00263DB9">
              <w:rPr>
                <w:rFonts w:eastAsia="MS Mincho"/>
                <w:b/>
                <w:szCs w:val="22"/>
              </w:rPr>
              <w:t>Grupo de 12-meses de tratamento</w:t>
            </w:r>
          </w:p>
        </w:tc>
        <w:tc>
          <w:tcPr>
            <w:tcW w:w="3100" w:type="dxa"/>
            <w:tcBorders>
              <w:top w:val="single" w:sz="4" w:space="0" w:color="auto"/>
              <w:bottom w:val="nil"/>
            </w:tcBorders>
          </w:tcPr>
          <w:p w14:paraId="375EB952" w14:textId="77777777" w:rsidR="00C91F25" w:rsidRPr="00263DB9" w:rsidRDefault="00C91F25" w:rsidP="008303F6">
            <w:pPr>
              <w:keepNext/>
              <w:keepLines/>
              <w:widowControl w:val="0"/>
              <w:tabs>
                <w:tab w:val="left" w:pos="284"/>
              </w:tabs>
              <w:rPr>
                <w:rFonts w:eastAsia="MS Mincho"/>
                <w:b/>
                <w:szCs w:val="22"/>
              </w:rPr>
            </w:pPr>
            <w:r w:rsidRPr="00263DB9">
              <w:rPr>
                <w:rFonts w:eastAsia="MS Mincho"/>
                <w:b/>
                <w:szCs w:val="22"/>
              </w:rPr>
              <w:t>Grupo de 36-meses de tratamento</w:t>
            </w:r>
          </w:p>
        </w:tc>
      </w:tr>
      <w:tr w:rsidR="00C91F25" w:rsidRPr="00263DB9" w14:paraId="375EB957" w14:textId="77777777" w:rsidTr="008303F6">
        <w:trPr>
          <w:cantSplit/>
        </w:trPr>
        <w:tc>
          <w:tcPr>
            <w:tcW w:w="3099" w:type="dxa"/>
            <w:tcBorders>
              <w:top w:val="nil"/>
            </w:tcBorders>
          </w:tcPr>
          <w:p w14:paraId="375EB954" w14:textId="77777777" w:rsidR="00C91F25" w:rsidRPr="00263DB9" w:rsidRDefault="00C91F25" w:rsidP="008303F6">
            <w:pPr>
              <w:keepNext/>
              <w:keepLines/>
              <w:widowControl w:val="0"/>
              <w:tabs>
                <w:tab w:val="left" w:pos="284"/>
              </w:tabs>
              <w:rPr>
                <w:rFonts w:eastAsia="MS Mincho"/>
                <w:b/>
                <w:szCs w:val="22"/>
                <w:lang w:val="en-US"/>
              </w:rPr>
            </w:pPr>
            <w:r w:rsidRPr="00263DB9">
              <w:rPr>
                <w:rFonts w:eastAsia="MS Mincho"/>
                <w:b/>
                <w:szCs w:val="22"/>
                <w:lang w:val="en-US"/>
              </w:rPr>
              <w:t>RFS</w:t>
            </w:r>
          </w:p>
        </w:tc>
        <w:tc>
          <w:tcPr>
            <w:tcW w:w="3100" w:type="dxa"/>
            <w:tcBorders>
              <w:top w:val="nil"/>
            </w:tcBorders>
          </w:tcPr>
          <w:p w14:paraId="375EB955" w14:textId="77777777" w:rsidR="00C91F25" w:rsidRPr="00263DB9" w:rsidRDefault="00C91F25" w:rsidP="008303F6">
            <w:pPr>
              <w:keepNext/>
              <w:keepLines/>
              <w:widowControl w:val="0"/>
              <w:tabs>
                <w:tab w:val="left" w:pos="284"/>
              </w:tabs>
              <w:rPr>
                <w:rFonts w:eastAsia="MS Mincho"/>
                <w:b/>
                <w:szCs w:val="22"/>
                <w:lang w:val="en-US"/>
              </w:rPr>
            </w:pPr>
            <w:r w:rsidRPr="00263DB9">
              <w:rPr>
                <w:rFonts w:eastAsia="MS Mincho"/>
                <w:b/>
                <w:szCs w:val="22"/>
                <w:lang w:val="en-US"/>
              </w:rPr>
              <w:t>%(IC)</w:t>
            </w:r>
          </w:p>
        </w:tc>
        <w:tc>
          <w:tcPr>
            <w:tcW w:w="3100" w:type="dxa"/>
            <w:tcBorders>
              <w:top w:val="nil"/>
            </w:tcBorders>
          </w:tcPr>
          <w:p w14:paraId="375EB956" w14:textId="77777777" w:rsidR="00C91F25" w:rsidRPr="00263DB9" w:rsidRDefault="00C91F25" w:rsidP="008303F6">
            <w:pPr>
              <w:keepNext/>
              <w:keepLines/>
              <w:widowControl w:val="0"/>
              <w:tabs>
                <w:tab w:val="left" w:pos="284"/>
              </w:tabs>
              <w:rPr>
                <w:rFonts w:eastAsia="MS Mincho"/>
                <w:b/>
                <w:szCs w:val="22"/>
                <w:lang w:val="en-US"/>
              </w:rPr>
            </w:pPr>
            <w:r w:rsidRPr="00263DB9">
              <w:rPr>
                <w:rFonts w:eastAsia="MS Mincho"/>
                <w:b/>
                <w:szCs w:val="22"/>
                <w:lang w:val="en-US"/>
              </w:rPr>
              <w:t>%(IC)</w:t>
            </w:r>
          </w:p>
        </w:tc>
      </w:tr>
      <w:tr w:rsidR="00C91F25" w:rsidRPr="00263DB9" w14:paraId="375EB95B" w14:textId="77777777" w:rsidTr="008303F6">
        <w:trPr>
          <w:cantSplit/>
        </w:trPr>
        <w:tc>
          <w:tcPr>
            <w:tcW w:w="3099" w:type="dxa"/>
          </w:tcPr>
          <w:p w14:paraId="375EB958" w14:textId="77777777" w:rsidR="00C91F25" w:rsidRPr="00263DB9" w:rsidRDefault="00C91F25" w:rsidP="008303F6">
            <w:pPr>
              <w:keepNext/>
              <w:keepLines/>
              <w:widowControl w:val="0"/>
              <w:ind w:left="284"/>
              <w:rPr>
                <w:rFonts w:eastAsia="MS Mincho"/>
                <w:szCs w:val="22"/>
                <w:lang w:val="en-US"/>
              </w:rPr>
            </w:pPr>
            <w:r w:rsidRPr="00263DB9">
              <w:rPr>
                <w:rFonts w:eastAsia="MS Mincho"/>
                <w:szCs w:val="22"/>
                <w:lang w:val="en-US"/>
              </w:rPr>
              <w:t>12</w:t>
            </w:r>
            <w:r w:rsidRPr="00263DB9">
              <w:rPr>
                <w:rFonts w:eastAsia="MS Mincho"/>
                <w:szCs w:val="22"/>
                <w:lang w:val="en-US" w:eastAsia="ja-JP"/>
              </w:rPr>
              <w:t> </w:t>
            </w:r>
            <w:r w:rsidRPr="00263DB9">
              <w:rPr>
                <w:rFonts w:eastAsia="MS Mincho"/>
                <w:szCs w:val="22"/>
                <w:lang w:val="en-US"/>
              </w:rPr>
              <w:t>meses</w:t>
            </w:r>
          </w:p>
        </w:tc>
        <w:tc>
          <w:tcPr>
            <w:tcW w:w="3100" w:type="dxa"/>
          </w:tcPr>
          <w:p w14:paraId="375EB959"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93,7 (89,2</w:t>
            </w:r>
            <w:r w:rsidRPr="00263DB9">
              <w:rPr>
                <w:rFonts w:eastAsia="MS Mincho"/>
                <w:szCs w:val="22"/>
                <w:lang w:val="en-US"/>
              </w:rPr>
              <w:noBreakHyphen/>
              <w:t>96,4)</w:t>
            </w:r>
          </w:p>
        </w:tc>
        <w:tc>
          <w:tcPr>
            <w:tcW w:w="3100" w:type="dxa"/>
          </w:tcPr>
          <w:p w14:paraId="375EB95A"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95,9 (91,9</w:t>
            </w:r>
            <w:r w:rsidRPr="00263DB9">
              <w:rPr>
                <w:rFonts w:eastAsia="MS Mincho"/>
                <w:szCs w:val="22"/>
                <w:lang w:val="en-US"/>
              </w:rPr>
              <w:noBreakHyphen/>
              <w:t>97,9)</w:t>
            </w:r>
          </w:p>
        </w:tc>
      </w:tr>
      <w:tr w:rsidR="00C91F25" w:rsidRPr="00263DB9" w14:paraId="375EB95F" w14:textId="77777777" w:rsidTr="008303F6">
        <w:trPr>
          <w:cantSplit/>
        </w:trPr>
        <w:tc>
          <w:tcPr>
            <w:tcW w:w="3099" w:type="dxa"/>
          </w:tcPr>
          <w:p w14:paraId="375EB95C" w14:textId="77777777" w:rsidR="00C91F25" w:rsidRPr="00263DB9" w:rsidRDefault="00C91F25" w:rsidP="008303F6">
            <w:pPr>
              <w:keepNext/>
              <w:keepLines/>
              <w:widowControl w:val="0"/>
              <w:ind w:left="284"/>
              <w:rPr>
                <w:rFonts w:eastAsia="MS Mincho"/>
                <w:szCs w:val="22"/>
                <w:lang w:val="en-US"/>
              </w:rPr>
            </w:pPr>
            <w:r w:rsidRPr="00263DB9">
              <w:rPr>
                <w:rFonts w:eastAsia="MS Mincho"/>
                <w:szCs w:val="22"/>
                <w:lang w:val="en-US"/>
              </w:rPr>
              <w:t>24</w:t>
            </w:r>
            <w:r w:rsidRPr="00263DB9">
              <w:rPr>
                <w:rFonts w:eastAsia="MS Mincho"/>
                <w:szCs w:val="22"/>
                <w:lang w:val="en-US" w:eastAsia="ja-JP"/>
              </w:rPr>
              <w:t> </w:t>
            </w:r>
            <w:r w:rsidRPr="00263DB9">
              <w:rPr>
                <w:rFonts w:eastAsia="MS Mincho"/>
                <w:szCs w:val="22"/>
                <w:lang w:val="en-US"/>
              </w:rPr>
              <w:t>meses</w:t>
            </w:r>
          </w:p>
        </w:tc>
        <w:tc>
          <w:tcPr>
            <w:tcW w:w="3100" w:type="dxa"/>
          </w:tcPr>
          <w:p w14:paraId="375EB95D"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75,4 (68,6</w:t>
            </w:r>
            <w:r w:rsidRPr="00263DB9">
              <w:rPr>
                <w:rFonts w:eastAsia="MS Mincho"/>
                <w:szCs w:val="22"/>
                <w:lang w:val="en-US"/>
              </w:rPr>
              <w:noBreakHyphen/>
              <w:t>81,0)</w:t>
            </w:r>
          </w:p>
        </w:tc>
        <w:tc>
          <w:tcPr>
            <w:tcW w:w="3100" w:type="dxa"/>
          </w:tcPr>
          <w:p w14:paraId="375EB95E"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90,7 (85,6</w:t>
            </w:r>
            <w:r w:rsidRPr="00263DB9">
              <w:rPr>
                <w:rFonts w:eastAsia="MS Mincho"/>
                <w:szCs w:val="22"/>
                <w:lang w:val="en-US"/>
              </w:rPr>
              <w:noBreakHyphen/>
              <w:t>94,0)</w:t>
            </w:r>
          </w:p>
        </w:tc>
      </w:tr>
      <w:tr w:rsidR="00C91F25" w:rsidRPr="00263DB9" w14:paraId="375EB963" w14:textId="77777777" w:rsidTr="008303F6">
        <w:trPr>
          <w:cantSplit/>
        </w:trPr>
        <w:tc>
          <w:tcPr>
            <w:tcW w:w="3099" w:type="dxa"/>
          </w:tcPr>
          <w:p w14:paraId="375EB960" w14:textId="77777777" w:rsidR="00C91F25" w:rsidRPr="00263DB9" w:rsidRDefault="00C91F25" w:rsidP="008303F6">
            <w:pPr>
              <w:keepNext/>
              <w:keepLines/>
              <w:widowControl w:val="0"/>
              <w:ind w:left="284"/>
              <w:rPr>
                <w:rFonts w:eastAsia="MS Mincho"/>
                <w:szCs w:val="22"/>
                <w:lang w:val="en-US"/>
              </w:rPr>
            </w:pPr>
            <w:r w:rsidRPr="00263DB9">
              <w:rPr>
                <w:rFonts w:eastAsia="MS Mincho"/>
                <w:szCs w:val="22"/>
                <w:lang w:val="en-US"/>
              </w:rPr>
              <w:t>36</w:t>
            </w:r>
            <w:r w:rsidRPr="00263DB9">
              <w:rPr>
                <w:rFonts w:eastAsia="MS Mincho"/>
                <w:szCs w:val="22"/>
                <w:lang w:val="en-US" w:eastAsia="ja-JP"/>
              </w:rPr>
              <w:t> </w:t>
            </w:r>
            <w:r w:rsidRPr="00263DB9">
              <w:rPr>
                <w:rFonts w:eastAsia="MS Mincho"/>
                <w:szCs w:val="22"/>
                <w:lang w:val="en-US"/>
              </w:rPr>
              <w:t>meses</w:t>
            </w:r>
          </w:p>
        </w:tc>
        <w:tc>
          <w:tcPr>
            <w:tcW w:w="3100" w:type="dxa"/>
          </w:tcPr>
          <w:p w14:paraId="375EB961"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60,1 (52,5</w:t>
            </w:r>
            <w:r w:rsidRPr="00263DB9">
              <w:rPr>
                <w:rFonts w:eastAsia="MS Mincho"/>
                <w:szCs w:val="22"/>
                <w:lang w:val="en-US"/>
              </w:rPr>
              <w:noBreakHyphen/>
              <w:t>66,9)</w:t>
            </w:r>
          </w:p>
        </w:tc>
        <w:tc>
          <w:tcPr>
            <w:tcW w:w="3100" w:type="dxa"/>
          </w:tcPr>
          <w:p w14:paraId="375EB962"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86,6 (80,8</w:t>
            </w:r>
            <w:r w:rsidRPr="00263DB9">
              <w:rPr>
                <w:rFonts w:eastAsia="MS Mincho"/>
                <w:szCs w:val="22"/>
                <w:lang w:val="en-US"/>
              </w:rPr>
              <w:noBreakHyphen/>
              <w:t>90,8)</w:t>
            </w:r>
          </w:p>
        </w:tc>
      </w:tr>
      <w:tr w:rsidR="00C91F25" w:rsidRPr="00263DB9" w14:paraId="375EB967" w14:textId="77777777" w:rsidTr="008303F6">
        <w:trPr>
          <w:cantSplit/>
        </w:trPr>
        <w:tc>
          <w:tcPr>
            <w:tcW w:w="3099" w:type="dxa"/>
          </w:tcPr>
          <w:p w14:paraId="375EB964" w14:textId="77777777" w:rsidR="00C91F25" w:rsidRPr="00263DB9" w:rsidRDefault="00C91F25" w:rsidP="008303F6">
            <w:pPr>
              <w:keepNext/>
              <w:keepLines/>
              <w:widowControl w:val="0"/>
              <w:ind w:left="284"/>
              <w:rPr>
                <w:rFonts w:eastAsia="MS Mincho"/>
                <w:szCs w:val="22"/>
                <w:lang w:val="en-US"/>
              </w:rPr>
            </w:pPr>
            <w:r w:rsidRPr="00263DB9">
              <w:rPr>
                <w:rFonts w:eastAsia="MS Mincho"/>
                <w:szCs w:val="22"/>
                <w:lang w:val="en-US"/>
              </w:rPr>
              <w:t>48</w:t>
            </w:r>
            <w:r w:rsidRPr="00263DB9">
              <w:rPr>
                <w:rFonts w:eastAsia="MS Mincho"/>
                <w:szCs w:val="22"/>
                <w:lang w:val="en-US" w:eastAsia="ja-JP"/>
              </w:rPr>
              <w:t> </w:t>
            </w:r>
            <w:r w:rsidRPr="00263DB9">
              <w:rPr>
                <w:rFonts w:eastAsia="MS Mincho"/>
                <w:szCs w:val="22"/>
                <w:lang w:val="en-US"/>
              </w:rPr>
              <w:t>meses</w:t>
            </w:r>
          </w:p>
        </w:tc>
        <w:tc>
          <w:tcPr>
            <w:tcW w:w="3100" w:type="dxa"/>
          </w:tcPr>
          <w:p w14:paraId="375EB965"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52,3 (44,0</w:t>
            </w:r>
            <w:r w:rsidRPr="00263DB9">
              <w:rPr>
                <w:rFonts w:eastAsia="MS Mincho"/>
                <w:szCs w:val="22"/>
                <w:lang w:val="en-US"/>
              </w:rPr>
              <w:noBreakHyphen/>
              <w:t>59,8)</w:t>
            </w:r>
          </w:p>
        </w:tc>
        <w:tc>
          <w:tcPr>
            <w:tcW w:w="3100" w:type="dxa"/>
          </w:tcPr>
          <w:p w14:paraId="375EB966"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78,3 (70,8</w:t>
            </w:r>
            <w:r w:rsidRPr="00263DB9">
              <w:rPr>
                <w:rFonts w:eastAsia="MS Mincho"/>
                <w:szCs w:val="22"/>
                <w:lang w:val="en-US"/>
              </w:rPr>
              <w:noBreakHyphen/>
              <w:t>84,1)</w:t>
            </w:r>
          </w:p>
        </w:tc>
      </w:tr>
      <w:tr w:rsidR="00C91F25" w:rsidRPr="00263DB9" w14:paraId="375EB96B" w14:textId="77777777" w:rsidTr="008303F6">
        <w:trPr>
          <w:cantSplit/>
        </w:trPr>
        <w:tc>
          <w:tcPr>
            <w:tcW w:w="3099" w:type="dxa"/>
          </w:tcPr>
          <w:p w14:paraId="375EB968" w14:textId="77777777" w:rsidR="00C91F25" w:rsidRPr="00263DB9" w:rsidRDefault="00C91F25" w:rsidP="008303F6">
            <w:pPr>
              <w:keepNext/>
              <w:keepLines/>
              <w:widowControl w:val="0"/>
              <w:ind w:left="284"/>
              <w:rPr>
                <w:rFonts w:eastAsia="MS Mincho"/>
                <w:szCs w:val="22"/>
                <w:lang w:val="en-US"/>
              </w:rPr>
            </w:pPr>
            <w:r w:rsidRPr="00263DB9">
              <w:rPr>
                <w:rFonts w:eastAsia="MS Mincho"/>
                <w:szCs w:val="22"/>
                <w:lang w:val="en-US"/>
              </w:rPr>
              <w:t>60</w:t>
            </w:r>
            <w:r w:rsidRPr="00263DB9">
              <w:rPr>
                <w:rFonts w:eastAsia="MS Mincho"/>
                <w:szCs w:val="22"/>
                <w:lang w:val="en-US" w:eastAsia="ja-JP"/>
              </w:rPr>
              <w:t> </w:t>
            </w:r>
            <w:r w:rsidRPr="00263DB9">
              <w:rPr>
                <w:rFonts w:eastAsia="MS Mincho"/>
                <w:szCs w:val="22"/>
                <w:lang w:val="en-US"/>
              </w:rPr>
              <w:t>meses</w:t>
            </w:r>
          </w:p>
        </w:tc>
        <w:tc>
          <w:tcPr>
            <w:tcW w:w="3100" w:type="dxa"/>
          </w:tcPr>
          <w:p w14:paraId="375EB969"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47,9 (39,0</w:t>
            </w:r>
            <w:r w:rsidRPr="00263DB9">
              <w:rPr>
                <w:rFonts w:eastAsia="MS Mincho"/>
                <w:szCs w:val="22"/>
                <w:lang w:val="en-US"/>
              </w:rPr>
              <w:noBreakHyphen/>
              <w:t>56,3)</w:t>
            </w:r>
          </w:p>
        </w:tc>
        <w:tc>
          <w:tcPr>
            <w:tcW w:w="3100" w:type="dxa"/>
          </w:tcPr>
          <w:p w14:paraId="375EB96A"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65,6 (56,1</w:t>
            </w:r>
            <w:r w:rsidRPr="00263DB9">
              <w:rPr>
                <w:rFonts w:eastAsia="MS Mincho"/>
                <w:szCs w:val="22"/>
                <w:lang w:val="en-US"/>
              </w:rPr>
              <w:noBreakHyphen/>
              <w:t>73,4)</w:t>
            </w:r>
          </w:p>
        </w:tc>
      </w:tr>
      <w:tr w:rsidR="00C91F25" w:rsidRPr="00263DB9" w14:paraId="375EB96F" w14:textId="77777777" w:rsidTr="008303F6">
        <w:trPr>
          <w:cantSplit/>
        </w:trPr>
        <w:tc>
          <w:tcPr>
            <w:tcW w:w="3099" w:type="dxa"/>
          </w:tcPr>
          <w:p w14:paraId="375EB96C" w14:textId="77777777" w:rsidR="00C91F25" w:rsidRPr="00263DB9" w:rsidRDefault="00C91F25" w:rsidP="008303F6">
            <w:pPr>
              <w:keepNext/>
              <w:keepLines/>
              <w:widowControl w:val="0"/>
              <w:tabs>
                <w:tab w:val="left" w:pos="284"/>
              </w:tabs>
              <w:rPr>
                <w:rFonts w:eastAsia="MS Mincho"/>
                <w:b/>
                <w:szCs w:val="22"/>
                <w:lang w:val="en-US"/>
              </w:rPr>
            </w:pPr>
            <w:r w:rsidRPr="00263DB9">
              <w:rPr>
                <w:rFonts w:eastAsia="MS Mincho"/>
                <w:b/>
                <w:szCs w:val="22"/>
                <w:lang w:val="en-US"/>
              </w:rPr>
              <w:t>Sobrevivência</w:t>
            </w:r>
          </w:p>
        </w:tc>
        <w:tc>
          <w:tcPr>
            <w:tcW w:w="3100" w:type="dxa"/>
          </w:tcPr>
          <w:p w14:paraId="375EB96D" w14:textId="77777777" w:rsidR="00C91F25" w:rsidRPr="00263DB9" w:rsidRDefault="00C91F25" w:rsidP="008303F6">
            <w:pPr>
              <w:keepNext/>
              <w:keepLines/>
              <w:widowControl w:val="0"/>
              <w:tabs>
                <w:tab w:val="left" w:pos="284"/>
              </w:tabs>
              <w:rPr>
                <w:rFonts w:eastAsia="MS Mincho"/>
                <w:szCs w:val="22"/>
                <w:lang w:val="en-US"/>
              </w:rPr>
            </w:pPr>
          </w:p>
        </w:tc>
        <w:tc>
          <w:tcPr>
            <w:tcW w:w="3100" w:type="dxa"/>
          </w:tcPr>
          <w:p w14:paraId="375EB96E" w14:textId="77777777" w:rsidR="00C91F25" w:rsidRPr="00263DB9" w:rsidRDefault="00C91F25" w:rsidP="008303F6">
            <w:pPr>
              <w:keepNext/>
              <w:keepLines/>
              <w:widowControl w:val="0"/>
              <w:tabs>
                <w:tab w:val="left" w:pos="284"/>
              </w:tabs>
              <w:rPr>
                <w:rFonts w:eastAsia="MS Mincho"/>
                <w:szCs w:val="22"/>
                <w:lang w:val="en-US"/>
              </w:rPr>
            </w:pPr>
          </w:p>
        </w:tc>
      </w:tr>
      <w:tr w:rsidR="00C91F25" w:rsidRPr="00263DB9" w14:paraId="375EB973" w14:textId="77777777" w:rsidTr="008303F6">
        <w:trPr>
          <w:cantSplit/>
        </w:trPr>
        <w:tc>
          <w:tcPr>
            <w:tcW w:w="3099" w:type="dxa"/>
          </w:tcPr>
          <w:p w14:paraId="375EB970" w14:textId="77777777" w:rsidR="00C91F25" w:rsidRPr="00263DB9" w:rsidRDefault="00C91F25" w:rsidP="008303F6">
            <w:pPr>
              <w:keepNext/>
              <w:keepLines/>
              <w:widowControl w:val="0"/>
              <w:ind w:left="284"/>
              <w:rPr>
                <w:rFonts w:eastAsia="MS Mincho"/>
                <w:szCs w:val="22"/>
                <w:lang w:val="en-US"/>
              </w:rPr>
            </w:pPr>
            <w:r w:rsidRPr="00263DB9">
              <w:rPr>
                <w:rFonts w:eastAsia="MS Mincho"/>
                <w:szCs w:val="22"/>
                <w:lang w:val="en-US"/>
              </w:rPr>
              <w:t>36</w:t>
            </w:r>
            <w:r w:rsidRPr="00263DB9">
              <w:rPr>
                <w:rFonts w:eastAsia="MS Mincho"/>
                <w:szCs w:val="22"/>
                <w:lang w:val="en-US" w:eastAsia="ja-JP"/>
              </w:rPr>
              <w:t> </w:t>
            </w:r>
            <w:r w:rsidRPr="00263DB9">
              <w:rPr>
                <w:rFonts w:eastAsia="MS Mincho"/>
                <w:szCs w:val="22"/>
                <w:lang w:val="en-US"/>
              </w:rPr>
              <w:t>meses</w:t>
            </w:r>
          </w:p>
        </w:tc>
        <w:tc>
          <w:tcPr>
            <w:tcW w:w="3100" w:type="dxa"/>
          </w:tcPr>
          <w:p w14:paraId="375EB971"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94,0 (89,5</w:t>
            </w:r>
            <w:r w:rsidRPr="00263DB9">
              <w:rPr>
                <w:rFonts w:eastAsia="MS Mincho"/>
                <w:szCs w:val="22"/>
                <w:lang w:val="en-US"/>
              </w:rPr>
              <w:noBreakHyphen/>
              <w:t>96,7)</w:t>
            </w:r>
          </w:p>
        </w:tc>
        <w:tc>
          <w:tcPr>
            <w:tcW w:w="3100" w:type="dxa"/>
          </w:tcPr>
          <w:p w14:paraId="375EB972"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96,3 (92,4</w:t>
            </w:r>
            <w:r w:rsidRPr="00263DB9">
              <w:rPr>
                <w:rFonts w:eastAsia="MS Mincho"/>
                <w:szCs w:val="22"/>
                <w:lang w:val="en-US"/>
              </w:rPr>
              <w:noBreakHyphen/>
              <w:t>98,2)</w:t>
            </w:r>
          </w:p>
        </w:tc>
      </w:tr>
      <w:tr w:rsidR="00C91F25" w:rsidRPr="00263DB9" w14:paraId="375EB977" w14:textId="77777777" w:rsidTr="008303F6">
        <w:trPr>
          <w:cantSplit/>
        </w:trPr>
        <w:tc>
          <w:tcPr>
            <w:tcW w:w="3099" w:type="dxa"/>
          </w:tcPr>
          <w:p w14:paraId="375EB974" w14:textId="77777777" w:rsidR="00C91F25" w:rsidRPr="00263DB9" w:rsidRDefault="00C91F25" w:rsidP="008303F6">
            <w:pPr>
              <w:keepNext/>
              <w:keepLines/>
              <w:widowControl w:val="0"/>
              <w:ind w:left="284"/>
              <w:rPr>
                <w:rFonts w:eastAsia="MS Mincho"/>
                <w:szCs w:val="22"/>
                <w:lang w:val="en-US"/>
              </w:rPr>
            </w:pPr>
            <w:r w:rsidRPr="00263DB9">
              <w:rPr>
                <w:rFonts w:eastAsia="MS Mincho"/>
                <w:szCs w:val="22"/>
                <w:lang w:val="en-US"/>
              </w:rPr>
              <w:t>48</w:t>
            </w:r>
            <w:r w:rsidRPr="00263DB9">
              <w:rPr>
                <w:rFonts w:eastAsia="MS Mincho"/>
                <w:szCs w:val="22"/>
                <w:lang w:val="en-US" w:eastAsia="ja-JP"/>
              </w:rPr>
              <w:t> </w:t>
            </w:r>
            <w:r w:rsidRPr="00263DB9">
              <w:rPr>
                <w:rFonts w:eastAsia="MS Mincho"/>
                <w:szCs w:val="22"/>
                <w:lang w:val="en-US"/>
              </w:rPr>
              <w:t>meses</w:t>
            </w:r>
          </w:p>
        </w:tc>
        <w:tc>
          <w:tcPr>
            <w:tcW w:w="3100" w:type="dxa"/>
          </w:tcPr>
          <w:p w14:paraId="375EB975"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87,9 (81,1</w:t>
            </w:r>
            <w:r w:rsidRPr="00263DB9">
              <w:rPr>
                <w:rFonts w:eastAsia="MS Mincho"/>
                <w:szCs w:val="22"/>
                <w:lang w:val="en-US"/>
              </w:rPr>
              <w:noBreakHyphen/>
              <w:t>92,3)</w:t>
            </w:r>
          </w:p>
        </w:tc>
        <w:tc>
          <w:tcPr>
            <w:tcW w:w="3100" w:type="dxa"/>
          </w:tcPr>
          <w:p w14:paraId="375EB976"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95,6 (91,2</w:t>
            </w:r>
            <w:r w:rsidRPr="00263DB9">
              <w:rPr>
                <w:rFonts w:eastAsia="MS Mincho"/>
                <w:szCs w:val="22"/>
                <w:lang w:val="en-US"/>
              </w:rPr>
              <w:noBreakHyphen/>
              <w:t>97,8)</w:t>
            </w:r>
          </w:p>
        </w:tc>
      </w:tr>
      <w:tr w:rsidR="00C91F25" w:rsidRPr="00263DB9" w14:paraId="375EB97B" w14:textId="77777777" w:rsidTr="008303F6">
        <w:trPr>
          <w:cantSplit/>
        </w:trPr>
        <w:tc>
          <w:tcPr>
            <w:tcW w:w="3099" w:type="dxa"/>
          </w:tcPr>
          <w:p w14:paraId="375EB978" w14:textId="77777777" w:rsidR="00C91F25" w:rsidRPr="00263DB9" w:rsidRDefault="00C91F25" w:rsidP="008303F6">
            <w:pPr>
              <w:keepNext/>
              <w:keepLines/>
              <w:widowControl w:val="0"/>
              <w:ind w:left="284"/>
              <w:rPr>
                <w:rFonts w:eastAsia="MS Mincho"/>
                <w:szCs w:val="22"/>
                <w:lang w:val="en-US"/>
              </w:rPr>
            </w:pPr>
            <w:r w:rsidRPr="00263DB9">
              <w:rPr>
                <w:rFonts w:eastAsia="MS Mincho"/>
                <w:szCs w:val="22"/>
                <w:lang w:val="en-US"/>
              </w:rPr>
              <w:t>60</w:t>
            </w:r>
            <w:r w:rsidRPr="00263DB9">
              <w:rPr>
                <w:rFonts w:eastAsia="MS Mincho"/>
                <w:szCs w:val="22"/>
                <w:lang w:val="en-US" w:eastAsia="ja-JP"/>
              </w:rPr>
              <w:t> </w:t>
            </w:r>
            <w:r w:rsidRPr="00263DB9">
              <w:rPr>
                <w:rFonts w:eastAsia="MS Mincho"/>
                <w:szCs w:val="22"/>
                <w:lang w:val="en-US"/>
              </w:rPr>
              <w:t>meses</w:t>
            </w:r>
          </w:p>
        </w:tc>
        <w:tc>
          <w:tcPr>
            <w:tcW w:w="3100" w:type="dxa"/>
          </w:tcPr>
          <w:p w14:paraId="375EB979"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81,7 (73,0</w:t>
            </w:r>
            <w:r w:rsidRPr="00263DB9">
              <w:rPr>
                <w:rFonts w:eastAsia="MS Mincho"/>
                <w:szCs w:val="22"/>
                <w:lang w:val="en-US"/>
              </w:rPr>
              <w:noBreakHyphen/>
              <w:t>87,8)</w:t>
            </w:r>
          </w:p>
        </w:tc>
        <w:tc>
          <w:tcPr>
            <w:tcW w:w="3100" w:type="dxa"/>
          </w:tcPr>
          <w:p w14:paraId="375EB97A" w14:textId="77777777" w:rsidR="00C91F25" w:rsidRPr="00263DB9" w:rsidRDefault="00C91F25" w:rsidP="008303F6">
            <w:pPr>
              <w:keepNext/>
              <w:keepLines/>
              <w:widowControl w:val="0"/>
              <w:tabs>
                <w:tab w:val="left" w:pos="284"/>
              </w:tabs>
              <w:rPr>
                <w:rFonts w:eastAsia="MS Mincho"/>
                <w:szCs w:val="22"/>
                <w:lang w:val="en-US"/>
              </w:rPr>
            </w:pPr>
            <w:r w:rsidRPr="00263DB9">
              <w:rPr>
                <w:rFonts w:eastAsia="MS Mincho"/>
                <w:szCs w:val="22"/>
                <w:lang w:val="en-US"/>
              </w:rPr>
              <w:t>92,0 (85,3</w:t>
            </w:r>
            <w:r w:rsidRPr="00263DB9">
              <w:rPr>
                <w:rFonts w:eastAsia="MS Mincho"/>
                <w:szCs w:val="22"/>
                <w:lang w:val="en-US"/>
              </w:rPr>
              <w:noBreakHyphen/>
              <w:t>95,7)</w:t>
            </w:r>
          </w:p>
        </w:tc>
      </w:tr>
    </w:tbl>
    <w:p w14:paraId="375EB97C" w14:textId="77777777" w:rsidR="00C91F25" w:rsidRPr="00263DB9" w:rsidRDefault="00C91F25" w:rsidP="00E51817">
      <w:pPr>
        <w:widowControl w:val="0"/>
        <w:suppressAutoHyphens/>
        <w:rPr>
          <w:color w:val="000000"/>
          <w:szCs w:val="22"/>
          <w:u w:val="single"/>
        </w:rPr>
      </w:pPr>
    </w:p>
    <w:p w14:paraId="375EB97D" w14:textId="77777777" w:rsidR="00C91F25" w:rsidRPr="00263DB9" w:rsidRDefault="006B5399" w:rsidP="008303F6">
      <w:pPr>
        <w:keepNext/>
        <w:keepLines/>
        <w:widowControl w:val="0"/>
        <w:suppressAutoHyphens/>
        <w:ind w:left="1134" w:hanging="1134"/>
        <w:rPr>
          <w:color w:val="000000"/>
          <w:szCs w:val="22"/>
          <w:u w:val="single"/>
        </w:rPr>
      </w:pPr>
      <w:r w:rsidRPr="00263DB9">
        <w:rPr>
          <w:noProof/>
          <w:lang w:val="en-GB" w:eastAsia="en-GB"/>
        </w:rPr>
        <mc:AlternateContent>
          <mc:Choice Requires="wps">
            <w:drawing>
              <wp:anchor distT="0" distB="0" distL="114300" distR="114300" simplePos="0" relativeHeight="251658240" behindDoc="0" locked="0" layoutInCell="1" allowOverlap="1" wp14:anchorId="375EC36F" wp14:editId="375EC370">
                <wp:simplePos x="0" y="0"/>
                <wp:positionH relativeFrom="column">
                  <wp:posOffset>-188595</wp:posOffset>
                </wp:positionH>
                <wp:positionV relativeFrom="paragraph">
                  <wp:posOffset>325755</wp:posOffset>
                </wp:positionV>
                <wp:extent cx="335915" cy="26511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651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EC3D1" w14:textId="77777777" w:rsidR="00341C1A" w:rsidRDefault="00341C1A" w:rsidP="00C91F25">
                            <w:pPr>
                              <w:rPr>
                                <w:rFonts w:ascii="Arial" w:hAnsi="Arial" w:cs="Arial"/>
                                <w:sz w:val="20"/>
                              </w:rPr>
                            </w:pPr>
                            <w:r>
                              <w:rPr>
                                <w:rFonts w:ascii="Arial" w:hAnsi="Arial" w:cs="Arial"/>
                                <w:sz w:val="20"/>
                              </w:rPr>
                              <w:t>Probabilidade de sobrevivência livre de recidiva</w:t>
                            </w:r>
                          </w:p>
                          <w:p w14:paraId="375EC3D2" w14:textId="77777777" w:rsidR="00341C1A" w:rsidRDefault="00341C1A" w:rsidP="00C91F25">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5EC36F" id="_x0000_s1032" type="#_x0000_t202" style="position:absolute;left:0;text-align:left;margin-left:-14.85pt;margin-top:25.65pt;width:26.45pt;height:20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" stroked="f">
                <v:fill opacity="0"/>
                <v:textbox style="layout-flow:vertical;mso-layout-flow-alt:bottom-to-top">
                  <w:txbxContent>
                    <w:p w14:paraId="375EC3D1" w14:textId="77777777" w:rsidR="00341C1A" w:rsidRDefault="00341C1A" w:rsidP="00C91F25">
                      <w:pPr>
                        <w:rPr>
                          <w:rFonts w:ascii="Arial" w:hAnsi="Arial" w:cs="Arial"/>
                          <w:sz w:val="20"/>
                        </w:rPr>
                      </w:pPr>
                      <w:r>
                        <w:rPr>
                          <w:rFonts w:ascii="Arial" w:hAnsi="Arial" w:cs="Arial"/>
                          <w:sz w:val="20"/>
                        </w:rPr>
                        <w:t>Probabilidade de sobrevivência livre de recidiva</w:t>
                      </w:r>
                    </w:p>
                    <w:p w14:paraId="375EC3D2" w14:textId="77777777" w:rsidR="00341C1A" w:rsidRDefault="00341C1A" w:rsidP="00C91F25">
                      <w:pPr>
                        <w:rPr>
                          <w:rFonts w:ascii="Arial" w:hAnsi="Arial" w:cs="Arial"/>
                          <w:sz w:val="20"/>
                        </w:rPr>
                      </w:pPr>
                    </w:p>
                  </w:txbxContent>
                </v:textbox>
              </v:shape>
            </w:pict>
          </mc:Fallback>
        </mc:AlternateContent>
      </w:r>
      <w:r w:rsidR="00C91F25" w:rsidRPr="00263DB9">
        <w:rPr>
          <w:rFonts w:eastAsia="MS Mincho"/>
          <w:b/>
          <w:szCs w:val="22"/>
        </w:rPr>
        <w:t>Figura 1</w:t>
      </w:r>
      <w:r w:rsidR="00C91F25" w:rsidRPr="00263DB9">
        <w:rPr>
          <w:rFonts w:eastAsia="MS Mincho"/>
          <w:b/>
          <w:szCs w:val="22"/>
        </w:rPr>
        <w:tab/>
        <w:t>Estimativa de Kaplan-Meier para o objetivo primário sobrevivência livre de recidiva (população intenção-para-tratar)</w:t>
      </w:r>
    </w:p>
    <w:p w14:paraId="375EB97E" w14:textId="77777777" w:rsidR="00C91F25" w:rsidRPr="00263DB9" w:rsidRDefault="00C91F25" w:rsidP="00E51817">
      <w:pPr>
        <w:keepNext/>
        <w:widowControl w:val="0"/>
        <w:suppressAutoHyphens/>
        <w:ind w:left="1134" w:hanging="1134"/>
        <w:rPr>
          <w:color w:val="000000"/>
          <w:szCs w:val="22"/>
          <w:u w:val="single"/>
        </w:rPr>
      </w:pPr>
    </w:p>
    <w:p w14:paraId="375EB97F" w14:textId="77777777" w:rsidR="00C91F25" w:rsidRPr="00263DB9" w:rsidRDefault="006B5399" w:rsidP="00E51817">
      <w:pPr>
        <w:widowControl w:val="0"/>
        <w:suppressAutoHyphens/>
        <w:rPr>
          <w:color w:val="000000"/>
          <w:szCs w:val="22"/>
          <w:u w:val="single"/>
        </w:rPr>
      </w:pPr>
      <w:r w:rsidRPr="00263DB9">
        <w:rPr>
          <w:noProof/>
          <w:color w:val="000000"/>
          <w:szCs w:val="22"/>
          <w:u w:val="single"/>
          <w:lang w:val="en-GB" w:eastAsia="en-GB"/>
        </w:rPr>
        <mc:AlternateContent>
          <mc:Choice Requires="wps">
            <w:drawing>
              <wp:anchor distT="0" distB="0" distL="114300" distR="114300" simplePos="0" relativeHeight="251660288" behindDoc="0" locked="0" layoutInCell="1" allowOverlap="1" wp14:anchorId="375EC371" wp14:editId="375EC372">
                <wp:simplePos x="0" y="0"/>
                <wp:positionH relativeFrom="column">
                  <wp:posOffset>1976120</wp:posOffset>
                </wp:positionH>
                <wp:positionV relativeFrom="paragraph">
                  <wp:posOffset>2693035</wp:posOffset>
                </wp:positionV>
                <wp:extent cx="2305050" cy="2857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EC3D3" w14:textId="77777777" w:rsidR="00341C1A" w:rsidRDefault="00341C1A" w:rsidP="00C91F25">
                            <w:pPr>
                              <w:rPr>
                                <w:rFonts w:ascii="Arial" w:hAnsi="Arial" w:cs="Arial"/>
                                <w:sz w:val="20"/>
                              </w:rPr>
                            </w:pPr>
                            <w:r>
                              <w:rPr>
                                <w:rFonts w:ascii="Arial" w:hAnsi="Arial" w:cs="Arial"/>
                                <w:sz w:val="20"/>
                                <w:lang w:val="es-ES"/>
                              </w:rPr>
                              <w:t>Tempo de sobrevivência em meses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5EC371" id="_x0000_s1033" type="#_x0000_t202" style="position:absolute;margin-left:155.6pt;margin-top:212.05pt;width:181.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" stroked="f">
                <v:fill opacity="0"/>
                <v:textbox>
                  <w:txbxContent>
                    <w:p w14:paraId="375EC3D3" w14:textId="77777777" w:rsidR="00341C1A" w:rsidRDefault="00341C1A" w:rsidP="00C91F25">
                      <w:pPr>
                        <w:rPr>
                          <w:rFonts w:ascii="Arial" w:hAnsi="Arial" w:cs="Arial"/>
                          <w:sz w:val="20"/>
                        </w:rPr>
                      </w:pPr>
                      <w:r>
                        <w:rPr>
                          <w:rFonts w:ascii="Arial" w:hAnsi="Arial" w:cs="Arial"/>
                          <w:sz w:val="20"/>
                          <w:lang w:val="es-ES"/>
                        </w:rPr>
                        <w:t>Tempo de sobrevivência em meses</w:t>
                      </w:r>
                    </w:p>
                  </w:txbxContent>
                </v:textbox>
              </v:shape>
            </w:pict>
          </mc:Fallback>
        </mc:AlternateContent>
      </w:r>
      <w:r w:rsidRPr="00263DB9">
        <w:rPr>
          <w:noProof/>
          <w:lang w:val="en-GB" w:eastAsia="en-GB"/>
        </w:rPr>
        <mc:AlternateContent>
          <mc:Choice Requires="wps">
            <w:drawing>
              <wp:anchor distT="0" distB="0" distL="114300" distR="114300" simplePos="0" relativeHeight="251659264" behindDoc="0" locked="0" layoutInCell="1" allowOverlap="1" wp14:anchorId="375EC373" wp14:editId="375EC374">
                <wp:simplePos x="0" y="0"/>
                <wp:positionH relativeFrom="column">
                  <wp:posOffset>350520</wp:posOffset>
                </wp:positionH>
                <wp:positionV relativeFrom="paragraph">
                  <wp:posOffset>1311275</wp:posOffset>
                </wp:positionV>
                <wp:extent cx="4585335" cy="11715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229"/>
                              <w:gridCol w:w="851"/>
                              <w:gridCol w:w="709"/>
                              <w:gridCol w:w="850"/>
                            </w:tblGrid>
                            <w:tr w:rsidR="00341C1A" w14:paraId="375EC3D7" w14:textId="77777777">
                              <w:trPr>
                                <w:gridAfter w:val="4"/>
                                <w:wAfter w:w="2639" w:type="dxa"/>
                              </w:trPr>
                              <w:tc>
                                <w:tcPr>
                                  <w:tcW w:w="3281" w:type="dxa"/>
                                  <w:gridSpan w:val="2"/>
                                </w:tcPr>
                                <w:p w14:paraId="375EC3D4" w14:textId="77777777" w:rsidR="00341C1A" w:rsidRDefault="00341C1A">
                                  <w:pPr>
                                    <w:rPr>
                                      <w:rFonts w:ascii="Arial" w:hAnsi="Arial" w:cs="Arial"/>
                                      <w:sz w:val="20"/>
                                    </w:rPr>
                                  </w:pPr>
                                  <w:r>
                                    <w:rPr>
                                      <w:rFonts w:ascii="Arial" w:hAnsi="Arial" w:cs="Arial"/>
                                      <w:sz w:val="20"/>
                                    </w:rPr>
                                    <w:t>P &lt; 0,0001</w:t>
                                  </w:r>
                                </w:p>
                                <w:p w14:paraId="375EC3D5" w14:textId="77777777" w:rsidR="00341C1A" w:rsidRDefault="00341C1A">
                                  <w:pPr>
                                    <w:rPr>
                                      <w:rFonts w:ascii="Arial" w:hAnsi="Arial" w:cs="Arial"/>
                                      <w:sz w:val="20"/>
                                    </w:rPr>
                                  </w:pPr>
                                  <w:r>
                                    <w:rPr>
                                      <w:rFonts w:ascii="Arial" w:hAnsi="Arial" w:cs="Arial"/>
                                      <w:sz w:val="20"/>
                                      <w:lang w:val="es-ES"/>
                                    </w:rPr>
                                    <w:t>Taxa de risco</w:t>
                                  </w:r>
                                  <w:r>
                                    <w:rPr>
                                      <w:rFonts w:ascii="Arial" w:hAnsi="Arial" w:cs="Arial"/>
                                      <w:sz w:val="20"/>
                                    </w:rPr>
                                    <w:t xml:space="preserve"> 0,46</w:t>
                                  </w:r>
                                </w:p>
                                <w:p w14:paraId="375EC3D6" w14:textId="77777777" w:rsidR="00341C1A" w:rsidRDefault="00341C1A">
                                  <w:pPr>
                                    <w:rPr>
                                      <w:rFonts w:ascii="Arial" w:hAnsi="Arial" w:cs="Arial"/>
                                      <w:sz w:val="20"/>
                                      <w:lang w:val="es-ES"/>
                                    </w:rPr>
                                  </w:pPr>
                                  <w:r>
                                    <w:rPr>
                                      <w:rFonts w:ascii="Arial" w:hAnsi="Arial" w:cs="Arial"/>
                                      <w:sz w:val="20"/>
                                    </w:rPr>
                                    <w:t>(95% IC, 0,32</w:t>
                                  </w:r>
                                  <w:r>
                                    <w:rPr>
                                      <w:rFonts w:ascii="Arial" w:hAnsi="Arial" w:cs="Arial"/>
                                      <w:sz w:val="20"/>
                                    </w:rPr>
                                    <w:noBreakHyphen/>
                                    <w:t>0,65)</w:t>
                                  </w:r>
                                </w:p>
                              </w:tc>
                            </w:tr>
                            <w:tr w:rsidR="00341C1A" w14:paraId="375EC3DD" w14:textId="77777777">
                              <w:tc>
                                <w:tcPr>
                                  <w:tcW w:w="817" w:type="dxa"/>
                                </w:tcPr>
                                <w:p w14:paraId="375EC3D8" w14:textId="77777777" w:rsidR="00341C1A" w:rsidRDefault="00341C1A">
                                  <w:pPr>
                                    <w:rPr>
                                      <w:rFonts w:ascii="Arial" w:hAnsi="Arial" w:cs="Arial"/>
                                      <w:sz w:val="20"/>
                                    </w:rPr>
                                  </w:pPr>
                                </w:p>
                              </w:tc>
                              <w:tc>
                                <w:tcPr>
                                  <w:tcW w:w="2693" w:type="dxa"/>
                                  <w:gridSpan w:val="2"/>
                                </w:tcPr>
                                <w:p w14:paraId="375EC3D9" w14:textId="77777777" w:rsidR="00341C1A" w:rsidRDefault="00341C1A">
                                  <w:pPr>
                                    <w:rPr>
                                      <w:rFonts w:ascii="Arial" w:hAnsi="Arial" w:cs="Arial"/>
                                      <w:sz w:val="20"/>
                                    </w:rPr>
                                  </w:pPr>
                                </w:p>
                              </w:tc>
                              <w:tc>
                                <w:tcPr>
                                  <w:tcW w:w="851" w:type="dxa"/>
                                  <w:tcBorders>
                                    <w:bottom w:val="single" w:sz="4" w:space="0" w:color="auto"/>
                                  </w:tcBorders>
                                </w:tcPr>
                                <w:p w14:paraId="375EC3DA" w14:textId="77777777" w:rsidR="00341C1A" w:rsidRDefault="00341C1A">
                                  <w:pPr>
                                    <w:rPr>
                                      <w:rFonts w:ascii="Arial" w:hAnsi="Arial" w:cs="Arial"/>
                                      <w:sz w:val="20"/>
                                    </w:rPr>
                                  </w:pPr>
                                  <w:r>
                                    <w:rPr>
                                      <w:rFonts w:ascii="Arial" w:hAnsi="Arial" w:cs="Arial"/>
                                      <w:sz w:val="20"/>
                                      <w:lang w:val="de-DE"/>
                                    </w:rPr>
                                    <w:t>N</w:t>
                                  </w:r>
                                </w:p>
                              </w:tc>
                              <w:tc>
                                <w:tcPr>
                                  <w:tcW w:w="709" w:type="dxa"/>
                                  <w:tcBorders>
                                    <w:bottom w:val="single" w:sz="4" w:space="0" w:color="auto"/>
                                  </w:tcBorders>
                                </w:tcPr>
                                <w:p w14:paraId="375EC3DB" w14:textId="77777777" w:rsidR="00341C1A" w:rsidRDefault="00341C1A">
                                  <w:pPr>
                                    <w:rPr>
                                      <w:rFonts w:ascii="Arial" w:hAnsi="Arial" w:cs="Arial"/>
                                      <w:sz w:val="20"/>
                                    </w:rPr>
                                  </w:pPr>
                                  <w:r>
                                    <w:rPr>
                                      <w:rFonts w:ascii="Arial" w:hAnsi="Arial" w:cs="Arial"/>
                                      <w:sz w:val="20"/>
                                      <w:lang w:val="de-DE"/>
                                    </w:rPr>
                                    <w:t>Evt</w:t>
                                  </w:r>
                                </w:p>
                              </w:tc>
                              <w:tc>
                                <w:tcPr>
                                  <w:tcW w:w="850" w:type="dxa"/>
                                  <w:tcBorders>
                                    <w:bottom w:val="single" w:sz="4" w:space="0" w:color="auto"/>
                                  </w:tcBorders>
                                </w:tcPr>
                                <w:p w14:paraId="375EC3DC" w14:textId="77777777" w:rsidR="00341C1A" w:rsidRDefault="00341C1A">
                                  <w:pPr>
                                    <w:rPr>
                                      <w:rFonts w:ascii="Arial" w:hAnsi="Arial" w:cs="Arial"/>
                                      <w:sz w:val="20"/>
                                    </w:rPr>
                                  </w:pPr>
                                  <w:r>
                                    <w:rPr>
                                      <w:rFonts w:ascii="Arial" w:hAnsi="Arial" w:cs="Arial"/>
                                      <w:sz w:val="20"/>
                                      <w:lang w:val="de-DE"/>
                                    </w:rPr>
                                    <w:t>Cen</w:t>
                                  </w:r>
                                </w:p>
                              </w:tc>
                            </w:tr>
                            <w:tr w:rsidR="00341C1A" w14:paraId="375EC3E3" w14:textId="77777777">
                              <w:tc>
                                <w:tcPr>
                                  <w:tcW w:w="817" w:type="dxa"/>
                                </w:tcPr>
                                <w:p w14:paraId="375EC3DE" w14:textId="77777777" w:rsidR="00341C1A" w:rsidRDefault="00341C1A">
                                  <w:pPr>
                                    <w:rPr>
                                      <w:rFonts w:ascii="Arial" w:hAnsi="Arial" w:cs="Arial"/>
                                      <w:sz w:val="20"/>
                                    </w:rPr>
                                  </w:pPr>
                                  <w:r>
                                    <w:rPr>
                                      <w:rFonts w:ascii="Arial" w:hAnsi="Arial" w:cs="Arial"/>
                                      <w:b/>
                                      <w:sz w:val="20"/>
                                    </w:rPr>
                                    <w:t>——</w:t>
                                  </w:r>
                                </w:p>
                              </w:tc>
                              <w:tc>
                                <w:tcPr>
                                  <w:tcW w:w="2693" w:type="dxa"/>
                                  <w:gridSpan w:val="2"/>
                                </w:tcPr>
                                <w:p w14:paraId="375EC3DF" w14:textId="77777777" w:rsidR="00341C1A" w:rsidRDefault="00341C1A">
                                  <w:pPr>
                                    <w:rPr>
                                      <w:rFonts w:ascii="Arial" w:hAnsi="Arial" w:cs="Arial"/>
                                      <w:sz w:val="20"/>
                                    </w:rPr>
                                  </w:pPr>
                                  <w:r>
                                    <w:rPr>
                                      <w:rFonts w:ascii="Arial" w:hAnsi="Arial" w:cs="Arial"/>
                                      <w:sz w:val="20"/>
                                    </w:rPr>
                                    <w:t>(1) Imatinib 12 meses:</w:t>
                                  </w:r>
                                </w:p>
                              </w:tc>
                              <w:tc>
                                <w:tcPr>
                                  <w:tcW w:w="851" w:type="dxa"/>
                                  <w:tcBorders>
                                    <w:top w:val="single" w:sz="4" w:space="0" w:color="auto"/>
                                  </w:tcBorders>
                                </w:tcPr>
                                <w:p w14:paraId="375EC3E0" w14:textId="77777777" w:rsidR="00341C1A" w:rsidRDefault="00341C1A">
                                  <w:pPr>
                                    <w:rPr>
                                      <w:rFonts w:ascii="Arial" w:hAnsi="Arial" w:cs="Arial"/>
                                      <w:sz w:val="20"/>
                                    </w:rPr>
                                  </w:pPr>
                                  <w:r>
                                    <w:rPr>
                                      <w:rFonts w:ascii="Arial" w:hAnsi="Arial" w:cs="Arial"/>
                                      <w:sz w:val="20"/>
                                    </w:rPr>
                                    <w:t>199</w:t>
                                  </w:r>
                                </w:p>
                              </w:tc>
                              <w:tc>
                                <w:tcPr>
                                  <w:tcW w:w="709" w:type="dxa"/>
                                  <w:tcBorders>
                                    <w:top w:val="single" w:sz="4" w:space="0" w:color="auto"/>
                                  </w:tcBorders>
                                </w:tcPr>
                                <w:p w14:paraId="375EC3E1" w14:textId="77777777" w:rsidR="00341C1A" w:rsidRDefault="00341C1A">
                                  <w:pPr>
                                    <w:rPr>
                                      <w:rFonts w:ascii="Arial" w:hAnsi="Arial" w:cs="Arial"/>
                                      <w:sz w:val="20"/>
                                    </w:rPr>
                                  </w:pPr>
                                  <w:r>
                                    <w:rPr>
                                      <w:rFonts w:ascii="Arial" w:hAnsi="Arial" w:cs="Arial"/>
                                      <w:sz w:val="20"/>
                                    </w:rPr>
                                    <w:t>84</w:t>
                                  </w:r>
                                </w:p>
                              </w:tc>
                              <w:tc>
                                <w:tcPr>
                                  <w:tcW w:w="850" w:type="dxa"/>
                                  <w:tcBorders>
                                    <w:top w:val="single" w:sz="4" w:space="0" w:color="auto"/>
                                  </w:tcBorders>
                                </w:tcPr>
                                <w:p w14:paraId="375EC3E2" w14:textId="77777777" w:rsidR="00341C1A" w:rsidRDefault="00341C1A">
                                  <w:pPr>
                                    <w:rPr>
                                      <w:rFonts w:ascii="Arial" w:hAnsi="Arial" w:cs="Arial"/>
                                      <w:sz w:val="20"/>
                                    </w:rPr>
                                  </w:pPr>
                                  <w:r>
                                    <w:rPr>
                                      <w:rFonts w:ascii="Arial" w:hAnsi="Arial" w:cs="Arial"/>
                                      <w:sz w:val="20"/>
                                    </w:rPr>
                                    <w:t>115</w:t>
                                  </w:r>
                                </w:p>
                              </w:tc>
                            </w:tr>
                            <w:tr w:rsidR="00341C1A" w14:paraId="375EC3E9" w14:textId="77777777">
                              <w:tc>
                                <w:tcPr>
                                  <w:tcW w:w="817" w:type="dxa"/>
                                </w:tcPr>
                                <w:p w14:paraId="375EC3E4" w14:textId="77777777" w:rsidR="00341C1A" w:rsidRDefault="00341C1A">
                                  <w:pPr>
                                    <w:rPr>
                                      <w:rFonts w:ascii="Arial" w:hAnsi="Arial" w:cs="Arial"/>
                                      <w:sz w:val="20"/>
                                    </w:rPr>
                                  </w:pPr>
                                  <w:r>
                                    <w:rPr>
                                      <w:rFonts w:ascii="Arial" w:hAnsi="Arial" w:cs="Arial"/>
                                      <w:sz w:val="20"/>
                                    </w:rPr>
                                    <w:t>-----</w:t>
                                  </w:r>
                                </w:p>
                              </w:tc>
                              <w:tc>
                                <w:tcPr>
                                  <w:tcW w:w="2693" w:type="dxa"/>
                                  <w:gridSpan w:val="2"/>
                                </w:tcPr>
                                <w:p w14:paraId="375EC3E5" w14:textId="77777777" w:rsidR="00341C1A" w:rsidRDefault="00341C1A">
                                  <w:pPr>
                                    <w:rPr>
                                      <w:rFonts w:ascii="Arial" w:hAnsi="Arial" w:cs="Arial"/>
                                      <w:sz w:val="20"/>
                                    </w:rPr>
                                  </w:pPr>
                                  <w:r>
                                    <w:rPr>
                                      <w:rFonts w:ascii="Arial" w:hAnsi="Arial" w:cs="Arial"/>
                                      <w:sz w:val="20"/>
                                    </w:rPr>
                                    <w:t>(2) Imatinib 36 meses:</w:t>
                                  </w:r>
                                </w:p>
                              </w:tc>
                              <w:tc>
                                <w:tcPr>
                                  <w:tcW w:w="851" w:type="dxa"/>
                                  <w:tcBorders>
                                    <w:bottom w:val="single" w:sz="4" w:space="0" w:color="auto"/>
                                  </w:tcBorders>
                                </w:tcPr>
                                <w:p w14:paraId="375EC3E6" w14:textId="77777777" w:rsidR="00341C1A" w:rsidRDefault="00341C1A">
                                  <w:pPr>
                                    <w:rPr>
                                      <w:rFonts w:ascii="Arial" w:hAnsi="Arial" w:cs="Arial"/>
                                      <w:sz w:val="20"/>
                                    </w:rPr>
                                  </w:pPr>
                                  <w:r>
                                    <w:rPr>
                                      <w:rFonts w:ascii="Arial" w:hAnsi="Arial" w:cs="Arial"/>
                                      <w:sz w:val="20"/>
                                    </w:rPr>
                                    <w:t>198</w:t>
                                  </w:r>
                                </w:p>
                              </w:tc>
                              <w:tc>
                                <w:tcPr>
                                  <w:tcW w:w="709" w:type="dxa"/>
                                  <w:tcBorders>
                                    <w:bottom w:val="single" w:sz="4" w:space="0" w:color="auto"/>
                                  </w:tcBorders>
                                </w:tcPr>
                                <w:p w14:paraId="375EC3E7" w14:textId="77777777" w:rsidR="00341C1A" w:rsidRDefault="00341C1A">
                                  <w:pPr>
                                    <w:rPr>
                                      <w:rFonts w:ascii="Arial" w:hAnsi="Arial" w:cs="Arial"/>
                                      <w:sz w:val="20"/>
                                    </w:rPr>
                                  </w:pPr>
                                  <w:r>
                                    <w:rPr>
                                      <w:rFonts w:ascii="Arial" w:hAnsi="Arial" w:cs="Arial"/>
                                      <w:sz w:val="20"/>
                                    </w:rPr>
                                    <w:t>50</w:t>
                                  </w:r>
                                </w:p>
                              </w:tc>
                              <w:tc>
                                <w:tcPr>
                                  <w:tcW w:w="850" w:type="dxa"/>
                                  <w:tcBorders>
                                    <w:bottom w:val="single" w:sz="4" w:space="0" w:color="auto"/>
                                  </w:tcBorders>
                                </w:tcPr>
                                <w:p w14:paraId="375EC3E8" w14:textId="77777777" w:rsidR="00341C1A" w:rsidRDefault="00341C1A">
                                  <w:pPr>
                                    <w:rPr>
                                      <w:rFonts w:ascii="Arial" w:hAnsi="Arial" w:cs="Arial"/>
                                      <w:sz w:val="20"/>
                                    </w:rPr>
                                  </w:pPr>
                                  <w:r>
                                    <w:rPr>
                                      <w:rFonts w:ascii="Arial" w:hAnsi="Arial" w:cs="Arial"/>
                                      <w:sz w:val="20"/>
                                    </w:rPr>
                                    <w:t>148</w:t>
                                  </w:r>
                                </w:p>
                              </w:tc>
                            </w:tr>
                            <w:tr w:rsidR="00341C1A" w14:paraId="375EC3EF" w14:textId="77777777">
                              <w:tc>
                                <w:tcPr>
                                  <w:tcW w:w="817" w:type="dxa"/>
                                </w:tcPr>
                                <w:p w14:paraId="375EC3EA" w14:textId="77777777" w:rsidR="00341C1A" w:rsidRDefault="00341C1A">
                                  <w:pPr>
                                    <w:rPr>
                                      <w:rFonts w:ascii="Arial" w:hAnsi="Arial" w:cs="Arial"/>
                                      <w:sz w:val="20"/>
                                    </w:rPr>
                                  </w:pPr>
                                  <w:r>
                                    <w:rPr>
                                      <w:rFonts w:ascii="Arial" w:hAnsi="Arial" w:cs="Arial"/>
                                      <w:sz w:val="20"/>
                                    </w:rPr>
                                    <w:t>│││</w:t>
                                  </w:r>
                                </w:p>
                              </w:tc>
                              <w:tc>
                                <w:tcPr>
                                  <w:tcW w:w="2693" w:type="dxa"/>
                                  <w:gridSpan w:val="2"/>
                                </w:tcPr>
                                <w:p w14:paraId="375EC3EB" w14:textId="77777777" w:rsidR="00341C1A" w:rsidRDefault="00341C1A">
                                  <w:pPr>
                                    <w:rPr>
                                      <w:rFonts w:ascii="Arial" w:hAnsi="Arial" w:cs="Arial"/>
                                      <w:sz w:val="20"/>
                                    </w:rPr>
                                  </w:pPr>
                                  <w:r>
                                    <w:rPr>
                                      <w:rFonts w:ascii="Arial" w:hAnsi="Arial" w:cs="Arial"/>
                                      <w:sz w:val="20"/>
                                      <w:lang w:val="en-US"/>
                                    </w:rPr>
                                    <w:t>Observações censuradas</w:t>
                                  </w:r>
                                </w:p>
                              </w:tc>
                              <w:tc>
                                <w:tcPr>
                                  <w:tcW w:w="851" w:type="dxa"/>
                                  <w:tcBorders>
                                    <w:top w:val="single" w:sz="4" w:space="0" w:color="auto"/>
                                  </w:tcBorders>
                                </w:tcPr>
                                <w:p w14:paraId="375EC3EC" w14:textId="77777777" w:rsidR="00341C1A" w:rsidRDefault="00341C1A">
                                  <w:pPr>
                                    <w:rPr>
                                      <w:rFonts w:ascii="Arial" w:hAnsi="Arial" w:cs="Arial"/>
                                      <w:sz w:val="20"/>
                                    </w:rPr>
                                  </w:pPr>
                                </w:p>
                              </w:tc>
                              <w:tc>
                                <w:tcPr>
                                  <w:tcW w:w="709" w:type="dxa"/>
                                  <w:tcBorders>
                                    <w:top w:val="single" w:sz="4" w:space="0" w:color="auto"/>
                                  </w:tcBorders>
                                </w:tcPr>
                                <w:p w14:paraId="375EC3ED" w14:textId="77777777" w:rsidR="00341C1A" w:rsidRDefault="00341C1A">
                                  <w:pPr>
                                    <w:rPr>
                                      <w:rFonts w:ascii="Arial" w:hAnsi="Arial" w:cs="Arial"/>
                                      <w:sz w:val="20"/>
                                    </w:rPr>
                                  </w:pPr>
                                </w:p>
                              </w:tc>
                              <w:tc>
                                <w:tcPr>
                                  <w:tcW w:w="850" w:type="dxa"/>
                                  <w:tcBorders>
                                    <w:top w:val="single" w:sz="4" w:space="0" w:color="auto"/>
                                  </w:tcBorders>
                                </w:tcPr>
                                <w:p w14:paraId="375EC3EE" w14:textId="77777777" w:rsidR="00341C1A" w:rsidRDefault="00341C1A">
                                  <w:pPr>
                                    <w:rPr>
                                      <w:rFonts w:ascii="Arial" w:hAnsi="Arial" w:cs="Arial"/>
                                      <w:sz w:val="20"/>
                                    </w:rPr>
                                  </w:pPr>
                                </w:p>
                              </w:tc>
                            </w:tr>
                          </w:tbl>
                          <w:p w14:paraId="375EC3F0" w14:textId="77777777" w:rsidR="00341C1A" w:rsidRDefault="00341C1A" w:rsidP="00C91F25">
                            <w:pPr>
                              <w:rPr>
                                <w:rFonts w:ascii="Arial" w:hAnsi="Arial" w:cs="Arial"/>
                                <w:sz w:val="20"/>
                              </w:rPr>
                            </w:pPr>
                          </w:p>
                          <w:p w14:paraId="375EC3F1" w14:textId="77777777" w:rsidR="00341C1A" w:rsidRDefault="00341C1A" w:rsidP="00C91F25">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5EC373" id="_x0000_s1034" type="#_x0000_t202" style="position:absolute;margin-left:27.6pt;margin-top:103.25pt;width:361.05pt;height:9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" filled="f" stroked="f">
                <v:textbox>
                  <w:txbxContent>
                    <w:tbl>
                      <w:tblPr>
                        <w:tblW w:w="0" w:type="auto"/>
                        <w:tblLook w:val="04A0" w:firstRow="1" w:lastRow="0" w:firstColumn="1" w:lastColumn="0" w:noHBand="0" w:noVBand="1"/>
                      </w:tblPr>
                      <w:tblGrid>
                        <w:gridCol w:w="817"/>
                        <w:gridCol w:w="2464"/>
                        <w:gridCol w:w="229"/>
                        <w:gridCol w:w="851"/>
                        <w:gridCol w:w="709"/>
                        <w:gridCol w:w="850"/>
                      </w:tblGrid>
                      <w:tr w:rsidR="00341C1A" w14:paraId="375EC3D7" w14:textId="77777777">
                        <w:trPr>
                          <w:gridAfter w:val="4"/>
                          <w:wAfter w:w="2639" w:type="dxa"/>
                        </w:trPr>
                        <w:tc>
                          <w:tcPr>
                            <w:tcW w:w="3281" w:type="dxa"/>
                            <w:gridSpan w:val="2"/>
                          </w:tcPr>
                          <w:p w14:paraId="375EC3D4" w14:textId="77777777" w:rsidR="00341C1A" w:rsidRDefault="00341C1A">
                            <w:pPr>
                              <w:rPr>
                                <w:rFonts w:ascii="Arial" w:hAnsi="Arial" w:cs="Arial"/>
                                <w:sz w:val="20"/>
                              </w:rPr>
                            </w:pPr>
                            <w:r>
                              <w:rPr>
                                <w:rFonts w:ascii="Arial" w:hAnsi="Arial" w:cs="Arial"/>
                                <w:sz w:val="20"/>
                              </w:rPr>
                              <w:t>P &lt; 0,0001</w:t>
                            </w:r>
                          </w:p>
                          <w:p w14:paraId="375EC3D5" w14:textId="77777777" w:rsidR="00341C1A" w:rsidRDefault="00341C1A">
                            <w:pPr>
                              <w:rPr>
                                <w:rFonts w:ascii="Arial" w:hAnsi="Arial" w:cs="Arial"/>
                                <w:sz w:val="20"/>
                              </w:rPr>
                            </w:pPr>
                            <w:r>
                              <w:rPr>
                                <w:rFonts w:ascii="Arial" w:hAnsi="Arial" w:cs="Arial"/>
                                <w:sz w:val="20"/>
                                <w:lang w:val="es-ES"/>
                              </w:rPr>
                              <w:t>Taxa de risco</w:t>
                            </w:r>
                            <w:r>
                              <w:rPr>
                                <w:rFonts w:ascii="Arial" w:hAnsi="Arial" w:cs="Arial"/>
                                <w:sz w:val="20"/>
                              </w:rPr>
                              <w:t xml:space="preserve"> 0,46</w:t>
                            </w:r>
                          </w:p>
                          <w:p w14:paraId="375EC3D6" w14:textId="77777777" w:rsidR="00341C1A" w:rsidRDefault="00341C1A">
                            <w:pPr>
                              <w:rPr>
                                <w:rFonts w:ascii="Arial" w:hAnsi="Arial" w:cs="Arial"/>
                                <w:sz w:val="20"/>
                                <w:lang w:val="es-ES"/>
                              </w:rPr>
                            </w:pPr>
                            <w:r>
                              <w:rPr>
                                <w:rFonts w:ascii="Arial" w:hAnsi="Arial" w:cs="Arial"/>
                                <w:sz w:val="20"/>
                              </w:rPr>
                              <w:t>(95% IC, 0,32</w:t>
                            </w:r>
                            <w:r>
                              <w:rPr>
                                <w:rFonts w:ascii="Arial" w:hAnsi="Arial" w:cs="Arial"/>
                                <w:sz w:val="20"/>
                              </w:rPr>
                              <w:noBreakHyphen/>
                              <w:t>0,65)</w:t>
                            </w:r>
                          </w:p>
                        </w:tc>
                      </w:tr>
                      <w:tr w:rsidR="00341C1A" w14:paraId="375EC3DD" w14:textId="77777777">
                        <w:tc>
                          <w:tcPr>
                            <w:tcW w:w="817" w:type="dxa"/>
                          </w:tcPr>
                          <w:p w14:paraId="375EC3D8" w14:textId="77777777" w:rsidR="00341C1A" w:rsidRDefault="00341C1A">
                            <w:pPr>
                              <w:rPr>
                                <w:rFonts w:ascii="Arial" w:hAnsi="Arial" w:cs="Arial"/>
                                <w:sz w:val="20"/>
                              </w:rPr>
                            </w:pPr>
                          </w:p>
                        </w:tc>
                        <w:tc>
                          <w:tcPr>
                            <w:tcW w:w="2693" w:type="dxa"/>
                            <w:gridSpan w:val="2"/>
                          </w:tcPr>
                          <w:p w14:paraId="375EC3D9" w14:textId="77777777" w:rsidR="00341C1A" w:rsidRDefault="00341C1A">
                            <w:pPr>
                              <w:rPr>
                                <w:rFonts w:ascii="Arial" w:hAnsi="Arial" w:cs="Arial"/>
                                <w:sz w:val="20"/>
                              </w:rPr>
                            </w:pPr>
                          </w:p>
                        </w:tc>
                        <w:tc>
                          <w:tcPr>
                            <w:tcW w:w="851" w:type="dxa"/>
                            <w:tcBorders>
                              <w:bottom w:val="single" w:sz="4" w:space="0" w:color="auto"/>
                            </w:tcBorders>
                          </w:tcPr>
                          <w:p w14:paraId="375EC3DA" w14:textId="77777777" w:rsidR="00341C1A" w:rsidRDefault="00341C1A">
                            <w:pPr>
                              <w:rPr>
                                <w:rFonts w:ascii="Arial" w:hAnsi="Arial" w:cs="Arial"/>
                                <w:sz w:val="20"/>
                              </w:rPr>
                            </w:pPr>
                            <w:r>
                              <w:rPr>
                                <w:rFonts w:ascii="Arial" w:hAnsi="Arial" w:cs="Arial"/>
                                <w:sz w:val="20"/>
                                <w:lang w:val="de-DE"/>
                              </w:rPr>
                              <w:t>N</w:t>
                            </w:r>
                          </w:p>
                        </w:tc>
                        <w:tc>
                          <w:tcPr>
                            <w:tcW w:w="709" w:type="dxa"/>
                            <w:tcBorders>
                              <w:bottom w:val="single" w:sz="4" w:space="0" w:color="auto"/>
                            </w:tcBorders>
                          </w:tcPr>
                          <w:p w14:paraId="375EC3DB" w14:textId="77777777" w:rsidR="00341C1A" w:rsidRDefault="00341C1A">
                            <w:pPr>
                              <w:rPr>
                                <w:rFonts w:ascii="Arial" w:hAnsi="Arial" w:cs="Arial"/>
                                <w:sz w:val="20"/>
                              </w:rPr>
                            </w:pPr>
                            <w:r>
                              <w:rPr>
                                <w:rFonts w:ascii="Arial" w:hAnsi="Arial" w:cs="Arial"/>
                                <w:sz w:val="20"/>
                                <w:lang w:val="de-DE"/>
                              </w:rPr>
                              <w:t>Evt</w:t>
                            </w:r>
                          </w:p>
                        </w:tc>
                        <w:tc>
                          <w:tcPr>
                            <w:tcW w:w="850" w:type="dxa"/>
                            <w:tcBorders>
                              <w:bottom w:val="single" w:sz="4" w:space="0" w:color="auto"/>
                            </w:tcBorders>
                          </w:tcPr>
                          <w:p w14:paraId="375EC3DC" w14:textId="77777777" w:rsidR="00341C1A" w:rsidRDefault="00341C1A">
                            <w:pPr>
                              <w:rPr>
                                <w:rFonts w:ascii="Arial" w:hAnsi="Arial" w:cs="Arial"/>
                                <w:sz w:val="20"/>
                              </w:rPr>
                            </w:pPr>
                            <w:r>
                              <w:rPr>
                                <w:rFonts w:ascii="Arial" w:hAnsi="Arial" w:cs="Arial"/>
                                <w:sz w:val="20"/>
                                <w:lang w:val="de-DE"/>
                              </w:rPr>
                              <w:t>Cen</w:t>
                            </w:r>
                          </w:p>
                        </w:tc>
                      </w:tr>
                      <w:tr w:rsidR="00341C1A" w14:paraId="375EC3E3" w14:textId="77777777">
                        <w:tc>
                          <w:tcPr>
                            <w:tcW w:w="817" w:type="dxa"/>
                          </w:tcPr>
                          <w:p w14:paraId="375EC3DE" w14:textId="77777777" w:rsidR="00341C1A" w:rsidRDefault="00341C1A">
                            <w:pPr>
                              <w:rPr>
                                <w:rFonts w:ascii="Arial" w:hAnsi="Arial" w:cs="Arial"/>
                                <w:sz w:val="20"/>
                              </w:rPr>
                            </w:pPr>
                            <w:r>
                              <w:rPr>
                                <w:rFonts w:ascii="Arial" w:hAnsi="Arial" w:cs="Arial"/>
                                <w:b/>
                                <w:sz w:val="20"/>
                              </w:rPr>
                              <w:t>——</w:t>
                            </w:r>
                          </w:p>
                        </w:tc>
                        <w:tc>
                          <w:tcPr>
                            <w:tcW w:w="2693" w:type="dxa"/>
                            <w:gridSpan w:val="2"/>
                          </w:tcPr>
                          <w:p w14:paraId="375EC3DF" w14:textId="77777777" w:rsidR="00341C1A" w:rsidRDefault="00341C1A">
                            <w:pPr>
                              <w:rPr>
                                <w:rFonts w:ascii="Arial" w:hAnsi="Arial" w:cs="Arial"/>
                                <w:sz w:val="20"/>
                              </w:rPr>
                            </w:pPr>
                            <w:r>
                              <w:rPr>
                                <w:rFonts w:ascii="Arial" w:hAnsi="Arial" w:cs="Arial"/>
                                <w:sz w:val="20"/>
                              </w:rPr>
                              <w:t>(1) Imatinib 12 meses:</w:t>
                            </w:r>
                          </w:p>
                        </w:tc>
                        <w:tc>
                          <w:tcPr>
                            <w:tcW w:w="851" w:type="dxa"/>
                            <w:tcBorders>
                              <w:top w:val="single" w:sz="4" w:space="0" w:color="auto"/>
                            </w:tcBorders>
                          </w:tcPr>
                          <w:p w14:paraId="375EC3E0" w14:textId="77777777" w:rsidR="00341C1A" w:rsidRDefault="00341C1A">
                            <w:pPr>
                              <w:rPr>
                                <w:rFonts w:ascii="Arial" w:hAnsi="Arial" w:cs="Arial"/>
                                <w:sz w:val="20"/>
                              </w:rPr>
                            </w:pPr>
                            <w:r>
                              <w:rPr>
                                <w:rFonts w:ascii="Arial" w:hAnsi="Arial" w:cs="Arial"/>
                                <w:sz w:val="20"/>
                              </w:rPr>
                              <w:t>199</w:t>
                            </w:r>
                          </w:p>
                        </w:tc>
                        <w:tc>
                          <w:tcPr>
                            <w:tcW w:w="709" w:type="dxa"/>
                            <w:tcBorders>
                              <w:top w:val="single" w:sz="4" w:space="0" w:color="auto"/>
                            </w:tcBorders>
                          </w:tcPr>
                          <w:p w14:paraId="375EC3E1" w14:textId="77777777" w:rsidR="00341C1A" w:rsidRDefault="00341C1A">
                            <w:pPr>
                              <w:rPr>
                                <w:rFonts w:ascii="Arial" w:hAnsi="Arial" w:cs="Arial"/>
                                <w:sz w:val="20"/>
                              </w:rPr>
                            </w:pPr>
                            <w:r>
                              <w:rPr>
                                <w:rFonts w:ascii="Arial" w:hAnsi="Arial" w:cs="Arial"/>
                                <w:sz w:val="20"/>
                              </w:rPr>
                              <w:t>84</w:t>
                            </w:r>
                          </w:p>
                        </w:tc>
                        <w:tc>
                          <w:tcPr>
                            <w:tcW w:w="850" w:type="dxa"/>
                            <w:tcBorders>
                              <w:top w:val="single" w:sz="4" w:space="0" w:color="auto"/>
                            </w:tcBorders>
                          </w:tcPr>
                          <w:p w14:paraId="375EC3E2" w14:textId="77777777" w:rsidR="00341C1A" w:rsidRDefault="00341C1A">
                            <w:pPr>
                              <w:rPr>
                                <w:rFonts w:ascii="Arial" w:hAnsi="Arial" w:cs="Arial"/>
                                <w:sz w:val="20"/>
                              </w:rPr>
                            </w:pPr>
                            <w:r>
                              <w:rPr>
                                <w:rFonts w:ascii="Arial" w:hAnsi="Arial" w:cs="Arial"/>
                                <w:sz w:val="20"/>
                              </w:rPr>
                              <w:t>115</w:t>
                            </w:r>
                          </w:p>
                        </w:tc>
                      </w:tr>
                      <w:tr w:rsidR="00341C1A" w14:paraId="375EC3E9" w14:textId="77777777">
                        <w:tc>
                          <w:tcPr>
                            <w:tcW w:w="817" w:type="dxa"/>
                          </w:tcPr>
                          <w:p w14:paraId="375EC3E4" w14:textId="77777777" w:rsidR="00341C1A" w:rsidRDefault="00341C1A">
                            <w:pPr>
                              <w:rPr>
                                <w:rFonts w:ascii="Arial" w:hAnsi="Arial" w:cs="Arial"/>
                                <w:sz w:val="20"/>
                              </w:rPr>
                            </w:pPr>
                            <w:r>
                              <w:rPr>
                                <w:rFonts w:ascii="Arial" w:hAnsi="Arial" w:cs="Arial"/>
                                <w:sz w:val="20"/>
                              </w:rPr>
                              <w:t>-----</w:t>
                            </w:r>
                          </w:p>
                        </w:tc>
                        <w:tc>
                          <w:tcPr>
                            <w:tcW w:w="2693" w:type="dxa"/>
                            <w:gridSpan w:val="2"/>
                          </w:tcPr>
                          <w:p w14:paraId="375EC3E5" w14:textId="77777777" w:rsidR="00341C1A" w:rsidRDefault="00341C1A">
                            <w:pPr>
                              <w:rPr>
                                <w:rFonts w:ascii="Arial" w:hAnsi="Arial" w:cs="Arial"/>
                                <w:sz w:val="20"/>
                              </w:rPr>
                            </w:pPr>
                            <w:r>
                              <w:rPr>
                                <w:rFonts w:ascii="Arial" w:hAnsi="Arial" w:cs="Arial"/>
                                <w:sz w:val="20"/>
                              </w:rPr>
                              <w:t>(2) Imatinib 36 meses:</w:t>
                            </w:r>
                          </w:p>
                        </w:tc>
                        <w:tc>
                          <w:tcPr>
                            <w:tcW w:w="851" w:type="dxa"/>
                            <w:tcBorders>
                              <w:bottom w:val="single" w:sz="4" w:space="0" w:color="auto"/>
                            </w:tcBorders>
                          </w:tcPr>
                          <w:p w14:paraId="375EC3E6" w14:textId="77777777" w:rsidR="00341C1A" w:rsidRDefault="00341C1A">
                            <w:pPr>
                              <w:rPr>
                                <w:rFonts w:ascii="Arial" w:hAnsi="Arial" w:cs="Arial"/>
                                <w:sz w:val="20"/>
                              </w:rPr>
                            </w:pPr>
                            <w:r>
                              <w:rPr>
                                <w:rFonts w:ascii="Arial" w:hAnsi="Arial" w:cs="Arial"/>
                                <w:sz w:val="20"/>
                              </w:rPr>
                              <w:t>198</w:t>
                            </w:r>
                          </w:p>
                        </w:tc>
                        <w:tc>
                          <w:tcPr>
                            <w:tcW w:w="709" w:type="dxa"/>
                            <w:tcBorders>
                              <w:bottom w:val="single" w:sz="4" w:space="0" w:color="auto"/>
                            </w:tcBorders>
                          </w:tcPr>
                          <w:p w14:paraId="375EC3E7" w14:textId="77777777" w:rsidR="00341C1A" w:rsidRDefault="00341C1A">
                            <w:pPr>
                              <w:rPr>
                                <w:rFonts w:ascii="Arial" w:hAnsi="Arial" w:cs="Arial"/>
                                <w:sz w:val="20"/>
                              </w:rPr>
                            </w:pPr>
                            <w:r>
                              <w:rPr>
                                <w:rFonts w:ascii="Arial" w:hAnsi="Arial" w:cs="Arial"/>
                                <w:sz w:val="20"/>
                              </w:rPr>
                              <w:t>50</w:t>
                            </w:r>
                          </w:p>
                        </w:tc>
                        <w:tc>
                          <w:tcPr>
                            <w:tcW w:w="850" w:type="dxa"/>
                            <w:tcBorders>
                              <w:bottom w:val="single" w:sz="4" w:space="0" w:color="auto"/>
                            </w:tcBorders>
                          </w:tcPr>
                          <w:p w14:paraId="375EC3E8" w14:textId="77777777" w:rsidR="00341C1A" w:rsidRDefault="00341C1A">
                            <w:pPr>
                              <w:rPr>
                                <w:rFonts w:ascii="Arial" w:hAnsi="Arial" w:cs="Arial"/>
                                <w:sz w:val="20"/>
                              </w:rPr>
                            </w:pPr>
                            <w:r>
                              <w:rPr>
                                <w:rFonts w:ascii="Arial" w:hAnsi="Arial" w:cs="Arial"/>
                                <w:sz w:val="20"/>
                              </w:rPr>
                              <w:t>148</w:t>
                            </w:r>
                          </w:p>
                        </w:tc>
                      </w:tr>
                      <w:tr w:rsidR="00341C1A" w14:paraId="375EC3EF" w14:textId="77777777">
                        <w:tc>
                          <w:tcPr>
                            <w:tcW w:w="817" w:type="dxa"/>
                          </w:tcPr>
                          <w:p w14:paraId="375EC3EA" w14:textId="77777777" w:rsidR="00341C1A" w:rsidRDefault="00341C1A">
                            <w:pPr>
                              <w:rPr>
                                <w:rFonts w:ascii="Arial" w:hAnsi="Arial" w:cs="Arial"/>
                                <w:sz w:val="20"/>
                              </w:rPr>
                            </w:pPr>
                            <w:r>
                              <w:rPr>
                                <w:rFonts w:ascii="Arial" w:hAnsi="Arial" w:cs="Arial"/>
                                <w:sz w:val="20"/>
                              </w:rPr>
                              <w:t>│││</w:t>
                            </w:r>
                          </w:p>
                        </w:tc>
                        <w:tc>
                          <w:tcPr>
                            <w:tcW w:w="2693" w:type="dxa"/>
                            <w:gridSpan w:val="2"/>
                          </w:tcPr>
                          <w:p w14:paraId="375EC3EB" w14:textId="77777777" w:rsidR="00341C1A" w:rsidRDefault="00341C1A">
                            <w:pPr>
                              <w:rPr>
                                <w:rFonts w:ascii="Arial" w:hAnsi="Arial" w:cs="Arial"/>
                                <w:sz w:val="20"/>
                              </w:rPr>
                            </w:pPr>
                            <w:r>
                              <w:rPr>
                                <w:rFonts w:ascii="Arial" w:hAnsi="Arial" w:cs="Arial"/>
                                <w:sz w:val="20"/>
                                <w:lang w:val="en-US"/>
                              </w:rPr>
                              <w:t>Observações censuradas</w:t>
                            </w:r>
                          </w:p>
                        </w:tc>
                        <w:tc>
                          <w:tcPr>
                            <w:tcW w:w="851" w:type="dxa"/>
                            <w:tcBorders>
                              <w:top w:val="single" w:sz="4" w:space="0" w:color="auto"/>
                            </w:tcBorders>
                          </w:tcPr>
                          <w:p w14:paraId="375EC3EC" w14:textId="77777777" w:rsidR="00341C1A" w:rsidRDefault="00341C1A">
                            <w:pPr>
                              <w:rPr>
                                <w:rFonts w:ascii="Arial" w:hAnsi="Arial" w:cs="Arial"/>
                                <w:sz w:val="20"/>
                              </w:rPr>
                            </w:pPr>
                          </w:p>
                        </w:tc>
                        <w:tc>
                          <w:tcPr>
                            <w:tcW w:w="709" w:type="dxa"/>
                            <w:tcBorders>
                              <w:top w:val="single" w:sz="4" w:space="0" w:color="auto"/>
                            </w:tcBorders>
                          </w:tcPr>
                          <w:p w14:paraId="375EC3ED" w14:textId="77777777" w:rsidR="00341C1A" w:rsidRDefault="00341C1A">
                            <w:pPr>
                              <w:rPr>
                                <w:rFonts w:ascii="Arial" w:hAnsi="Arial" w:cs="Arial"/>
                                <w:sz w:val="20"/>
                              </w:rPr>
                            </w:pPr>
                          </w:p>
                        </w:tc>
                        <w:tc>
                          <w:tcPr>
                            <w:tcW w:w="850" w:type="dxa"/>
                            <w:tcBorders>
                              <w:top w:val="single" w:sz="4" w:space="0" w:color="auto"/>
                            </w:tcBorders>
                          </w:tcPr>
                          <w:p w14:paraId="375EC3EE" w14:textId="77777777" w:rsidR="00341C1A" w:rsidRDefault="00341C1A">
                            <w:pPr>
                              <w:rPr>
                                <w:rFonts w:ascii="Arial" w:hAnsi="Arial" w:cs="Arial"/>
                                <w:sz w:val="20"/>
                              </w:rPr>
                            </w:pPr>
                          </w:p>
                        </w:tc>
                      </w:tr>
                    </w:tbl>
                    <w:p w14:paraId="375EC3F0" w14:textId="77777777" w:rsidR="00341C1A" w:rsidRDefault="00341C1A" w:rsidP="00C91F25">
                      <w:pPr>
                        <w:rPr>
                          <w:rFonts w:ascii="Arial" w:hAnsi="Arial" w:cs="Arial"/>
                          <w:sz w:val="20"/>
                        </w:rPr>
                      </w:pPr>
                    </w:p>
                    <w:p w14:paraId="375EC3F1" w14:textId="77777777" w:rsidR="00341C1A" w:rsidRDefault="00341C1A" w:rsidP="00C91F25">
                      <w:pPr>
                        <w:rPr>
                          <w:rFonts w:ascii="Arial" w:hAnsi="Arial" w:cs="Arial"/>
                          <w:sz w:val="20"/>
                        </w:rPr>
                      </w:pPr>
                    </w:p>
                  </w:txbxContent>
                </v:textbox>
              </v:shape>
            </w:pict>
          </mc:Fallback>
        </mc:AlternateContent>
      </w:r>
      <w:r w:rsidRPr="00263DB9">
        <w:rPr>
          <w:noProof/>
          <w:lang w:val="en-GB" w:eastAsia="en-GB"/>
        </w:rPr>
        <w:drawing>
          <wp:inline distT="0" distB="0" distL="0" distR="0" wp14:anchorId="375EC375" wp14:editId="375EC376">
            <wp:extent cx="5937885" cy="267779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2677795"/>
                    </a:xfrm>
                    <a:prstGeom prst="rect">
                      <a:avLst/>
                    </a:prstGeom>
                    <a:noFill/>
                    <a:ln>
                      <a:noFill/>
                    </a:ln>
                  </pic:spPr>
                </pic:pic>
              </a:graphicData>
            </a:graphic>
          </wp:inline>
        </w:drawing>
      </w:r>
    </w:p>
    <w:p w14:paraId="375EB980" w14:textId="77777777" w:rsidR="00C91F25" w:rsidRPr="00263DB9" w:rsidRDefault="00C91F25" w:rsidP="00E51817">
      <w:pPr>
        <w:widowControl w:val="0"/>
        <w:suppressAutoHyphens/>
        <w:rPr>
          <w:color w:val="000000"/>
          <w:szCs w:val="22"/>
          <w:u w:val="single"/>
        </w:rPr>
      </w:pPr>
    </w:p>
    <w:p w14:paraId="375EB981" w14:textId="77777777" w:rsidR="00C91F25" w:rsidRPr="00263DB9" w:rsidRDefault="00C91F25" w:rsidP="00E51817">
      <w:pPr>
        <w:widowControl w:val="0"/>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C91F25" w:rsidRPr="00263DB9" w14:paraId="375EB983" w14:textId="77777777" w:rsidTr="00112A85">
        <w:tc>
          <w:tcPr>
            <w:tcW w:w="10599" w:type="dxa"/>
            <w:gridSpan w:val="16"/>
          </w:tcPr>
          <w:p w14:paraId="375EB982" w14:textId="77777777" w:rsidR="00C91F25" w:rsidRPr="00263DB9" w:rsidRDefault="00C91F25" w:rsidP="00E51817">
            <w:pPr>
              <w:widowControl w:val="0"/>
              <w:ind w:left="-27"/>
              <w:rPr>
                <w:rFonts w:ascii="Arial" w:hAnsi="Arial" w:cs="Arial"/>
                <w:sz w:val="16"/>
                <w:szCs w:val="16"/>
              </w:rPr>
            </w:pPr>
            <w:r w:rsidRPr="00263DB9">
              <w:rPr>
                <w:rFonts w:ascii="Arial" w:hAnsi="Arial" w:cs="Arial"/>
                <w:sz w:val="20"/>
              </w:rPr>
              <w:t>Em-risco : acontecimentos</w:t>
            </w:r>
          </w:p>
        </w:tc>
      </w:tr>
      <w:tr w:rsidR="00C91F25" w:rsidRPr="00263DB9" w14:paraId="375EB994" w14:textId="77777777" w:rsidTr="00112A85">
        <w:tc>
          <w:tcPr>
            <w:tcW w:w="450" w:type="dxa"/>
          </w:tcPr>
          <w:p w14:paraId="375EB984" w14:textId="77777777" w:rsidR="00C91F25" w:rsidRPr="00263DB9" w:rsidRDefault="00C91F25" w:rsidP="00E51817">
            <w:pPr>
              <w:widowControl w:val="0"/>
              <w:rPr>
                <w:sz w:val="18"/>
                <w:szCs w:val="18"/>
              </w:rPr>
            </w:pPr>
            <w:r w:rsidRPr="00263DB9">
              <w:rPr>
                <w:sz w:val="18"/>
                <w:szCs w:val="18"/>
              </w:rPr>
              <w:t>(1)</w:t>
            </w:r>
          </w:p>
        </w:tc>
        <w:tc>
          <w:tcPr>
            <w:tcW w:w="646" w:type="dxa"/>
          </w:tcPr>
          <w:p w14:paraId="375EB985" w14:textId="77777777" w:rsidR="00C91F25" w:rsidRPr="00263DB9" w:rsidRDefault="00C91F25" w:rsidP="00E51817">
            <w:pPr>
              <w:widowControl w:val="0"/>
              <w:ind w:left="-27"/>
              <w:rPr>
                <w:sz w:val="18"/>
                <w:szCs w:val="18"/>
              </w:rPr>
            </w:pPr>
            <w:r w:rsidRPr="00263DB9">
              <w:rPr>
                <w:sz w:val="18"/>
                <w:szCs w:val="18"/>
              </w:rPr>
              <w:t>199:0</w:t>
            </w:r>
          </w:p>
        </w:tc>
        <w:tc>
          <w:tcPr>
            <w:tcW w:w="645" w:type="dxa"/>
          </w:tcPr>
          <w:p w14:paraId="375EB986" w14:textId="77777777" w:rsidR="00C91F25" w:rsidRPr="00263DB9" w:rsidRDefault="00C91F25" w:rsidP="00E51817">
            <w:pPr>
              <w:widowControl w:val="0"/>
              <w:ind w:left="-27"/>
              <w:rPr>
                <w:sz w:val="18"/>
                <w:szCs w:val="18"/>
              </w:rPr>
            </w:pPr>
            <w:r w:rsidRPr="00263DB9">
              <w:rPr>
                <w:sz w:val="18"/>
                <w:szCs w:val="18"/>
              </w:rPr>
              <w:t>182:8</w:t>
            </w:r>
          </w:p>
        </w:tc>
        <w:tc>
          <w:tcPr>
            <w:tcW w:w="745" w:type="dxa"/>
          </w:tcPr>
          <w:p w14:paraId="375EB987" w14:textId="77777777" w:rsidR="00C91F25" w:rsidRPr="00263DB9" w:rsidRDefault="00C91F25" w:rsidP="00E51817">
            <w:pPr>
              <w:widowControl w:val="0"/>
              <w:ind w:left="-27"/>
              <w:rPr>
                <w:sz w:val="18"/>
                <w:szCs w:val="18"/>
              </w:rPr>
            </w:pPr>
            <w:r w:rsidRPr="00263DB9">
              <w:rPr>
                <w:sz w:val="18"/>
                <w:szCs w:val="18"/>
              </w:rPr>
              <w:t>177:12</w:t>
            </w:r>
          </w:p>
        </w:tc>
        <w:tc>
          <w:tcPr>
            <w:tcW w:w="745" w:type="dxa"/>
          </w:tcPr>
          <w:p w14:paraId="375EB988" w14:textId="77777777" w:rsidR="00C91F25" w:rsidRPr="00263DB9" w:rsidRDefault="00C91F25" w:rsidP="00E51817">
            <w:pPr>
              <w:widowControl w:val="0"/>
              <w:ind w:left="-27"/>
              <w:rPr>
                <w:sz w:val="18"/>
                <w:szCs w:val="18"/>
              </w:rPr>
            </w:pPr>
            <w:r w:rsidRPr="00263DB9">
              <w:rPr>
                <w:sz w:val="18"/>
                <w:szCs w:val="18"/>
              </w:rPr>
              <w:t>163:25</w:t>
            </w:r>
          </w:p>
        </w:tc>
        <w:tc>
          <w:tcPr>
            <w:tcW w:w="745" w:type="dxa"/>
          </w:tcPr>
          <w:p w14:paraId="375EB989" w14:textId="77777777" w:rsidR="00C91F25" w:rsidRPr="00263DB9" w:rsidRDefault="00C91F25" w:rsidP="00E51817">
            <w:pPr>
              <w:widowControl w:val="0"/>
              <w:ind w:left="-27"/>
              <w:rPr>
                <w:sz w:val="18"/>
                <w:szCs w:val="18"/>
              </w:rPr>
            </w:pPr>
            <w:r w:rsidRPr="00263DB9">
              <w:rPr>
                <w:sz w:val="18"/>
                <w:szCs w:val="18"/>
              </w:rPr>
              <w:t>137:46</w:t>
            </w:r>
          </w:p>
        </w:tc>
        <w:tc>
          <w:tcPr>
            <w:tcW w:w="752" w:type="dxa"/>
          </w:tcPr>
          <w:p w14:paraId="375EB98A" w14:textId="77777777" w:rsidR="00C91F25" w:rsidRPr="00263DB9" w:rsidRDefault="00C91F25" w:rsidP="00E51817">
            <w:pPr>
              <w:widowControl w:val="0"/>
              <w:ind w:left="-27"/>
              <w:rPr>
                <w:sz w:val="18"/>
                <w:szCs w:val="18"/>
              </w:rPr>
            </w:pPr>
            <w:r w:rsidRPr="00263DB9">
              <w:rPr>
                <w:sz w:val="18"/>
                <w:szCs w:val="18"/>
              </w:rPr>
              <w:t>105:65</w:t>
            </w:r>
          </w:p>
        </w:tc>
        <w:tc>
          <w:tcPr>
            <w:tcW w:w="745" w:type="dxa"/>
          </w:tcPr>
          <w:p w14:paraId="375EB98B" w14:textId="77777777" w:rsidR="00C91F25" w:rsidRPr="00263DB9" w:rsidRDefault="00C91F25" w:rsidP="00E51817">
            <w:pPr>
              <w:widowControl w:val="0"/>
              <w:ind w:left="-27"/>
              <w:rPr>
                <w:sz w:val="18"/>
                <w:szCs w:val="18"/>
              </w:rPr>
            </w:pPr>
            <w:r w:rsidRPr="00263DB9">
              <w:rPr>
                <w:sz w:val="18"/>
                <w:szCs w:val="18"/>
              </w:rPr>
              <w:t>88:72</w:t>
            </w:r>
          </w:p>
        </w:tc>
        <w:tc>
          <w:tcPr>
            <w:tcW w:w="745" w:type="dxa"/>
          </w:tcPr>
          <w:p w14:paraId="375EB98C" w14:textId="77777777" w:rsidR="00C91F25" w:rsidRPr="00263DB9" w:rsidRDefault="00C91F25" w:rsidP="00E51817">
            <w:pPr>
              <w:widowControl w:val="0"/>
              <w:ind w:left="-27"/>
              <w:rPr>
                <w:sz w:val="18"/>
                <w:szCs w:val="18"/>
              </w:rPr>
            </w:pPr>
            <w:r w:rsidRPr="00263DB9">
              <w:rPr>
                <w:sz w:val="18"/>
                <w:szCs w:val="18"/>
              </w:rPr>
              <w:t>61:77</w:t>
            </w:r>
          </w:p>
        </w:tc>
        <w:tc>
          <w:tcPr>
            <w:tcW w:w="652" w:type="dxa"/>
          </w:tcPr>
          <w:p w14:paraId="375EB98D" w14:textId="77777777" w:rsidR="00C91F25" w:rsidRPr="00263DB9" w:rsidRDefault="00C91F25" w:rsidP="00E51817">
            <w:pPr>
              <w:widowControl w:val="0"/>
              <w:ind w:left="-27"/>
              <w:rPr>
                <w:sz w:val="18"/>
                <w:szCs w:val="18"/>
              </w:rPr>
            </w:pPr>
            <w:r w:rsidRPr="00263DB9">
              <w:rPr>
                <w:sz w:val="18"/>
                <w:szCs w:val="18"/>
              </w:rPr>
              <w:t>49:81</w:t>
            </w:r>
          </w:p>
        </w:tc>
        <w:tc>
          <w:tcPr>
            <w:tcW w:w="652" w:type="dxa"/>
          </w:tcPr>
          <w:p w14:paraId="375EB98E" w14:textId="77777777" w:rsidR="00C91F25" w:rsidRPr="00263DB9" w:rsidRDefault="00C91F25" w:rsidP="00E51817">
            <w:pPr>
              <w:widowControl w:val="0"/>
              <w:ind w:left="-27"/>
              <w:rPr>
                <w:sz w:val="18"/>
                <w:szCs w:val="18"/>
              </w:rPr>
            </w:pPr>
            <w:r w:rsidRPr="00263DB9">
              <w:rPr>
                <w:sz w:val="18"/>
                <w:szCs w:val="18"/>
              </w:rPr>
              <w:t>36:83</w:t>
            </w:r>
          </w:p>
        </w:tc>
        <w:tc>
          <w:tcPr>
            <w:tcW w:w="649" w:type="dxa"/>
          </w:tcPr>
          <w:p w14:paraId="375EB98F" w14:textId="77777777" w:rsidR="00C91F25" w:rsidRPr="00263DB9" w:rsidRDefault="00C91F25" w:rsidP="00E51817">
            <w:pPr>
              <w:widowControl w:val="0"/>
              <w:ind w:left="-27"/>
              <w:rPr>
                <w:sz w:val="18"/>
                <w:szCs w:val="18"/>
              </w:rPr>
            </w:pPr>
            <w:r w:rsidRPr="00263DB9">
              <w:rPr>
                <w:sz w:val="18"/>
                <w:szCs w:val="18"/>
              </w:rPr>
              <w:t>27:84</w:t>
            </w:r>
          </w:p>
        </w:tc>
        <w:tc>
          <w:tcPr>
            <w:tcW w:w="660" w:type="dxa"/>
          </w:tcPr>
          <w:p w14:paraId="375EB990" w14:textId="77777777" w:rsidR="00C91F25" w:rsidRPr="00263DB9" w:rsidRDefault="00C91F25" w:rsidP="00E51817">
            <w:pPr>
              <w:widowControl w:val="0"/>
              <w:ind w:left="-27"/>
              <w:rPr>
                <w:sz w:val="18"/>
                <w:szCs w:val="18"/>
              </w:rPr>
            </w:pPr>
            <w:r w:rsidRPr="00263DB9">
              <w:rPr>
                <w:sz w:val="18"/>
                <w:szCs w:val="18"/>
              </w:rPr>
              <w:t>14:84</w:t>
            </w:r>
          </w:p>
        </w:tc>
        <w:tc>
          <w:tcPr>
            <w:tcW w:w="649" w:type="dxa"/>
          </w:tcPr>
          <w:p w14:paraId="375EB991" w14:textId="77777777" w:rsidR="00C91F25" w:rsidRPr="00263DB9" w:rsidRDefault="00C91F25" w:rsidP="00E51817">
            <w:pPr>
              <w:widowControl w:val="0"/>
              <w:ind w:left="-27"/>
              <w:rPr>
                <w:sz w:val="18"/>
                <w:szCs w:val="18"/>
              </w:rPr>
            </w:pPr>
            <w:r w:rsidRPr="00263DB9">
              <w:rPr>
                <w:sz w:val="18"/>
                <w:szCs w:val="18"/>
              </w:rPr>
              <w:t>10:84</w:t>
            </w:r>
          </w:p>
        </w:tc>
        <w:tc>
          <w:tcPr>
            <w:tcW w:w="564" w:type="dxa"/>
          </w:tcPr>
          <w:p w14:paraId="375EB992" w14:textId="77777777" w:rsidR="00C91F25" w:rsidRPr="00263DB9" w:rsidRDefault="00C91F25" w:rsidP="00E51817">
            <w:pPr>
              <w:widowControl w:val="0"/>
              <w:ind w:left="-27"/>
              <w:rPr>
                <w:sz w:val="18"/>
                <w:szCs w:val="18"/>
              </w:rPr>
            </w:pPr>
            <w:r w:rsidRPr="00263DB9">
              <w:rPr>
                <w:sz w:val="18"/>
                <w:szCs w:val="18"/>
              </w:rPr>
              <w:t>2:84</w:t>
            </w:r>
          </w:p>
        </w:tc>
        <w:tc>
          <w:tcPr>
            <w:tcW w:w="555" w:type="dxa"/>
          </w:tcPr>
          <w:p w14:paraId="375EB993" w14:textId="77777777" w:rsidR="00C91F25" w:rsidRPr="00263DB9" w:rsidRDefault="00C91F25" w:rsidP="00E51817">
            <w:pPr>
              <w:widowControl w:val="0"/>
              <w:ind w:left="-27"/>
              <w:rPr>
                <w:sz w:val="18"/>
                <w:szCs w:val="18"/>
              </w:rPr>
            </w:pPr>
            <w:r w:rsidRPr="00263DB9">
              <w:rPr>
                <w:sz w:val="18"/>
                <w:szCs w:val="18"/>
              </w:rPr>
              <w:t>0:84</w:t>
            </w:r>
          </w:p>
        </w:tc>
      </w:tr>
      <w:tr w:rsidR="00C91F25" w:rsidRPr="00263DB9" w14:paraId="375EB9A5" w14:textId="77777777" w:rsidTr="00112A85">
        <w:tc>
          <w:tcPr>
            <w:tcW w:w="450" w:type="dxa"/>
          </w:tcPr>
          <w:p w14:paraId="375EB995" w14:textId="77777777" w:rsidR="00C91F25" w:rsidRPr="00263DB9" w:rsidRDefault="00C91F25" w:rsidP="00E51817">
            <w:pPr>
              <w:widowControl w:val="0"/>
              <w:rPr>
                <w:sz w:val="18"/>
                <w:szCs w:val="18"/>
              </w:rPr>
            </w:pPr>
            <w:r w:rsidRPr="00263DB9">
              <w:rPr>
                <w:sz w:val="18"/>
                <w:szCs w:val="18"/>
              </w:rPr>
              <w:t>(2)</w:t>
            </w:r>
          </w:p>
        </w:tc>
        <w:tc>
          <w:tcPr>
            <w:tcW w:w="646" w:type="dxa"/>
          </w:tcPr>
          <w:p w14:paraId="375EB996" w14:textId="77777777" w:rsidR="00C91F25" w:rsidRPr="00263DB9" w:rsidRDefault="00C91F25" w:rsidP="00E51817">
            <w:pPr>
              <w:widowControl w:val="0"/>
              <w:ind w:left="-27"/>
              <w:rPr>
                <w:sz w:val="18"/>
                <w:szCs w:val="18"/>
              </w:rPr>
            </w:pPr>
            <w:r w:rsidRPr="00263DB9">
              <w:rPr>
                <w:sz w:val="18"/>
                <w:szCs w:val="18"/>
              </w:rPr>
              <w:t>198:0</w:t>
            </w:r>
          </w:p>
        </w:tc>
        <w:tc>
          <w:tcPr>
            <w:tcW w:w="645" w:type="dxa"/>
          </w:tcPr>
          <w:p w14:paraId="375EB997" w14:textId="77777777" w:rsidR="00C91F25" w:rsidRPr="00263DB9" w:rsidRDefault="00C91F25" w:rsidP="00E51817">
            <w:pPr>
              <w:widowControl w:val="0"/>
              <w:ind w:left="-27"/>
              <w:rPr>
                <w:sz w:val="18"/>
                <w:szCs w:val="18"/>
              </w:rPr>
            </w:pPr>
            <w:r w:rsidRPr="00263DB9">
              <w:rPr>
                <w:sz w:val="18"/>
                <w:szCs w:val="18"/>
              </w:rPr>
              <w:t>189:5</w:t>
            </w:r>
          </w:p>
        </w:tc>
        <w:tc>
          <w:tcPr>
            <w:tcW w:w="745" w:type="dxa"/>
          </w:tcPr>
          <w:p w14:paraId="375EB998" w14:textId="77777777" w:rsidR="00C91F25" w:rsidRPr="00263DB9" w:rsidRDefault="00C91F25" w:rsidP="00E51817">
            <w:pPr>
              <w:widowControl w:val="0"/>
              <w:ind w:left="-27"/>
              <w:rPr>
                <w:sz w:val="18"/>
                <w:szCs w:val="18"/>
              </w:rPr>
            </w:pPr>
            <w:r w:rsidRPr="00263DB9">
              <w:rPr>
                <w:sz w:val="18"/>
                <w:szCs w:val="18"/>
              </w:rPr>
              <w:t>184:8</w:t>
            </w:r>
          </w:p>
        </w:tc>
        <w:tc>
          <w:tcPr>
            <w:tcW w:w="745" w:type="dxa"/>
          </w:tcPr>
          <w:p w14:paraId="375EB999" w14:textId="77777777" w:rsidR="00C91F25" w:rsidRPr="00263DB9" w:rsidRDefault="00C91F25" w:rsidP="00E51817">
            <w:pPr>
              <w:widowControl w:val="0"/>
              <w:ind w:left="-27"/>
              <w:rPr>
                <w:sz w:val="18"/>
                <w:szCs w:val="18"/>
              </w:rPr>
            </w:pPr>
            <w:r w:rsidRPr="00263DB9">
              <w:rPr>
                <w:sz w:val="18"/>
                <w:szCs w:val="18"/>
              </w:rPr>
              <w:t>181:11</w:t>
            </w:r>
          </w:p>
        </w:tc>
        <w:tc>
          <w:tcPr>
            <w:tcW w:w="745" w:type="dxa"/>
          </w:tcPr>
          <w:p w14:paraId="375EB99A" w14:textId="77777777" w:rsidR="00C91F25" w:rsidRPr="00263DB9" w:rsidRDefault="00C91F25" w:rsidP="00E51817">
            <w:pPr>
              <w:widowControl w:val="0"/>
              <w:ind w:left="-27"/>
              <w:rPr>
                <w:sz w:val="18"/>
                <w:szCs w:val="18"/>
              </w:rPr>
            </w:pPr>
            <w:r w:rsidRPr="00263DB9">
              <w:rPr>
                <w:sz w:val="18"/>
                <w:szCs w:val="18"/>
              </w:rPr>
              <w:t>173:18</w:t>
            </w:r>
          </w:p>
        </w:tc>
        <w:tc>
          <w:tcPr>
            <w:tcW w:w="752" w:type="dxa"/>
          </w:tcPr>
          <w:p w14:paraId="375EB99B" w14:textId="77777777" w:rsidR="00C91F25" w:rsidRPr="00263DB9" w:rsidRDefault="00C91F25" w:rsidP="00E51817">
            <w:pPr>
              <w:widowControl w:val="0"/>
              <w:ind w:left="-27"/>
              <w:rPr>
                <w:sz w:val="18"/>
                <w:szCs w:val="18"/>
              </w:rPr>
            </w:pPr>
            <w:r w:rsidRPr="00263DB9">
              <w:rPr>
                <w:sz w:val="18"/>
                <w:szCs w:val="18"/>
              </w:rPr>
              <w:t>152:22</w:t>
            </w:r>
          </w:p>
        </w:tc>
        <w:tc>
          <w:tcPr>
            <w:tcW w:w="745" w:type="dxa"/>
          </w:tcPr>
          <w:p w14:paraId="375EB99C" w14:textId="77777777" w:rsidR="00C91F25" w:rsidRPr="00263DB9" w:rsidRDefault="00C91F25" w:rsidP="00E51817">
            <w:pPr>
              <w:widowControl w:val="0"/>
              <w:ind w:left="-27"/>
              <w:rPr>
                <w:sz w:val="18"/>
                <w:szCs w:val="18"/>
              </w:rPr>
            </w:pPr>
            <w:r w:rsidRPr="00263DB9">
              <w:rPr>
                <w:sz w:val="18"/>
                <w:szCs w:val="18"/>
              </w:rPr>
              <w:t>133:25</w:t>
            </w:r>
          </w:p>
        </w:tc>
        <w:tc>
          <w:tcPr>
            <w:tcW w:w="745" w:type="dxa"/>
          </w:tcPr>
          <w:p w14:paraId="375EB99D" w14:textId="77777777" w:rsidR="00C91F25" w:rsidRPr="00263DB9" w:rsidRDefault="00C91F25" w:rsidP="00E51817">
            <w:pPr>
              <w:widowControl w:val="0"/>
              <w:ind w:left="-27"/>
              <w:rPr>
                <w:sz w:val="18"/>
                <w:szCs w:val="18"/>
              </w:rPr>
            </w:pPr>
            <w:r w:rsidRPr="00263DB9">
              <w:rPr>
                <w:sz w:val="18"/>
                <w:szCs w:val="18"/>
              </w:rPr>
              <w:t>102:29</w:t>
            </w:r>
          </w:p>
        </w:tc>
        <w:tc>
          <w:tcPr>
            <w:tcW w:w="652" w:type="dxa"/>
          </w:tcPr>
          <w:p w14:paraId="375EB99E" w14:textId="77777777" w:rsidR="00C91F25" w:rsidRPr="00263DB9" w:rsidRDefault="00C91F25" w:rsidP="00E51817">
            <w:pPr>
              <w:widowControl w:val="0"/>
              <w:ind w:left="-27"/>
              <w:rPr>
                <w:sz w:val="18"/>
                <w:szCs w:val="18"/>
              </w:rPr>
            </w:pPr>
            <w:r w:rsidRPr="00263DB9">
              <w:rPr>
                <w:sz w:val="18"/>
                <w:szCs w:val="18"/>
              </w:rPr>
              <w:t>82:35</w:t>
            </w:r>
          </w:p>
        </w:tc>
        <w:tc>
          <w:tcPr>
            <w:tcW w:w="652" w:type="dxa"/>
          </w:tcPr>
          <w:p w14:paraId="375EB99F" w14:textId="77777777" w:rsidR="00C91F25" w:rsidRPr="00263DB9" w:rsidRDefault="00C91F25" w:rsidP="00E51817">
            <w:pPr>
              <w:widowControl w:val="0"/>
              <w:ind w:left="-27"/>
              <w:rPr>
                <w:sz w:val="18"/>
                <w:szCs w:val="18"/>
              </w:rPr>
            </w:pPr>
            <w:r w:rsidRPr="00263DB9">
              <w:rPr>
                <w:sz w:val="18"/>
                <w:szCs w:val="18"/>
              </w:rPr>
              <w:t>54:46</w:t>
            </w:r>
          </w:p>
        </w:tc>
        <w:tc>
          <w:tcPr>
            <w:tcW w:w="649" w:type="dxa"/>
          </w:tcPr>
          <w:p w14:paraId="375EB9A0" w14:textId="77777777" w:rsidR="00C91F25" w:rsidRPr="00263DB9" w:rsidRDefault="00C91F25" w:rsidP="00E51817">
            <w:pPr>
              <w:widowControl w:val="0"/>
              <w:ind w:left="-27"/>
              <w:rPr>
                <w:sz w:val="18"/>
                <w:szCs w:val="18"/>
              </w:rPr>
            </w:pPr>
            <w:r w:rsidRPr="00263DB9">
              <w:rPr>
                <w:sz w:val="18"/>
                <w:szCs w:val="18"/>
              </w:rPr>
              <w:t>39:47</w:t>
            </w:r>
          </w:p>
        </w:tc>
        <w:tc>
          <w:tcPr>
            <w:tcW w:w="660" w:type="dxa"/>
          </w:tcPr>
          <w:p w14:paraId="375EB9A1" w14:textId="77777777" w:rsidR="00C91F25" w:rsidRPr="00263DB9" w:rsidRDefault="00C91F25" w:rsidP="00E51817">
            <w:pPr>
              <w:widowControl w:val="0"/>
              <w:ind w:left="-27"/>
              <w:rPr>
                <w:sz w:val="18"/>
                <w:szCs w:val="18"/>
              </w:rPr>
            </w:pPr>
            <w:r w:rsidRPr="00263DB9">
              <w:rPr>
                <w:sz w:val="18"/>
                <w:szCs w:val="18"/>
              </w:rPr>
              <w:t>21:49</w:t>
            </w:r>
          </w:p>
        </w:tc>
        <w:tc>
          <w:tcPr>
            <w:tcW w:w="649" w:type="dxa"/>
          </w:tcPr>
          <w:p w14:paraId="375EB9A2" w14:textId="77777777" w:rsidR="00C91F25" w:rsidRPr="00263DB9" w:rsidRDefault="00C91F25" w:rsidP="00E51817">
            <w:pPr>
              <w:widowControl w:val="0"/>
              <w:ind w:left="-27"/>
              <w:rPr>
                <w:sz w:val="18"/>
                <w:szCs w:val="18"/>
              </w:rPr>
            </w:pPr>
            <w:r w:rsidRPr="00263DB9">
              <w:rPr>
                <w:sz w:val="18"/>
                <w:szCs w:val="18"/>
              </w:rPr>
              <w:t>8:50</w:t>
            </w:r>
          </w:p>
        </w:tc>
        <w:tc>
          <w:tcPr>
            <w:tcW w:w="564" w:type="dxa"/>
          </w:tcPr>
          <w:p w14:paraId="375EB9A3" w14:textId="77777777" w:rsidR="00C91F25" w:rsidRPr="00263DB9" w:rsidRDefault="00C91F25" w:rsidP="00E51817">
            <w:pPr>
              <w:widowControl w:val="0"/>
              <w:ind w:left="-27"/>
              <w:rPr>
                <w:sz w:val="18"/>
                <w:szCs w:val="18"/>
              </w:rPr>
            </w:pPr>
            <w:r w:rsidRPr="00263DB9">
              <w:rPr>
                <w:sz w:val="18"/>
                <w:szCs w:val="18"/>
              </w:rPr>
              <w:t>0:50</w:t>
            </w:r>
          </w:p>
        </w:tc>
        <w:tc>
          <w:tcPr>
            <w:tcW w:w="555" w:type="dxa"/>
          </w:tcPr>
          <w:p w14:paraId="375EB9A4" w14:textId="77777777" w:rsidR="00C91F25" w:rsidRPr="00263DB9" w:rsidRDefault="00C91F25" w:rsidP="00E51817">
            <w:pPr>
              <w:widowControl w:val="0"/>
              <w:ind w:left="-27"/>
              <w:rPr>
                <w:sz w:val="18"/>
                <w:szCs w:val="18"/>
              </w:rPr>
            </w:pPr>
          </w:p>
        </w:tc>
      </w:tr>
    </w:tbl>
    <w:p w14:paraId="375EB9A6" w14:textId="77777777" w:rsidR="00C91F25" w:rsidRPr="00263DB9" w:rsidRDefault="00C91F25" w:rsidP="00E51817">
      <w:pPr>
        <w:widowControl w:val="0"/>
        <w:suppressAutoHyphens/>
        <w:rPr>
          <w:color w:val="000000"/>
          <w:szCs w:val="22"/>
          <w:u w:val="single"/>
        </w:rPr>
      </w:pPr>
    </w:p>
    <w:p w14:paraId="375EB9A7" w14:textId="77777777" w:rsidR="00C91F25" w:rsidRPr="00263DB9" w:rsidRDefault="00C91F25" w:rsidP="008303F6">
      <w:pPr>
        <w:keepNext/>
        <w:keepLines/>
        <w:widowControl w:val="0"/>
        <w:ind w:left="1134" w:hanging="1134"/>
        <w:outlineLvl w:val="6"/>
        <w:rPr>
          <w:rFonts w:eastAsia="MS Mincho"/>
          <w:b/>
          <w:szCs w:val="22"/>
        </w:rPr>
      </w:pPr>
      <w:r w:rsidRPr="00263DB9">
        <w:rPr>
          <w:rFonts w:eastAsia="MS Mincho"/>
          <w:b/>
          <w:szCs w:val="22"/>
        </w:rPr>
        <w:lastRenderedPageBreak/>
        <w:t>Figura 2</w:t>
      </w:r>
      <w:r w:rsidRPr="00263DB9">
        <w:rPr>
          <w:rFonts w:eastAsia="MS Mincho"/>
          <w:b/>
          <w:szCs w:val="22"/>
        </w:rPr>
        <w:tab/>
        <w:t>Estimativa Kaplan-Meier para sobrevivência global (população intenção-para-tratar)</w:t>
      </w:r>
    </w:p>
    <w:p w14:paraId="375EB9A8" w14:textId="77777777" w:rsidR="00C91F25" w:rsidRPr="00263DB9" w:rsidRDefault="00C91F25" w:rsidP="00E51817">
      <w:pPr>
        <w:keepNext/>
        <w:widowControl w:val="0"/>
        <w:suppressAutoHyphens/>
        <w:ind w:left="1134" w:hanging="1134"/>
        <w:rPr>
          <w:color w:val="000000"/>
          <w:szCs w:val="22"/>
          <w:u w:val="single"/>
        </w:rPr>
      </w:pPr>
    </w:p>
    <w:p w14:paraId="375EB9A9" w14:textId="77777777" w:rsidR="00C91F25" w:rsidRPr="00263DB9" w:rsidRDefault="006B5399" w:rsidP="00E51817">
      <w:pPr>
        <w:widowControl w:val="0"/>
        <w:suppressAutoHyphens/>
        <w:rPr>
          <w:color w:val="000000"/>
          <w:szCs w:val="22"/>
          <w:u w:val="single"/>
        </w:rPr>
      </w:pPr>
      <w:r w:rsidRPr="00263DB9">
        <w:rPr>
          <w:noProof/>
          <w:lang w:val="en-GB" w:eastAsia="en-GB"/>
        </w:rPr>
        <mc:AlternateContent>
          <mc:Choice Requires="wps">
            <w:drawing>
              <wp:anchor distT="0" distB="0" distL="114300" distR="114300" simplePos="0" relativeHeight="251661312" behindDoc="0" locked="0" layoutInCell="1" allowOverlap="1" wp14:anchorId="375EC377" wp14:editId="375EC378">
                <wp:simplePos x="0" y="0"/>
                <wp:positionH relativeFrom="column">
                  <wp:posOffset>-202565</wp:posOffset>
                </wp:positionH>
                <wp:positionV relativeFrom="paragraph">
                  <wp:posOffset>90170</wp:posOffset>
                </wp:positionV>
                <wp:extent cx="335915" cy="223266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EC3F2" w14:textId="77777777" w:rsidR="00341C1A" w:rsidRDefault="00341C1A" w:rsidP="00C91F25">
                            <w:pPr>
                              <w:rPr>
                                <w:rFonts w:ascii="Arial" w:hAnsi="Arial" w:cs="Arial"/>
                                <w:sz w:val="20"/>
                              </w:rPr>
                            </w:pPr>
                            <w:r>
                              <w:rPr>
                                <w:rFonts w:ascii="Arial" w:hAnsi="Arial" w:cs="Arial"/>
                                <w:sz w:val="20"/>
                              </w:rPr>
                              <w:t>Probabilidade de sobrevivência total</w:t>
                            </w:r>
                          </w:p>
                          <w:p w14:paraId="375EC3F3" w14:textId="77777777" w:rsidR="00341C1A" w:rsidRDefault="00341C1A" w:rsidP="00C91F25">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5EC377" id="_x0000_s1035" type="#_x0000_t202" style="position:absolute;margin-left:-15.95pt;margin-top:7.1pt;width:26.45pt;height:1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4AFQ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" stroked="f">
                <v:fill opacity="0"/>
                <v:textbox style="layout-flow:vertical;mso-layout-flow-alt:bottom-to-top">
                  <w:txbxContent>
                    <w:p w14:paraId="375EC3F2" w14:textId="77777777" w:rsidR="00341C1A" w:rsidRDefault="00341C1A" w:rsidP="00C91F25">
                      <w:pPr>
                        <w:rPr>
                          <w:rFonts w:ascii="Arial" w:hAnsi="Arial" w:cs="Arial"/>
                          <w:sz w:val="20"/>
                        </w:rPr>
                      </w:pPr>
                      <w:r>
                        <w:rPr>
                          <w:rFonts w:ascii="Arial" w:hAnsi="Arial" w:cs="Arial"/>
                          <w:sz w:val="20"/>
                        </w:rPr>
                        <w:t>Probabilidade de sobrevivência total</w:t>
                      </w:r>
                    </w:p>
                    <w:p w14:paraId="375EC3F3" w14:textId="77777777" w:rsidR="00341C1A" w:rsidRDefault="00341C1A" w:rsidP="00C91F25">
                      <w:pPr>
                        <w:rPr>
                          <w:rFonts w:ascii="Arial" w:hAnsi="Arial" w:cs="Arial"/>
                          <w:sz w:val="20"/>
                        </w:rPr>
                      </w:pPr>
                    </w:p>
                  </w:txbxContent>
                </v:textbox>
              </v:shape>
            </w:pict>
          </mc:Fallback>
        </mc:AlternateContent>
      </w:r>
      <w:r w:rsidRPr="00263DB9">
        <w:rPr>
          <w:noProof/>
          <w:lang w:val="en-GB" w:eastAsia="en-GB"/>
        </w:rPr>
        <mc:AlternateContent>
          <mc:Choice Requires="wps">
            <w:drawing>
              <wp:anchor distT="0" distB="0" distL="114300" distR="114300" simplePos="0" relativeHeight="251662336" behindDoc="0" locked="0" layoutInCell="1" allowOverlap="1" wp14:anchorId="375EC379" wp14:editId="375EC37A">
                <wp:simplePos x="0" y="0"/>
                <wp:positionH relativeFrom="column">
                  <wp:posOffset>340995</wp:posOffset>
                </wp:positionH>
                <wp:positionV relativeFrom="paragraph">
                  <wp:posOffset>947420</wp:posOffset>
                </wp:positionV>
                <wp:extent cx="4585335" cy="14287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EC3F4" w14:textId="77777777" w:rsidR="00341C1A" w:rsidRDefault="00341C1A" w:rsidP="00C91F25">
                            <w:pPr>
                              <w:rPr>
                                <w:rFonts w:ascii="Arial" w:hAnsi="Arial" w:cs="Arial"/>
                                <w:sz w:val="20"/>
                              </w:rPr>
                            </w:pPr>
                          </w:p>
                          <w:tbl>
                            <w:tblPr>
                              <w:tblW w:w="0" w:type="auto"/>
                              <w:tblLook w:val="04A0" w:firstRow="1" w:lastRow="0" w:firstColumn="1" w:lastColumn="0" w:noHBand="0" w:noVBand="1"/>
                            </w:tblPr>
                            <w:tblGrid>
                              <w:gridCol w:w="817"/>
                              <w:gridCol w:w="2552"/>
                              <w:gridCol w:w="851"/>
                              <w:gridCol w:w="709"/>
                              <w:gridCol w:w="850"/>
                            </w:tblGrid>
                            <w:tr w:rsidR="00341C1A" w14:paraId="375EC3F8" w14:textId="77777777">
                              <w:tc>
                                <w:tcPr>
                                  <w:tcW w:w="5779" w:type="dxa"/>
                                  <w:gridSpan w:val="5"/>
                                </w:tcPr>
                                <w:p w14:paraId="375EC3F5" w14:textId="77777777" w:rsidR="00341C1A" w:rsidRDefault="00341C1A">
                                  <w:pPr>
                                    <w:rPr>
                                      <w:rFonts w:ascii="Arial" w:hAnsi="Arial" w:cs="Arial"/>
                                      <w:sz w:val="20"/>
                                    </w:rPr>
                                  </w:pPr>
                                  <w:r>
                                    <w:rPr>
                                      <w:rFonts w:ascii="Arial" w:hAnsi="Arial" w:cs="Arial"/>
                                      <w:sz w:val="20"/>
                                    </w:rPr>
                                    <w:t>P = 0,019</w:t>
                                  </w:r>
                                </w:p>
                                <w:p w14:paraId="375EC3F6" w14:textId="77777777" w:rsidR="00341C1A" w:rsidRDefault="00341C1A">
                                  <w:pPr>
                                    <w:rPr>
                                      <w:rFonts w:ascii="Arial" w:hAnsi="Arial" w:cs="Arial"/>
                                      <w:sz w:val="20"/>
                                      <w:lang w:val="es-ES"/>
                                    </w:rPr>
                                  </w:pPr>
                                  <w:r>
                                    <w:rPr>
                                      <w:rFonts w:ascii="Arial" w:hAnsi="Arial" w:cs="Arial"/>
                                      <w:sz w:val="20"/>
                                      <w:lang w:val="es-ES"/>
                                    </w:rPr>
                                    <w:t>Taxa de risco 0,45</w:t>
                                  </w:r>
                                </w:p>
                                <w:p w14:paraId="375EC3F7" w14:textId="77777777" w:rsidR="00341C1A" w:rsidRDefault="00341C1A">
                                  <w:pPr>
                                    <w:rPr>
                                      <w:rFonts w:ascii="Arial" w:hAnsi="Arial" w:cs="Arial"/>
                                      <w:sz w:val="20"/>
                                      <w:lang w:val="es-ES"/>
                                    </w:rPr>
                                  </w:pPr>
                                  <w:r>
                                    <w:rPr>
                                      <w:rFonts w:ascii="Arial" w:hAnsi="Arial" w:cs="Arial"/>
                                      <w:sz w:val="20"/>
                                      <w:lang w:val="es-ES"/>
                                    </w:rPr>
                                    <w:t>(95% IC, 0,22</w:t>
                                  </w:r>
                                  <w:r>
                                    <w:rPr>
                                      <w:rFonts w:ascii="Arial" w:hAnsi="Arial" w:cs="Arial"/>
                                      <w:sz w:val="20"/>
                                      <w:lang w:val="es-ES"/>
                                    </w:rPr>
                                    <w:noBreakHyphen/>
                                    <w:t>0,89)</w:t>
                                  </w:r>
                                </w:p>
                              </w:tc>
                            </w:tr>
                            <w:tr w:rsidR="00341C1A" w14:paraId="375EC3FE" w14:textId="77777777">
                              <w:tc>
                                <w:tcPr>
                                  <w:tcW w:w="817" w:type="dxa"/>
                                </w:tcPr>
                                <w:p w14:paraId="375EC3F9" w14:textId="77777777" w:rsidR="00341C1A" w:rsidRDefault="00341C1A">
                                  <w:pPr>
                                    <w:rPr>
                                      <w:rFonts w:ascii="Arial" w:hAnsi="Arial" w:cs="Arial"/>
                                      <w:sz w:val="20"/>
                                    </w:rPr>
                                  </w:pPr>
                                </w:p>
                              </w:tc>
                              <w:tc>
                                <w:tcPr>
                                  <w:tcW w:w="2552" w:type="dxa"/>
                                </w:tcPr>
                                <w:p w14:paraId="375EC3FA" w14:textId="77777777" w:rsidR="00341C1A" w:rsidRDefault="00341C1A">
                                  <w:pPr>
                                    <w:rPr>
                                      <w:rFonts w:ascii="Arial" w:hAnsi="Arial" w:cs="Arial"/>
                                      <w:sz w:val="20"/>
                                    </w:rPr>
                                  </w:pPr>
                                </w:p>
                              </w:tc>
                              <w:tc>
                                <w:tcPr>
                                  <w:tcW w:w="851" w:type="dxa"/>
                                  <w:tcBorders>
                                    <w:bottom w:val="single" w:sz="4" w:space="0" w:color="auto"/>
                                  </w:tcBorders>
                                </w:tcPr>
                                <w:p w14:paraId="375EC3FB" w14:textId="77777777" w:rsidR="00341C1A" w:rsidRDefault="00341C1A">
                                  <w:pPr>
                                    <w:rPr>
                                      <w:rFonts w:ascii="Arial" w:hAnsi="Arial" w:cs="Arial"/>
                                      <w:sz w:val="20"/>
                                    </w:rPr>
                                  </w:pPr>
                                  <w:r>
                                    <w:rPr>
                                      <w:rFonts w:ascii="Arial" w:hAnsi="Arial" w:cs="Arial"/>
                                      <w:sz w:val="20"/>
                                      <w:lang w:val="de-DE"/>
                                    </w:rPr>
                                    <w:t>N</w:t>
                                  </w:r>
                                </w:p>
                              </w:tc>
                              <w:tc>
                                <w:tcPr>
                                  <w:tcW w:w="709" w:type="dxa"/>
                                  <w:tcBorders>
                                    <w:bottom w:val="single" w:sz="4" w:space="0" w:color="auto"/>
                                  </w:tcBorders>
                                </w:tcPr>
                                <w:p w14:paraId="375EC3FC" w14:textId="77777777" w:rsidR="00341C1A" w:rsidRDefault="00341C1A">
                                  <w:pPr>
                                    <w:rPr>
                                      <w:rFonts w:ascii="Arial" w:hAnsi="Arial" w:cs="Arial"/>
                                      <w:sz w:val="20"/>
                                    </w:rPr>
                                  </w:pPr>
                                  <w:r>
                                    <w:rPr>
                                      <w:rFonts w:ascii="Arial" w:hAnsi="Arial" w:cs="Arial"/>
                                      <w:sz w:val="20"/>
                                      <w:lang w:val="de-DE"/>
                                    </w:rPr>
                                    <w:t>Evt</w:t>
                                  </w:r>
                                </w:p>
                              </w:tc>
                              <w:tc>
                                <w:tcPr>
                                  <w:tcW w:w="850" w:type="dxa"/>
                                  <w:tcBorders>
                                    <w:bottom w:val="single" w:sz="4" w:space="0" w:color="auto"/>
                                  </w:tcBorders>
                                </w:tcPr>
                                <w:p w14:paraId="375EC3FD" w14:textId="77777777" w:rsidR="00341C1A" w:rsidRDefault="00341C1A">
                                  <w:pPr>
                                    <w:rPr>
                                      <w:rFonts w:ascii="Arial" w:hAnsi="Arial" w:cs="Arial"/>
                                      <w:sz w:val="20"/>
                                    </w:rPr>
                                  </w:pPr>
                                  <w:r>
                                    <w:rPr>
                                      <w:rFonts w:ascii="Arial" w:hAnsi="Arial" w:cs="Arial"/>
                                      <w:sz w:val="20"/>
                                      <w:lang w:val="de-DE"/>
                                    </w:rPr>
                                    <w:t>Cen</w:t>
                                  </w:r>
                                </w:p>
                              </w:tc>
                            </w:tr>
                            <w:tr w:rsidR="00341C1A" w14:paraId="375EC404" w14:textId="77777777">
                              <w:tc>
                                <w:tcPr>
                                  <w:tcW w:w="817" w:type="dxa"/>
                                </w:tcPr>
                                <w:p w14:paraId="375EC3FF" w14:textId="77777777" w:rsidR="00341C1A" w:rsidRDefault="00341C1A">
                                  <w:pPr>
                                    <w:rPr>
                                      <w:rFonts w:ascii="Arial" w:hAnsi="Arial" w:cs="Arial"/>
                                      <w:sz w:val="20"/>
                                    </w:rPr>
                                  </w:pPr>
                                  <w:r>
                                    <w:rPr>
                                      <w:rFonts w:ascii="Arial" w:hAnsi="Arial" w:cs="Arial"/>
                                      <w:b/>
                                      <w:sz w:val="20"/>
                                    </w:rPr>
                                    <w:t>——</w:t>
                                  </w:r>
                                </w:p>
                              </w:tc>
                              <w:tc>
                                <w:tcPr>
                                  <w:tcW w:w="2552" w:type="dxa"/>
                                </w:tcPr>
                                <w:p w14:paraId="375EC400" w14:textId="77777777" w:rsidR="00341C1A" w:rsidRDefault="00341C1A">
                                  <w:pPr>
                                    <w:rPr>
                                      <w:rFonts w:ascii="Arial" w:hAnsi="Arial" w:cs="Arial"/>
                                      <w:sz w:val="20"/>
                                    </w:rPr>
                                  </w:pPr>
                                  <w:r>
                                    <w:rPr>
                                      <w:rFonts w:ascii="Arial" w:hAnsi="Arial" w:cs="Arial"/>
                                      <w:sz w:val="20"/>
                                    </w:rPr>
                                    <w:t>(1) Imatinib 12 meses:</w:t>
                                  </w:r>
                                </w:p>
                              </w:tc>
                              <w:tc>
                                <w:tcPr>
                                  <w:tcW w:w="851" w:type="dxa"/>
                                  <w:tcBorders>
                                    <w:top w:val="single" w:sz="4" w:space="0" w:color="auto"/>
                                  </w:tcBorders>
                                </w:tcPr>
                                <w:p w14:paraId="375EC401" w14:textId="77777777" w:rsidR="00341C1A" w:rsidRDefault="00341C1A">
                                  <w:pPr>
                                    <w:rPr>
                                      <w:rFonts w:ascii="Arial" w:hAnsi="Arial" w:cs="Arial"/>
                                      <w:sz w:val="20"/>
                                    </w:rPr>
                                  </w:pPr>
                                  <w:r>
                                    <w:rPr>
                                      <w:rFonts w:ascii="Arial" w:hAnsi="Arial" w:cs="Arial"/>
                                      <w:sz w:val="20"/>
                                    </w:rPr>
                                    <w:t>199</w:t>
                                  </w:r>
                                </w:p>
                              </w:tc>
                              <w:tc>
                                <w:tcPr>
                                  <w:tcW w:w="709" w:type="dxa"/>
                                  <w:tcBorders>
                                    <w:top w:val="single" w:sz="4" w:space="0" w:color="auto"/>
                                  </w:tcBorders>
                                </w:tcPr>
                                <w:p w14:paraId="375EC402" w14:textId="77777777" w:rsidR="00341C1A" w:rsidRDefault="00341C1A">
                                  <w:pPr>
                                    <w:rPr>
                                      <w:rFonts w:ascii="Arial" w:hAnsi="Arial" w:cs="Arial"/>
                                      <w:sz w:val="20"/>
                                    </w:rPr>
                                  </w:pPr>
                                  <w:r>
                                    <w:rPr>
                                      <w:rFonts w:ascii="Arial" w:hAnsi="Arial" w:cs="Arial"/>
                                      <w:sz w:val="20"/>
                                    </w:rPr>
                                    <w:t>25</w:t>
                                  </w:r>
                                </w:p>
                              </w:tc>
                              <w:tc>
                                <w:tcPr>
                                  <w:tcW w:w="850" w:type="dxa"/>
                                  <w:tcBorders>
                                    <w:top w:val="single" w:sz="4" w:space="0" w:color="auto"/>
                                  </w:tcBorders>
                                </w:tcPr>
                                <w:p w14:paraId="375EC403" w14:textId="77777777" w:rsidR="00341C1A" w:rsidRDefault="00341C1A">
                                  <w:pPr>
                                    <w:rPr>
                                      <w:rFonts w:ascii="Arial" w:hAnsi="Arial" w:cs="Arial"/>
                                      <w:sz w:val="20"/>
                                    </w:rPr>
                                  </w:pPr>
                                  <w:r>
                                    <w:rPr>
                                      <w:rFonts w:ascii="Arial" w:hAnsi="Arial" w:cs="Arial"/>
                                      <w:sz w:val="20"/>
                                    </w:rPr>
                                    <w:t>174</w:t>
                                  </w:r>
                                </w:p>
                              </w:tc>
                            </w:tr>
                            <w:tr w:rsidR="00341C1A" w14:paraId="375EC40A" w14:textId="77777777">
                              <w:tc>
                                <w:tcPr>
                                  <w:tcW w:w="817" w:type="dxa"/>
                                </w:tcPr>
                                <w:p w14:paraId="375EC405" w14:textId="77777777" w:rsidR="00341C1A" w:rsidRDefault="00341C1A">
                                  <w:pPr>
                                    <w:rPr>
                                      <w:rFonts w:ascii="Arial" w:hAnsi="Arial" w:cs="Arial"/>
                                      <w:sz w:val="20"/>
                                    </w:rPr>
                                  </w:pPr>
                                  <w:r>
                                    <w:rPr>
                                      <w:rFonts w:ascii="Arial" w:hAnsi="Arial" w:cs="Arial"/>
                                      <w:sz w:val="20"/>
                                    </w:rPr>
                                    <w:t>-----</w:t>
                                  </w:r>
                                </w:p>
                              </w:tc>
                              <w:tc>
                                <w:tcPr>
                                  <w:tcW w:w="2552" w:type="dxa"/>
                                </w:tcPr>
                                <w:p w14:paraId="375EC406" w14:textId="77777777" w:rsidR="00341C1A" w:rsidRDefault="00341C1A">
                                  <w:pPr>
                                    <w:rPr>
                                      <w:rFonts w:ascii="Arial" w:hAnsi="Arial" w:cs="Arial"/>
                                      <w:sz w:val="20"/>
                                    </w:rPr>
                                  </w:pPr>
                                  <w:r>
                                    <w:rPr>
                                      <w:rFonts w:ascii="Arial" w:hAnsi="Arial" w:cs="Arial"/>
                                      <w:sz w:val="20"/>
                                    </w:rPr>
                                    <w:t>(2) Imatinib 36 meses:</w:t>
                                  </w:r>
                                </w:p>
                              </w:tc>
                              <w:tc>
                                <w:tcPr>
                                  <w:tcW w:w="851" w:type="dxa"/>
                                  <w:tcBorders>
                                    <w:bottom w:val="single" w:sz="4" w:space="0" w:color="auto"/>
                                  </w:tcBorders>
                                </w:tcPr>
                                <w:p w14:paraId="375EC407" w14:textId="77777777" w:rsidR="00341C1A" w:rsidRDefault="00341C1A">
                                  <w:pPr>
                                    <w:rPr>
                                      <w:rFonts w:ascii="Arial" w:hAnsi="Arial" w:cs="Arial"/>
                                      <w:sz w:val="20"/>
                                    </w:rPr>
                                  </w:pPr>
                                  <w:r>
                                    <w:rPr>
                                      <w:rFonts w:ascii="Arial" w:hAnsi="Arial" w:cs="Arial"/>
                                      <w:sz w:val="20"/>
                                    </w:rPr>
                                    <w:t>198</w:t>
                                  </w:r>
                                </w:p>
                              </w:tc>
                              <w:tc>
                                <w:tcPr>
                                  <w:tcW w:w="709" w:type="dxa"/>
                                  <w:tcBorders>
                                    <w:bottom w:val="single" w:sz="4" w:space="0" w:color="auto"/>
                                  </w:tcBorders>
                                </w:tcPr>
                                <w:p w14:paraId="375EC408" w14:textId="77777777" w:rsidR="00341C1A" w:rsidRDefault="00341C1A">
                                  <w:pPr>
                                    <w:rPr>
                                      <w:rFonts w:ascii="Arial" w:hAnsi="Arial" w:cs="Arial"/>
                                      <w:sz w:val="20"/>
                                    </w:rPr>
                                  </w:pPr>
                                  <w:r>
                                    <w:rPr>
                                      <w:rFonts w:ascii="Arial" w:hAnsi="Arial" w:cs="Arial"/>
                                      <w:sz w:val="20"/>
                                    </w:rPr>
                                    <w:t>12</w:t>
                                  </w:r>
                                </w:p>
                              </w:tc>
                              <w:tc>
                                <w:tcPr>
                                  <w:tcW w:w="850" w:type="dxa"/>
                                  <w:tcBorders>
                                    <w:bottom w:val="single" w:sz="4" w:space="0" w:color="auto"/>
                                  </w:tcBorders>
                                </w:tcPr>
                                <w:p w14:paraId="375EC409" w14:textId="77777777" w:rsidR="00341C1A" w:rsidRDefault="00341C1A">
                                  <w:pPr>
                                    <w:rPr>
                                      <w:rFonts w:ascii="Arial" w:hAnsi="Arial" w:cs="Arial"/>
                                      <w:sz w:val="20"/>
                                    </w:rPr>
                                  </w:pPr>
                                  <w:r>
                                    <w:rPr>
                                      <w:rFonts w:ascii="Arial" w:hAnsi="Arial" w:cs="Arial"/>
                                      <w:sz w:val="20"/>
                                    </w:rPr>
                                    <w:t>186</w:t>
                                  </w:r>
                                </w:p>
                              </w:tc>
                            </w:tr>
                            <w:tr w:rsidR="00341C1A" w14:paraId="375EC410" w14:textId="77777777">
                              <w:tc>
                                <w:tcPr>
                                  <w:tcW w:w="817" w:type="dxa"/>
                                </w:tcPr>
                                <w:p w14:paraId="375EC40B" w14:textId="77777777" w:rsidR="00341C1A" w:rsidRDefault="00341C1A">
                                  <w:pPr>
                                    <w:rPr>
                                      <w:rFonts w:ascii="Arial" w:hAnsi="Arial" w:cs="Arial"/>
                                      <w:sz w:val="20"/>
                                    </w:rPr>
                                  </w:pPr>
                                  <w:r>
                                    <w:rPr>
                                      <w:rFonts w:ascii="Arial" w:hAnsi="Arial" w:cs="Arial"/>
                                      <w:sz w:val="20"/>
                                    </w:rPr>
                                    <w:t>│││</w:t>
                                  </w:r>
                                </w:p>
                              </w:tc>
                              <w:tc>
                                <w:tcPr>
                                  <w:tcW w:w="2552" w:type="dxa"/>
                                </w:tcPr>
                                <w:p w14:paraId="375EC40C" w14:textId="77777777" w:rsidR="00341C1A" w:rsidRDefault="00341C1A">
                                  <w:pPr>
                                    <w:rPr>
                                      <w:rFonts w:ascii="Arial" w:hAnsi="Arial" w:cs="Arial"/>
                                      <w:sz w:val="20"/>
                                    </w:rPr>
                                  </w:pPr>
                                  <w:r>
                                    <w:rPr>
                                      <w:rFonts w:ascii="Arial" w:hAnsi="Arial" w:cs="Arial"/>
                                      <w:sz w:val="20"/>
                                    </w:rPr>
                                    <w:t>Observações censuradas</w:t>
                                  </w:r>
                                </w:p>
                              </w:tc>
                              <w:tc>
                                <w:tcPr>
                                  <w:tcW w:w="851" w:type="dxa"/>
                                  <w:tcBorders>
                                    <w:top w:val="single" w:sz="4" w:space="0" w:color="auto"/>
                                  </w:tcBorders>
                                </w:tcPr>
                                <w:p w14:paraId="375EC40D" w14:textId="77777777" w:rsidR="00341C1A" w:rsidRDefault="00341C1A">
                                  <w:pPr>
                                    <w:rPr>
                                      <w:rFonts w:ascii="Arial" w:hAnsi="Arial" w:cs="Arial"/>
                                      <w:sz w:val="20"/>
                                    </w:rPr>
                                  </w:pPr>
                                </w:p>
                              </w:tc>
                              <w:tc>
                                <w:tcPr>
                                  <w:tcW w:w="709" w:type="dxa"/>
                                  <w:tcBorders>
                                    <w:top w:val="single" w:sz="4" w:space="0" w:color="auto"/>
                                  </w:tcBorders>
                                </w:tcPr>
                                <w:p w14:paraId="375EC40E" w14:textId="77777777" w:rsidR="00341C1A" w:rsidRDefault="00341C1A">
                                  <w:pPr>
                                    <w:rPr>
                                      <w:rFonts w:ascii="Arial" w:hAnsi="Arial" w:cs="Arial"/>
                                      <w:sz w:val="20"/>
                                    </w:rPr>
                                  </w:pPr>
                                </w:p>
                              </w:tc>
                              <w:tc>
                                <w:tcPr>
                                  <w:tcW w:w="850" w:type="dxa"/>
                                  <w:tcBorders>
                                    <w:top w:val="single" w:sz="4" w:space="0" w:color="auto"/>
                                  </w:tcBorders>
                                </w:tcPr>
                                <w:p w14:paraId="375EC40F" w14:textId="77777777" w:rsidR="00341C1A" w:rsidRDefault="00341C1A">
                                  <w:pPr>
                                    <w:rPr>
                                      <w:rFonts w:ascii="Arial" w:hAnsi="Arial" w:cs="Arial"/>
                                      <w:sz w:val="20"/>
                                    </w:rPr>
                                  </w:pPr>
                                </w:p>
                              </w:tc>
                            </w:tr>
                          </w:tbl>
                          <w:p w14:paraId="375EC411" w14:textId="77777777" w:rsidR="00341C1A" w:rsidRDefault="00341C1A" w:rsidP="00C91F25">
                            <w:pPr>
                              <w:rPr>
                                <w:rFonts w:ascii="Arial" w:hAnsi="Arial" w:cs="Arial"/>
                                <w:sz w:val="20"/>
                              </w:rPr>
                            </w:pPr>
                          </w:p>
                          <w:p w14:paraId="375EC412" w14:textId="77777777" w:rsidR="00341C1A" w:rsidRDefault="00341C1A" w:rsidP="00C91F25">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5EC379" id="_x0000_s1036" type="#_x0000_t202" style="position:absolute;margin-left:26.85pt;margin-top:74.6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" filled="f" stroked="f">
                <v:textbox>
                  <w:txbxContent>
                    <w:p w14:paraId="375EC3F4" w14:textId="77777777" w:rsidR="00341C1A" w:rsidRDefault="00341C1A" w:rsidP="00C91F25">
                      <w:pPr>
                        <w:rPr>
                          <w:rFonts w:ascii="Arial" w:hAnsi="Arial" w:cs="Arial"/>
                          <w:sz w:val="20"/>
                        </w:rPr>
                      </w:pPr>
                    </w:p>
                    <w:tbl>
                      <w:tblPr>
                        <w:tblW w:w="0" w:type="auto"/>
                        <w:tblLook w:val="04A0" w:firstRow="1" w:lastRow="0" w:firstColumn="1" w:lastColumn="0" w:noHBand="0" w:noVBand="1"/>
                      </w:tblPr>
                      <w:tblGrid>
                        <w:gridCol w:w="817"/>
                        <w:gridCol w:w="2552"/>
                        <w:gridCol w:w="851"/>
                        <w:gridCol w:w="709"/>
                        <w:gridCol w:w="850"/>
                      </w:tblGrid>
                      <w:tr w:rsidR="00341C1A" w14:paraId="375EC3F8" w14:textId="77777777">
                        <w:tc>
                          <w:tcPr>
                            <w:tcW w:w="5779" w:type="dxa"/>
                            <w:gridSpan w:val="5"/>
                          </w:tcPr>
                          <w:p w14:paraId="375EC3F5" w14:textId="77777777" w:rsidR="00341C1A" w:rsidRDefault="00341C1A">
                            <w:pPr>
                              <w:rPr>
                                <w:rFonts w:ascii="Arial" w:hAnsi="Arial" w:cs="Arial"/>
                                <w:sz w:val="20"/>
                              </w:rPr>
                            </w:pPr>
                            <w:r>
                              <w:rPr>
                                <w:rFonts w:ascii="Arial" w:hAnsi="Arial" w:cs="Arial"/>
                                <w:sz w:val="20"/>
                              </w:rPr>
                              <w:t>P = 0,019</w:t>
                            </w:r>
                          </w:p>
                          <w:p w14:paraId="375EC3F6" w14:textId="77777777" w:rsidR="00341C1A" w:rsidRDefault="00341C1A">
                            <w:pPr>
                              <w:rPr>
                                <w:rFonts w:ascii="Arial" w:hAnsi="Arial" w:cs="Arial"/>
                                <w:sz w:val="20"/>
                                <w:lang w:val="es-ES"/>
                              </w:rPr>
                            </w:pPr>
                            <w:r>
                              <w:rPr>
                                <w:rFonts w:ascii="Arial" w:hAnsi="Arial" w:cs="Arial"/>
                                <w:sz w:val="20"/>
                                <w:lang w:val="es-ES"/>
                              </w:rPr>
                              <w:t>Taxa de risco 0,45</w:t>
                            </w:r>
                          </w:p>
                          <w:p w14:paraId="375EC3F7" w14:textId="77777777" w:rsidR="00341C1A" w:rsidRDefault="00341C1A">
                            <w:pPr>
                              <w:rPr>
                                <w:rFonts w:ascii="Arial" w:hAnsi="Arial" w:cs="Arial"/>
                                <w:sz w:val="20"/>
                                <w:lang w:val="es-ES"/>
                              </w:rPr>
                            </w:pPr>
                            <w:r>
                              <w:rPr>
                                <w:rFonts w:ascii="Arial" w:hAnsi="Arial" w:cs="Arial"/>
                                <w:sz w:val="20"/>
                                <w:lang w:val="es-ES"/>
                              </w:rPr>
                              <w:t>(95% IC, 0,22</w:t>
                            </w:r>
                            <w:r>
                              <w:rPr>
                                <w:rFonts w:ascii="Arial" w:hAnsi="Arial" w:cs="Arial"/>
                                <w:sz w:val="20"/>
                                <w:lang w:val="es-ES"/>
                              </w:rPr>
                              <w:noBreakHyphen/>
                              <w:t>0,89)</w:t>
                            </w:r>
                          </w:p>
                        </w:tc>
                      </w:tr>
                      <w:tr w:rsidR="00341C1A" w14:paraId="375EC3FE" w14:textId="77777777">
                        <w:tc>
                          <w:tcPr>
                            <w:tcW w:w="817" w:type="dxa"/>
                          </w:tcPr>
                          <w:p w14:paraId="375EC3F9" w14:textId="77777777" w:rsidR="00341C1A" w:rsidRDefault="00341C1A">
                            <w:pPr>
                              <w:rPr>
                                <w:rFonts w:ascii="Arial" w:hAnsi="Arial" w:cs="Arial"/>
                                <w:sz w:val="20"/>
                              </w:rPr>
                            </w:pPr>
                          </w:p>
                        </w:tc>
                        <w:tc>
                          <w:tcPr>
                            <w:tcW w:w="2552" w:type="dxa"/>
                          </w:tcPr>
                          <w:p w14:paraId="375EC3FA" w14:textId="77777777" w:rsidR="00341C1A" w:rsidRDefault="00341C1A">
                            <w:pPr>
                              <w:rPr>
                                <w:rFonts w:ascii="Arial" w:hAnsi="Arial" w:cs="Arial"/>
                                <w:sz w:val="20"/>
                              </w:rPr>
                            </w:pPr>
                          </w:p>
                        </w:tc>
                        <w:tc>
                          <w:tcPr>
                            <w:tcW w:w="851" w:type="dxa"/>
                            <w:tcBorders>
                              <w:bottom w:val="single" w:sz="4" w:space="0" w:color="auto"/>
                            </w:tcBorders>
                          </w:tcPr>
                          <w:p w14:paraId="375EC3FB" w14:textId="77777777" w:rsidR="00341C1A" w:rsidRDefault="00341C1A">
                            <w:pPr>
                              <w:rPr>
                                <w:rFonts w:ascii="Arial" w:hAnsi="Arial" w:cs="Arial"/>
                                <w:sz w:val="20"/>
                              </w:rPr>
                            </w:pPr>
                            <w:r>
                              <w:rPr>
                                <w:rFonts w:ascii="Arial" w:hAnsi="Arial" w:cs="Arial"/>
                                <w:sz w:val="20"/>
                                <w:lang w:val="de-DE"/>
                              </w:rPr>
                              <w:t>N</w:t>
                            </w:r>
                          </w:p>
                        </w:tc>
                        <w:tc>
                          <w:tcPr>
                            <w:tcW w:w="709" w:type="dxa"/>
                            <w:tcBorders>
                              <w:bottom w:val="single" w:sz="4" w:space="0" w:color="auto"/>
                            </w:tcBorders>
                          </w:tcPr>
                          <w:p w14:paraId="375EC3FC" w14:textId="77777777" w:rsidR="00341C1A" w:rsidRDefault="00341C1A">
                            <w:pPr>
                              <w:rPr>
                                <w:rFonts w:ascii="Arial" w:hAnsi="Arial" w:cs="Arial"/>
                                <w:sz w:val="20"/>
                              </w:rPr>
                            </w:pPr>
                            <w:r>
                              <w:rPr>
                                <w:rFonts w:ascii="Arial" w:hAnsi="Arial" w:cs="Arial"/>
                                <w:sz w:val="20"/>
                                <w:lang w:val="de-DE"/>
                              </w:rPr>
                              <w:t>Evt</w:t>
                            </w:r>
                          </w:p>
                        </w:tc>
                        <w:tc>
                          <w:tcPr>
                            <w:tcW w:w="850" w:type="dxa"/>
                            <w:tcBorders>
                              <w:bottom w:val="single" w:sz="4" w:space="0" w:color="auto"/>
                            </w:tcBorders>
                          </w:tcPr>
                          <w:p w14:paraId="375EC3FD" w14:textId="77777777" w:rsidR="00341C1A" w:rsidRDefault="00341C1A">
                            <w:pPr>
                              <w:rPr>
                                <w:rFonts w:ascii="Arial" w:hAnsi="Arial" w:cs="Arial"/>
                                <w:sz w:val="20"/>
                              </w:rPr>
                            </w:pPr>
                            <w:r>
                              <w:rPr>
                                <w:rFonts w:ascii="Arial" w:hAnsi="Arial" w:cs="Arial"/>
                                <w:sz w:val="20"/>
                                <w:lang w:val="de-DE"/>
                              </w:rPr>
                              <w:t>Cen</w:t>
                            </w:r>
                          </w:p>
                        </w:tc>
                      </w:tr>
                      <w:tr w:rsidR="00341C1A" w14:paraId="375EC404" w14:textId="77777777">
                        <w:tc>
                          <w:tcPr>
                            <w:tcW w:w="817" w:type="dxa"/>
                          </w:tcPr>
                          <w:p w14:paraId="375EC3FF" w14:textId="77777777" w:rsidR="00341C1A" w:rsidRDefault="00341C1A">
                            <w:pPr>
                              <w:rPr>
                                <w:rFonts w:ascii="Arial" w:hAnsi="Arial" w:cs="Arial"/>
                                <w:sz w:val="20"/>
                              </w:rPr>
                            </w:pPr>
                            <w:r>
                              <w:rPr>
                                <w:rFonts w:ascii="Arial" w:hAnsi="Arial" w:cs="Arial"/>
                                <w:b/>
                                <w:sz w:val="20"/>
                              </w:rPr>
                              <w:t>——</w:t>
                            </w:r>
                          </w:p>
                        </w:tc>
                        <w:tc>
                          <w:tcPr>
                            <w:tcW w:w="2552" w:type="dxa"/>
                          </w:tcPr>
                          <w:p w14:paraId="375EC400" w14:textId="77777777" w:rsidR="00341C1A" w:rsidRDefault="00341C1A">
                            <w:pPr>
                              <w:rPr>
                                <w:rFonts w:ascii="Arial" w:hAnsi="Arial" w:cs="Arial"/>
                                <w:sz w:val="20"/>
                              </w:rPr>
                            </w:pPr>
                            <w:r>
                              <w:rPr>
                                <w:rFonts w:ascii="Arial" w:hAnsi="Arial" w:cs="Arial"/>
                                <w:sz w:val="20"/>
                              </w:rPr>
                              <w:t>(1) Imatinib 12 meses:</w:t>
                            </w:r>
                          </w:p>
                        </w:tc>
                        <w:tc>
                          <w:tcPr>
                            <w:tcW w:w="851" w:type="dxa"/>
                            <w:tcBorders>
                              <w:top w:val="single" w:sz="4" w:space="0" w:color="auto"/>
                            </w:tcBorders>
                          </w:tcPr>
                          <w:p w14:paraId="375EC401" w14:textId="77777777" w:rsidR="00341C1A" w:rsidRDefault="00341C1A">
                            <w:pPr>
                              <w:rPr>
                                <w:rFonts w:ascii="Arial" w:hAnsi="Arial" w:cs="Arial"/>
                                <w:sz w:val="20"/>
                              </w:rPr>
                            </w:pPr>
                            <w:r>
                              <w:rPr>
                                <w:rFonts w:ascii="Arial" w:hAnsi="Arial" w:cs="Arial"/>
                                <w:sz w:val="20"/>
                              </w:rPr>
                              <w:t>199</w:t>
                            </w:r>
                          </w:p>
                        </w:tc>
                        <w:tc>
                          <w:tcPr>
                            <w:tcW w:w="709" w:type="dxa"/>
                            <w:tcBorders>
                              <w:top w:val="single" w:sz="4" w:space="0" w:color="auto"/>
                            </w:tcBorders>
                          </w:tcPr>
                          <w:p w14:paraId="375EC402" w14:textId="77777777" w:rsidR="00341C1A" w:rsidRDefault="00341C1A">
                            <w:pPr>
                              <w:rPr>
                                <w:rFonts w:ascii="Arial" w:hAnsi="Arial" w:cs="Arial"/>
                                <w:sz w:val="20"/>
                              </w:rPr>
                            </w:pPr>
                            <w:r>
                              <w:rPr>
                                <w:rFonts w:ascii="Arial" w:hAnsi="Arial" w:cs="Arial"/>
                                <w:sz w:val="20"/>
                              </w:rPr>
                              <w:t>25</w:t>
                            </w:r>
                          </w:p>
                        </w:tc>
                        <w:tc>
                          <w:tcPr>
                            <w:tcW w:w="850" w:type="dxa"/>
                            <w:tcBorders>
                              <w:top w:val="single" w:sz="4" w:space="0" w:color="auto"/>
                            </w:tcBorders>
                          </w:tcPr>
                          <w:p w14:paraId="375EC403" w14:textId="77777777" w:rsidR="00341C1A" w:rsidRDefault="00341C1A">
                            <w:pPr>
                              <w:rPr>
                                <w:rFonts w:ascii="Arial" w:hAnsi="Arial" w:cs="Arial"/>
                                <w:sz w:val="20"/>
                              </w:rPr>
                            </w:pPr>
                            <w:r>
                              <w:rPr>
                                <w:rFonts w:ascii="Arial" w:hAnsi="Arial" w:cs="Arial"/>
                                <w:sz w:val="20"/>
                              </w:rPr>
                              <w:t>174</w:t>
                            </w:r>
                          </w:p>
                        </w:tc>
                      </w:tr>
                      <w:tr w:rsidR="00341C1A" w14:paraId="375EC40A" w14:textId="77777777">
                        <w:tc>
                          <w:tcPr>
                            <w:tcW w:w="817" w:type="dxa"/>
                          </w:tcPr>
                          <w:p w14:paraId="375EC405" w14:textId="77777777" w:rsidR="00341C1A" w:rsidRDefault="00341C1A">
                            <w:pPr>
                              <w:rPr>
                                <w:rFonts w:ascii="Arial" w:hAnsi="Arial" w:cs="Arial"/>
                                <w:sz w:val="20"/>
                              </w:rPr>
                            </w:pPr>
                            <w:r>
                              <w:rPr>
                                <w:rFonts w:ascii="Arial" w:hAnsi="Arial" w:cs="Arial"/>
                                <w:sz w:val="20"/>
                              </w:rPr>
                              <w:t>-----</w:t>
                            </w:r>
                          </w:p>
                        </w:tc>
                        <w:tc>
                          <w:tcPr>
                            <w:tcW w:w="2552" w:type="dxa"/>
                          </w:tcPr>
                          <w:p w14:paraId="375EC406" w14:textId="77777777" w:rsidR="00341C1A" w:rsidRDefault="00341C1A">
                            <w:pPr>
                              <w:rPr>
                                <w:rFonts w:ascii="Arial" w:hAnsi="Arial" w:cs="Arial"/>
                                <w:sz w:val="20"/>
                              </w:rPr>
                            </w:pPr>
                            <w:r>
                              <w:rPr>
                                <w:rFonts w:ascii="Arial" w:hAnsi="Arial" w:cs="Arial"/>
                                <w:sz w:val="20"/>
                              </w:rPr>
                              <w:t>(2) Imatinib 36 meses:</w:t>
                            </w:r>
                          </w:p>
                        </w:tc>
                        <w:tc>
                          <w:tcPr>
                            <w:tcW w:w="851" w:type="dxa"/>
                            <w:tcBorders>
                              <w:bottom w:val="single" w:sz="4" w:space="0" w:color="auto"/>
                            </w:tcBorders>
                          </w:tcPr>
                          <w:p w14:paraId="375EC407" w14:textId="77777777" w:rsidR="00341C1A" w:rsidRDefault="00341C1A">
                            <w:pPr>
                              <w:rPr>
                                <w:rFonts w:ascii="Arial" w:hAnsi="Arial" w:cs="Arial"/>
                                <w:sz w:val="20"/>
                              </w:rPr>
                            </w:pPr>
                            <w:r>
                              <w:rPr>
                                <w:rFonts w:ascii="Arial" w:hAnsi="Arial" w:cs="Arial"/>
                                <w:sz w:val="20"/>
                              </w:rPr>
                              <w:t>198</w:t>
                            </w:r>
                          </w:p>
                        </w:tc>
                        <w:tc>
                          <w:tcPr>
                            <w:tcW w:w="709" w:type="dxa"/>
                            <w:tcBorders>
                              <w:bottom w:val="single" w:sz="4" w:space="0" w:color="auto"/>
                            </w:tcBorders>
                          </w:tcPr>
                          <w:p w14:paraId="375EC408" w14:textId="77777777" w:rsidR="00341C1A" w:rsidRDefault="00341C1A">
                            <w:pPr>
                              <w:rPr>
                                <w:rFonts w:ascii="Arial" w:hAnsi="Arial" w:cs="Arial"/>
                                <w:sz w:val="20"/>
                              </w:rPr>
                            </w:pPr>
                            <w:r>
                              <w:rPr>
                                <w:rFonts w:ascii="Arial" w:hAnsi="Arial" w:cs="Arial"/>
                                <w:sz w:val="20"/>
                              </w:rPr>
                              <w:t>12</w:t>
                            </w:r>
                          </w:p>
                        </w:tc>
                        <w:tc>
                          <w:tcPr>
                            <w:tcW w:w="850" w:type="dxa"/>
                            <w:tcBorders>
                              <w:bottom w:val="single" w:sz="4" w:space="0" w:color="auto"/>
                            </w:tcBorders>
                          </w:tcPr>
                          <w:p w14:paraId="375EC409" w14:textId="77777777" w:rsidR="00341C1A" w:rsidRDefault="00341C1A">
                            <w:pPr>
                              <w:rPr>
                                <w:rFonts w:ascii="Arial" w:hAnsi="Arial" w:cs="Arial"/>
                                <w:sz w:val="20"/>
                              </w:rPr>
                            </w:pPr>
                            <w:r>
                              <w:rPr>
                                <w:rFonts w:ascii="Arial" w:hAnsi="Arial" w:cs="Arial"/>
                                <w:sz w:val="20"/>
                              </w:rPr>
                              <w:t>186</w:t>
                            </w:r>
                          </w:p>
                        </w:tc>
                      </w:tr>
                      <w:tr w:rsidR="00341C1A" w14:paraId="375EC410" w14:textId="77777777">
                        <w:tc>
                          <w:tcPr>
                            <w:tcW w:w="817" w:type="dxa"/>
                          </w:tcPr>
                          <w:p w14:paraId="375EC40B" w14:textId="77777777" w:rsidR="00341C1A" w:rsidRDefault="00341C1A">
                            <w:pPr>
                              <w:rPr>
                                <w:rFonts w:ascii="Arial" w:hAnsi="Arial" w:cs="Arial"/>
                                <w:sz w:val="20"/>
                              </w:rPr>
                            </w:pPr>
                            <w:r>
                              <w:rPr>
                                <w:rFonts w:ascii="Arial" w:hAnsi="Arial" w:cs="Arial"/>
                                <w:sz w:val="20"/>
                              </w:rPr>
                              <w:t>│││</w:t>
                            </w:r>
                          </w:p>
                        </w:tc>
                        <w:tc>
                          <w:tcPr>
                            <w:tcW w:w="2552" w:type="dxa"/>
                          </w:tcPr>
                          <w:p w14:paraId="375EC40C" w14:textId="77777777" w:rsidR="00341C1A" w:rsidRDefault="00341C1A">
                            <w:pPr>
                              <w:rPr>
                                <w:rFonts w:ascii="Arial" w:hAnsi="Arial" w:cs="Arial"/>
                                <w:sz w:val="20"/>
                              </w:rPr>
                            </w:pPr>
                            <w:r>
                              <w:rPr>
                                <w:rFonts w:ascii="Arial" w:hAnsi="Arial" w:cs="Arial"/>
                                <w:sz w:val="20"/>
                              </w:rPr>
                              <w:t>Observações censuradas</w:t>
                            </w:r>
                          </w:p>
                        </w:tc>
                        <w:tc>
                          <w:tcPr>
                            <w:tcW w:w="851" w:type="dxa"/>
                            <w:tcBorders>
                              <w:top w:val="single" w:sz="4" w:space="0" w:color="auto"/>
                            </w:tcBorders>
                          </w:tcPr>
                          <w:p w14:paraId="375EC40D" w14:textId="77777777" w:rsidR="00341C1A" w:rsidRDefault="00341C1A">
                            <w:pPr>
                              <w:rPr>
                                <w:rFonts w:ascii="Arial" w:hAnsi="Arial" w:cs="Arial"/>
                                <w:sz w:val="20"/>
                              </w:rPr>
                            </w:pPr>
                          </w:p>
                        </w:tc>
                        <w:tc>
                          <w:tcPr>
                            <w:tcW w:w="709" w:type="dxa"/>
                            <w:tcBorders>
                              <w:top w:val="single" w:sz="4" w:space="0" w:color="auto"/>
                            </w:tcBorders>
                          </w:tcPr>
                          <w:p w14:paraId="375EC40E" w14:textId="77777777" w:rsidR="00341C1A" w:rsidRDefault="00341C1A">
                            <w:pPr>
                              <w:rPr>
                                <w:rFonts w:ascii="Arial" w:hAnsi="Arial" w:cs="Arial"/>
                                <w:sz w:val="20"/>
                              </w:rPr>
                            </w:pPr>
                          </w:p>
                        </w:tc>
                        <w:tc>
                          <w:tcPr>
                            <w:tcW w:w="850" w:type="dxa"/>
                            <w:tcBorders>
                              <w:top w:val="single" w:sz="4" w:space="0" w:color="auto"/>
                            </w:tcBorders>
                          </w:tcPr>
                          <w:p w14:paraId="375EC40F" w14:textId="77777777" w:rsidR="00341C1A" w:rsidRDefault="00341C1A">
                            <w:pPr>
                              <w:rPr>
                                <w:rFonts w:ascii="Arial" w:hAnsi="Arial" w:cs="Arial"/>
                                <w:sz w:val="20"/>
                              </w:rPr>
                            </w:pPr>
                          </w:p>
                        </w:tc>
                      </w:tr>
                    </w:tbl>
                    <w:p w14:paraId="375EC411" w14:textId="77777777" w:rsidR="00341C1A" w:rsidRDefault="00341C1A" w:rsidP="00C91F25">
                      <w:pPr>
                        <w:rPr>
                          <w:rFonts w:ascii="Arial" w:hAnsi="Arial" w:cs="Arial"/>
                          <w:sz w:val="20"/>
                        </w:rPr>
                      </w:pPr>
                    </w:p>
                    <w:p w14:paraId="375EC412" w14:textId="77777777" w:rsidR="00341C1A" w:rsidRDefault="00341C1A" w:rsidP="00C91F25">
                      <w:pPr>
                        <w:rPr>
                          <w:rFonts w:ascii="Arial" w:hAnsi="Arial" w:cs="Arial"/>
                          <w:sz w:val="20"/>
                        </w:rPr>
                      </w:pPr>
                    </w:p>
                  </w:txbxContent>
                </v:textbox>
              </v:shape>
            </w:pict>
          </mc:Fallback>
        </mc:AlternateContent>
      </w:r>
      <w:r w:rsidRPr="00263DB9">
        <w:rPr>
          <w:noProof/>
          <w:lang w:val="en-GB" w:eastAsia="en-GB"/>
        </w:rPr>
        <w:drawing>
          <wp:inline distT="0" distB="0" distL="0" distR="0" wp14:anchorId="375EC37B" wp14:editId="375EC37C">
            <wp:extent cx="5949315" cy="263461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315" cy="2634615"/>
                    </a:xfrm>
                    <a:prstGeom prst="rect">
                      <a:avLst/>
                    </a:prstGeom>
                    <a:noFill/>
                    <a:ln>
                      <a:noFill/>
                    </a:ln>
                  </pic:spPr>
                </pic:pic>
              </a:graphicData>
            </a:graphic>
          </wp:inline>
        </w:drawing>
      </w:r>
    </w:p>
    <w:p w14:paraId="375EB9AA" w14:textId="77777777" w:rsidR="00C91F25" w:rsidRPr="00263DB9" w:rsidRDefault="006B5399" w:rsidP="00E51817">
      <w:pPr>
        <w:widowControl w:val="0"/>
        <w:suppressAutoHyphens/>
        <w:rPr>
          <w:color w:val="000000"/>
          <w:szCs w:val="22"/>
          <w:u w:val="single"/>
        </w:rPr>
      </w:pPr>
      <w:r w:rsidRPr="00263DB9">
        <w:rPr>
          <w:noProof/>
          <w:color w:val="000000"/>
          <w:szCs w:val="22"/>
          <w:u w:val="single"/>
          <w:lang w:val="en-GB" w:eastAsia="en-GB"/>
        </w:rPr>
        <mc:AlternateContent>
          <mc:Choice Requires="wps">
            <w:drawing>
              <wp:anchor distT="0" distB="0" distL="114300" distR="114300" simplePos="0" relativeHeight="251663360" behindDoc="0" locked="0" layoutInCell="1" allowOverlap="1" wp14:anchorId="375EC37D" wp14:editId="375EC37E">
                <wp:simplePos x="0" y="0"/>
                <wp:positionH relativeFrom="column">
                  <wp:posOffset>1947545</wp:posOffset>
                </wp:positionH>
                <wp:positionV relativeFrom="paragraph">
                  <wp:posOffset>46990</wp:posOffset>
                </wp:positionV>
                <wp:extent cx="2290445" cy="2197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0445" cy="219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EC413" w14:textId="77777777" w:rsidR="00341C1A" w:rsidRDefault="00341C1A" w:rsidP="00C91F25">
                            <w:pPr>
                              <w:rPr>
                                <w:rFonts w:ascii="Arial" w:hAnsi="Arial" w:cs="Arial"/>
                                <w:sz w:val="20"/>
                              </w:rPr>
                            </w:pPr>
                            <w:r>
                              <w:rPr>
                                <w:rFonts w:ascii="Arial" w:hAnsi="Arial" w:cs="Arial"/>
                                <w:sz w:val="20"/>
                                <w:lang w:val="es-ES"/>
                              </w:rPr>
                              <w:t>Tempo de sobrevivência em meses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5EC37D" id="_x0000_s1037" type="#_x0000_t202" style="position:absolute;margin-left:153.35pt;margin-top:3.7pt;width:180.35pt;height:1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" stroked="f">
                <v:fill opacity="0"/>
                <v:textbox>
                  <w:txbxContent>
                    <w:p w14:paraId="375EC413" w14:textId="77777777" w:rsidR="00341C1A" w:rsidRDefault="00341C1A" w:rsidP="00C91F25">
                      <w:pPr>
                        <w:rPr>
                          <w:rFonts w:ascii="Arial" w:hAnsi="Arial" w:cs="Arial"/>
                          <w:sz w:val="20"/>
                        </w:rPr>
                      </w:pPr>
                      <w:r>
                        <w:rPr>
                          <w:rFonts w:ascii="Arial" w:hAnsi="Arial" w:cs="Arial"/>
                          <w:sz w:val="20"/>
                          <w:lang w:val="es-ES"/>
                        </w:rPr>
                        <w:t>Tempo de sobrevivência em meses</w:t>
                      </w:r>
                    </w:p>
                  </w:txbxContent>
                </v:textbox>
              </v:shape>
            </w:pict>
          </mc:Fallback>
        </mc:AlternateContent>
      </w:r>
    </w:p>
    <w:p w14:paraId="375EB9AB" w14:textId="77777777" w:rsidR="00C91F25" w:rsidRPr="00263DB9" w:rsidRDefault="00C91F25" w:rsidP="00E51817">
      <w:pPr>
        <w:widowControl w:val="0"/>
        <w:suppressAutoHyphens/>
        <w:rPr>
          <w:color w:val="000000"/>
          <w:szCs w:val="22"/>
          <w:u w:val="single"/>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C91F25" w:rsidRPr="00263DB9" w14:paraId="375EB9AD" w14:textId="77777777" w:rsidTr="00112A85">
        <w:tc>
          <w:tcPr>
            <w:tcW w:w="10632" w:type="dxa"/>
            <w:gridSpan w:val="16"/>
          </w:tcPr>
          <w:p w14:paraId="375EB9AC" w14:textId="77777777" w:rsidR="00C91F25" w:rsidRPr="00263DB9" w:rsidRDefault="00C91F25" w:rsidP="00E51817">
            <w:pPr>
              <w:widowControl w:val="0"/>
              <w:ind w:left="-27"/>
              <w:rPr>
                <w:rFonts w:ascii="Arial" w:hAnsi="Arial" w:cs="Arial"/>
                <w:sz w:val="16"/>
                <w:szCs w:val="16"/>
              </w:rPr>
            </w:pPr>
            <w:r w:rsidRPr="00263DB9">
              <w:rPr>
                <w:rFonts w:ascii="Arial" w:hAnsi="Arial" w:cs="Arial"/>
                <w:sz w:val="20"/>
              </w:rPr>
              <w:t>Em-risco : acontecimentos</w:t>
            </w:r>
          </w:p>
        </w:tc>
      </w:tr>
      <w:tr w:rsidR="00C91F25" w:rsidRPr="00263DB9" w14:paraId="375EB9BE" w14:textId="77777777" w:rsidTr="00112A85">
        <w:tc>
          <w:tcPr>
            <w:tcW w:w="450" w:type="dxa"/>
          </w:tcPr>
          <w:p w14:paraId="375EB9AE" w14:textId="77777777" w:rsidR="00C91F25" w:rsidRPr="00263DB9" w:rsidRDefault="00C91F25" w:rsidP="00E51817">
            <w:pPr>
              <w:widowControl w:val="0"/>
              <w:rPr>
                <w:sz w:val="20"/>
              </w:rPr>
            </w:pPr>
            <w:r w:rsidRPr="00263DB9">
              <w:rPr>
                <w:sz w:val="20"/>
              </w:rPr>
              <w:t>(1)</w:t>
            </w:r>
          </w:p>
        </w:tc>
        <w:tc>
          <w:tcPr>
            <w:tcW w:w="687" w:type="dxa"/>
          </w:tcPr>
          <w:p w14:paraId="375EB9AF" w14:textId="77777777" w:rsidR="00C91F25" w:rsidRPr="00263DB9" w:rsidRDefault="00C91F25" w:rsidP="00E51817">
            <w:pPr>
              <w:widowControl w:val="0"/>
              <w:ind w:left="-45"/>
              <w:rPr>
                <w:sz w:val="20"/>
              </w:rPr>
            </w:pPr>
            <w:r w:rsidRPr="00263DB9">
              <w:rPr>
                <w:sz w:val="20"/>
              </w:rPr>
              <w:t>199:0</w:t>
            </w:r>
          </w:p>
        </w:tc>
        <w:tc>
          <w:tcPr>
            <w:tcW w:w="670" w:type="dxa"/>
          </w:tcPr>
          <w:p w14:paraId="375EB9B0" w14:textId="77777777" w:rsidR="00C91F25" w:rsidRPr="00263DB9" w:rsidRDefault="00C91F25" w:rsidP="00E51817">
            <w:pPr>
              <w:widowControl w:val="0"/>
              <w:ind w:left="-45"/>
              <w:rPr>
                <w:sz w:val="20"/>
              </w:rPr>
            </w:pPr>
            <w:r w:rsidRPr="00263DB9">
              <w:rPr>
                <w:sz w:val="20"/>
              </w:rPr>
              <w:t>190:2</w:t>
            </w:r>
          </w:p>
        </w:tc>
        <w:tc>
          <w:tcPr>
            <w:tcW w:w="710" w:type="dxa"/>
          </w:tcPr>
          <w:p w14:paraId="375EB9B1" w14:textId="77777777" w:rsidR="00C91F25" w:rsidRPr="00263DB9" w:rsidRDefault="00C91F25" w:rsidP="00E51817">
            <w:pPr>
              <w:widowControl w:val="0"/>
              <w:ind w:left="-45"/>
              <w:rPr>
                <w:sz w:val="20"/>
              </w:rPr>
            </w:pPr>
            <w:r w:rsidRPr="00263DB9">
              <w:rPr>
                <w:sz w:val="20"/>
              </w:rPr>
              <w:t>188:2</w:t>
            </w:r>
          </w:p>
        </w:tc>
        <w:tc>
          <w:tcPr>
            <w:tcW w:w="717" w:type="dxa"/>
          </w:tcPr>
          <w:p w14:paraId="375EB9B2" w14:textId="77777777" w:rsidR="00C91F25" w:rsidRPr="00263DB9" w:rsidRDefault="00C91F25" w:rsidP="00E51817">
            <w:pPr>
              <w:widowControl w:val="0"/>
              <w:ind w:left="-45"/>
              <w:rPr>
                <w:sz w:val="20"/>
              </w:rPr>
            </w:pPr>
            <w:r w:rsidRPr="00263DB9">
              <w:rPr>
                <w:sz w:val="20"/>
              </w:rPr>
              <w:t>183:6</w:t>
            </w:r>
          </w:p>
        </w:tc>
        <w:tc>
          <w:tcPr>
            <w:tcW w:w="691" w:type="dxa"/>
          </w:tcPr>
          <w:p w14:paraId="375EB9B3" w14:textId="77777777" w:rsidR="00C91F25" w:rsidRPr="00263DB9" w:rsidRDefault="00C91F25" w:rsidP="00E51817">
            <w:pPr>
              <w:widowControl w:val="0"/>
              <w:ind w:left="-45"/>
              <w:rPr>
                <w:sz w:val="20"/>
              </w:rPr>
            </w:pPr>
            <w:r w:rsidRPr="00263DB9">
              <w:rPr>
                <w:sz w:val="20"/>
              </w:rPr>
              <w:t>176:8</w:t>
            </w:r>
          </w:p>
        </w:tc>
        <w:tc>
          <w:tcPr>
            <w:tcW w:w="770" w:type="dxa"/>
          </w:tcPr>
          <w:p w14:paraId="375EB9B4" w14:textId="77777777" w:rsidR="00C91F25" w:rsidRPr="00263DB9" w:rsidRDefault="00C91F25" w:rsidP="00E51817">
            <w:pPr>
              <w:widowControl w:val="0"/>
              <w:ind w:left="-45"/>
              <w:rPr>
                <w:sz w:val="20"/>
              </w:rPr>
            </w:pPr>
            <w:r w:rsidRPr="00263DB9">
              <w:rPr>
                <w:sz w:val="20"/>
              </w:rPr>
              <w:t>156:10</w:t>
            </w:r>
          </w:p>
        </w:tc>
        <w:tc>
          <w:tcPr>
            <w:tcW w:w="779" w:type="dxa"/>
          </w:tcPr>
          <w:p w14:paraId="375EB9B5" w14:textId="77777777" w:rsidR="00C91F25" w:rsidRPr="00263DB9" w:rsidRDefault="00C91F25" w:rsidP="00E51817">
            <w:pPr>
              <w:widowControl w:val="0"/>
              <w:ind w:left="-45"/>
              <w:rPr>
                <w:sz w:val="20"/>
              </w:rPr>
            </w:pPr>
            <w:r w:rsidRPr="00263DB9">
              <w:rPr>
                <w:sz w:val="20"/>
              </w:rPr>
              <w:t>140:11</w:t>
            </w:r>
          </w:p>
        </w:tc>
        <w:tc>
          <w:tcPr>
            <w:tcW w:w="794" w:type="dxa"/>
          </w:tcPr>
          <w:p w14:paraId="375EB9B6" w14:textId="77777777" w:rsidR="00C91F25" w:rsidRPr="00263DB9" w:rsidRDefault="00C91F25" w:rsidP="00E51817">
            <w:pPr>
              <w:widowControl w:val="0"/>
              <w:ind w:left="-45"/>
              <w:rPr>
                <w:sz w:val="20"/>
              </w:rPr>
            </w:pPr>
            <w:r w:rsidRPr="00263DB9">
              <w:rPr>
                <w:sz w:val="20"/>
              </w:rPr>
              <w:t>105:14</w:t>
            </w:r>
          </w:p>
        </w:tc>
        <w:tc>
          <w:tcPr>
            <w:tcW w:w="653" w:type="dxa"/>
          </w:tcPr>
          <w:p w14:paraId="375EB9B7" w14:textId="77777777" w:rsidR="00C91F25" w:rsidRPr="00263DB9" w:rsidRDefault="00C91F25" w:rsidP="00E51817">
            <w:pPr>
              <w:widowControl w:val="0"/>
              <w:ind w:left="-45"/>
              <w:rPr>
                <w:sz w:val="20"/>
              </w:rPr>
            </w:pPr>
            <w:r w:rsidRPr="00263DB9">
              <w:rPr>
                <w:sz w:val="20"/>
              </w:rPr>
              <w:t>87:18</w:t>
            </w:r>
          </w:p>
        </w:tc>
        <w:tc>
          <w:tcPr>
            <w:tcW w:w="630" w:type="dxa"/>
          </w:tcPr>
          <w:p w14:paraId="375EB9B8" w14:textId="77777777" w:rsidR="00C91F25" w:rsidRPr="00263DB9" w:rsidRDefault="00C91F25" w:rsidP="00E51817">
            <w:pPr>
              <w:widowControl w:val="0"/>
              <w:ind w:left="-45"/>
              <w:rPr>
                <w:sz w:val="20"/>
              </w:rPr>
            </w:pPr>
            <w:r w:rsidRPr="00263DB9">
              <w:rPr>
                <w:sz w:val="20"/>
              </w:rPr>
              <w:t>64:22</w:t>
            </w:r>
          </w:p>
        </w:tc>
        <w:tc>
          <w:tcPr>
            <w:tcW w:w="643" w:type="dxa"/>
          </w:tcPr>
          <w:p w14:paraId="375EB9B9" w14:textId="77777777" w:rsidR="00C91F25" w:rsidRPr="00263DB9" w:rsidRDefault="00C91F25" w:rsidP="00E51817">
            <w:pPr>
              <w:widowControl w:val="0"/>
              <w:ind w:left="-45"/>
              <w:rPr>
                <w:sz w:val="20"/>
              </w:rPr>
            </w:pPr>
            <w:r w:rsidRPr="00263DB9">
              <w:rPr>
                <w:sz w:val="20"/>
              </w:rPr>
              <w:t>46:23</w:t>
            </w:r>
          </w:p>
        </w:tc>
        <w:tc>
          <w:tcPr>
            <w:tcW w:w="670" w:type="dxa"/>
          </w:tcPr>
          <w:p w14:paraId="375EB9BA" w14:textId="77777777" w:rsidR="00C91F25" w:rsidRPr="00263DB9" w:rsidRDefault="00C91F25" w:rsidP="00E51817">
            <w:pPr>
              <w:widowControl w:val="0"/>
              <w:ind w:left="-45"/>
              <w:rPr>
                <w:sz w:val="20"/>
              </w:rPr>
            </w:pPr>
            <w:r w:rsidRPr="00263DB9">
              <w:rPr>
                <w:sz w:val="20"/>
              </w:rPr>
              <w:t>27:25</w:t>
            </w:r>
          </w:p>
        </w:tc>
        <w:tc>
          <w:tcPr>
            <w:tcW w:w="683" w:type="dxa"/>
          </w:tcPr>
          <w:p w14:paraId="375EB9BB" w14:textId="77777777" w:rsidR="00C91F25" w:rsidRPr="00263DB9" w:rsidRDefault="00C91F25" w:rsidP="00E51817">
            <w:pPr>
              <w:widowControl w:val="0"/>
              <w:ind w:left="-45"/>
              <w:rPr>
                <w:sz w:val="20"/>
              </w:rPr>
            </w:pPr>
            <w:r w:rsidRPr="00263DB9">
              <w:rPr>
                <w:sz w:val="20"/>
              </w:rPr>
              <w:t>20:25</w:t>
            </w:r>
          </w:p>
        </w:tc>
        <w:tc>
          <w:tcPr>
            <w:tcW w:w="558" w:type="dxa"/>
          </w:tcPr>
          <w:p w14:paraId="375EB9BC" w14:textId="77777777" w:rsidR="00C91F25" w:rsidRPr="00263DB9" w:rsidRDefault="00C91F25" w:rsidP="00E51817">
            <w:pPr>
              <w:widowControl w:val="0"/>
              <w:ind w:left="-45"/>
              <w:rPr>
                <w:sz w:val="20"/>
              </w:rPr>
            </w:pPr>
            <w:r w:rsidRPr="00263DB9">
              <w:rPr>
                <w:sz w:val="20"/>
              </w:rPr>
              <w:t>2:25</w:t>
            </w:r>
          </w:p>
        </w:tc>
        <w:tc>
          <w:tcPr>
            <w:tcW w:w="527" w:type="dxa"/>
          </w:tcPr>
          <w:p w14:paraId="375EB9BD" w14:textId="77777777" w:rsidR="00C91F25" w:rsidRPr="00263DB9" w:rsidRDefault="00C91F25" w:rsidP="00E51817">
            <w:pPr>
              <w:widowControl w:val="0"/>
              <w:ind w:left="-45"/>
              <w:rPr>
                <w:sz w:val="20"/>
              </w:rPr>
            </w:pPr>
            <w:r w:rsidRPr="00263DB9">
              <w:rPr>
                <w:sz w:val="20"/>
              </w:rPr>
              <w:t>0:25</w:t>
            </w:r>
          </w:p>
        </w:tc>
      </w:tr>
      <w:tr w:rsidR="00C91F25" w:rsidRPr="00263DB9" w14:paraId="375EB9CF" w14:textId="77777777" w:rsidTr="00112A85">
        <w:tc>
          <w:tcPr>
            <w:tcW w:w="450" w:type="dxa"/>
          </w:tcPr>
          <w:p w14:paraId="375EB9BF" w14:textId="77777777" w:rsidR="00C91F25" w:rsidRPr="00263DB9" w:rsidRDefault="00C91F25" w:rsidP="00E51817">
            <w:pPr>
              <w:widowControl w:val="0"/>
              <w:rPr>
                <w:sz w:val="20"/>
              </w:rPr>
            </w:pPr>
            <w:r w:rsidRPr="00263DB9">
              <w:rPr>
                <w:sz w:val="20"/>
              </w:rPr>
              <w:t>(2)</w:t>
            </w:r>
          </w:p>
        </w:tc>
        <w:tc>
          <w:tcPr>
            <w:tcW w:w="687" w:type="dxa"/>
          </w:tcPr>
          <w:p w14:paraId="375EB9C0" w14:textId="77777777" w:rsidR="00C91F25" w:rsidRPr="00263DB9" w:rsidRDefault="00C91F25" w:rsidP="00E51817">
            <w:pPr>
              <w:widowControl w:val="0"/>
              <w:ind w:left="-45"/>
              <w:rPr>
                <w:sz w:val="20"/>
              </w:rPr>
            </w:pPr>
            <w:r w:rsidRPr="00263DB9">
              <w:rPr>
                <w:sz w:val="20"/>
              </w:rPr>
              <w:t>198:0</w:t>
            </w:r>
          </w:p>
        </w:tc>
        <w:tc>
          <w:tcPr>
            <w:tcW w:w="670" w:type="dxa"/>
          </w:tcPr>
          <w:p w14:paraId="375EB9C1" w14:textId="77777777" w:rsidR="00C91F25" w:rsidRPr="00263DB9" w:rsidRDefault="00C91F25" w:rsidP="00E51817">
            <w:pPr>
              <w:widowControl w:val="0"/>
              <w:ind w:left="-45"/>
              <w:rPr>
                <w:sz w:val="20"/>
              </w:rPr>
            </w:pPr>
            <w:r w:rsidRPr="00263DB9">
              <w:rPr>
                <w:sz w:val="20"/>
              </w:rPr>
              <w:t>196:0</w:t>
            </w:r>
          </w:p>
        </w:tc>
        <w:tc>
          <w:tcPr>
            <w:tcW w:w="710" w:type="dxa"/>
          </w:tcPr>
          <w:p w14:paraId="375EB9C2" w14:textId="77777777" w:rsidR="00C91F25" w:rsidRPr="00263DB9" w:rsidRDefault="00C91F25" w:rsidP="00E51817">
            <w:pPr>
              <w:widowControl w:val="0"/>
              <w:ind w:left="-45"/>
              <w:rPr>
                <w:sz w:val="20"/>
              </w:rPr>
            </w:pPr>
            <w:r w:rsidRPr="00263DB9">
              <w:rPr>
                <w:sz w:val="20"/>
              </w:rPr>
              <w:t>192:0</w:t>
            </w:r>
          </w:p>
        </w:tc>
        <w:tc>
          <w:tcPr>
            <w:tcW w:w="717" w:type="dxa"/>
          </w:tcPr>
          <w:p w14:paraId="375EB9C3" w14:textId="77777777" w:rsidR="00C91F25" w:rsidRPr="00263DB9" w:rsidRDefault="00C91F25" w:rsidP="00E51817">
            <w:pPr>
              <w:widowControl w:val="0"/>
              <w:ind w:left="-45"/>
              <w:rPr>
                <w:sz w:val="20"/>
              </w:rPr>
            </w:pPr>
            <w:r w:rsidRPr="00263DB9">
              <w:rPr>
                <w:sz w:val="20"/>
              </w:rPr>
              <w:t>187:4</w:t>
            </w:r>
          </w:p>
        </w:tc>
        <w:tc>
          <w:tcPr>
            <w:tcW w:w="691" w:type="dxa"/>
          </w:tcPr>
          <w:p w14:paraId="375EB9C4" w14:textId="77777777" w:rsidR="00C91F25" w:rsidRPr="00263DB9" w:rsidRDefault="00C91F25" w:rsidP="00E51817">
            <w:pPr>
              <w:widowControl w:val="0"/>
              <w:ind w:left="-45"/>
              <w:rPr>
                <w:sz w:val="20"/>
              </w:rPr>
            </w:pPr>
            <w:r w:rsidRPr="00263DB9">
              <w:rPr>
                <w:sz w:val="20"/>
              </w:rPr>
              <w:t>184:5</w:t>
            </w:r>
          </w:p>
        </w:tc>
        <w:tc>
          <w:tcPr>
            <w:tcW w:w="770" w:type="dxa"/>
          </w:tcPr>
          <w:p w14:paraId="375EB9C5" w14:textId="77777777" w:rsidR="00C91F25" w:rsidRPr="00263DB9" w:rsidRDefault="00C91F25" w:rsidP="00E51817">
            <w:pPr>
              <w:widowControl w:val="0"/>
              <w:ind w:left="-45"/>
              <w:rPr>
                <w:sz w:val="20"/>
              </w:rPr>
            </w:pPr>
            <w:r w:rsidRPr="00263DB9">
              <w:rPr>
                <w:sz w:val="20"/>
              </w:rPr>
              <w:t>164:7</w:t>
            </w:r>
          </w:p>
        </w:tc>
        <w:tc>
          <w:tcPr>
            <w:tcW w:w="779" w:type="dxa"/>
          </w:tcPr>
          <w:p w14:paraId="375EB9C6" w14:textId="77777777" w:rsidR="00C91F25" w:rsidRPr="00263DB9" w:rsidRDefault="00C91F25" w:rsidP="00E51817">
            <w:pPr>
              <w:widowControl w:val="0"/>
              <w:ind w:left="-45"/>
              <w:rPr>
                <w:sz w:val="20"/>
              </w:rPr>
            </w:pPr>
            <w:r w:rsidRPr="00263DB9">
              <w:rPr>
                <w:sz w:val="20"/>
              </w:rPr>
              <w:t>152:7</w:t>
            </w:r>
          </w:p>
        </w:tc>
        <w:tc>
          <w:tcPr>
            <w:tcW w:w="794" w:type="dxa"/>
          </w:tcPr>
          <w:p w14:paraId="375EB9C7" w14:textId="77777777" w:rsidR="00C91F25" w:rsidRPr="00263DB9" w:rsidRDefault="00C91F25" w:rsidP="00E51817">
            <w:pPr>
              <w:widowControl w:val="0"/>
              <w:ind w:left="-45"/>
              <w:rPr>
                <w:sz w:val="20"/>
              </w:rPr>
            </w:pPr>
            <w:r w:rsidRPr="00263DB9">
              <w:rPr>
                <w:sz w:val="20"/>
              </w:rPr>
              <w:t>119:8</w:t>
            </w:r>
          </w:p>
        </w:tc>
        <w:tc>
          <w:tcPr>
            <w:tcW w:w="653" w:type="dxa"/>
          </w:tcPr>
          <w:p w14:paraId="375EB9C8" w14:textId="77777777" w:rsidR="00C91F25" w:rsidRPr="00263DB9" w:rsidRDefault="00C91F25" w:rsidP="00E51817">
            <w:pPr>
              <w:widowControl w:val="0"/>
              <w:ind w:left="-45"/>
              <w:rPr>
                <w:sz w:val="20"/>
              </w:rPr>
            </w:pPr>
            <w:r w:rsidRPr="00263DB9">
              <w:rPr>
                <w:sz w:val="20"/>
              </w:rPr>
              <w:t>100:8</w:t>
            </w:r>
          </w:p>
        </w:tc>
        <w:tc>
          <w:tcPr>
            <w:tcW w:w="630" w:type="dxa"/>
          </w:tcPr>
          <w:p w14:paraId="375EB9C9" w14:textId="77777777" w:rsidR="00C91F25" w:rsidRPr="00263DB9" w:rsidRDefault="00C91F25" w:rsidP="00E51817">
            <w:pPr>
              <w:widowControl w:val="0"/>
              <w:ind w:left="-45"/>
              <w:rPr>
                <w:sz w:val="20"/>
              </w:rPr>
            </w:pPr>
            <w:r w:rsidRPr="00263DB9">
              <w:rPr>
                <w:sz w:val="20"/>
              </w:rPr>
              <w:t>76:10</w:t>
            </w:r>
          </w:p>
        </w:tc>
        <w:tc>
          <w:tcPr>
            <w:tcW w:w="643" w:type="dxa"/>
          </w:tcPr>
          <w:p w14:paraId="375EB9CA" w14:textId="77777777" w:rsidR="00C91F25" w:rsidRPr="00263DB9" w:rsidRDefault="00C91F25" w:rsidP="00E51817">
            <w:pPr>
              <w:widowControl w:val="0"/>
              <w:ind w:left="-45"/>
              <w:rPr>
                <w:sz w:val="20"/>
              </w:rPr>
            </w:pPr>
            <w:r w:rsidRPr="00263DB9">
              <w:rPr>
                <w:sz w:val="20"/>
              </w:rPr>
              <w:t>56:11</w:t>
            </w:r>
          </w:p>
        </w:tc>
        <w:tc>
          <w:tcPr>
            <w:tcW w:w="670" w:type="dxa"/>
          </w:tcPr>
          <w:p w14:paraId="375EB9CB" w14:textId="77777777" w:rsidR="00C91F25" w:rsidRPr="00263DB9" w:rsidRDefault="00C91F25" w:rsidP="00E51817">
            <w:pPr>
              <w:widowControl w:val="0"/>
              <w:ind w:left="-45"/>
              <w:rPr>
                <w:sz w:val="20"/>
              </w:rPr>
            </w:pPr>
            <w:r w:rsidRPr="00263DB9">
              <w:rPr>
                <w:sz w:val="20"/>
              </w:rPr>
              <w:t>31:11</w:t>
            </w:r>
          </w:p>
        </w:tc>
        <w:tc>
          <w:tcPr>
            <w:tcW w:w="683" w:type="dxa"/>
          </w:tcPr>
          <w:p w14:paraId="375EB9CC" w14:textId="77777777" w:rsidR="00C91F25" w:rsidRPr="00263DB9" w:rsidRDefault="00C91F25" w:rsidP="00E51817">
            <w:pPr>
              <w:widowControl w:val="0"/>
              <w:ind w:left="-45"/>
              <w:rPr>
                <w:sz w:val="20"/>
              </w:rPr>
            </w:pPr>
            <w:r w:rsidRPr="00263DB9">
              <w:rPr>
                <w:sz w:val="20"/>
              </w:rPr>
              <w:t>13:12</w:t>
            </w:r>
          </w:p>
        </w:tc>
        <w:tc>
          <w:tcPr>
            <w:tcW w:w="558" w:type="dxa"/>
          </w:tcPr>
          <w:p w14:paraId="375EB9CD" w14:textId="77777777" w:rsidR="00C91F25" w:rsidRPr="00263DB9" w:rsidRDefault="00C91F25" w:rsidP="00E51817">
            <w:pPr>
              <w:widowControl w:val="0"/>
              <w:ind w:left="-45"/>
              <w:rPr>
                <w:sz w:val="20"/>
              </w:rPr>
            </w:pPr>
            <w:r w:rsidRPr="00263DB9">
              <w:rPr>
                <w:sz w:val="20"/>
              </w:rPr>
              <w:t>0:12</w:t>
            </w:r>
          </w:p>
        </w:tc>
        <w:tc>
          <w:tcPr>
            <w:tcW w:w="527" w:type="dxa"/>
          </w:tcPr>
          <w:p w14:paraId="375EB9CE" w14:textId="77777777" w:rsidR="00C91F25" w:rsidRPr="00263DB9" w:rsidRDefault="00C91F25" w:rsidP="00E51817">
            <w:pPr>
              <w:widowControl w:val="0"/>
              <w:ind w:left="-45"/>
              <w:rPr>
                <w:sz w:val="20"/>
              </w:rPr>
            </w:pPr>
          </w:p>
        </w:tc>
      </w:tr>
    </w:tbl>
    <w:p w14:paraId="375EB9D0" w14:textId="77777777" w:rsidR="00C91F25" w:rsidRPr="00263DB9" w:rsidRDefault="00C91F25" w:rsidP="00E51817">
      <w:pPr>
        <w:widowControl w:val="0"/>
        <w:suppressAutoHyphens/>
        <w:rPr>
          <w:color w:val="000000"/>
          <w:szCs w:val="22"/>
          <w:u w:val="single"/>
        </w:rPr>
      </w:pPr>
    </w:p>
    <w:p w14:paraId="375EB9D1" w14:textId="77777777" w:rsidR="00C91F25" w:rsidRPr="00263DB9" w:rsidRDefault="00C91F25" w:rsidP="00E51817">
      <w:pPr>
        <w:pStyle w:val="EndnoteText"/>
        <w:tabs>
          <w:tab w:val="clear" w:pos="567"/>
        </w:tabs>
        <w:rPr>
          <w:color w:val="000000"/>
          <w:szCs w:val="22"/>
        </w:rPr>
      </w:pPr>
      <w:r w:rsidRPr="00263DB9">
        <w:rPr>
          <w:color w:val="000000"/>
          <w:szCs w:val="22"/>
        </w:rPr>
        <w:t xml:space="preserve">Não existem ensaios controlados em doentes pediátricos com GIST c-Kit positivo. Dezassete (17 ) doentes com GIST (com ou sem kit e mutações do PDGFR) foram descritos em 7 publicações. Estes doentes apresentavam idades entre os 8 e os 18 anos e o imatinib foi administrado no contexto adjuvante e no contexto metastático em doses de 300 a 800 mg </w:t>
      </w:r>
      <w:r w:rsidRPr="00263DB9">
        <w:rPr>
          <w:color w:val="000000"/>
          <w:szCs w:val="22"/>
          <w:vertAlign w:val="superscript"/>
        </w:rPr>
        <w:t xml:space="preserve"> </w:t>
      </w:r>
      <w:r w:rsidRPr="00263DB9">
        <w:rPr>
          <w:color w:val="000000"/>
          <w:szCs w:val="22"/>
        </w:rPr>
        <w:t>por dia. A maioria dos doentes pediátricos com GIST submetidos a tratamento para a sua doença não dispunham de dados a confirmar a presença de mutações do PDGFR e do c-kit, o que pode ter conduzido a resultados clínicos heterogéneos.</w:t>
      </w:r>
    </w:p>
    <w:p w14:paraId="375EB9D2" w14:textId="77777777" w:rsidR="00C91F25" w:rsidRPr="00263DB9" w:rsidRDefault="00C91F25" w:rsidP="00E51817">
      <w:pPr>
        <w:widowControl w:val="0"/>
        <w:suppressAutoHyphens/>
        <w:rPr>
          <w:color w:val="000000"/>
          <w:szCs w:val="22"/>
          <w:u w:val="single"/>
        </w:rPr>
      </w:pPr>
    </w:p>
    <w:p w14:paraId="375EB9D3" w14:textId="77777777" w:rsidR="00C91F25" w:rsidRPr="00263DB9" w:rsidRDefault="00C91F25" w:rsidP="008303F6">
      <w:pPr>
        <w:keepNext/>
        <w:widowControl w:val="0"/>
        <w:suppressAutoHyphens/>
        <w:rPr>
          <w:color w:val="000000"/>
          <w:szCs w:val="22"/>
          <w:u w:val="single"/>
        </w:rPr>
      </w:pPr>
      <w:r w:rsidRPr="00263DB9">
        <w:rPr>
          <w:color w:val="000000"/>
          <w:szCs w:val="22"/>
          <w:u w:val="single"/>
        </w:rPr>
        <w:t>Ensaios clínicos em DFSP</w:t>
      </w:r>
    </w:p>
    <w:p w14:paraId="375EB9D4" w14:textId="77777777" w:rsidR="00C91F25" w:rsidRPr="00263DB9" w:rsidRDefault="00C91F25" w:rsidP="00E51817">
      <w:pPr>
        <w:widowControl w:val="0"/>
        <w:suppressAutoHyphens/>
        <w:rPr>
          <w:color w:val="000000"/>
          <w:szCs w:val="22"/>
        </w:rPr>
      </w:pPr>
      <w:r w:rsidRPr="00263DB9">
        <w:rPr>
          <w:color w:val="000000"/>
          <w:szCs w:val="22"/>
        </w:rPr>
        <w:t>Foi realizado um ensaio clínico de fase II, multicêntrico, em fase aberta (estudo B2225) que incluiu 12 doentes com DFSP tratados com Glivec 800 mg por dia. A idade dos doentes com DFSP variou entre 23 a 75 anos, o DFSP era metastático, recorrente localmente após a primeira cirurgia de ressecção e considerado não suscetível a outras cirurgias de ressecção no momento de entrada para o ensaio. Dos 12 doentes incluídos, 9 responderam, um completamente e 8 parcialmente. Três dos respondedores parciais foram subsequentemente considerados livres de doença pela cirurgia. A mediana da duração do tratamento no estudo B2225 foi 6,2 meses, com uma duração máxima de 24,3 meses. Outros 6 doentes com DFSP, com idades entre 18 meses e 49 anos, tratados com Glivec foram comunicados em 5 casos relato publicados. Os doentes adultos reportados na literatura publicada foram tratados com 400 mg (4 casos) ou 800 mg (1 caso) de Glivec por dia. Cinco (5) dos doentes responderam, 3 completamente e 2 parcialmente. A mediana da duração do tratamento na literatura publicada variou entre 4 semanas e mais que 20 meses. A translocação t(17:22) [q22:q13)], ou o produto do gene, esteve presente em quase todos os respondedores ao tratamento com Glivec.</w:t>
      </w:r>
    </w:p>
    <w:p w14:paraId="375EB9D5" w14:textId="77777777" w:rsidR="00C91F25" w:rsidRPr="00263DB9" w:rsidRDefault="00C91F25" w:rsidP="00E51817">
      <w:pPr>
        <w:widowControl w:val="0"/>
        <w:suppressAutoHyphens/>
        <w:rPr>
          <w:color w:val="000000"/>
          <w:szCs w:val="22"/>
        </w:rPr>
      </w:pPr>
    </w:p>
    <w:p w14:paraId="375EB9D6" w14:textId="77777777" w:rsidR="00C91F25" w:rsidRPr="00263DB9" w:rsidRDefault="00C91F25" w:rsidP="00E51817">
      <w:pPr>
        <w:pStyle w:val="EndnoteText"/>
        <w:tabs>
          <w:tab w:val="clear" w:pos="567"/>
        </w:tabs>
        <w:rPr>
          <w:color w:val="000000"/>
          <w:szCs w:val="22"/>
        </w:rPr>
      </w:pPr>
      <w:r w:rsidRPr="00263DB9">
        <w:rPr>
          <w:color w:val="000000"/>
          <w:szCs w:val="22"/>
        </w:rPr>
        <w:t>Não existem ensaios controlados em doentes pediátricos com DFSP. Cinco (5) doentes com DFSP e com re-arranjos do gene PDGFR foram descritos em 3 publicações. Estes doentes apresentavam idades entre os recém nascidos e os 14 anos e o imatinib foi administrado em doses de 50 mg por dia ou de 400 a 520 mg/m</w:t>
      </w:r>
      <w:r w:rsidRPr="00263DB9">
        <w:rPr>
          <w:color w:val="000000"/>
          <w:szCs w:val="22"/>
          <w:vertAlign w:val="superscript"/>
        </w:rPr>
        <w:t>2</w:t>
      </w:r>
      <w:r w:rsidRPr="00263DB9">
        <w:rPr>
          <w:color w:val="000000"/>
          <w:szCs w:val="22"/>
        </w:rPr>
        <w:t xml:space="preserve"> </w:t>
      </w:r>
      <w:r w:rsidRPr="00263DB9">
        <w:rPr>
          <w:color w:val="000000"/>
          <w:szCs w:val="22"/>
          <w:vertAlign w:val="superscript"/>
        </w:rPr>
        <w:t xml:space="preserve"> </w:t>
      </w:r>
      <w:r w:rsidRPr="00263DB9">
        <w:rPr>
          <w:color w:val="000000"/>
          <w:szCs w:val="22"/>
        </w:rPr>
        <w:t>por dia. Todos os doentes atingiram resposta parcial e/ou completa.</w:t>
      </w:r>
    </w:p>
    <w:p w14:paraId="375EB9D7" w14:textId="77777777" w:rsidR="00C91F25" w:rsidRPr="00263DB9" w:rsidRDefault="00C91F25" w:rsidP="00E51817">
      <w:pPr>
        <w:widowControl w:val="0"/>
        <w:suppressAutoHyphens/>
        <w:rPr>
          <w:color w:val="000000"/>
          <w:szCs w:val="22"/>
        </w:rPr>
      </w:pPr>
    </w:p>
    <w:p w14:paraId="375EB9D8" w14:textId="77777777" w:rsidR="00906898" w:rsidRPr="00263DB9" w:rsidRDefault="00906898" w:rsidP="008303F6">
      <w:pPr>
        <w:keepNext/>
        <w:widowControl w:val="0"/>
        <w:suppressAutoHyphens/>
        <w:ind w:left="567" w:hanging="567"/>
        <w:rPr>
          <w:color w:val="000000"/>
          <w:szCs w:val="22"/>
        </w:rPr>
      </w:pPr>
      <w:r w:rsidRPr="00263DB9">
        <w:rPr>
          <w:b/>
          <w:color w:val="000000"/>
          <w:szCs w:val="22"/>
        </w:rPr>
        <w:t>5.2</w:t>
      </w:r>
      <w:r w:rsidRPr="00263DB9">
        <w:rPr>
          <w:b/>
          <w:color w:val="000000"/>
          <w:szCs w:val="22"/>
        </w:rPr>
        <w:tab/>
        <w:t>Propriedades farmacocinéticas</w:t>
      </w:r>
    </w:p>
    <w:p w14:paraId="375EB9D9" w14:textId="77777777" w:rsidR="00906898" w:rsidRPr="00263DB9" w:rsidRDefault="00906898" w:rsidP="008303F6">
      <w:pPr>
        <w:keepNext/>
        <w:widowControl w:val="0"/>
        <w:suppressAutoHyphens/>
        <w:rPr>
          <w:color w:val="000000"/>
          <w:szCs w:val="22"/>
        </w:rPr>
      </w:pPr>
    </w:p>
    <w:p w14:paraId="375EB9DA" w14:textId="77777777" w:rsidR="00906898" w:rsidRPr="00263DB9" w:rsidRDefault="00906898" w:rsidP="008303F6">
      <w:pPr>
        <w:keepNext/>
        <w:widowControl w:val="0"/>
        <w:suppressAutoHyphens/>
        <w:rPr>
          <w:color w:val="000000"/>
          <w:szCs w:val="22"/>
        </w:rPr>
      </w:pPr>
      <w:r w:rsidRPr="00263DB9">
        <w:rPr>
          <w:color w:val="000000"/>
          <w:szCs w:val="22"/>
          <w:u w:val="single"/>
        </w:rPr>
        <w:t>Farmacocinética do Glivec</w:t>
      </w:r>
    </w:p>
    <w:p w14:paraId="375EB9DB" w14:textId="77777777" w:rsidR="00906898" w:rsidRPr="00263DB9" w:rsidRDefault="00906898" w:rsidP="00E51817">
      <w:pPr>
        <w:widowControl w:val="0"/>
        <w:suppressAutoHyphens/>
        <w:rPr>
          <w:color w:val="000000"/>
          <w:szCs w:val="22"/>
        </w:rPr>
      </w:pPr>
      <w:r w:rsidRPr="00263DB9">
        <w:rPr>
          <w:color w:val="000000"/>
          <w:szCs w:val="22"/>
        </w:rPr>
        <w:t xml:space="preserve">A farmacocinética do Glivec foi avaliada ao longo de um intervalo posológico de 25 a 1.000 mg. Os </w:t>
      </w:r>
      <w:r w:rsidRPr="00263DB9">
        <w:rPr>
          <w:color w:val="000000"/>
          <w:szCs w:val="22"/>
        </w:rPr>
        <w:lastRenderedPageBreak/>
        <w:t>perfis farmacocinéticos plasmáticos foram analisados do dia 1 e no dia 7 ou no dia 28, altura em as concentrações plasmáticas tinham atingido o estado de equilíbrio.</w:t>
      </w:r>
    </w:p>
    <w:p w14:paraId="375EB9DC" w14:textId="77777777" w:rsidR="00906898" w:rsidRPr="00263DB9" w:rsidRDefault="00906898" w:rsidP="00E51817">
      <w:pPr>
        <w:widowControl w:val="0"/>
        <w:suppressAutoHyphens/>
        <w:rPr>
          <w:color w:val="000000"/>
          <w:szCs w:val="22"/>
        </w:rPr>
      </w:pPr>
    </w:p>
    <w:p w14:paraId="375EB9DD" w14:textId="77777777" w:rsidR="00906898" w:rsidRPr="00263DB9" w:rsidRDefault="00906898" w:rsidP="008303F6">
      <w:pPr>
        <w:keepNext/>
        <w:widowControl w:val="0"/>
        <w:suppressAutoHyphens/>
        <w:rPr>
          <w:color w:val="000000"/>
          <w:szCs w:val="22"/>
        </w:rPr>
      </w:pPr>
      <w:r w:rsidRPr="00263DB9">
        <w:rPr>
          <w:color w:val="000000"/>
          <w:szCs w:val="22"/>
          <w:u w:val="single"/>
        </w:rPr>
        <w:t>Absorção</w:t>
      </w:r>
    </w:p>
    <w:p w14:paraId="375EB9DE" w14:textId="77777777" w:rsidR="00906898" w:rsidRPr="00263DB9" w:rsidRDefault="00906898" w:rsidP="00E51817">
      <w:pPr>
        <w:widowControl w:val="0"/>
        <w:suppressAutoHyphens/>
        <w:rPr>
          <w:color w:val="000000"/>
          <w:szCs w:val="22"/>
        </w:rPr>
      </w:pPr>
      <w:r w:rsidRPr="00263DB9">
        <w:rPr>
          <w:color w:val="000000"/>
          <w:szCs w:val="22"/>
        </w:rPr>
        <w:t>A biodisponibilidade absoluta média do imatinib é 98%. Ocorreu uma elevada variabilidade inter-individual na AUC dos níveis plasmáticos de imatinib após uma dose oral. Quando administrado com uma refeição rica em gorduras, a taxa de absorção do imatinib foi reduzida minimamente (diminuição de 11% na C</w:t>
      </w:r>
      <w:r w:rsidRPr="00263DB9">
        <w:rPr>
          <w:color w:val="000000"/>
          <w:szCs w:val="22"/>
          <w:vertAlign w:val="subscript"/>
        </w:rPr>
        <w:t>max</w:t>
      </w:r>
      <w:r w:rsidRPr="00263DB9">
        <w:rPr>
          <w:color w:val="000000"/>
          <w:szCs w:val="22"/>
        </w:rPr>
        <w:t xml:space="preserve"> e prolongamento do t</w:t>
      </w:r>
      <w:r w:rsidRPr="00263DB9">
        <w:rPr>
          <w:color w:val="000000"/>
          <w:szCs w:val="22"/>
          <w:vertAlign w:val="subscript"/>
        </w:rPr>
        <w:t>max</w:t>
      </w:r>
      <w:r w:rsidRPr="00263DB9">
        <w:rPr>
          <w:color w:val="000000"/>
          <w:szCs w:val="22"/>
        </w:rPr>
        <w:t xml:space="preserve"> em 1,5 h), com uma pequena redução na AUC (7,4%) quando comparada com as condições de jejum. Não foi estudado o efeito da cirurgia gastrintestinal na absorção do fármaco.</w:t>
      </w:r>
    </w:p>
    <w:p w14:paraId="375EB9DF" w14:textId="77777777" w:rsidR="00906898" w:rsidRPr="00263DB9" w:rsidRDefault="00906898" w:rsidP="00E51817">
      <w:pPr>
        <w:widowControl w:val="0"/>
        <w:suppressAutoHyphens/>
        <w:rPr>
          <w:color w:val="000000"/>
          <w:szCs w:val="22"/>
        </w:rPr>
      </w:pPr>
    </w:p>
    <w:p w14:paraId="375EB9E0" w14:textId="77777777" w:rsidR="00906898" w:rsidRPr="00263DB9" w:rsidRDefault="00906898" w:rsidP="008303F6">
      <w:pPr>
        <w:keepNext/>
        <w:widowControl w:val="0"/>
        <w:suppressAutoHyphens/>
        <w:rPr>
          <w:color w:val="000000"/>
          <w:szCs w:val="22"/>
        </w:rPr>
      </w:pPr>
      <w:r w:rsidRPr="00263DB9">
        <w:rPr>
          <w:color w:val="000000"/>
          <w:szCs w:val="22"/>
          <w:u w:val="single"/>
        </w:rPr>
        <w:t>Distribuição</w:t>
      </w:r>
    </w:p>
    <w:p w14:paraId="375EB9E1" w14:textId="77777777" w:rsidR="00906898" w:rsidRPr="00263DB9" w:rsidRDefault="00906898" w:rsidP="00E51817">
      <w:pPr>
        <w:widowControl w:val="0"/>
        <w:suppressAutoHyphens/>
        <w:rPr>
          <w:color w:val="000000"/>
          <w:szCs w:val="22"/>
        </w:rPr>
      </w:pPr>
      <w:r w:rsidRPr="00263DB9">
        <w:rPr>
          <w:color w:val="000000"/>
          <w:szCs w:val="22"/>
        </w:rPr>
        <w:t xml:space="preserve">Em concentrações de imatinib clinicamente relevantes, a ligação às proteínas plasmáticas foi aproximadamente 95% com base em experiências </w:t>
      </w:r>
      <w:r w:rsidRPr="00263DB9">
        <w:rPr>
          <w:i/>
          <w:color w:val="000000"/>
          <w:szCs w:val="22"/>
        </w:rPr>
        <w:t>in vitro</w:t>
      </w:r>
      <w:r w:rsidRPr="00263DB9">
        <w:rPr>
          <w:color w:val="000000"/>
          <w:szCs w:val="22"/>
        </w:rPr>
        <w:t>, principalmente à albumina e à alfa-ácido-glicoproteína, com uma ligação pequena às lipoproteínas.</w:t>
      </w:r>
    </w:p>
    <w:p w14:paraId="375EB9E2" w14:textId="77777777" w:rsidR="00906898" w:rsidRPr="00263DB9" w:rsidRDefault="00906898" w:rsidP="00E51817">
      <w:pPr>
        <w:pStyle w:val="EndnoteText"/>
        <w:tabs>
          <w:tab w:val="clear" w:pos="567"/>
        </w:tabs>
        <w:suppressAutoHyphens/>
        <w:rPr>
          <w:color w:val="000000"/>
          <w:szCs w:val="22"/>
        </w:rPr>
      </w:pPr>
    </w:p>
    <w:p w14:paraId="375EB9E3" w14:textId="77777777" w:rsidR="00906898" w:rsidRPr="00263DB9" w:rsidRDefault="00906898" w:rsidP="008303F6">
      <w:pPr>
        <w:keepNext/>
        <w:widowControl w:val="0"/>
        <w:suppressAutoHyphens/>
        <w:rPr>
          <w:color w:val="000000"/>
          <w:szCs w:val="22"/>
        </w:rPr>
      </w:pPr>
      <w:r w:rsidRPr="00263DB9">
        <w:rPr>
          <w:color w:val="000000"/>
          <w:szCs w:val="22"/>
          <w:u w:val="single"/>
        </w:rPr>
        <w:t>Biotransformação</w:t>
      </w:r>
    </w:p>
    <w:p w14:paraId="375EB9E4" w14:textId="77777777" w:rsidR="00906898" w:rsidRPr="00263DB9" w:rsidRDefault="00906898" w:rsidP="00E51817">
      <w:pPr>
        <w:widowControl w:val="0"/>
        <w:suppressAutoHyphens/>
        <w:rPr>
          <w:color w:val="000000"/>
          <w:szCs w:val="22"/>
        </w:rPr>
      </w:pPr>
      <w:r w:rsidRPr="00263DB9">
        <w:rPr>
          <w:color w:val="000000"/>
          <w:szCs w:val="22"/>
        </w:rPr>
        <w:t xml:space="preserve">O metabolito circulante principal no ser humano é o derivado da piperazina N-desmetilada, o qual mostra uma potência </w:t>
      </w:r>
      <w:r w:rsidRPr="00263DB9">
        <w:rPr>
          <w:i/>
          <w:color w:val="000000"/>
          <w:szCs w:val="22"/>
        </w:rPr>
        <w:t>in vitro</w:t>
      </w:r>
      <w:r w:rsidRPr="00263DB9">
        <w:rPr>
          <w:color w:val="000000"/>
          <w:szCs w:val="22"/>
        </w:rPr>
        <w:t xml:space="preserve"> semelhante à do composto original. A AUC plasmática para este metabolito é 16% da AUC para o imatinib. A ligação do metabolito N-desmetilado às proteínas plasmáticas é semelhante à do composto inicial.</w:t>
      </w:r>
    </w:p>
    <w:p w14:paraId="375EB9E5" w14:textId="77777777" w:rsidR="00906898" w:rsidRPr="00263DB9" w:rsidRDefault="00906898" w:rsidP="00E51817">
      <w:pPr>
        <w:pStyle w:val="EndnoteText"/>
        <w:tabs>
          <w:tab w:val="clear" w:pos="567"/>
        </w:tabs>
        <w:suppressAutoHyphens/>
        <w:rPr>
          <w:color w:val="000000"/>
          <w:szCs w:val="22"/>
        </w:rPr>
      </w:pPr>
    </w:p>
    <w:p w14:paraId="375EB9E6"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O imatinib e o metabolito N-desmetilado em conjunto representaram 65% da radioatividade em circulação (AUC</w:t>
      </w:r>
      <w:r w:rsidRPr="00263DB9">
        <w:rPr>
          <w:color w:val="000000"/>
          <w:szCs w:val="22"/>
          <w:vertAlign w:val="subscript"/>
        </w:rPr>
        <w:t>(0-48h)</w:t>
      </w:r>
      <w:r w:rsidRPr="00263DB9">
        <w:rPr>
          <w:color w:val="000000"/>
          <w:szCs w:val="22"/>
        </w:rPr>
        <w:t>). A restante radioatividade em circulação deveu-se a um determinado número de metabolitos minor.</w:t>
      </w:r>
    </w:p>
    <w:p w14:paraId="375EB9E7" w14:textId="77777777" w:rsidR="00906898" w:rsidRPr="00263DB9" w:rsidRDefault="00906898" w:rsidP="00E51817">
      <w:pPr>
        <w:pStyle w:val="EndnoteText"/>
        <w:tabs>
          <w:tab w:val="clear" w:pos="567"/>
        </w:tabs>
        <w:suppressAutoHyphens/>
        <w:rPr>
          <w:color w:val="000000"/>
          <w:szCs w:val="22"/>
        </w:rPr>
      </w:pPr>
    </w:p>
    <w:p w14:paraId="375EB9E8"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 xml:space="preserve">Os resultados </w:t>
      </w:r>
      <w:r w:rsidRPr="00263DB9">
        <w:rPr>
          <w:i/>
          <w:color w:val="000000"/>
          <w:szCs w:val="22"/>
        </w:rPr>
        <w:t>in vitro</w:t>
      </w:r>
      <w:r w:rsidRPr="00263DB9">
        <w:rPr>
          <w:color w:val="000000"/>
          <w:szCs w:val="22"/>
        </w:rPr>
        <w:t xml:space="preserve"> mostraram que a CYP3A4 foi a principal enzima P450 humana catalizadora da biotransformação do imatinib. De vários medicamentos potencialmente utilizados concomitantemente (acetaminofeno, aciclovir, alopurinol, anfotericina, citarabina, eritromicina, fluconazol, hidroxiureia, norfloxacina, penicilinaV), somente a eritromicina (CI</w:t>
      </w:r>
      <w:r w:rsidRPr="00263DB9">
        <w:rPr>
          <w:color w:val="000000"/>
          <w:szCs w:val="22"/>
          <w:vertAlign w:val="subscript"/>
        </w:rPr>
        <w:t>50</w:t>
      </w:r>
      <w:r w:rsidRPr="00263DB9">
        <w:rPr>
          <w:color w:val="000000"/>
          <w:szCs w:val="22"/>
        </w:rPr>
        <w:t xml:space="preserve"> 50 </w:t>
      </w:r>
      <w:r w:rsidRPr="00263DB9">
        <w:rPr>
          <w:color w:val="000000"/>
          <w:szCs w:val="22"/>
        </w:rPr>
        <w:sym w:font="Symbol" w:char="F06D"/>
      </w:r>
      <w:r w:rsidRPr="00263DB9">
        <w:rPr>
          <w:color w:val="000000"/>
          <w:szCs w:val="22"/>
        </w:rPr>
        <w:t>M) e o fluconazol (CI</w:t>
      </w:r>
      <w:r w:rsidRPr="00263DB9">
        <w:rPr>
          <w:color w:val="000000"/>
          <w:szCs w:val="22"/>
          <w:vertAlign w:val="subscript"/>
        </w:rPr>
        <w:t>50</w:t>
      </w:r>
      <w:r w:rsidRPr="00263DB9">
        <w:rPr>
          <w:color w:val="000000"/>
          <w:szCs w:val="22"/>
        </w:rPr>
        <w:t xml:space="preserve"> 118 </w:t>
      </w:r>
      <w:r w:rsidRPr="00263DB9">
        <w:rPr>
          <w:color w:val="000000"/>
          <w:szCs w:val="22"/>
        </w:rPr>
        <w:sym w:font="Symbol" w:char="F06D"/>
      </w:r>
      <w:r w:rsidRPr="00263DB9">
        <w:rPr>
          <w:color w:val="000000"/>
          <w:szCs w:val="22"/>
        </w:rPr>
        <w:t>M) mostraram inibição do metabolismo do imatinib potencialmente relevante a nível clínico.</w:t>
      </w:r>
    </w:p>
    <w:p w14:paraId="375EB9E9" w14:textId="77777777" w:rsidR="00906898" w:rsidRPr="00263DB9" w:rsidRDefault="00906898" w:rsidP="00E51817">
      <w:pPr>
        <w:pStyle w:val="EndnoteText"/>
        <w:tabs>
          <w:tab w:val="clear" w:pos="567"/>
        </w:tabs>
        <w:suppressAutoHyphens/>
        <w:rPr>
          <w:color w:val="000000"/>
          <w:szCs w:val="22"/>
        </w:rPr>
      </w:pPr>
    </w:p>
    <w:p w14:paraId="375EB9EA" w14:textId="77777777" w:rsidR="00906898" w:rsidRPr="00263DB9" w:rsidRDefault="00906898" w:rsidP="00E51817">
      <w:pPr>
        <w:pStyle w:val="EndnoteText"/>
        <w:tabs>
          <w:tab w:val="clear" w:pos="567"/>
        </w:tabs>
        <w:suppressAutoHyphens/>
        <w:rPr>
          <w:color w:val="000000"/>
          <w:szCs w:val="22"/>
        </w:rPr>
      </w:pPr>
      <w:r w:rsidRPr="00263DB9">
        <w:rPr>
          <w:i/>
          <w:color w:val="000000"/>
          <w:szCs w:val="22"/>
        </w:rPr>
        <w:t>In vitro</w:t>
      </w:r>
      <w:r w:rsidRPr="00263DB9">
        <w:rPr>
          <w:color w:val="000000"/>
          <w:szCs w:val="22"/>
        </w:rPr>
        <w:t>, o imatinib mostrou ser um inibidor competitivo de marcadores do CYP2C9, CYP2D6 e CYP3A4/5. Os valores de K</w:t>
      </w:r>
      <w:r w:rsidRPr="00263DB9">
        <w:rPr>
          <w:color w:val="000000"/>
          <w:szCs w:val="22"/>
          <w:vertAlign w:val="subscript"/>
        </w:rPr>
        <w:t>i</w:t>
      </w:r>
      <w:r w:rsidRPr="00263DB9">
        <w:rPr>
          <w:color w:val="000000"/>
          <w:szCs w:val="22"/>
        </w:rPr>
        <w:t xml:space="preserve"> em microssomas hepáticos humanos foram 27, 7,5 e 7,9 </w:t>
      </w:r>
      <w:r w:rsidRPr="00263DB9">
        <w:rPr>
          <w:color w:val="000000"/>
          <w:szCs w:val="22"/>
        </w:rPr>
        <w:sym w:font="Symbol" w:char="F06D"/>
      </w:r>
      <w:r w:rsidRPr="00263DB9">
        <w:rPr>
          <w:color w:val="000000"/>
          <w:szCs w:val="22"/>
        </w:rPr>
        <w:t>mol/l, respetivamente. As concentrações plasmáticas máximas do imatinib em doentes são de 2–4 </w:t>
      </w:r>
      <w:r w:rsidRPr="00263DB9">
        <w:rPr>
          <w:color w:val="000000"/>
          <w:szCs w:val="22"/>
        </w:rPr>
        <w:sym w:font="Symbol" w:char="F06D"/>
      </w:r>
      <w:r w:rsidRPr="00263DB9">
        <w:rPr>
          <w:color w:val="000000"/>
          <w:szCs w:val="22"/>
        </w:rPr>
        <w:t>mol/l, consequentemente, é possível a inibição de fármacos cujo metabolismo seja mediado pela CYP2D6 e/ou CYP3A4/5 e que sejam administrados concomitantemente. O imatinib não interferiu com a biotransformação do 5-fluorouracilo, mas inibiu o metabolismo do paclitaxel devido a inibição competitiva da CYP2C8 (K</w:t>
      </w:r>
      <w:r w:rsidRPr="00263DB9">
        <w:rPr>
          <w:color w:val="000000"/>
          <w:szCs w:val="22"/>
          <w:vertAlign w:val="subscript"/>
        </w:rPr>
        <w:t>i</w:t>
      </w:r>
      <w:r w:rsidRPr="00263DB9">
        <w:rPr>
          <w:color w:val="000000"/>
          <w:szCs w:val="22"/>
        </w:rPr>
        <w:t xml:space="preserve"> = 34,7 </w:t>
      </w:r>
      <w:r w:rsidRPr="00263DB9">
        <w:rPr>
          <w:color w:val="000000"/>
          <w:szCs w:val="22"/>
        </w:rPr>
        <w:sym w:font="Symbol" w:char="F06D"/>
      </w:r>
      <w:r w:rsidRPr="00263DB9">
        <w:rPr>
          <w:color w:val="000000"/>
          <w:szCs w:val="22"/>
        </w:rPr>
        <w:t>M). Este valor de K</w:t>
      </w:r>
      <w:r w:rsidRPr="00263DB9">
        <w:rPr>
          <w:color w:val="000000"/>
          <w:szCs w:val="22"/>
          <w:vertAlign w:val="subscript"/>
        </w:rPr>
        <w:t>i</w:t>
      </w:r>
      <w:r w:rsidRPr="00263DB9">
        <w:rPr>
          <w:color w:val="000000"/>
          <w:szCs w:val="22"/>
        </w:rPr>
        <w:t xml:space="preserve"> é muito superior aos níveis plasmáticos expectáveis nos doentes, consequentemente, não se prevê a ocorrência de interação devido a administração concomitante de 5-fluorouracilo ou paclitaxel e imatinib.</w:t>
      </w:r>
    </w:p>
    <w:p w14:paraId="375EB9EB" w14:textId="77777777" w:rsidR="00906898" w:rsidRPr="00263DB9" w:rsidRDefault="00906898" w:rsidP="00E51817">
      <w:pPr>
        <w:pStyle w:val="EndnoteText"/>
        <w:tabs>
          <w:tab w:val="clear" w:pos="567"/>
        </w:tabs>
        <w:suppressAutoHyphens/>
        <w:rPr>
          <w:color w:val="000000"/>
          <w:szCs w:val="22"/>
        </w:rPr>
      </w:pPr>
    </w:p>
    <w:p w14:paraId="375EB9EC" w14:textId="77777777" w:rsidR="00906898" w:rsidRPr="00263DB9" w:rsidRDefault="00906898" w:rsidP="008303F6">
      <w:pPr>
        <w:keepNext/>
        <w:widowControl w:val="0"/>
        <w:suppressAutoHyphens/>
        <w:rPr>
          <w:color w:val="000000"/>
          <w:szCs w:val="22"/>
        </w:rPr>
      </w:pPr>
      <w:r w:rsidRPr="00263DB9">
        <w:rPr>
          <w:color w:val="000000"/>
          <w:szCs w:val="22"/>
          <w:u w:val="single"/>
        </w:rPr>
        <w:t>Eliminação</w:t>
      </w:r>
    </w:p>
    <w:p w14:paraId="375EB9ED" w14:textId="77777777" w:rsidR="00906898" w:rsidRPr="00263DB9" w:rsidRDefault="00906898" w:rsidP="00E51817">
      <w:pPr>
        <w:widowControl w:val="0"/>
        <w:suppressAutoHyphens/>
        <w:rPr>
          <w:color w:val="000000"/>
          <w:szCs w:val="22"/>
        </w:rPr>
      </w:pPr>
      <w:r w:rsidRPr="00263DB9">
        <w:rPr>
          <w:color w:val="000000"/>
          <w:szCs w:val="22"/>
        </w:rPr>
        <w:t xml:space="preserve">Com base na recuperação dos compostos após uma dose oral de imatinib marcado radiativamente com </w:t>
      </w:r>
      <w:r w:rsidRPr="00263DB9">
        <w:rPr>
          <w:color w:val="000000"/>
          <w:szCs w:val="22"/>
          <w:vertAlign w:val="superscript"/>
        </w:rPr>
        <w:t>14</w:t>
      </w:r>
      <w:r w:rsidRPr="00263DB9">
        <w:rPr>
          <w:color w:val="000000"/>
          <w:szCs w:val="22"/>
        </w:rPr>
        <w:t>C, aproximadamente 81% da dose foram recuperados em 7 dias nas fezes (68% da dose) e urina (13% da dose). O imatinib inalterado contou para 25% da dose (5% na urina, 20% nas fezes), sendo o restante os metabolitos.</w:t>
      </w:r>
    </w:p>
    <w:p w14:paraId="375EB9EE" w14:textId="77777777" w:rsidR="00906898" w:rsidRPr="00263DB9" w:rsidRDefault="00906898" w:rsidP="00E51817">
      <w:pPr>
        <w:widowControl w:val="0"/>
        <w:suppressAutoHyphens/>
        <w:rPr>
          <w:color w:val="000000"/>
          <w:szCs w:val="22"/>
        </w:rPr>
      </w:pPr>
    </w:p>
    <w:p w14:paraId="375EB9EF" w14:textId="77777777" w:rsidR="00906898" w:rsidRPr="00263DB9" w:rsidRDefault="00906898" w:rsidP="008303F6">
      <w:pPr>
        <w:keepNext/>
        <w:widowControl w:val="0"/>
        <w:suppressAutoHyphens/>
        <w:rPr>
          <w:color w:val="000000"/>
          <w:szCs w:val="22"/>
        </w:rPr>
      </w:pPr>
      <w:r w:rsidRPr="00263DB9">
        <w:rPr>
          <w:color w:val="000000"/>
          <w:szCs w:val="22"/>
          <w:u w:val="single"/>
        </w:rPr>
        <w:t>Farmacocinética plasmática</w:t>
      </w:r>
    </w:p>
    <w:p w14:paraId="375EB9F0" w14:textId="77777777" w:rsidR="00906898" w:rsidRPr="00263DB9" w:rsidRDefault="00906898" w:rsidP="00E51817">
      <w:pPr>
        <w:widowControl w:val="0"/>
        <w:suppressAutoHyphens/>
        <w:rPr>
          <w:color w:val="000000"/>
          <w:szCs w:val="22"/>
        </w:rPr>
      </w:pPr>
      <w:r w:rsidRPr="00263DB9">
        <w:rPr>
          <w:color w:val="000000"/>
          <w:szCs w:val="22"/>
        </w:rPr>
        <w:t>Após administração oral em voluntários saudáveis, o t</w:t>
      </w:r>
      <w:r w:rsidRPr="00263DB9">
        <w:rPr>
          <w:color w:val="000000"/>
          <w:szCs w:val="22"/>
          <w:vertAlign w:val="subscript"/>
        </w:rPr>
        <w:t>1/2</w:t>
      </w:r>
      <w:r w:rsidRPr="00263DB9">
        <w:rPr>
          <w:color w:val="000000"/>
          <w:szCs w:val="22"/>
        </w:rPr>
        <w:t xml:space="preserve"> foi aproximadamente 18 h, sugerindo que a administração de uma dose diária é apropriada. O aumento na AUC média com o aumento da dose foi linear e é proporcional à dose no intervalo de 25–1.000 mg de imatinib, após administração oral. Não houve alteração da cinética do imatinib com a administração repetida e a acumulação foi de 1,5–2,5 vezes, no estado de equilíbrio, quando administrado uma vez por dia.</w:t>
      </w:r>
    </w:p>
    <w:p w14:paraId="375EB9F1" w14:textId="77777777" w:rsidR="00906898" w:rsidRPr="00263DB9" w:rsidRDefault="00906898" w:rsidP="00E51817">
      <w:pPr>
        <w:widowControl w:val="0"/>
        <w:suppressAutoHyphens/>
        <w:rPr>
          <w:color w:val="000000"/>
          <w:szCs w:val="22"/>
        </w:rPr>
      </w:pPr>
    </w:p>
    <w:p w14:paraId="375EB9F2" w14:textId="77777777" w:rsidR="00906898" w:rsidRPr="00263DB9" w:rsidRDefault="00906898" w:rsidP="008303F6">
      <w:pPr>
        <w:keepNext/>
        <w:widowControl w:val="0"/>
        <w:suppressAutoHyphens/>
        <w:rPr>
          <w:color w:val="000000"/>
          <w:szCs w:val="22"/>
          <w:u w:val="single"/>
        </w:rPr>
      </w:pPr>
      <w:r w:rsidRPr="00263DB9">
        <w:rPr>
          <w:color w:val="000000"/>
          <w:szCs w:val="22"/>
          <w:u w:val="single"/>
        </w:rPr>
        <w:t>Farmacocinética em doentes com GIST</w:t>
      </w:r>
    </w:p>
    <w:p w14:paraId="375EB9F3" w14:textId="77777777" w:rsidR="00906898" w:rsidRPr="00263DB9" w:rsidRDefault="00906898" w:rsidP="00E51817">
      <w:pPr>
        <w:widowControl w:val="0"/>
        <w:suppressAutoHyphens/>
        <w:rPr>
          <w:color w:val="000000"/>
          <w:szCs w:val="22"/>
        </w:rPr>
      </w:pPr>
      <w:r w:rsidRPr="00263DB9">
        <w:rPr>
          <w:color w:val="000000"/>
          <w:szCs w:val="22"/>
        </w:rPr>
        <w:t xml:space="preserve">Em doentes com GIST a exposição no estado de equilíbrio foi 1,5 vezes superior à observada em </w:t>
      </w:r>
      <w:r w:rsidRPr="00263DB9">
        <w:rPr>
          <w:color w:val="000000"/>
          <w:szCs w:val="22"/>
        </w:rPr>
        <w:lastRenderedPageBreak/>
        <w:t>doentes com LMC tratados com a mesma dose (400 mg por dia). Com base na análise preliminar da farmacocinética populacional em doentes com GIST, três variáveis (albumina, número de glóbulos brancos e bilirrubina) apresentaram relação estatisticamente significativa com a farmacocinética do imatinib. A redução dos valores da albumina causou redução da clearance (CL/f); e um número de glóbulos brancos aumentado causou redução da CL/f. No entanto, estas associações não foram suficientemente pronunciadas para suportar um ajuste da dose. Nesta população de doentes, a presença de metástases hepáticas poderia causar insuficiência hepática e diminuição do metabolismo.</w:t>
      </w:r>
    </w:p>
    <w:p w14:paraId="375EB9F4" w14:textId="77777777" w:rsidR="00906898" w:rsidRPr="00263DB9" w:rsidRDefault="00906898" w:rsidP="00E51817">
      <w:pPr>
        <w:widowControl w:val="0"/>
        <w:suppressAutoHyphens/>
        <w:rPr>
          <w:color w:val="000000"/>
          <w:szCs w:val="22"/>
        </w:rPr>
      </w:pPr>
    </w:p>
    <w:p w14:paraId="375EB9F5" w14:textId="77777777" w:rsidR="00906898" w:rsidRPr="00263DB9" w:rsidRDefault="00906898" w:rsidP="008303F6">
      <w:pPr>
        <w:keepNext/>
        <w:widowControl w:val="0"/>
        <w:suppressAutoHyphens/>
        <w:rPr>
          <w:color w:val="000000"/>
          <w:szCs w:val="22"/>
        </w:rPr>
      </w:pPr>
      <w:r w:rsidRPr="00263DB9">
        <w:rPr>
          <w:color w:val="000000"/>
          <w:szCs w:val="22"/>
          <w:u w:val="single"/>
        </w:rPr>
        <w:t>Farmacocinética da população</w:t>
      </w:r>
    </w:p>
    <w:p w14:paraId="375EB9F6" w14:textId="77777777" w:rsidR="00906898" w:rsidRPr="00263DB9" w:rsidRDefault="00906898" w:rsidP="00E51817">
      <w:pPr>
        <w:widowControl w:val="0"/>
        <w:suppressAutoHyphens/>
        <w:rPr>
          <w:color w:val="000000"/>
          <w:szCs w:val="22"/>
        </w:rPr>
      </w:pPr>
      <w:r w:rsidRPr="00263DB9">
        <w:rPr>
          <w:color w:val="000000"/>
          <w:szCs w:val="22"/>
        </w:rPr>
        <w:t>Com base na análise da farmacocinética populacional em doentes com LMC, existe um pequeno efeito da idade sobre o volume de distribuição (aumento de 12% em doentes com&gt; 65 anos de idade). Não se pensa que esta alteração seja clinicamente significativa. O efeito do peso corporal na depuração do imatinib é tal que, para um doente pesando 50 kg, se espera que a depuração média seja de 8,5 l/h, enquanto que para um doente pesando 100 kg a depuração irá aumentar para 11,8 l/h. Estas alterações não são consideradas suficientes para justificar um ajuste da dose com base nos kg de peso corporal. Não há um efeito do sexo na cinética do imatinib.</w:t>
      </w:r>
    </w:p>
    <w:p w14:paraId="375EB9F7" w14:textId="77777777" w:rsidR="00906898" w:rsidRPr="00263DB9" w:rsidRDefault="00906898" w:rsidP="00E51817">
      <w:pPr>
        <w:widowControl w:val="0"/>
        <w:suppressAutoHyphens/>
        <w:rPr>
          <w:color w:val="000000"/>
          <w:szCs w:val="22"/>
        </w:rPr>
      </w:pPr>
    </w:p>
    <w:p w14:paraId="375EB9F8" w14:textId="77777777" w:rsidR="00906898" w:rsidRPr="00263DB9" w:rsidRDefault="00906898" w:rsidP="00831CCB">
      <w:pPr>
        <w:keepNext/>
        <w:widowControl w:val="0"/>
        <w:suppressAutoHyphens/>
        <w:rPr>
          <w:color w:val="000000"/>
          <w:szCs w:val="22"/>
          <w:u w:val="single"/>
        </w:rPr>
      </w:pPr>
      <w:r w:rsidRPr="00263DB9">
        <w:rPr>
          <w:color w:val="000000"/>
          <w:szCs w:val="22"/>
          <w:u w:val="single"/>
        </w:rPr>
        <w:t>Farmacocinética em crianças</w:t>
      </w:r>
    </w:p>
    <w:p w14:paraId="375EB9F9" w14:textId="77777777" w:rsidR="00906898" w:rsidRPr="00263DB9" w:rsidRDefault="00906898" w:rsidP="00E51817">
      <w:pPr>
        <w:widowControl w:val="0"/>
        <w:suppressAutoHyphens/>
        <w:rPr>
          <w:color w:val="000000"/>
          <w:szCs w:val="22"/>
        </w:rPr>
      </w:pPr>
      <w:r w:rsidRPr="00263DB9">
        <w:rPr>
          <w:color w:val="000000"/>
          <w:szCs w:val="22"/>
        </w:rPr>
        <w:t>Tal como em doentes adultos, em estudos de fase I e fase II o imatinib foi rapidamente absorvido após administração oral em doentes pediátricos. Após administração de doses de 260 e 340 mg/m</w:t>
      </w:r>
      <w:r w:rsidRPr="00263DB9">
        <w:rPr>
          <w:color w:val="000000"/>
          <w:szCs w:val="22"/>
          <w:vertAlign w:val="superscript"/>
        </w:rPr>
        <w:t>2</w:t>
      </w:r>
      <w:r w:rsidRPr="00263DB9">
        <w:rPr>
          <w:color w:val="000000"/>
          <w:szCs w:val="22"/>
        </w:rPr>
        <w:t xml:space="preserve"> por dia foi obtida uma exposição similar à obtida em adultos, após administração de doses de 400 e 600 mg/m</w:t>
      </w:r>
      <w:r w:rsidRPr="00263DB9">
        <w:rPr>
          <w:color w:val="000000"/>
          <w:szCs w:val="22"/>
          <w:vertAlign w:val="superscript"/>
        </w:rPr>
        <w:t>2</w:t>
      </w:r>
      <w:r w:rsidRPr="00263DB9">
        <w:rPr>
          <w:color w:val="000000"/>
          <w:szCs w:val="22"/>
        </w:rPr>
        <w:t>, respetivamente. A comparação da AUC</w:t>
      </w:r>
      <w:r w:rsidRPr="00263DB9">
        <w:rPr>
          <w:color w:val="000000"/>
          <w:szCs w:val="22"/>
          <w:vertAlign w:val="subscript"/>
        </w:rPr>
        <w:t>(0-24)</w:t>
      </w:r>
      <w:r w:rsidRPr="00263DB9">
        <w:rPr>
          <w:color w:val="000000"/>
          <w:szCs w:val="22"/>
        </w:rPr>
        <w:t xml:space="preserve"> no dia 8 e no dia 1, nos doentes tratados com a dose de 340 mg/m</w:t>
      </w:r>
      <w:r w:rsidRPr="00263DB9">
        <w:rPr>
          <w:color w:val="000000"/>
          <w:szCs w:val="22"/>
          <w:vertAlign w:val="superscript"/>
        </w:rPr>
        <w:t>2</w:t>
      </w:r>
      <w:r w:rsidRPr="00263DB9">
        <w:rPr>
          <w:color w:val="000000"/>
          <w:szCs w:val="22"/>
        </w:rPr>
        <w:t xml:space="preserve"> por dia, revelou um fator de acumulação de 1,7, após administração reiterada de doses diárias únicas.</w:t>
      </w:r>
    </w:p>
    <w:p w14:paraId="375EB9FA" w14:textId="77777777" w:rsidR="00906898" w:rsidRPr="00263DB9" w:rsidRDefault="00906898" w:rsidP="00E51817">
      <w:pPr>
        <w:widowControl w:val="0"/>
        <w:suppressAutoHyphens/>
        <w:rPr>
          <w:color w:val="000000"/>
          <w:szCs w:val="22"/>
        </w:rPr>
      </w:pPr>
    </w:p>
    <w:p w14:paraId="375EB9FB" w14:textId="77777777" w:rsidR="000043B6" w:rsidRPr="00263DB9" w:rsidRDefault="000043B6" w:rsidP="00E51817">
      <w:pPr>
        <w:widowControl w:val="0"/>
        <w:suppressAutoHyphens/>
        <w:rPr>
          <w:color w:val="000000"/>
          <w:szCs w:val="22"/>
        </w:rPr>
      </w:pPr>
      <w:r w:rsidRPr="00263DB9">
        <w:rPr>
          <w:color w:val="000000"/>
          <w:szCs w:val="22"/>
        </w:rPr>
        <w:t xml:space="preserve">Com base na análise farmacocinética da população agrupada em doentes pediátricos com distúrbios hematológicos (LMC, LLA Ph+, ou outros distúrbios hematológicos tratados com imatinib), a depuração de imatinib aumenta com o aumento da área de superfície corporal (BSA, </w:t>
      </w:r>
      <w:r w:rsidRPr="00263DB9">
        <w:rPr>
          <w:i/>
          <w:color w:val="000000"/>
          <w:szCs w:val="22"/>
        </w:rPr>
        <w:t>Body Surface Area</w:t>
      </w:r>
      <w:r w:rsidRPr="00263DB9">
        <w:rPr>
          <w:color w:val="000000"/>
          <w:szCs w:val="22"/>
        </w:rPr>
        <w:t>). Após correcção do efeito de BSA, outras características demográficas como a idade, o peso ou o índice de massa corporal não tiveram efeito clínico significativo na exposição ao imatinib. A análise confirmou que a exposição ao imatinib em doentes pediátricos a receber 260 mg/m</w:t>
      </w:r>
      <w:r w:rsidRPr="00263DB9">
        <w:rPr>
          <w:color w:val="000000"/>
          <w:szCs w:val="22"/>
          <w:vertAlign w:val="superscript"/>
        </w:rPr>
        <w:t>2</w:t>
      </w:r>
      <w:r w:rsidRPr="00263DB9">
        <w:rPr>
          <w:color w:val="000000"/>
          <w:szCs w:val="22"/>
        </w:rPr>
        <w:t xml:space="preserve"> uma vez por dia (não excedendo 400 mg uma vez por dia) ou 340 mg/m</w:t>
      </w:r>
      <w:r w:rsidRPr="00263DB9">
        <w:rPr>
          <w:color w:val="000000"/>
          <w:szCs w:val="22"/>
          <w:vertAlign w:val="superscript"/>
        </w:rPr>
        <w:t>2</w:t>
      </w:r>
      <w:r w:rsidRPr="00263DB9">
        <w:rPr>
          <w:color w:val="000000"/>
          <w:szCs w:val="22"/>
        </w:rPr>
        <w:t xml:space="preserve"> uma vez por dia (não excedendo 600 mg uma vez por dia) foi semelhante à dos doentes adultos que receberam imatinib 400 mg ou 600 mg uma vez por dia.</w:t>
      </w:r>
    </w:p>
    <w:p w14:paraId="375EB9FC" w14:textId="77777777" w:rsidR="000043B6" w:rsidRPr="00263DB9" w:rsidRDefault="000043B6" w:rsidP="00E51817">
      <w:pPr>
        <w:widowControl w:val="0"/>
        <w:suppressAutoHyphens/>
        <w:rPr>
          <w:color w:val="000000"/>
          <w:szCs w:val="22"/>
        </w:rPr>
      </w:pPr>
    </w:p>
    <w:p w14:paraId="375EB9FD" w14:textId="77777777" w:rsidR="00906898" w:rsidRPr="00263DB9" w:rsidRDefault="00906898" w:rsidP="00831CCB">
      <w:pPr>
        <w:keepNext/>
        <w:widowControl w:val="0"/>
        <w:suppressAutoHyphens/>
        <w:rPr>
          <w:color w:val="000000"/>
          <w:szCs w:val="22"/>
        </w:rPr>
      </w:pPr>
      <w:r w:rsidRPr="00263DB9">
        <w:rPr>
          <w:color w:val="000000"/>
          <w:szCs w:val="22"/>
          <w:u w:val="single"/>
        </w:rPr>
        <w:t>Compromisso funcional dos órgãos</w:t>
      </w:r>
    </w:p>
    <w:p w14:paraId="375EB9FE" w14:textId="77777777" w:rsidR="00906898" w:rsidRPr="00263DB9" w:rsidRDefault="00906898" w:rsidP="00E51817">
      <w:pPr>
        <w:pStyle w:val="EndnoteText"/>
        <w:tabs>
          <w:tab w:val="clear" w:pos="567"/>
        </w:tabs>
        <w:rPr>
          <w:color w:val="000000"/>
          <w:szCs w:val="22"/>
        </w:rPr>
      </w:pPr>
      <w:r w:rsidRPr="00263DB9">
        <w:rPr>
          <w:color w:val="000000"/>
          <w:szCs w:val="22"/>
        </w:rPr>
        <w:t>O imatinib e os seus metabolitos não são excretados através dos rins numa extensão significativa. Doentes com compromisso ligeiro e moderado da função renal parecem ter uma exposição plasmática mais elevada do que doentes com função renal normal. O aumento é de aproximadamente 1,5- a 2-vezes, correspondendo a uma elevação de 1,5-vezes da AGP plasmática, à qual o imatinib se liga fortemente. A depuração do imatinib livre é provavelmente semelhante entre doentes com compromisso renal e aqueles com função renal normal, uma vez que a excreção renal representa apenas uma via de eliminação menor para o imatinib (ver secções 4.2 e 4.4).</w:t>
      </w:r>
    </w:p>
    <w:p w14:paraId="375EB9FF" w14:textId="77777777" w:rsidR="00906898" w:rsidRPr="00263DB9" w:rsidRDefault="00906898" w:rsidP="00E51817">
      <w:pPr>
        <w:pStyle w:val="EndnoteText"/>
        <w:tabs>
          <w:tab w:val="clear" w:pos="567"/>
        </w:tabs>
        <w:rPr>
          <w:color w:val="000000"/>
          <w:szCs w:val="22"/>
        </w:rPr>
      </w:pPr>
    </w:p>
    <w:p w14:paraId="375EBA00" w14:textId="77777777" w:rsidR="00906898" w:rsidRPr="00263DB9" w:rsidRDefault="00906898" w:rsidP="00E51817">
      <w:pPr>
        <w:widowControl w:val="0"/>
        <w:suppressAutoHyphens/>
        <w:rPr>
          <w:color w:val="000000"/>
          <w:szCs w:val="22"/>
        </w:rPr>
      </w:pPr>
      <w:r w:rsidRPr="00263DB9">
        <w:rPr>
          <w:color w:val="000000"/>
          <w:szCs w:val="22"/>
        </w:rPr>
        <w:t>Apesar de os resultados da análise farmacocinética mostrarem considerável variação inter-individual, a exposição média ao imatinib não aumentou em doentes com graus variáveis de disfunção hepática, comparativamente a doentes com função hepática normal (ver secções 4.2, 4.4 e 4.8).</w:t>
      </w:r>
    </w:p>
    <w:p w14:paraId="375EBA01" w14:textId="77777777" w:rsidR="00906898" w:rsidRPr="00263DB9" w:rsidRDefault="00906898" w:rsidP="00E51817">
      <w:pPr>
        <w:widowControl w:val="0"/>
        <w:suppressAutoHyphens/>
        <w:rPr>
          <w:color w:val="000000"/>
          <w:szCs w:val="22"/>
        </w:rPr>
      </w:pPr>
    </w:p>
    <w:p w14:paraId="375EBA02" w14:textId="77777777" w:rsidR="00906898" w:rsidRPr="00263DB9" w:rsidRDefault="00906898" w:rsidP="00831CCB">
      <w:pPr>
        <w:keepNext/>
        <w:widowControl w:val="0"/>
        <w:suppressAutoHyphens/>
        <w:ind w:left="567" w:hanging="567"/>
        <w:rPr>
          <w:b/>
          <w:color w:val="000000"/>
          <w:szCs w:val="22"/>
        </w:rPr>
      </w:pPr>
      <w:r w:rsidRPr="00263DB9">
        <w:rPr>
          <w:b/>
          <w:color w:val="000000"/>
          <w:szCs w:val="22"/>
        </w:rPr>
        <w:t>5.3</w:t>
      </w:r>
      <w:r w:rsidRPr="00263DB9">
        <w:rPr>
          <w:b/>
          <w:color w:val="000000"/>
          <w:szCs w:val="22"/>
        </w:rPr>
        <w:tab/>
        <w:t>Dados de segurança pré-clínica</w:t>
      </w:r>
    </w:p>
    <w:p w14:paraId="375EBA03" w14:textId="77777777" w:rsidR="00906898" w:rsidRPr="00263DB9" w:rsidRDefault="00906898" w:rsidP="00831CCB">
      <w:pPr>
        <w:keepNext/>
        <w:widowControl w:val="0"/>
        <w:rPr>
          <w:color w:val="000000"/>
          <w:szCs w:val="22"/>
        </w:rPr>
      </w:pPr>
    </w:p>
    <w:p w14:paraId="375EBA04" w14:textId="77777777" w:rsidR="00906898" w:rsidRPr="00263DB9" w:rsidRDefault="00906898" w:rsidP="00E51817">
      <w:pPr>
        <w:widowControl w:val="0"/>
        <w:rPr>
          <w:color w:val="000000"/>
          <w:szCs w:val="22"/>
        </w:rPr>
      </w:pPr>
      <w:r w:rsidRPr="00263DB9">
        <w:rPr>
          <w:color w:val="000000"/>
          <w:szCs w:val="22"/>
        </w:rPr>
        <w:t>O perfil de segunça pré-clínica do imatinib foi avaliado em ratos, cães, macacos e coelhos.</w:t>
      </w:r>
    </w:p>
    <w:p w14:paraId="375EBA05" w14:textId="77777777" w:rsidR="00906898" w:rsidRPr="00263DB9" w:rsidRDefault="00906898" w:rsidP="00E51817">
      <w:pPr>
        <w:widowControl w:val="0"/>
        <w:rPr>
          <w:color w:val="000000"/>
          <w:szCs w:val="22"/>
        </w:rPr>
      </w:pPr>
    </w:p>
    <w:p w14:paraId="375EBA06" w14:textId="77777777" w:rsidR="00906898" w:rsidRPr="00263DB9" w:rsidRDefault="00906898" w:rsidP="00E51817">
      <w:pPr>
        <w:widowControl w:val="0"/>
        <w:rPr>
          <w:color w:val="000000"/>
          <w:szCs w:val="22"/>
        </w:rPr>
      </w:pPr>
      <w:r w:rsidRPr="00263DB9">
        <w:rPr>
          <w:color w:val="000000"/>
          <w:szCs w:val="22"/>
        </w:rPr>
        <w:t>Os estudos de toxicidade reiterada revelaram alterações hematológicas ligeiras a moderadas em ratos, cães e macacos, companhadas de alterações ao nível da medula óssea em ratos e cães.</w:t>
      </w:r>
    </w:p>
    <w:p w14:paraId="375EBA07" w14:textId="77777777" w:rsidR="00906898" w:rsidRPr="00263DB9" w:rsidRDefault="00906898" w:rsidP="00E51817">
      <w:pPr>
        <w:widowControl w:val="0"/>
        <w:rPr>
          <w:color w:val="000000"/>
          <w:szCs w:val="22"/>
        </w:rPr>
      </w:pPr>
    </w:p>
    <w:p w14:paraId="375EBA08" w14:textId="77777777" w:rsidR="00906898" w:rsidRPr="00263DB9" w:rsidRDefault="00906898" w:rsidP="00E51817">
      <w:pPr>
        <w:widowControl w:val="0"/>
        <w:rPr>
          <w:color w:val="000000"/>
          <w:szCs w:val="22"/>
        </w:rPr>
      </w:pPr>
      <w:r w:rsidRPr="00263DB9">
        <w:rPr>
          <w:color w:val="000000"/>
          <w:szCs w:val="22"/>
        </w:rPr>
        <w:t xml:space="preserve">O fígado foi um órgão-alvo em ratos e cães. Em ambas as espécies foi observado aumento ligeiro a moderado das transaminases e ligeira diminuição dos níveis de colesterol, trigliceridos, proteínas </w:t>
      </w:r>
      <w:r w:rsidRPr="00263DB9">
        <w:rPr>
          <w:color w:val="000000"/>
          <w:szCs w:val="22"/>
        </w:rPr>
        <w:lastRenderedPageBreak/>
        <w:t>totais e albumina. Não foram observadas alterações histopatológicas hepáticas nos ratos. Em cães tratados durante 2 semanas foi observada toxicidade hepática grave, com aumento das enzimas hepáticas, necrose hepatocelular, necrose e hiperplasia do ducto biliar.</w:t>
      </w:r>
    </w:p>
    <w:p w14:paraId="375EBA09" w14:textId="77777777" w:rsidR="00906898" w:rsidRPr="00263DB9" w:rsidRDefault="00906898" w:rsidP="00E51817">
      <w:pPr>
        <w:widowControl w:val="0"/>
        <w:rPr>
          <w:color w:val="000000"/>
          <w:szCs w:val="22"/>
        </w:rPr>
      </w:pPr>
    </w:p>
    <w:p w14:paraId="375EBA0A" w14:textId="77777777" w:rsidR="00906898" w:rsidRPr="00263DB9" w:rsidRDefault="00906898" w:rsidP="00E51817">
      <w:pPr>
        <w:widowControl w:val="0"/>
        <w:rPr>
          <w:color w:val="000000"/>
          <w:szCs w:val="22"/>
        </w:rPr>
      </w:pPr>
      <w:r w:rsidRPr="00263DB9">
        <w:rPr>
          <w:color w:val="000000"/>
          <w:szCs w:val="22"/>
        </w:rPr>
        <w:t xml:space="preserve">Foi observada toxicidade renal em macacos tratados durante 2 semanas, com mineralização focal e dilatação dos túbulos renais e nefrose tubular. Em vários destes animais observou-se aumento dos níveis sanguíneos de ureia (BUN) e da creatinina. No estudo de 13 semanas em ratos, observou-se hiperplasia do epitélio transicional na papila renal e na bexiga, para doses </w:t>
      </w:r>
      <w:r w:rsidRPr="00263DB9">
        <w:rPr>
          <w:color w:val="000000"/>
          <w:szCs w:val="22"/>
        </w:rPr>
        <w:sym w:font="Symbol" w:char="F0B3"/>
      </w:r>
      <w:r w:rsidRPr="00263DB9">
        <w:rPr>
          <w:color w:val="000000"/>
          <w:szCs w:val="22"/>
        </w:rPr>
        <w:t> 6 mg/kg, sem alterações nos parâmetros séricos ou urinários. Foi observado um aumento da taxa de infeções oportunistas após tratamento crónico com imatinib.</w:t>
      </w:r>
    </w:p>
    <w:p w14:paraId="375EBA0B" w14:textId="77777777" w:rsidR="00906898" w:rsidRPr="00263DB9" w:rsidRDefault="00906898" w:rsidP="00E51817">
      <w:pPr>
        <w:widowControl w:val="0"/>
        <w:rPr>
          <w:color w:val="000000"/>
          <w:szCs w:val="22"/>
        </w:rPr>
      </w:pPr>
    </w:p>
    <w:p w14:paraId="375EBA0C" w14:textId="77777777" w:rsidR="00906898" w:rsidRPr="00263DB9" w:rsidRDefault="00906898" w:rsidP="00E51817">
      <w:pPr>
        <w:widowControl w:val="0"/>
        <w:rPr>
          <w:color w:val="000000"/>
          <w:szCs w:val="22"/>
        </w:rPr>
      </w:pPr>
      <w:r w:rsidRPr="00263DB9">
        <w:rPr>
          <w:color w:val="000000"/>
          <w:szCs w:val="22"/>
        </w:rPr>
        <w:t>Num estudo de 39 semanas em macacos, não foi estabelecido NOAEL (dose sem efeitos tóxicos observados) para a dose inferior, 15 mg/kg, a qual é aproximadamente um terço da dose máxima no ser humano, 800 mg, com base na superfície corporal. O tratamento induziu um agravamento de infeções palúdicas normalmente suprimidas nestes animais.</w:t>
      </w:r>
    </w:p>
    <w:p w14:paraId="375EBA0D" w14:textId="77777777" w:rsidR="00906898" w:rsidRPr="00263DB9" w:rsidRDefault="00906898" w:rsidP="00E51817">
      <w:pPr>
        <w:widowControl w:val="0"/>
        <w:rPr>
          <w:color w:val="000000"/>
          <w:szCs w:val="22"/>
        </w:rPr>
      </w:pPr>
    </w:p>
    <w:p w14:paraId="375EBA0E" w14:textId="77777777" w:rsidR="00906898" w:rsidRPr="00263DB9" w:rsidRDefault="00906898" w:rsidP="00E51817">
      <w:pPr>
        <w:widowControl w:val="0"/>
        <w:rPr>
          <w:color w:val="000000"/>
          <w:szCs w:val="22"/>
        </w:rPr>
      </w:pPr>
      <w:r w:rsidRPr="00263DB9">
        <w:rPr>
          <w:color w:val="000000"/>
          <w:szCs w:val="22"/>
        </w:rPr>
        <w:t xml:space="preserve">O imatinib não foi considerado genotóxico quando testado num ensaio </w:t>
      </w:r>
      <w:r w:rsidRPr="00263DB9">
        <w:rPr>
          <w:i/>
          <w:color w:val="000000"/>
          <w:szCs w:val="22"/>
        </w:rPr>
        <w:t>in vitro</w:t>
      </w:r>
      <w:r w:rsidRPr="00263DB9">
        <w:rPr>
          <w:color w:val="000000"/>
          <w:szCs w:val="22"/>
        </w:rPr>
        <w:t xml:space="preserve"> em células bacterianas (teste de Ames), num ensaio </w:t>
      </w:r>
      <w:r w:rsidRPr="00263DB9">
        <w:rPr>
          <w:i/>
          <w:color w:val="000000"/>
          <w:szCs w:val="22"/>
        </w:rPr>
        <w:t>in vitro</w:t>
      </w:r>
      <w:r w:rsidRPr="00263DB9">
        <w:rPr>
          <w:color w:val="000000"/>
          <w:szCs w:val="22"/>
        </w:rPr>
        <w:t xml:space="preserve"> em células de mamíferos (linfoma do ratinho) e no ensaio </w:t>
      </w:r>
      <w:r w:rsidRPr="00263DB9">
        <w:rPr>
          <w:i/>
          <w:color w:val="000000"/>
          <w:szCs w:val="22"/>
        </w:rPr>
        <w:t>in vivo</w:t>
      </w:r>
      <w:r w:rsidRPr="00263DB9">
        <w:rPr>
          <w:color w:val="000000"/>
          <w:szCs w:val="22"/>
        </w:rPr>
        <w:t xml:space="preserve"> de formação de micronúcleos no rato. Foram observados efeitos genotóxicos para o imatinib num ensaio </w:t>
      </w:r>
      <w:r w:rsidRPr="00263DB9">
        <w:rPr>
          <w:i/>
          <w:color w:val="000000"/>
          <w:szCs w:val="22"/>
        </w:rPr>
        <w:t>in vitro</w:t>
      </w:r>
      <w:r w:rsidRPr="00263DB9">
        <w:rPr>
          <w:color w:val="000000"/>
          <w:szCs w:val="22"/>
        </w:rPr>
        <w:t xml:space="preserve"> em células de mamíferos (ovário de hamster Chinês) relativamente a clastogenicidade (aberrações cromossómicas), na presença de ativação metabólica. Dois produtos intermédios do processo de fabrico, os quais estão também presentes no produto acabado, mostraram potencial mutagénico no teste de Ames. Um destes intermédios foi também positivo no ensaio do linfoma do ratinho.</w:t>
      </w:r>
    </w:p>
    <w:p w14:paraId="375EBA0F" w14:textId="77777777" w:rsidR="00906898" w:rsidRPr="00263DB9" w:rsidRDefault="00906898" w:rsidP="00E51817">
      <w:pPr>
        <w:widowControl w:val="0"/>
        <w:rPr>
          <w:color w:val="000000"/>
          <w:szCs w:val="22"/>
        </w:rPr>
      </w:pPr>
    </w:p>
    <w:p w14:paraId="375EBA10" w14:textId="77777777" w:rsidR="00906898" w:rsidRPr="00263DB9" w:rsidRDefault="00906898" w:rsidP="00E51817">
      <w:pPr>
        <w:widowControl w:val="0"/>
        <w:rPr>
          <w:color w:val="000000"/>
          <w:szCs w:val="22"/>
        </w:rPr>
      </w:pPr>
      <w:r w:rsidRPr="00263DB9">
        <w:rPr>
          <w:color w:val="000000"/>
          <w:szCs w:val="22"/>
        </w:rPr>
        <w:t xml:space="preserve">No estudo de fertilidade em ratos machos tratados durante 70 dias previamente ao acasalamento, os pesos dos testículos e dos epidídimos e a mobilidade do espermatozóides (percentual) diminuíram nos ratos tratados com 60 mg/kg, valor aproximado da dose máxima clínica de 800 mg por dia, com base na área corporal. Este efeito não foi observado para doses </w:t>
      </w:r>
      <w:r w:rsidRPr="00263DB9">
        <w:rPr>
          <w:color w:val="000000"/>
          <w:szCs w:val="22"/>
        </w:rPr>
        <w:sym w:font="Symbol" w:char="F0A3"/>
      </w:r>
      <w:r w:rsidRPr="00263DB9">
        <w:rPr>
          <w:color w:val="000000"/>
          <w:szCs w:val="22"/>
        </w:rPr>
        <w:t xml:space="preserve"> 20 mg/kg. Em cães foi também observada diminuição ligeira a moderada da espermatogénese, para doses </w:t>
      </w:r>
      <w:r w:rsidRPr="00263DB9">
        <w:rPr>
          <w:color w:val="000000"/>
          <w:szCs w:val="22"/>
        </w:rPr>
        <w:sym w:font="Symbol" w:char="F0B3"/>
      </w:r>
      <w:r w:rsidRPr="00263DB9">
        <w:rPr>
          <w:color w:val="000000"/>
          <w:szCs w:val="22"/>
        </w:rPr>
        <w:t xml:space="preserve"> 30 mg/kg administradas por via oral. Quando os ratos fêmea foram tratados desde 14 dias antes do acasalamento até ao dia 6 de gestação, não ocorreu efeito sobre o acasalamento ou o número de fêmeas prenhas. Numa dose de 60 mg/kg, os ratos fêmeas apresentaram perda fetal pós-implantação significativamente superior e diminuição do número de fetos vivos. Este efeito não foi observado em doses </w:t>
      </w:r>
      <w:r w:rsidRPr="00263DB9">
        <w:rPr>
          <w:color w:val="000000"/>
          <w:szCs w:val="22"/>
        </w:rPr>
        <w:sym w:font="Symbol" w:char="F0A3"/>
      </w:r>
      <w:r w:rsidRPr="00263DB9">
        <w:rPr>
          <w:color w:val="000000"/>
          <w:szCs w:val="22"/>
        </w:rPr>
        <w:t> 20 mg/kg.</w:t>
      </w:r>
    </w:p>
    <w:p w14:paraId="375EBA11" w14:textId="77777777" w:rsidR="00906898" w:rsidRPr="00263DB9" w:rsidRDefault="00906898" w:rsidP="00E51817">
      <w:pPr>
        <w:widowControl w:val="0"/>
        <w:rPr>
          <w:color w:val="000000"/>
          <w:szCs w:val="22"/>
        </w:rPr>
      </w:pPr>
    </w:p>
    <w:p w14:paraId="375EBA12" w14:textId="77777777" w:rsidR="00906898" w:rsidRPr="00263DB9" w:rsidRDefault="00906898" w:rsidP="00E51817">
      <w:pPr>
        <w:widowControl w:val="0"/>
        <w:rPr>
          <w:color w:val="000000"/>
          <w:szCs w:val="22"/>
        </w:rPr>
      </w:pPr>
      <w:r w:rsidRPr="00263DB9">
        <w:rPr>
          <w:color w:val="000000"/>
          <w:szCs w:val="22"/>
        </w:rPr>
        <w:t>Num estudo de desenvolvimento pré- e pós-natal, ocorreu corrimento vaginal avermelhado no grupo tratado com 45 mg/kg por dia, por via oral, em ambos os dias 14 e 15 de gestação. Neste mesmo grupo, o número de nados-mortos e de crias com morte pós-parto, entre os dias 0 e 4 aumentou. Ainda para este grupo, ocorreu, na primeira geração, redução do peso corporal médio desde a nascença até à altura em que os animais foram sacrificados e diminuição do número de crias que atingiram os critérios para separação prepucial. A fertilidade desta primeira geração não foi afetada, tendo sido detetado aumento do número de reabsorções e diminuição do número de fetos viáveis nos animais tratados com a dose de 45 mg/kg por dia. O nível para ausência de efeitos tóxicos observados (NOEL) maternos e para a primeira geração foi a dose de 15 mg/kg por dia (um quarto da dose máxima no ser humano, 800 mg).</w:t>
      </w:r>
    </w:p>
    <w:p w14:paraId="375EBA13" w14:textId="77777777" w:rsidR="00906898" w:rsidRPr="00263DB9" w:rsidRDefault="00906898" w:rsidP="00E51817">
      <w:pPr>
        <w:widowControl w:val="0"/>
        <w:rPr>
          <w:color w:val="000000"/>
          <w:szCs w:val="22"/>
        </w:rPr>
      </w:pPr>
    </w:p>
    <w:p w14:paraId="375EBA14" w14:textId="77777777" w:rsidR="00906898" w:rsidRPr="00263DB9" w:rsidRDefault="00906898" w:rsidP="00E51817">
      <w:pPr>
        <w:widowControl w:val="0"/>
        <w:rPr>
          <w:color w:val="000000"/>
          <w:szCs w:val="22"/>
        </w:rPr>
      </w:pPr>
      <w:r w:rsidRPr="00263DB9">
        <w:rPr>
          <w:color w:val="000000"/>
          <w:szCs w:val="22"/>
        </w:rPr>
        <w:t xml:space="preserve">O imatinib foi teratogénico nos ratos, quando administrado durante a organogénese em doses </w:t>
      </w:r>
      <w:r w:rsidRPr="00263DB9">
        <w:rPr>
          <w:color w:val="000000"/>
          <w:szCs w:val="22"/>
        </w:rPr>
        <w:sym w:font="Symbol" w:char="F0B3"/>
      </w:r>
      <w:r w:rsidRPr="00263DB9">
        <w:rPr>
          <w:color w:val="000000"/>
          <w:szCs w:val="22"/>
        </w:rPr>
        <w:t xml:space="preserve"> 100 mg/kg, valor aproximado da dose máxima clínica de 800 mg por dia, com base na área corporal. Os efeitos teratogénicos incluíram exencefalia ou encefalocele, ausência/redução do tamanho dos ossos frontais e ausência dos ossos parietais. Estes efeitos não foram observados em doses </w:t>
      </w:r>
      <w:r w:rsidRPr="00263DB9">
        <w:rPr>
          <w:color w:val="000000"/>
          <w:szCs w:val="22"/>
        </w:rPr>
        <w:sym w:font="Symbol" w:char="F0A3"/>
      </w:r>
      <w:r w:rsidRPr="00263DB9">
        <w:rPr>
          <w:color w:val="000000"/>
          <w:szCs w:val="22"/>
        </w:rPr>
        <w:t> 30 mg/kg.</w:t>
      </w:r>
    </w:p>
    <w:p w14:paraId="375EBA15" w14:textId="77777777" w:rsidR="00906898" w:rsidRPr="00263DB9" w:rsidRDefault="00906898" w:rsidP="00E51817">
      <w:pPr>
        <w:widowControl w:val="0"/>
        <w:rPr>
          <w:color w:val="000000"/>
          <w:szCs w:val="22"/>
        </w:rPr>
      </w:pPr>
    </w:p>
    <w:p w14:paraId="375EBA16" w14:textId="77777777" w:rsidR="00C97CCE" w:rsidRPr="00263DB9" w:rsidRDefault="00C97CCE" w:rsidP="00E51817">
      <w:pPr>
        <w:widowControl w:val="0"/>
        <w:rPr>
          <w:color w:val="000000"/>
          <w:szCs w:val="22"/>
        </w:rPr>
      </w:pPr>
      <w:r w:rsidRPr="00263DB9">
        <w:rPr>
          <w:color w:val="000000"/>
          <w:szCs w:val="22"/>
        </w:rPr>
        <w:t>Não foram identificados novos órgãos alvo no estudo de toxicologia de desenvolvimento juvenil no rato (dia 10 a 70 pós-parto), relativamente aos órgãos alvo conhecidos em ratos adultos. No estudo de toxicologia juvenil, foram observados efeitos sobre o crescimento, atraso na abertura vaginal e separação prepucial em aproximadamente 0,3 a 2 vezes da exposição pediátrica média com a dose máxima recomendada de 340 mg/m</w:t>
      </w:r>
      <w:r w:rsidRPr="00263DB9">
        <w:rPr>
          <w:color w:val="000000"/>
          <w:szCs w:val="22"/>
          <w:vertAlign w:val="superscript"/>
        </w:rPr>
        <w:t>2</w:t>
      </w:r>
      <w:r w:rsidRPr="00263DB9">
        <w:rPr>
          <w:color w:val="000000"/>
          <w:szCs w:val="22"/>
        </w:rPr>
        <w:t xml:space="preserve">. Além disso, observou-se mortalidade em animais jovens </w:t>
      </w:r>
      <w:r w:rsidRPr="00263DB9">
        <w:rPr>
          <w:color w:val="000000"/>
          <w:szCs w:val="22"/>
        </w:rPr>
        <w:lastRenderedPageBreak/>
        <w:t>(próximo da fase de desmame) em aproximadamente 2 vezes da exposição pediátrica média com a dose máxima recomendada de 340 mg/m</w:t>
      </w:r>
      <w:r w:rsidRPr="00263DB9">
        <w:rPr>
          <w:color w:val="000000"/>
          <w:szCs w:val="22"/>
          <w:vertAlign w:val="superscript"/>
        </w:rPr>
        <w:t>2</w:t>
      </w:r>
      <w:r w:rsidRPr="00263DB9">
        <w:rPr>
          <w:color w:val="000000"/>
          <w:szCs w:val="22"/>
        </w:rPr>
        <w:t>.</w:t>
      </w:r>
    </w:p>
    <w:p w14:paraId="375EBA17" w14:textId="77777777" w:rsidR="00C97CCE" w:rsidRPr="00263DB9" w:rsidRDefault="00C97CCE" w:rsidP="00E51817">
      <w:pPr>
        <w:widowControl w:val="0"/>
        <w:rPr>
          <w:color w:val="000000"/>
          <w:szCs w:val="22"/>
        </w:rPr>
      </w:pPr>
    </w:p>
    <w:p w14:paraId="375EBA18" w14:textId="77777777" w:rsidR="00906898" w:rsidRPr="00263DB9" w:rsidRDefault="00906898" w:rsidP="00E51817">
      <w:pPr>
        <w:widowControl w:val="0"/>
        <w:rPr>
          <w:color w:val="000000"/>
          <w:szCs w:val="22"/>
        </w:rPr>
      </w:pPr>
      <w:r w:rsidRPr="00263DB9">
        <w:rPr>
          <w:color w:val="000000"/>
          <w:szCs w:val="22"/>
        </w:rPr>
        <w:t>Num estudo de carcinogenicidade efetuado no rato, com a duração de 2 anos, após administração de doses de 15, 30 e 60 mg/kg de imatinib por dia, observou-se uma redução estatisticamente significativa da longevidade dos ratos machos, tratados com doses de 60 mg/kg por dia, e da longevidade das fêmeas tratadas com doses ≥ 30 mg/kg por dia. O exame histopatológico da descendência revelou cardiomiopatia (ambos os sexos), nefropatia crónica progressiva (fêmeas) e papiloma da glândula prepucial como as principais causas de morte ou motivos para sacrifício dos animais. Os órgãos-alvo em relação às alterações neoplásicas foram os rins, bexiga urinária, uretra, glândulas prepucial e clitorial, intestino delgado, glândula paratiróide, glândula adrenal e estômago não glandular.</w:t>
      </w:r>
    </w:p>
    <w:p w14:paraId="375EBA19" w14:textId="77777777" w:rsidR="00906898" w:rsidRPr="00263DB9" w:rsidRDefault="00906898" w:rsidP="00E51817">
      <w:pPr>
        <w:widowControl w:val="0"/>
        <w:rPr>
          <w:color w:val="000000"/>
          <w:szCs w:val="22"/>
        </w:rPr>
      </w:pPr>
    </w:p>
    <w:p w14:paraId="375EBA1A" w14:textId="77777777" w:rsidR="00906898" w:rsidRPr="00263DB9" w:rsidRDefault="00906898" w:rsidP="00E51817">
      <w:pPr>
        <w:widowControl w:val="0"/>
        <w:rPr>
          <w:color w:val="000000"/>
          <w:szCs w:val="22"/>
        </w:rPr>
      </w:pPr>
      <w:r w:rsidRPr="00263DB9">
        <w:rPr>
          <w:color w:val="000000"/>
          <w:szCs w:val="22"/>
        </w:rPr>
        <w:t>Os papilomas/carcinomas da glândula prepucial e clitorial foram observados em doses iguais ou superiores a 30 mg/kg por dia, representando aproximadamente 0,5 ou 0,3 vezes a exposição humana diária (com base na AUC) com doses de 400 mg por dia ou 800 mg por dia, respetivamente, e 0,4 vezes a exposição diária em crianças (com base na AUC) a 340 mg/m</w:t>
      </w:r>
      <w:r w:rsidRPr="00263DB9">
        <w:rPr>
          <w:color w:val="000000"/>
          <w:szCs w:val="22"/>
          <w:vertAlign w:val="superscript"/>
        </w:rPr>
        <w:t>2</w:t>
      </w:r>
      <w:r w:rsidRPr="00263DB9">
        <w:rPr>
          <w:color w:val="000000"/>
          <w:szCs w:val="22"/>
        </w:rPr>
        <w:t xml:space="preserve"> por dia. A dose sem efeitos observados (NOEL) foi de 15 mg/kg por dia. O adenoma/carcinoma renal, o papiloma da bexiga urinária e da uretra, os adenocarcinomas do intestino delgado, os adenomas das glândulas da paratiróide, os tumores medulares malignos e benignos das glâdulas adrenais e os papilomas/carcinomas do estômago não glandular foram observados após administração de doses de 60 mg/kg por dia, representando, aproximadamente, 1,7 a 1 vezes a exposição diária no ser humano (com base na AUC) para doses de 400 mg por dia ou 800 mg por dia, respetivamente, e 1,2 vezes a exposição diária em crianças (com base na AUC) para doses de 340 mg/m</w:t>
      </w:r>
      <w:r w:rsidRPr="00263DB9">
        <w:rPr>
          <w:color w:val="000000"/>
          <w:szCs w:val="22"/>
          <w:vertAlign w:val="superscript"/>
        </w:rPr>
        <w:t>2</w:t>
      </w:r>
      <w:r w:rsidRPr="00263DB9">
        <w:rPr>
          <w:color w:val="000000"/>
          <w:szCs w:val="22"/>
        </w:rPr>
        <w:t xml:space="preserve"> por dia. A dose sem efeitos observados (NOEL) foi de 30 mg/kg por dia.</w:t>
      </w:r>
    </w:p>
    <w:p w14:paraId="375EBA1B" w14:textId="77777777" w:rsidR="00906898" w:rsidRPr="00263DB9" w:rsidRDefault="00906898" w:rsidP="00E51817">
      <w:pPr>
        <w:widowControl w:val="0"/>
        <w:rPr>
          <w:color w:val="000000"/>
          <w:szCs w:val="22"/>
        </w:rPr>
      </w:pPr>
    </w:p>
    <w:p w14:paraId="375EBA1C" w14:textId="77777777" w:rsidR="00906898" w:rsidRPr="00263DB9" w:rsidRDefault="00906898" w:rsidP="00E51817">
      <w:pPr>
        <w:widowControl w:val="0"/>
        <w:rPr>
          <w:color w:val="000000"/>
          <w:szCs w:val="22"/>
        </w:rPr>
      </w:pPr>
      <w:r w:rsidRPr="00263DB9">
        <w:rPr>
          <w:color w:val="000000"/>
          <w:szCs w:val="22"/>
        </w:rPr>
        <w:t>Permanece por clarificar o mecanismo e relevância para o ser humano destes resultados obtidos no estudo de carcinogenicidade no rato.</w:t>
      </w:r>
    </w:p>
    <w:p w14:paraId="375EBA1D" w14:textId="77777777" w:rsidR="00906898" w:rsidRPr="00263DB9" w:rsidRDefault="00906898" w:rsidP="00E51817">
      <w:pPr>
        <w:widowControl w:val="0"/>
        <w:rPr>
          <w:color w:val="000000"/>
          <w:szCs w:val="22"/>
        </w:rPr>
      </w:pPr>
    </w:p>
    <w:p w14:paraId="375EBA1E" w14:textId="77777777" w:rsidR="00906898" w:rsidRPr="00263DB9" w:rsidRDefault="00906898" w:rsidP="00E51817">
      <w:pPr>
        <w:widowControl w:val="0"/>
        <w:rPr>
          <w:color w:val="000000"/>
          <w:szCs w:val="22"/>
        </w:rPr>
      </w:pPr>
      <w:r w:rsidRPr="00263DB9">
        <w:rPr>
          <w:color w:val="000000"/>
          <w:szCs w:val="22"/>
        </w:rPr>
        <w:t>Foram observadas lesões não neoplásicas não identificadas nos estudos pré-clínicos iniciais, nomeadamente ao nível do sistema cardiovascular, pâncreas, órgãos endócrinos, e dentes. As alterações mais relevantes incluíram hipertrofia e dilatação cardíacas, conduzindo a sinais de insuficiência cardíaca em alguns animais.</w:t>
      </w:r>
    </w:p>
    <w:p w14:paraId="375EBA1F" w14:textId="77777777" w:rsidR="00906898" w:rsidRPr="00263DB9" w:rsidRDefault="00906898" w:rsidP="00E51817">
      <w:pPr>
        <w:widowControl w:val="0"/>
        <w:rPr>
          <w:color w:val="000000"/>
          <w:szCs w:val="22"/>
        </w:rPr>
      </w:pPr>
    </w:p>
    <w:p w14:paraId="375EBA20" w14:textId="77777777" w:rsidR="000043B6" w:rsidRPr="00263DB9" w:rsidRDefault="000043B6" w:rsidP="00E51817">
      <w:pPr>
        <w:widowControl w:val="0"/>
        <w:rPr>
          <w:color w:val="000000"/>
          <w:szCs w:val="22"/>
        </w:rPr>
      </w:pPr>
      <w:r w:rsidRPr="00263DB9">
        <w:rPr>
          <w:color w:val="000000"/>
          <w:szCs w:val="22"/>
        </w:rPr>
        <w:t>A substância activa imatinib revela um risco ambiental para organismos presentes nos sedimentos.</w:t>
      </w:r>
    </w:p>
    <w:p w14:paraId="375EBA21" w14:textId="77777777" w:rsidR="000043B6" w:rsidRPr="00263DB9" w:rsidRDefault="000043B6" w:rsidP="00E51817">
      <w:pPr>
        <w:widowControl w:val="0"/>
        <w:rPr>
          <w:color w:val="000000"/>
          <w:szCs w:val="22"/>
        </w:rPr>
      </w:pPr>
    </w:p>
    <w:p w14:paraId="375EBA22" w14:textId="77777777" w:rsidR="00906898" w:rsidRPr="00263DB9" w:rsidRDefault="00906898" w:rsidP="00E51817">
      <w:pPr>
        <w:widowControl w:val="0"/>
        <w:suppressAutoHyphens/>
        <w:rPr>
          <w:color w:val="000000"/>
          <w:szCs w:val="22"/>
        </w:rPr>
      </w:pPr>
    </w:p>
    <w:p w14:paraId="375EBA23" w14:textId="77777777" w:rsidR="00906898" w:rsidRPr="00263DB9" w:rsidRDefault="00906898" w:rsidP="00831CCB">
      <w:pPr>
        <w:keepNext/>
        <w:widowControl w:val="0"/>
        <w:suppressAutoHyphens/>
        <w:ind w:left="567" w:hanging="567"/>
        <w:rPr>
          <w:color w:val="000000"/>
          <w:szCs w:val="22"/>
        </w:rPr>
      </w:pPr>
      <w:r w:rsidRPr="00263DB9">
        <w:rPr>
          <w:b/>
          <w:color w:val="000000"/>
          <w:szCs w:val="22"/>
        </w:rPr>
        <w:t>6.</w:t>
      </w:r>
      <w:r w:rsidRPr="00263DB9">
        <w:rPr>
          <w:b/>
          <w:color w:val="000000"/>
          <w:szCs w:val="22"/>
        </w:rPr>
        <w:tab/>
        <w:t>INFORMAÇÕES FARMACÊUTICAS</w:t>
      </w:r>
    </w:p>
    <w:p w14:paraId="375EBA24" w14:textId="77777777" w:rsidR="00906898" w:rsidRPr="00263DB9" w:rsidRDefault="00906898" w:rsidP="00831CCB">
      <w:pPr>
        <w:keepNext/>
        <w:widowControl w:val="0"/>
        <w:suppressAutoHyphens/>
        <w:rPr>
          <w:color w:val="000000"/>
          <w:szCs w:val="22"/>
        </w:rPr>
      </w:pPr>
    </w:p>
    <w:p w14:paraId="375EBA25" w14:textId="77777777" w:rsidR="00906898" w:rsidRPr="00263DB9" w:rsidRDefault="00906898" w:rsidP="00831CCB">
      <w:pPr>
        <w:keepNext/>
        <w:widowControl w:val="0"/>
        <w:suppressAutoHyphens/>
        <w:ind w:left="567" w:hanging="567"/>
        <w:rPr>
          <w:color w:val="000000"/>
          <w:szCs w:val="22"/>
        </w:rPr>
      </w:pPr>
      <w:r w:rsidRPr="00263DB9">
        <w:rPr>
          <w:b/>
          <w:color w:val="000000"/>
          <w:szCs w:val="22"/>
        </w:rPr>
        <w:t>6.1</w:t>
      </w:r>
      <w:r w:rsidRPr="00263DB9">
        <w:rPr>
          <w:b/>
          <w:color w:val="000000"/>
          <w:szCs w:val="22"/>
        </w:rPr>
        <w:tab/>
        <w:t>Lista dos excipientes</w:t>
      </w:r>
    </w:p>
    <w:p w14:paraId="375EBA26" w14:textId="77777777" w:rsidR="00906898" w:rsidRPr="00263DB9" w:rsidRDefault="00906898" w:rsidP="00831CCB">
      <w:pPr>
        <w:keepNext/>
        <w:widowControl w:val="0"/>
        <w:suppressAutoHyphens/>
        <w:rPr>
          <w:color w:val="000000"/>
          <w:szCs w:val="22"/>
        </w:rPr>
      </w:pPr>
    </w:p>
    <w:p w14:paraId="375EBA27" w14:textId="77777777" w:rsidR="00906898" w:rsidRPr="00263DB9" w:rsidRDefault="00906898" w:rsidP="00831CCB">
      <w:pPr>
        <w:pStyle w:val="EndnoteText"/>
        <w:keepNext/>
        <w:tabs>
          <w:tab w:val="clear" w:pos="567"/>
        </w:tabs>
        <w:suppressAutoHyphens/>
        <w:rPr>
          <w:color w:val="000000"/>
          <w:szCs w:val="22"/>
        </w:rPr>
      </w:pPr>
      <w:r w:rsidRPr="00263DB9">
        <w:rPr>
          <w:color w:val="000000"/>
          <w:szCs w:val="22"/>
        </w:rPr>
        <w:t>Núcleo do comprimido:</w:t>
      </w:r>
    </w:p>
    <w:p w14:paraId="375EBA28" w14:textId="77777777" w:rsidR="00906898" w:rsidRPr="00263DB9" w:rsidRDefault="00906898" w:rsidP="00831CCB">
      <w:pPr>
        <w:pStyle w:val="EndnoteText"/>
        <w:keepNext/>
        <w:tabs>
          <w:tab w:val="clear" w:pos="567"/>
        </w:tabs>
        <w:suppressAutoHyphens/>
        <w:rPr>
          <w:color w:val="000000"/>
          <w:szCs w:val="22"/>
        </w:rPr>
      </w:pPr>
      <w:r w:rsidRPr="00263DB9">
        <w:rPr>
          <w:color w:val="000000"/>
          <w:szCs w:val="22"/>
        </w:rPr>
        <w:t>Celulose microcristalina</w:t>
      </w:r>
    </w:p>
    <w:p w14:paraId="375EBA29" w14:textId="77777777" w:rsidR="00906898" w:rsidRPr="00263DB9" w:rsidRDefault="00906898" w:rsidP="00831CCB">
      <w:pPr>
        <w:pStyle w:val="EndnoteText"/>
        <w:keepNext/>
        <w:tabs>
          <w:tab w:val="clear" w:pos="567"/>
        </w:tabs>
        <w:suppressAutoHyphens/>
        <w:rPr>
          <w:color w:val="000000"/>
          <w:szCs w:val="22"/>
        </w:rPr>
      </w:pPr>
      <w:r w:rsidRPr="00263DB9">
        <w:rPr>
          <w:color w:val="000000"/>
          <w:szCs w:val="22"/>
        </w:rPr>
        <w:t>Crospovidona</w:t>
      </w:r>
    </w:p>
    <w:p w14:paraId="375EBA2A" w14:textId="77777777" w:rsidR="00906898" w:rsidRPr="00263DB9" w:rsidRDefault="00906898" w:rsidP="00831CCB">
      <w:pPr>
        <w:pStyle w:val="EndnoteText"/>
        <w:keepNext/>
        <w:tabs>
          <w:tab w:val="clear" w:pos="567"/>
        </w:tabs>
        <w:suppressAutoHyphens/>
        <w:rPr>
          <w:color w:val="000000"/>
          <w:szCs w:val="22"/>
        </w:rPr>
      </w:pPr>
      <w:r w:rsidRPr="00263DB9">
        <w:rPr>
          <w:color w:val="000000"/>
          <w:szCs w:val="22"/>
        </w:rPr>
        <w:t>Hipromelose</w:t>
      </w:r>
    </w:p>
    <w:p w14:paraId="375EBA2B" w14:textId="77777777" w:rsidR="00906898" w:rsidRPr="00263DB9" w:rsidRDefault="00906898" w:rsidP="00831CCB">
      <w:pPr>
        <w:pStyle w:val="EndnoteText"/>
        <w:keepNext/>
        <w:tabs>
          <w:tab w:val="clear" w:pos="567"/>
        </w:tabs>
        <w:suppressAutoHyphens/>
        <w:rPr>
          <w:color w:val="000000"/>
          <w:szCs w:val="22"/>
        </w:rPr>
      </w:pPr>
      <w:r w:rsidRPr="00263DB9">
        <w:rPr>
          <w:color w:val="000000"/>
          <w:szCs w:val="22"/>
        </w:rPr>
        <w:t>Estearato de magnésio</w:t>
      </w:r>
    </w:p>
    <w:p w14:paraId="375EBA2C"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Sílica coloidal anidra</w:t>
      </w:r>
    </w:p>
    <w:p w14:paraId="375EBA2D" w14:textId="77777777" w:rsidR="00906898" w:rsidRPr="00263DB9" w:rsidRDefault="00906898" w:rsidP="00E51817">
      <w:pPr>
        <w:pStyle w:val="EndnoteText"/>
        <w:tabs>
          <w:tab w:val="clear" w:pos="567"/>
        </w:tabs>
        <w:suppressAutoHyphens/>
        <w:rPr>
          <w:color w:val="000000"/>
          <w:szCs w:val="22"/>
        </w:rPr>
      </w:pPr>
    </w:p>
    <w:p w14:paraId="375EBA2E" w14:textId="77777777" w:rsidR="00906898" w:rsidRPr="00263DB9" w:rsidRDefault="00906898" w:rsidP="00831CCB">
      <w:pPr>
        <w:pStyle w:val="EndnoteText"/>
        <w:keepNext/>
        <w:tabs>
          <w:tab w:val="clear" w:pos="567"/>
        </w:tabs>
        <w:suppressAutoHyphens/>
        <w:rPr>
          <w:color w:val="000000"/>
          <w:szCs w:val="22"/>
        </w:rPr>
      </w:pPr>
      <w:r w:rsidRPr="00263DB9">
        <w:rPr>
          <w:color w:val="000000"/>
          <w:szCs w:val="22"/>
        </w:rPr>
        <w:t>Revestimento do comprimido</w:t>
      </w:r>
    </w:p>
    <w:p w14:paraId="375EBA2F" w14:textId="77777777" w:rsidR="00906898" w:rsidRPr="00263DB9" w:rsidRDefault="00906898" w:rsidP="00831CCB">
      <w:pPr>
        <w:keepNext/>
        <w:widowControl w:val="0"/>
        <w:suppressAutoHyphens/>
        <w:rPr>
          <w:color w:val="000000"/>
          <w:szCs w:val="22"/>
        </w:rPr>
      </w:pPr>
      <w:r w:rsidRPr="00263DB9">
        <w:rPr>
          <w:color w:val="000000"/>
          <w:szCs w:val="22"/>
        </w:rPr>
        <w:t>Óxido de ferro, vermelho (E172)</w:t>
      </w:r>
    </w:p>
    <w:p w14:paraId="375EBA30" w14:textId="77777777" w:rsidR="00906898" w:rsidRPr="00263DB9" w:rsidRDefault="00906898" w:rsidP="00831CCB">
      <w:pPr>
        <w:keepNext/>
        <w:widowControl w:val="0"/>
        <w:suppressAutoHyphens/>
        <w:rPr>
          <w:color w:val="000000"/>
          <w:szCs w:val="22"/>
        </w:rPr>
      </w:pPr>
      <w:r w:rsidRPr="00263DB9">
        <w:rPr>
          <w:color w:val="000000"/>
          <w:szCs w:val="22"/>
        </w:rPr>
        <w:t>Óxido de ferro, amarelo (E172)</w:t>
      </w:r>
    </w:p>
    <w:p w14:paraId="375EBA31" w14:textId="77777777" w:rsidR="00906898" w:rsidRPr="00263DB9" w:rsidRDefault="00906898" w:rsidP="00831CCB">
      <w:pPr>
        <w:keepNext/>
        <w:widowControl w:val="0"/>
        <w:suppressAutoHyphens/>
        <w:rPr>
          <w:color w:val="000000"/>
          <w:szCs w:val="22"/>
        </w:rPr>
      </w:pPr>
      <w:r w:rsidRPr="00263DB9">
        <w:rPr>
          <w:color w:val="000000"/>
          <w:szCs w:val="22"/>
        </w:rPr>
        <w:t>Macrogol</w:t>
      </w:r>
    </w:p>
    <w:p w14:paraId="375EBA32" w14:textId="77777777" w:rsidR="00906898" w:rsidRPr="00263DB9" w:rsidRDefault="00906898" w:rsidP="00831CCB">
      <w:pPr>
        <w:keepNext/>
        <w:widowControl w:val="0"/>
        <w:suppressAutoHyphens/>
        <w:rPr>
          <w:color w:val="000000"/>
          <w:szCs w:val="22"/>
        </w:rPr>
      </w:pPr>
      <w:r w:rsidRPr="00263DB9">
        <w:rPr>
          <w:color w:val="000000"/>
          <w:szCs w:val="22"/>
        </w:rPr>
        <w:t>Talco</w:t>
      </w:r>
    </w:p>
    <w:p w14:paraId="375EBA33" w14:textId="77777777" w:rsidR="00906898" w:rsidRPr="00263DB9" w:rsidRDefault="00906898" w:rsidP="00E51817">
      <w:pPr>
        <w:widowControl w:val="0"/>
        <w:suppressAutoHyphens/>
        <w:rPr>
          <w:color w:val="000000"/>
          <w:szCs w:val="22"/>
        </w:rPr>
      </w:pPr>
      <w:r w:rsidRPr="00263DB9">
        <w:rPr>
          <w:color w:val="000000"/>
          <w:szCs w:val="22"/>
        </w:rPr>
        <w:t>Hipromelose</w:t>
      </w:r>
    </w:p>
    <w:p w14:paraId="375EBA34" w14:textId="77777777" w:rsidR="00906898" w:rsidRPr="00263DB9" w:rsidRDefault="00906898" w:rsidP="00E51817">
      <w:pPr>
        <w:widowControl w:val="0"/>
        <w:suppressAutoHyphens/>
        <w:rPr>
          <w:color w:val="000000"/>
          <w:szCs w:val="22"/>
        </w:rPr>
      </w:pPr>
    </w:p>
    <w:p w14:paraId="375EBA35" w14:textId="77777777" w:rsidR="00906898" w:rsidRPr="00263DB9" w:rsidRDefault="00906898" w:rsidP="00831CCB">
      <w:pPr>
        <w:keepNext/>
        <w:widowControl w:val="0"/>
        <w:suppressAutoHyphens/>
        <w:ind w:left="567" w:hanging="567"/>
        <w:rPr>
          <w:color w:val="000000"/>
          <w:szCs w:val="22"/>
        </w:rPr>
      </w:pPr>
      <w:r w:rsidRPr="00263DB9">
        <w:rPr>
          <w:b/>
          <w:color w:val="000000"/>
          <w:szCs w:val="22"/>
        </w:rPr>
        <w:lastRenderedPageBreak/>
        <w:t>6.2</w:t>
      </w:r>
      <w:r w:rsidRPr="00263DB9">
        <w:rPr>
          <w:b/>
          <w:color w:val="000000"/>
          <w:szCs w:val="22"/>
        </w:rPr>
        <w:tab/>
        <w:t>Incompatibilidades</w:t>
      </w:r>
    </w:p>
    <w:p w14:paraId="375EBA36" w14:textId="77777777" w:rsidR="00906898" w:rsidRPr="00263DB9" w:rsidRDefault="00906898" w:rsidP="00831CCB">
      <w:pPr>
        <w:keepNext/>
        <w:widowControl w:val="0"/>
        <w:suppressAutoHyphens/>
        <w:rPr>
          <w:color w:val="000000"/>
          <w:szCs w:val="22"/>
        </w:rPr>
      </w:pPr>
    </w:p>
    <w:p w14:paraId="375EBA37" w14:textId="77777777" w:rsidR="00906898" w:rsidRPr="00263DB9" w:rsidRDefault="00906898" w:rsidP="00E51817">
      <w:pPr>
        <w:widowControl w:val="0"/>
        <w:suppressAutoHyphens/>
        <w:rPr>
          <w:color w:val="000000"/>
          <w:szCs w:val="22"/>
        </w:rPr>
      </w:pPr>
      <w:r w:rsidRPr="00263DB9">
        <w:rPr>
          <w:color w:val="000000"/>
          <w:szCs w:val="22"/>
        </w:rPr>
        <w:t>Não aplicável.</w:t>
      </w:r>
    </w:p>
    <w:p w14:paraId="375EBA38" w14:textId="77777777" w:rsidR="00906898" w:rsidRPr="00263DB9" w:rsidRDefault="00906898" w:rsidP="00E51817">
      <w:pPr>
        <w:widowControl w:val="0"/>
        <w:suppressAutoHyphens/>
        <w:rPr>
          <w:color w:val="000000"/>
          <w:szCs w:val="22"/>
        </w:rPr>
      </w:pPr>
    </w:p>
    <w:p w14:paraId="375EBA39" w14:textId="77777777" w:rsidR="00906898" w:rsidRPr="00263DB9" w:rsidRDefault="00906898" w:rsidP="00831CCB">
      <w:pPr>
        <w:keepNext/>
        <w:widowControl w:val="0"/>
        <w:suppressAutoHyphens/>
        <w:ind w:left="567" w:hanging="567"/>
        <w:rPr>
          <w:color w:val="000000"/>
          <w:szCs w:val="22"/>
        </w:rPr>
      </w:pPr>
      <w:r w:rsidRPr="00263DB9">
        <w:rPr>
          <w:b/>
          <w:color w:val="000000"/>
          <w:szCs w:val="22"/>
        </w:rPr>
        <w:t>6.3</w:t>
      </w:r>
      <w:r w:rsidRPr="00263DB9">
        <w:rPr>
          <w:b/>
          <w:color w:val="000000"/>
          <w:szCs w:val="22"/>
        </w:rPr>
        <w:tab/>
        <w:t>Prazo de validade</w:t>
      </w:r>
    </w:p>
    <w:p w14:paraId="375EBA3A" w14:textId="77777777" w:rsidR="00906898" w:rsidRPr="00263DB9" w:rsidRDefault="00906898" w:rsidP="00831CCB">
      <w:pPr>
        <w:keepNext/>
        <w:widowControl w:val="0"/>
        <w:suppressAutoHyphens/>
        <w:rPr>
          <w:color w:val="000000"/>
          <w:szCs w:val="22"/>
        </w:rPr>
      </w:pPr>
    </w:p>
    <w:p w14:paraId="375EBA3B" w14:textId="77777777" w:rsidR="00906898" w:rsidRPr="00263DB9" w:rsidRDefault="00906898" w:rsidP="00E51817">
      <w:pPr>
        <w:widowControl w:val="0"/>
        <w:suppressAutoHyphens/>
        <w:rPr>
          <w:color w:val="000000"/>
          <w:szCs w:val="22"/>
        </w:rPr>
      </w:pPr>
      <w:r w:rsidRPr="00263DB9">
        <w:rPr>
          <w:color w:val="000000"/>
          <w:szCs w:val="22"/>
        </w:rPr>
        <w:t>3 anos</w:t>
      </w:r>
    </w:p>
    <w:p w14:paraId="375EBA3C" w14:textId="77777777" w:rsidR="00906898" w:rsidRPr="00263DB9" w:rsidRDefault="00906898" w:rsidP="00E51817">
      <w:pPr>
        <w:widowControl w:val="0"/>
        <w:suppressAutoHyphens/>
        <w:rPr>
          <w:color w:val="000000"/>
          <w:szCs w:val="22"/>
        </w:rPr>
      </w:pPr>
    </w:p>
    <w:p w14:paraId="375EBA3D" w14:textId="77777777" w:rsidR="00906898" w:rsidRPr="00263DB9" w:rsidRDefault="00906898" w:rsidP="00831CCB">
      <w:pPr>
        <w:keepNext/>
        <w:widowControl w:val="0"/>
        <w:suppressAutoHyphens/>
        <w:ind w:left="567" w:hanging="567"/>
        <w:rPr>
          <w:color w:val="000000"/>
          <w:szCs w:val="22"/>
        </w:rPr>
      </w:pPr>
      <w:r w:rsidRPr="00263DB9">
        <w:rPr>
          <w:b/>
          <w:color w:val="000000"/>
          <w:szCs w:val="22"/>
        </w:rPr>
        <w:t>6.4</w:t>
      </w:r>
      <w:r w:rsidRPr="00263DB9">
        <w:rPr>
          <w:b/>
          <w:color w:val="000000"/>
          <w:szCs w:val="22"/>
        </w:rPr>
        <w:tab/>
        <w:t>Precauções especiais de conservação</w:t>
      </w:r>
    </w:p>
    <w:p w14:paraId="375EBA3E" w14:textId="77777777" w:rsidR="00906898" w:rsidRPr="00263DB9" w:rsidRDefault="00906898" w:rsidP="00831CCB">
      <w:pPr>
        <w:keepNext/>
        <w:widowControl w:val="0"/>
        <w:suppressAutoHyphens/>
        <w:rPr>
          <w:color w:val="000000"/>
          <w:szCs w:val="22"/>
        </w:rPr>
      </w:pPr>
    </w:p>
    <w:p w14:paraId="375EBA3F" w14:textId="77777777" w:rsidR="00906898" w:rsidRPr="00263DB9" w:rsidRDefault="00906898" w:rsidP="00E51817">
      <w:pPr>
        <w:widowControl w:val="0"/>
        <w:suppressAutoHyphens/>
        <w:rPr>
          <w:color w:val="000000"/>
          <w:szCs w:val="22"/>
        </w:rPr>
      </w:pPr>
      <w:r w:rsidRPr="00263DB9">
        <w:rPr>
          <w:color w:val="000000"/>
          <w:szCs w:val="22"/>
        </w:rPr>
        <w:t>Não conservar acima de 30°C.</w:t>
      </w:r>
    </w:p>
    <w:p w14:paraId="375EBA40" w14:textId="77777777" w:rsidR="00906898" w:rsidRPr="00263DB9" w:rsidRDefault="00906898" w:rsidP="00E51817">
      <w:pPr>
        <w:widowControl w:val="0"/>
        <w:suppressAutoHyphens/>
        <w:rPr>
          <w:color w:val="000000"/>
          <w:szCs w:val="22"/>
        </w:rPr>
      </w:pPr>
    </w:p>
    <w:p w14:paraId="375EBA41" w14:textId="77777777" w:rsidR="00906898" w:rsidRPr="00263DB9" w:rsidRDefault="00906898" w:rsidP="00E51817">
      <w:pPr>
        <w:widowControl w:val="0"/>
        <w:suppressAutoHyphens/>
        <w:rPr>
          <w:color w:val="000000"/>
          <w:szCs w:val="22"/>
        </w:rPr>
      </w:pPr>
      <w:r w:rsidRPr="00263DB9">
        <w:rPr>
          <w:color w:val="000000"/>
          <w:szCs w:val="22"/>
        </w:rPr>
        <w:t>Conservar na embalagem de origem para proteger da humidade.</w:t>
      </w:r>
    </w:p>
    <w:p w14:paraId="375EBA42" w14:textId="77777777" w:rsidR="00906898" w:rsidRPr="00263DB9" w:rsidRDefault="00906898" w:rsidP="00E51817">
      <w:pPr>
        <w:widowControl w:val="0"/>
        <w:suppressAutoHyphens/>
        <w:rPr>
          <w:color w:val="000000"/>
          <w:szCs w:val="22"/>
        </w:rPr>
      </w:pPr>
    </w:p>
    <w:p w14:paraId="375EBA43" w14:textId="77777777" w:rsidR="00906898" w:rsidRPr="00263DB9" w:rsidRDefault="00906898" w:rsidP="00831CCB">
      <w:pPr>
        <w:keepNext/>
        <w:widowControl w:val="0"/>
        <w:suppressAutoHyphens/>
        <w:ind w:left="567" w:hanging="567"/>
        <w:rPr>
          <w:color w:val="000000"/>
          <w:szCs w:val="22"/>
        </w:rPr>
      </w:pPr>
      <w:r w:rsidRPr="00263DB9">
        <w:rPr>
          <w:b/>
          <w:color w:val="000000"/>
          <w:szCs w:val="22"/>
        </w:rPr>
        <w:t>6.5</w:t>
      </w:r>
      <w:r w:rsidRPr="00263DB9">
        <w:rPr>
          <w:b/>
          <w:color w:val="000000"/>
          <w:szCs w:val="22"/>
        </w:rPr>
        <w:tab/>
        <w:t>Natureza e conteúdo do recipiente</w:t>
      </w:r>
    </w:p>
    <w:p w14:paraId="375EBA44" w14:textId="77777777" w:rsidR="00906898" w:rsidRPr="00263DB9" w:rsidRDefault="00906898" w:rsidP="00831CCB">
      <w:pPr>
        <w:keepNext/>
        <w:widowControl w:val="0"/>
        <w:suppressAutoHyphens/>
        <w:rPr>
          <w:color w:val="000000"/>
          <w:szCs w:val="22"/>
        </w:rPr>
      </w:pPr>
    </w:p>
    <w:p w14:paraId="375EBA45" w14:textId="77777777" w:rsidR="00016170" w:rsidRPr="00263DB9" w:rsidRDefault="00016170" w:rsidP="00831CCB">
      <w:pPr>
        <w:keepNext/>
        <w:widowControl w:val="0"/>
        <w:suppressAutoHyphens/>
        <w:rPr>
          <w:color w:val="000000"/>
          <w:szCs w:val="22"/>
          <w:u w:val="single"/>
        </w:rPr>
      </w:pPr>
      <w:r w:rsidRPr="00263DB9">
        <w:rPr>
          <w:color w:val="000000"/>
          <w:szCs w:val="22"/>
          <w:u w:val="single"/>
        </w:rPr>
        <w:t>Glivec 100 mg comprimidos revestidos por película</w:t>
      </w:r>
    </w:p>
    <w:p w14:paraId="375EBA46" w14:textId="77777777" w:rsidR="00906898" w:rsidRPr="00263DB9" w:rsidRDefault="00906898" w:rsidP="00831CCB">
      <w:pPr>
        <w:keepNext/>
        <w:widowControl w:val="0"/>
        <w:suppressAutoHyphens/>
        <w:rPr>
          <w:color w:val="000000"/>
          <w:szCs w:val="22"/>
        </w:rPr>
      </w:pPr>
      <w:r w:rsidRPr="00263DB9">
        <w:rPr>
          <w:color w:val="000000"/>
          <w:szCs w:val="22"/>
        </w:rPr>
        <w:t>Blisters em PVC/alumínio.</w:t>
      </w:r>
    </w:p>
    <w:p w14:paraId="375EBA47"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Embalagens contendo 20, 60, 120 ou 180 comprimidos revestidos por película</w:t>
      </w:r>
    </w:p>
    <w:p w14:paraId="375EBA48" w14:textId="77777777" w:rsidR="00D409EB" w:rsidRPr="00263DB9" w:rsidRDefault="00D409EB" w:rsidP="00E51817">
      <w:pPr>
        <w:widowControl w:val="0"/>
        <w:suppressAutoHyphens/>
        <w:rPr>
          <w:color w:val="000000"/>
          <w:szCs w:val="22"/>
        </w:rPr>
      </w:pPr>
    </w:p>
    <w:p w14:paraId="375EBA49" w14:textId="77777777" w:rsidR="00D409EB" w:rsidRPr="00263DB9" w:rsidRDefault="00D409EB" w:rsidP="00831CCB">
      <w:pPr>
        <w:keepNext/>
        <w:widowControl w:val="0"/>
        <w:suppressAutoHyphens/>
        <w:rPr>
          <w:color w:val="000000"/>
          <w:szCs w:val="22"/>
        </w:rPr>
      </w:pPr>
      <w:r w:rsidRPr="00263DB9">
        <w:rPr>
          <w:color w:val="000000"/>
          <w:szCs w:val="22"/>
        </w:rPr>
        <w:t>Blisters em PVDC/alumínio.</w:t>
      </w:r>
    </w:p>
    <w:p w14:paraId="375EBA4A" w14:textId="77777777" w:rsidR="00D409EB" w:rsidRPr="00263DB9" w:rsidRDefault="00E329AF" w:rsidP="00E51817">
      <w:pPr>
        <w:widowControl w:val="0"/>
        <w:suppressAutoHyphens/>
        <w:rPr>
          <w:color w:val="000000"/>
          <w:szCs w:val="22"/>
        </w:rPr>
      </w:pPr>
      <w:r w:rsidRPr="00263DB9">
        <w:rPr>
          <w:color w:val="000000"/>
          <w:szCs w:val="22"/>
        </w:rPr>
        <w:t>Embalagens contendo 6</w:t>
      </w:r>
      <w:r w:rsidR="00D409EB" w:rsidRPr="00263DB9">
        <w:rPr>
          <w:color w:val="000000"/>
          <w:szCs w:val="22"/>
        </w:rPr>
        <w:t>0, 120 ou 180 comprimidos revestidos por película.</w:t>
      </w:r>
    </w:p>
    <w:p w14:paraId="375EBA4B" w14:textId="77777777" w:rsidR="00906898" w:rsidRPr="00263DB9" w:rsidRDefault="00906898" w:rsidP="00E51817">
      <w:pPr>
        <w:widowControl w:val="0"/>
        <w:suppressAutoHyphens/>
        <w:rPr>
          <w:color w:val="000000"/>
          <w:szCs w:val="22"/>
        </w:rPr>
      </w:pPr>
    </w:p>
    <w:p w14:paraId="375EBA4C" w14:textId="77777777" w:rsidR="00016170" w:rsidRPr="00263DB9" w:rsidRDefault="00016170" w:rsidP="00831CCB">
      <w:pPr>
        <w:keepNext/>
        <w:widowControl w:val="0"/>
        <w:suppressAutoHyphens/>
        <w:rPr>
          <w:color w:val="000000"/>
          <w:szCs w:val="22"/>
          <w:u w:val="single"/>
        </w:rPr>
      </w:pPr>
      <w:r w:rsidRPr="00263DB9">
        <w:rPr>
          <w:color w:val="000000"/>
          <w:szCs w:val="22"/>
          <w:u w:val="single"/>
        </w:rPr>
        <w:t>Glivec 400 mg comprimidos revestidos por película</w:t>
      </w:r>
    </w:p>
    <w:p w14:paraId="375EBA4D" w14:textId="77777777" w:rsidR="00016170" w:rsidRPr="00263DB9" w:rsidRDefault="00016170" w:rsidP="00831CCB">
      <w:pPr>
        <w:keepNext/>
        <w:widowControl w:val="0"/>
        <w:suppressAutoHyphens/>
        <w:rPr>
          <w:color w:val="000000"/>
          <w:szCs w:val="22"/>
        </w:rPr>
      </w:pPr>
      <w:r w:rsidRPr="00263DB9">
        <w:rPr>
          <w:color w:val="000000"/>
          <w:szCs w:val="22"/>
        </w:rPr>
        <w:t>Blisters em PVDC/alumínio.</w:t>
      </w:r>
    </w:p>
    <w:p w14:paraId="375EBA4E" w14:textId="77777777" w:rsidR="00016170" w:rsidRPr="00263DB9" w:rsidRDefault="00016170" w:rsidP="00E51817">
      <w:pPr>
        <w:widowControl w:val="0"/>
        <w:suppressAutoHyphens/>
        <w:rPr>
          <w:color w:val="000000"/>
          <w:szCs w:val="22"/>
        </w:rPr>
      </w:pPr>
      <w:r w:rsidRPr="00263DB9">
        <w:rPr>
          <w:color w:val="000000"/>
          <w:szCs w:val="22"/>
        </w:rPr>
        <w:t>Embalagens contendo 10, 30 ou 90 comprimidos revestidos por película.</w:t>
      </w:r>
    </w:p>
    <w:p w14:paraId="375EBA4F" w14:textId="77777777" w:rsidR="00016170" w:rsidRPr="00263DB9" w:rsidRDefault="00016170" w:rsidP="00E51817">
      <w:pPr>
        <w:widowControl w:val="0"/>
        <w:suppressAutoHyphens/>
        <w:rPr>
          <w:color w:val="000000"/>
          <w:szCs w:val="22"/>
        </w:rPr>
      </w:pPr>
    </w:p>
    <w:p w14:paraId="375EBA50" w14:textId="77777777" w:rsidR="00906898" w:rsidRPr="00263DB9" w:rsidRDefault="00906898" w:rsidP="00E51817">
      <w:pPr>
        <w:widowControl w:val="0"/>
        <w:suppressAutoHyphens/>
        <w:rPr>
          <w:color w:val="000000"/>
          <w:szCs w:val="22"/>
        </w:rPr>
      </w:pPr>
      <w:r w:rsidRPr="00263DB9">
        <w:rPr>
          <w:color w:val="000000"/>
          <w:szCs w:val="22"/>
        </w:rPr>
        <w:t>É possível que não sejam comercializadas todas as apresentações.</w:t>
      </w:r>
    </w:p>
    <w:p w14:paraId="375EBA51" w14:textId="77777777" w:rsidR="00906898" w:rsidRPr="00263DB9" w:rsidRDefault="00906898" w:rsidP="00E51817">
      <w:pPr>
        <w:widowControl w:val="0"/>
        <w:suppressAutoHyphens/>
        <w:rPr>
          <w:color w:val="000000"/>
          <w:szCs w:val="22"/>
        </w:rPr>
      </w:pPr>
    </w:p>
    <w:p w14:paraId="375EBA52" w14:textId="77777777" w:rsidR="00906898" w:rsidRPr="00263DB9" w:rsidRDefault="00906898" w:rsidP="00831CCB">
      <w:pPr>
        <w:keepNext/>
        <w:widowControl w:val="0"/>
        <w:suppressAutoHyphens/>
        <w:ind w:left="567" w:hanging="567"/>
        <w:rPr>
          <w:b/>
          <w:color w:val="000000"/>
          <w:szCs w:val="22"/>
        </w:rPr>
      </w:pPr>
      <w:r w:rsidRPr="00263DB9">
        <w:rPr>
          <w:b/>
          <w:color w:val="000000"/>
          <w:szCs w:val="22"/>
        </w:rPr>
        <w:t>6.6</w:t>
      </w:r>
      <w:r w:rsidRPr="00263DB9">
        <w:rPr>
          <w:b/>
          <w:color w:val="000000"/>
          <w:szCs w:val="22"/>
        </w:rPr>
        <w:tab/>
        <w:t>Precauções especiais de eliminação</w:t>
      </w:r>
    </w:p>
    <w:p w14:paraId="375EBA53" w14:textId="77777777" w:rsidR="00906898" w:rsidRPr="00263DB9" w:rsidRDefault="00906898" w:rsidP="00831CCB">
      <w:pPr>
        <w:keepNext/>
        <w:widowControl w:val="0"/>
        <w:suppressAutoHyphens/>
        <w:rPr>
          <w:color w:val="000000"/>
          <w:szCs w:val="22"/>
        </w:rPr>
      </w:pPr>
    </w:p>
    <w:p w14:paraId="375EBA54" w14:textId="77777777" w:rsidR="000043B6" w:rsidRPr="00263DB9" w:rsidRDefault="000043B6" w:rsidP="00E51817">
      <w:pPr>
        <w:widowControl w:val="0"/>
        <w:suppressAutoHyphens/>
        <w:rPr>
          <w:color w:val="000000"/>
          <w:szCs w:val="22"/>
        </w:rPr>
      </w:pPr>
      <w:r w:rsidRPr="00263DB9">
        <w:rPr>
          <w:color w:val="000000"/>
          <w:szCs w:val="22"/>
        </w:rPr>
        <w:t>Qualquer medicamento não utilizado ou resíduos devem ser eliminados de acordo com as exigências locais.</w:t>
      </w:r>
    </w:p>
    <w:p w14:paraId="375EBA55" w14:textId="77777777" w:rsidR="00906898" w:rsidRPr="00263DB9" w:rsidRDefault="00906898" w:rsidP="00E51817">
      <w:pPr>
        <w:widowControl w:val="0"/>
        <w:suppressAutoHyphens/>
        <w:rPr>
          <w:color w:val="000000"/>
          <w:szCs w:val="22"/>
        </w:rPr>
      </w:pPr>
    </w:p>
    <w:p w14:paraId="375EBA56" w14:textId="77777777" w:rsidR="00906898" w:rsidRPr="00263DB9" w:rsidRDefault="00906898" w:rsidP="00E51817">
      <w:pPr>
        <w:widowControl w:val="0"/>
        <w:suppressAutoHyphens/>
        <w:rPr>
          <w:color w:val="000000"/>
          <w:szCs w:val="22"/>
        </w:rPr>
      </w:pPr>
    </w:p>
    <w:p w14:paraId="375EBA57" w14:textId="77777777" w:rsidR="00906898" w:rsidRPr="00263DB9" w:rsidRDefault="00906898" w:rsidP="00831CCB">
      <w:pPr>
        <w:keepNext/>
        <w:widowControl w:val="0"/>
        <w:suppressAutoHyphens/>
        <w:ind w:left="567" w:hanging="567"/>
        <w:rPr>
          <w:color w:val="000000"/>
          <w:szCs w:val="22"/>
        </w:rPr>
      </w:pPr>
      <w:r w:rsidRPr="00263DB9">
        <w:rPr>
          <w:b/>
          <w:color w:val="000000"/>
          <w:szCs w:val="22"/>
        </w:rPr>
        <w:t>7.</w:t>
      </w:r>
      <w:r w:rsidRPr="00263DB9">
        <w:rPr>
          <w:b/>
          <w:color w:val="000000"/>
          <w:szCs w:val="22"/>
        </w:rPr>
        <w:tab/>
        <w:t>TITULAR DA AUTORIZAÇÃO DE INTRODUÇÃO NO MERCADO</w:t>
      </w:r>
    </w:p>
    <w:p w14:paraId="375EBA58" w14:textId="77777777" w:rsidR="00906898" w:rsidRPr="00263DB9" w:rsidRDefault="00906898" w:rsidP="00831CCB">
      <w:pPr>
        <w:keepNext/>
        <w:widowControl w:val="0"/>
        <w:suppressAutoHyphens/>
        <w:rPr>
          <w:color w:val="000000"/>
          <w:szCs w:val="22"/>
        </w:rPr>
      </w:pPr>
    </w:p>
    <w:p w14:paraId="375EBA59" w14:textId="77777777" w:rsidR="00906898" w:rsidRPr="00263DB9" w:rsidRDefault="00906898" w:rsidP="00831CCB">
      <w:pPr>
        <w:keepNext/>
        <w:widowControl w:val="0"/>
        <w:suppressAutoHyphens/>
        <w:rPr>
          <w:color w:val="000000"/>
          <w:szCs w:val="22"/>
          <w:lang w:val="en-US"/>
        </w:rPr>
      </w:pPr>
      <w:r w:rsidRPr="00263DB9">
        <w:rPr>
          <w:color w:val="000000"/>
          <w:szCs w:val="22"/>
          <w:lang w:val="en-US"/>
        </w:rPr>
        <w:t>Novartis Europharm Limited</w:t>
      </w:r>
    </w:p>
    <w:p w14:paraId="375EBA5A" w14:textId="77777777" w:rsidR="009C587B" w:rsidRPr="00263DB9" w:rsidRDefault="009C587B" w:rsidP="00831CCB">
      <w:pPr>
        <w:keepNext/>
        <w:widowControl w:val="0"/>
        <w:rPr>
          <w:color w:val="000000"/>
          <w:lang w:val="en-US"/>
        </w:rPr>
      </w:pPr>
      <w:r w:rsidRPr="00263DB9">
        <w:rPr>
          <w:color w:val="000000"/>
          <w:lang w:val="en-US"/>
        </w:rPr>
        <w:t>Vista Building</w:t>
      </w:r>
    </w:p>
    <w:p w14:paraId="375EBA5B" w14:textId="77777777" w:rsidR="009C587B" w:rsidRPr="00263DB9" w:rsidRDefault="009C587B" w:rsidP="00831CCB">
      <w:pPr>
        <w:keepNext/>
        <w:widowControl w:val="0"/>
        <w:rPr>
          <w:color w:val="000000"/>
          <w:lang w:val="en-US"/>
        </w:rPr>
      </w:pPr>
      <w:r w:rsidRPr="00263DB9">
        <w:rPr>
          <w:color w:val="000000"/>
          <w:lang w:val="en-US"/>
        </w:rPr>
        <w:t>Elm Park, Merrion Road</w:t>
      </w:r>
    </w:p>
    <w:p w14:paraId="375EBA5C" w14:textId="77777777" w:rsidR="009C587B" w:rsidRPr="00263DB9" w:rsidRDefault="009C587B" w:rsidP="00831CCB">
      <w:pPr>
        <w:keepNext/>
        <w:widowControl w:val="0"/>
        <w:rPr>
          <w:color w:val="000000"/>
        </w:rPr>
      </w:pPr>
      <w:r w:rsidRPr="00263DB9">
        <w:rPr>
          <w:color w:val="000000"/>
        </w:rPr>
        <w:t>Dublin 4</w:t>
      </w:r>
    </w:p>
    <w:p w14:paraId="375EBA5D" w14:textId="77777777" w:rsidR="009C587B" w:rsidRPr="00263DB9" w:rsidRDefault="009C587B" w:rsidP="00E51817">
      <w:pPr>
        <w:widowControl w:val="0"/>
        <w:rPr>
          <w:color w:val="000000"/>
        </w:rPr>
      </w:pPr>
      <w:r w:rsidRPr="00263DB9">
        <w:rPr>
          <w:color w:val="000000"/>
        </w:rPr>
        <w:t>Irlanda</w:t>
      </w:r>
    </w:p>
    <w:p w14:paraId="375EBA5E" w14:textId="77777777" w:rsidR="00906898" w:rsidRPr="00263DB9" w:rsidRDefault="00906898" w:rsidP="00E51817">
      <w:pPr>
        <w:widowControl w:val="0"/>
        <w:suppressAutoHyphens/>
        <w:rPr>
          <w:color w:val="000000"/>
          <w:szCs w:val="22"/>
        </w:rPr>
      </w:pPr>
    </w:p>
    <w:p w14:paraId="375EBA5F" w14:textId="77777777" w:rsidR="00906898" w:rsidRPr="00263DB9" w:rsidRDefault="00906898" w:rsidP="00E51817">
      <w:pPr>
        <w:widowControl w:val="0"/>
        <w:suppressAutoHyphens/>
        <w:rPr>
          <w:color w:val="000000"/>
          <w:szCs w:val="22"/>
        </w:rPr>
      </w:pPr>
    </w:p>
    <w:p w14:paraId="375EBA60" w14:textId="77777777" w:rsidR="00906898" w:rsidRPr="00263DB9" w:rsidRDefault="00906898" w:rsidP="00E51817">
      <w:pPr>
        <w:keepNext/>
        <w:widowControl w:val="0"/>
        <w:suppressAutoHyphens/>
        <w:ind w:left="567" w:hanging="567"/>
        <w:rPr>
          <w:b/>
          <w:color w:val="000000"/>
          <w:szCs w:val="22"/>
        </w:rPr>
      </w:pPr>
      <w:r w:rsidRPr="00263DB9">
        <w:rPr>
          <w:b/>
          <w:color w:val="000000"/>
          <w:szCs w:val="22"/>
        </w:rPr>
        <w:t>8.</w:t>
      </w:r>
      <w:r w:rsidRPr="00263DB9">
        <w:rPr>
          <w:b/>
          <w:color w:val="000000"/>
          <w:szCs w:val="22"/>
        </w:rPr>
        <w:tab/>
        <w:t>NÚMERO(S) DA AUTORIZAÇÃO DE INTRODUÇÃO NO MERCADO</w:t>
      </w:r>
    </w:p>
    <w:p w14:paraId="375EBA61" w14:textId="77777777" w:rsidR="00906898" w:rsidRPr="00263DB9" w:rsidRDefault="00906898" w:rsidP="00E51817">
      <w:pPr>
        <w:keepNext/>
        <w:widowControl w:val="0"/>
        <w:suppressAutoHyphens/>
        <w:rPr>
          <w:color w:val="000000"/>
          <w:szCs w:val="22"/>
        </w:rPr>
      </w:pPr>
    </w:p>
    <w:p w14:paraId="375EBA62" w14:textId="77777777" w:rsidR="00016170" w:rsidRPr="00263DB9" w:rsidRDefault="00016170" w:rsidP="00E51817">
      <w:pPr>
        <w:keepNext/>
        <w:widowControl w:val="0"/>
        <w:suppressAutoHyphens/>
        <w:rPr>
          <w:color w:val="000000"/>
          <w:szCs w:val="22"/>
          <w:u w:val="single"/>
        </w:rPr>
      </w:pPr>
      <w:r w:rsidRPr="00263DB9">
        <w:rPr>
          <w:color w:val="000000"/>
          <w:szCs w:val="22"/>
          <w:u w:val="single"/>
        </w:rPr>
        <w:t>Glivec 100 mg comprimidos revestidos por película</w:t>
      </w:r>
    </w:p>
    <w:p w14:paraId="375EBA63" w14:textId="77777777" w:rsidR="00906898" w:rsidRPr="00263DB9" w:rsidRDefault="00906898" w:rsidP="00E51817">
      <w:pPr>
        <w:keepNext/>
        <w:widowControl w:val="0"/>
        <w:suppressAutoHyphens/>
        <w:rPr>
          <w:color w:val="000000"/>
          <w:szCs w:val="22"/>
        </w:rPr>
      </w:pPr>
      <w:r w:rsidRPr="00263DB9">
        <w:rPr>
          <w:color w:val="000000"/>
          <w:szCs w:val="22"/>
        </w:rPr>
        <w:t>EU/1/01/198/007</w:t>
      </w:r>
    </w:p>
    <w:p w14:paraId="375EBA64" w14:textId="77777777" w:rsidR="00906898" w:rsidRPr="00263DB9" w:rsidRDefault="00906898" w:rsidP="00E51817">
      <w:pPr>
        <w:keepNext/>
        <w:widowControl w:val="0"/>
        <w:suppressAutoHyphens/>
        <w:rPr>
          <w:color w:val="000000"/>
          <w:szCs w:val="22"/>
        </w:rPr>
      </w:pPr>
      <w:r w:rsidRPr="00263DB9">
        <w:rPr>
          <w:color w:val="000000"/>
          <w:szCs w:val="22"/>
        </w:rPr>
        <w:t>EU/1/01/198/008</w:t>
      </w:r>
    </w:p>
    <w:p w14:paraId="375EBA65" w14:textId="77777777" w:rsidR="00906898" w:rsidRPr="00263DB9" w:rsidRDefault="00906898" w:rsidP="00E51817">
      <w:pPr>
        <w:keepNext/>
        <w:widowControl w:val="0"/>
        <w:suppressAutoHyphens/>
        <w:rPr>
          <w:color w:val="000000"/>
          <w:szCs w:val="22"/>
        </w:rPr>
      </w:pPr>
      <w:r w:rsidRPr="00263DB9">
        <w:rPr>
          <w:color w:val="000000"/>
          <w:szCs w:val="22"/>
        </w:rPr>
        <w:t>EU/1/01/198/011</w:t>
      </w:r>
    </w:p>
    <w:p w14:paraId="375EBA66" w14:textId="77777777" w:rsidR="00906898" w:rsidRPr="00263DB9" w:rsidRDefault="00906898" w:rsidP="00E51817">
      <w:pPr>
        <w:keepNext/>
        <w:widowControl w:val="0"/>
        <w:suppressAutoHyphens/>
        <w:rPr>
          <w:color w:val="000000"/>
          <w:szCs w:val="22"/>
        </w:rPr>
      </w:pPr>
      <w:r w:rsidRPr="00263DB9">
        <w:rPr>
          <w:color w:val="000000"/>
          <w:szCs w:val="22"/>
        </w:rPr>
        <w:t>EU/1/01/198/012</w:t>
      </w:r>
    </w:p>
    <w:p w14:paraId="375EBA67" w14:textId="77777777" w:rsidR="00D409EB" w:rsidRPr="00263DB9" w:rsidRDefault="00D409EB" w:rsidP="00E51817">
      <w:pPr>
        <w:pStyle w:val="EndnoteText"/>
        <w:keepNext/>
        <w:tabs>
          <w:tab w:val="clear" w:pos="567"/>
        </w:tabs>
        <w:rPr>
          <w:color w:val="000000"/>
          <w:szCs w:val="22"/>
        </w:rPr>
      </w:pPr>
      <w:r w:rsidRPr="00263DB9">
        <w:rPr>
          <w:color w:val="000000"/>
          <w:szCs w:val="22"/>
        </w:rPr>
        <w:t>EU/1/01/198/01</w:t>
      </w:r>
      <w:r w:rsidR="00D12D19" w:rsidRPr="00263DB9">
        <w:rPr>
          <w:color w:val="000000"/>
          <w:szCs w:val="22"/>
        </w:rPr>
        <w:t>4</w:t>
      </w:r>
    </w:p>
    <w:p w14:paraId="375EBA68" w14:textId="77777777" w:rsidR="00D409EB" w:rsidRPr="00263DB9" w:rsidRDefault="00D409EB" w:rsidP="00E51817">
      <w:pPr>
        <w:pStyle w:val="EndnoteText"/>
        <w:keepNext/>
        <w:tabs>
          <w:tab w:val="clear" w:pos="567"/>
        </w:tabs>
        <w:rPr>
          <w:color w:val="000000"/>
          <w:szCs w:val="22"/>
        </w:rPr>
      </w:pPr>
      <w:r w:rsidRPr="00263DB9">
        <w:rPr>
          <w:color w:val="000000"/>
          <w:szCs w:val="22"/>
        </w:rPr>
        <w:t>EU/1/01/198/01</w:t>
      </w:r>
      <w:r w:rsidR="00D12D19" w:rsidRPr="00263DB9">
        <w:rPr>
          <w:color w:val="000000"/>
          <w:szCs w:val="22"/>
        </w:rPr>
        <w:t>5</w:t>
      </w:r>
    </w:p>
    <w:p w14:paraId="375EBA69" w14:textId="77777777" w:rsidR="00E329AF" w:rsidRPr="00263DB9" w:rsidRDefault="00E329AF" w:rsidP="00E51817">
      <w:pPr>
        <w:pStyle w:val="EndnoteText"/>
        <w:tabs>
          <w:tab w:val="clear" w:pos="567"/>
        </w:tabs>
        <w:rPr>
          <w:color w:val="000000"/>
          <w:szCs w:val="22"/>
        </w:rPr>
      </w:pPr>
      <w:r w:rsidRPr="00263DB9">
        <w:rPr>
          <w:color w:val="000000"/>
          <w:szCs w:val="22"/>
        </w:rPr>
        <w:t>EU/1/01/198/01</w:t>
      </w:r>
      <w:r w:rsidR="00D12D19" w:rsidRPr="00263DB9">
        <w:rPr>
          <w:color w:val="000000"/>
          <w:szCs w:val="22"/>
        </w:rPr>
        <w:t>6</w:t>
      </w:r>
    </w:p>
    <w:p w14:paraId="375EBA6A" w14:textId="77777777" w:rsidR="00906898" w:rsidRPr="00263DB9" w:rsidRDefault="00906898" w:rsidP="00E51817">
      <w:pPr>
        <w:widowControl w:val="0"/>
        <w:suppressAutoHyphens/>
        <w:rPr>
          <w:color w:val="000000"/>
          <w:szCs w:val="22"/>
        </w:rPr>
      </w:pPr>
    </w:p>
    <w:p w14:paraId="375EBA6B" w14:textId="77777777" w:rsidR="00016170" w:rsidRPr="00263DB9" w:rsidRDefault="00016170" w:rsidP="00831CCB">
      <w:pPr>
        <w:keepNext/>
        <w:widowControl w:val="0"/>
        <w:suppressAutoHyphens/>
        <w:rPr>
          <w:color w:val="000000"/>
          <w:szCs w:val="22"/>
          <w:u w:val="single"/>
        </w:rPr>
      </w:pPr>
      <w:r w:rsidRPr="00263DB9">
        <w:rPr>
          <w:color w:val="000000"/>
          <w:szCs w:val="22"/>
          <w:u w:val="single"/>
        </w:rPr>
        <w:lastRenderedPageBreak/>
        <w:t>Glivec 400 mg comprimidos revestidos por película</w:t>
      </w:r>
    </w:p>
    <w:p w14:paraId="375EBA6C" w14:textId="77777777" w:rsidR="00016170" w:rsidRPr="00263DB9" w:rsidRDefault="00016170" w:rsidP="00831CCB">
      <w:pPr>
        <w:keepNext/>
        <w:widowControl w:val="0"/>
        <w:suppressAutoHyphens/>
        <w:rPr>
          <w:color w:val="000000"/>
          <w:szCs w:val="22"/>
        </w:rPr>
      </w:pPr>
      <w:r w:rsidRPr="00263DB9">
        <w:rPr>
          <w:color w:val="000000"/>
          <w:szCs w:val="22"/>
        </w:rPr>
        <w:t>EU/1/01/198/009</w:t>
      </w:r>
    </w:p>
    <w:p w14:paraId="375EBA6D" w14:textId="77777777" w:rsidR="00016170" w:rsidRPr="00263DB9" w:rsidRDefault="00016170" w:rsidP="00831CCB">
      <w:pPr>
        <w:keepNext/>
        <w:widowControl w:val="0"/>
        <w:suppressAutoHyphens/>
        <w:rPr>
          <w:color w:val="000000"/>
          <w:szCs w:val="22"/>
        </w:rPr>
      </w:pPr>
      <w:r w:rsidRPr="00263DB9">
        <w:rPr>
          <w:color w:val="000000"/>
          <w:szCs w:val="22"/>
        </w:rPr>
        <w:t>EU/1/01/198/010</w:t>
      </w:r>
    </w:p>
    <w:p w14:paraId="375EBA6E" w14:textId="77777777" w:rsidR="00016170" w:rsidRPr="00263DB9" w:rsidRDefault="00016170" w:rsidP="00E51817">
      <w:pPr>
        <w:widowControl w:val="0"/>
        <w:suppressAutoHyphens/>
        <w:rPr>
          <w:color w:val="000000"/>
          <w:szCs w:val="22"/>
        </w:rPr>
      </w:pPr>
      <w:r w:rsidRPr="00263DB9">
        <w:rPr>
          <w:color w:val="000000"/>
          <w:szCs w:val="22"/>
        </w:rPr>
        <w:t>EU/1/01/198/013</w:t>
      </w:r>
    </w:p>
    <w:p w14:paraId="375EBA6F" w14:textId="77777777" w:rsidR="001104DD" w:rsidRPr="00263DB9" w:rsidRDefault="001104DD" w:rsidP="00E51817">
      <w:pPr>
        <w:widowControl w:val="0"/>
        <w:suppressAutoHyphens/>
        <w:rPr>
          <w:color w:val="000000"/>
          <w:szCs w:val="22"/>
        </w:rPr>
      </w:pPr>
    </w:p>
    <w:p w14:paraId="375EBA70" w14:textId="77777777" w:rsidR="00906898" w:rsidRPr="00263DB9" w:rsidRDefault="00906898" w:rsidP="00E51817">
      <w:pPr>
        <w:widowControl w:val="0"/>
        <w:suppressAutoHyphens/>
        <w:rPr>
          <w:color w:val="000000"/>
          <w:szCs w:val="22"/>
        </w:rPr>
      </w:pPr>
    </w:p>
    <w:p w14:paraId="375EBA71" w14:textId="77777777" w:rsidR="00906898" w:rsidRPr="00263DB9" w:rsidRDefault="001F0E58" w:rsidP="00831CCB">
      <w:pPr>
        <w:keepNext/>
        <w:keepLines/>
        <w:widowControl w:val="0"/>
        <w:suppressAutoHyphens/>
        <w:ind w:left="567" w:hanging="567"/>
        <w:rPr>
          <w:b/>
          <w:color w:val="000000"/>
          <w:szCs w:val="22"/>
        </w:rPr>
      </w:pPr>
      <w:r w:rsidRPr="00263DB9">
        <w:rPr>
          <w:b/>
          <w:color w:val="000000"/>
          <w:szCs w:val="22"/>
        </w:rPr>
        <w:t>9.</w:t>
      </w:r>
      <w:r w:rsidRPr="00263DB9">
        <w:rPr>
          <w:b/>
          <w:color w:val="000000"/>
          <w:szCs w:val="22"/>
        </w:rPr>
        <w:tab/>
      </w:r>
      <w:r w:rsidR="00906898" w:rsidRPr="00263DB9">
        <w:rPr>
          <w:b/>
          <w:color w:val="000000"/>
          <w:szCs w:val="22"/>
        </w:rPr>
        <w:t>DATA DA PRIMEIRA AUTORIZAÇÃO/RENOVAÇÃO DA AUTORIZAÇÃO DE INTRODUÇÃO NO MERCADO</w:t>
      </w:r>
    </w:p>
    <w:p w14:paraId="375EBA72" w14:textId="77777777" w:rsidR="00906898" w:rsidRPr="00263DB9" w:rsidRDefault="00906898" w:rsidP="00831CCB">
      <w:pPr>
        <w:keepNext/>
        <w:keepLines/>
        <w:widowControl w:val="0"/>
        <w:suppressAutoHyphens/>
        <w:rPr>
          <w:color w:val="000000"/>
          <w:szCs w:val="22"/>
        </w:rPr>
      </w:pPr>
    </w:p>
    <w:p w14:paraId="375EBA73" w14:textId="77777777" w:rsidR="00906898" w:rsidRPr="00263DB9" w:rsidRDefault="00906898" w:rsidP="00831CCB">
      <w:pPr>
        <w:keepNext/>
        <w:keepLines/>
        <w:widowControl w:val="0"/>
        <w:suppressAutoHyphens/>
        <w:rPr>
          <w:color w:val="000000"/>
          <w:szCs w:val="22"/>
        </w:rPr>
      </w:pPr>
      <w:r w:rsidRPr="00263DB9">
        <w:rPr>
          <w:color w:val="000000"/>
          <w:szCs w:val="22"/>
        </w:rPr>
        <w:t>Data da primeira autorização: 07 de novembro de 2001</w:t>
      </w:r>
    </w:p>
    <w:p w14:paraId="375EBA74" w14:textId="77777777" w:rsidR="00906898" w:rsidRPr="00263DB9" w:rsidRDefault="00906898" w:rsidP="00E51817">
      <w:pPr>
        <w:widowControl w:val="0"/>
        <w:suppressAutoHyphens/>
        <w:rPr>
          <w:color w:val="000000"/>
          <w:szCs w:val="22"/>
        </w:rPr>
      </w:pPr>
      <w:r w:rsidRPr="00263DB9">
        <w:rPr>
          <w:color w:val="000000"/>
          <w:szCs w:val="22"/>
        </w:rPr>
        <w:t>Data da última renovação: 07 de novembro de 2006</w:t>
      </w:r>
    </w:p>
    <w:p w14:paraId="375EBA75" w14:textId="77777777" w:rsidR="00906898" w:rsidRPr="00263DB9" w:rsidRDefault="00906898" w:rsidP="00E51817">
      <w:pPr>
        <w:widowControl w:val="0"/>
        <w:suppressAutoHyphens/>
        <w:rPr>
          <w:color w:val="000000"/>
          <w:szCs w:val="22"/>
        </w:rPr>
      </w:pPr>
    </w:p>
    <w:p w14:paraId="375EBA76" w14:textId="77777777" w:rsidR="00906898" w:rsidRPr="00263DB9" w:rsidRDefault="00906898" w:rsidP="00E51817">
      <w:pPr>
        <w:widowControl w:val="0"/>
        <w:suppressAutoHyphens/>
        <w:rPr>
          <w:color w:val="000000"/>
          <w:szCs w:val="22"/>
        </w:rPr>
      </w:pPr>
    </w:p>
    <w:p w14:paraId="375EBA77" w14:textId="77777777" w:rsidR="00906898" w:rsidRPr="00263DB9" w:rsidRDefault="00906898" w:rsidP="00E51817">
      <w:pPr>
        <w:widowControl w:val="0"/>
        <w:suppressAutoHyphens/>
        <w:ind w:left="567" w:hanging="567"/>
        <w:rPr>
          <w:color w:val="000000"/>
          <w:szCs w:val="22"/>
        </w:rPr>
      </w:pPr>
      <w:r w:rsidRPr="00263DB9">
        <w:rPr>
          <w:b/>
          <w:color w:val="000000"/>
          <w:szCs w:val="22"/>
        </w:rPr>
        <w:t>10.</w:t>
      </w:r>
      <w:r w:rsidRPr="00263DB9">
        <w:rPr>
          <w:b/>
          <w:color w:val="000000"/>
          <w:szCs w:val="22"/>
        </w:rPr>
        <w:tab/>
        <w:t>DATA DA REVISÃO DO TEXTO</w:t>
      </w:r>
    </w:p>
    <w:p w14:paraId="375EBA78" w14:textId="77777777" w:rsidR="00906898" w:rsidRPr="00263DB9" w:rsidRDefault="00906898" w:rsidP="00E51817">
      <w:pPr>
        <w:widowControl w:val="0"/>
        <w:suppressAutoHyphens/>
        <w:ind w:left="567" w:hanging="567"/>
        <w:rPr>
          <w:bCs/>
          <w:color w:val="000000"/>
          <w:szCs w:val="22"/>
        </w:rPr>
      </w:pPr>
    </w:p>
    <w:p w14:paraId="375EBA79" w14:textId="77777777" w:rsidR="00906898" w:rsidRPr="00263DB9" w:rsidRDefault="00906898" w:rsidP="00E51817">
      <w:pPr>
        <w:widowControl w:val="0"/>
        <w:suppressAutoHyphens/>
        <w:ind w:left="567" w:hanging="567"/>
        <w:rPr>
          <w:bCs/>
          <w:color w:val="000000"/>
          <w:szCs w:val="22"/>
        </w:rPr>
      </w:pPr>
    </w:p>
    <w:p w14:paraId="375EBA7A" w14:textId="77777777" w:rsidR="00906898" w:rsidRPr="00263DB9" w:rsidRDefault="00906898" w:rsidP="00831CCB">
      <w:pPr>
        <w:keepLines/>
        <w:widowControl w:val="0"/>
        <w:suppressAutoHyphens/>
        <w:rPr>
          <w:color w:val="000000"/>
          <w:szCs w:val="22"/>
        </w:rPr>
      </w:pPr>
      <w:r w:rsidRPr="00263DB9">
        <w:rPr>
          <w:noProof/>
          <w:color w:val="000000"/>
        </w:rPr>
        <w:t>Está disponível informação pormenorizada sobre este medicamento no sítio da internet da Agência Europeia de Medicamentos: http://www.ema.europa.eu</w:t>
      </w:r>
    </w:p>
    <w:p w14:paraId="375EBA7B" w14:textId="77777777" w:rsidR="00906898" w:rsidRPr="00263DB9" w:rsidRDefault="00906898" w:rsidP="00E51817">
      <w:pPr>
        <w:widowControl w:val="0"/>
        <w:suppressAutoHyphens/>
        <w:ind w:right="14"/>
        <w:rPr>
          <w:color w:val="000000"/>
          <w:szCs w:val="22"/>
        </w:rPr>
      </w:pPr>
      <w:r w:rsidRPr="00263DB9">
        <w:rPr>
          <w:color w:val="000000"/>
          <w:szCs w:val="22"/>
        </w:rPr>
        <w:br w:type="page"/>
      </w:r>
    </w:p>
    <w:p w14:paraId="375EBA7C" w14:textId="77777777" w:rsidR="00906898" w:rsidRPr="00263DB9" w:rsidRDefault="00906898" w:rsidP="00E51817">
      <w:pPr>
        <w:widowControl w:val="0"/>
        <w:ind w:right="1416"/>
        <w:outlineLvl w:val="0"/>
        <w:rPr>
          <w:color w:val="000000"/>
          <w:szCs w:val="22"/>
        </w:rPr>
      </w:pPr>
    </w:p>
    <w:p w14:paraId="375EBA7D" w14:textId="77777777" w:rsidR="00906898" w:rsidRPr="00263DB9" w:rsidRDefault="00906898" w:rsidP="00E51817">
      <w:pPr>
        <w:widowControl w:val="0"/>
        <w:ind w:right="1416"/>
        <w:outlineLvl w:val="0"/>
        <w:rPr>
          <w:color w:val="000000"/>
          <w:szCs w:val="22"/>
        </w:rPr>
      </w:pPr>
    </w:p>
    <w:p w14:paraId="375EBA7E" w14:textId="77777777" w:rsidR="00906898" w:rsidRPr="00263DB9" w:rsidRDefault="00906898" w:rsidP="00E51817">
      <w:pPr>
        <w:widowControl w:val="0"/>
        <w:ind w:right="1416"/>
        <w:outlineLvl w:val="0"/>
        <w:rPr>
          <w:color w:val="000000"/>
          <w:szCs w:val="22"/>
        </w:rPr>
      </w:pPr>
    </w:p>
    <w:p w14:paraId="375EBA7F" w14:textId="77777777" w:rsidR="00906898" w:rsidRPr="00263DB9" w:rsidRDefault="00906898" w:rsidP="00E51817">
      <w:pPr>
        <w:widowControl w:val="0"/>
        <w:ind w:right="1416"/>
        <w:outlineLvl w:val="0"/>
        <w:rPr>
          <w:color w:val="000000"/>
          <w:szCs w:val="22"/>
        </w:rPr>
      </w:pPr>
    </w:p>
    <w:p w14:paraId="375EBA80" w14:textId="77777777" w:rsidR="00906898" w:rsidRPr="00263DB9" w:rsidRDefault="00906898" w:rsidP="00E51817">
      <w:pPr>
        <w:widowControl w:val="0"/>
        <w:ind w:right="1416"/>
        <w:outlineLvl w:val="0"/>
        <w:rPr>
          <w:color w:val="000000"/>
          <w:szCs w:val="22"/>
        </w:rPr>
      </w:pPr>
    </w:p>
    <w:p w14:paraId="375EBA81" w14:textId="77777777" w:rsidR="00906898" w:rsidRPr="00263DB9" w:rsidRDefault="00906898" w:rsidP="00E51817">
      <w:pPr>
        <w:widowControl w:val="0"/>
        <w:ind w:right="1416"/>
        <w:outlineLvl w:val="0"/>
        <w:rPr>
          <w:color w:val="000000"/>
          <w:szCs w:val="22"/>
        </w:rPr>
      </w:pPr>
    </w:p>
    <w:p w14:paraId="375EBA82" w14:textId="77777777" w:rsidR="00906898" w:rsidRPr="00263DB9" w:rsidRDefault="00906898" w:rsidP="00E51817">
      <w:pPr>
        <w:widowControl w:val="0"/>
        <w:ind w:right="1416"/>
        <w:outlineLvl w:val="0"/>
        <w:rPr>
          <w:color w:val="000000"/>
          <w:szCs w:val="22"/>
        </w:rPr>
      </w:pPr>
    </w:p>
    <w:p w14:paraId="375EBA83" w14:textId="77777777" w:rsidR="00906898" w:rsidRPr="00263DB9" w:rsidRDefault="00906898" w:rsidP="00E51817">
      <w:pPr>
        <w:widowControl w:val="0"/>
        <w:ind w:right="1416"/>
        <w:outlineLvl w:val="0"/>
        <w:rPr>
          <w:color w:val="000000"/>
          <w:szCs w:val="22"/>
        </w:rPr>
      </w:pPr>
    </w:p>
    <w:p w14:paraId="375EBA84" w14:textId="77777777" w:rsidR="00906898" w:rsidRPr="00263DB9" w:rsidRDefault="00906898" w:rsidP="00E51817">
      <w:pPr>
        <w:widowControl w:val="0"/>
        <w:ind w:right="1416"/>
        <w:outlineLvl w:val="0"/>
        <w:rPr>
          <w:color w:val="000000"/>
          <w:szCs w:val="22"/>
        </w:rPr>
      </w:pPr>
    </w:p>
    <w:p w14:paraId="375EBA85" w14:textId="77777777" w:rsidR="00906898" w:rsidRPr="00263DB9" w:rsidRDefault="00906898" w:rsidP="00E51817">
      <w:pPr>
        <w:widowControl w:val="0"/>
        <w:ind w:right="1416"/>
        <w:outlineLvl w:val="0"/>
        <w:rPr>
          <w:color w:val="000000"/>
          <w:szCs w:val="22"/>
        </w:rPr>
      </w:pPr>
    </w:p>
    <w:p w14:paraId="375EBA86" w14:textId="77777777" w:rsidR="00906898" w:rsidRPr="00263DB9" w:rsidRDefault="00906898" w:rsidP="00E51817">
      <w:pPr>
        <w:widowControl w:val="0"/>
        <w:ind w:right="1416"/>
        <w:outlineLvl w:val="0"/>
        <w:rPr>
          <w:color w:val="000000"/>
          <w:szCs w:val="22"/>
        </w:rPr>
      </w:pPr>
    </w:p>
    <w:p w14:paraId="375EBA87" w14:textId="77777777" w:rsidR="00906898" w:rsidRPr="00263DB9" w:rsidRDefault="00906898" w:rsidP="00E51817">
      <w:pPr>
        <w:widowControl w:val="0"/>
        <w:ind w:right="1416"/>
        <w:outlineLvl w:val="0"/>
        <w:rPr>
          <w:color w:val="000000"/>
          <w:szCs w:val="22"/>
        </w:rPr>
      </w:pPr>
    </w:p>
    <w:p w14:paraId="375EBA88" w14:textId="77777777" w:rsidR="00906898" w:rsidRPr="00263DB9" w:rsidRDefault="00906898" w:rsidP="00E51817">
      <w:pPr>
        <w:widowControl w:val="0"/>
        <w:ind w:right="1416"/>
        <w:outlineLvl w:val="0"/>
        <w:rPr>
          <w:color w:val="000000"/>
          <w:szCs w:val="22"/>
        </w:rPr>
      </w:pPr>
    </w:p>
    <w:p w14:paraId="375EBA89" w14:textId="77777777" w:rsidR="00906898" w:rsidRPr="00263DB9" w:rsidRDefault="00906898" w:rsidP="00E51817">
      <w:pPr>
        <w:widowControl w:val="0"/>
        <w:ind w:right="1416"/>
        <w:outlineLvl w:val="0"/>
        <w:rPr>
          <w:color w:val="000000"/>
          <w:szCs w:val="22"/>
        </w:rPr>
      </w:pPr>
    </w:p>
    <w:p w14:paraId="375EBA8A" w14:textId="77777777" w:rsidR="00906898" w:rsidRPr="00263DB9" w:rsidRDefault="00906898" w:rsidP="00E51817">
      <w:pPr>
        <w:widowControl w:val="0"/>
        <w:ind w:right="1416"/>
        <w:outlineLvl w:val="0"/>
        <w:rPr>
          <w:color w:val="000000"/>
          <w:szCs w:val="22"/>
        </w:rPr>
      </w:pPr>
    </w:p>
    <w:p w14:paraId="375EBA8B" w14:textId="77777777" w:rsidR="00906898" w:rsidRPr="00263DB9" w:rsidRDefault="00906898" w:rsidP="00E51817">
      <w:pPr>
        <w:widowControl w:val="0"/>
        <w:ind w:right="1416"/>
        <w:outlineLvl w:val="0"/>
        <w:rPr>
          <w:color w:val="000000"/>
          <w:szCs w:val="22"/>
        </w:rPr>
      </w:pPr>
    </w:p>
    <w:p w14:paraId="375EBA8C" w14:textId="77777777" w:rsidR="00906898" w:rsidRPr="00263DB9" w:rsidRDefault="00906898" w:rsidP="00E51817">
      <w:pPr>
        <w:widowControl w:val="0"/>
        <w:ind w:right="1416"/>
        <w:outlineLvl w:val="0"/>
        <w:rPr>
          <w:color w:val="000000"/>
          <w:szCs w:val="22"/>
        </w:rPr>
      </w:pPr>
    </w:p>
    <w:p w14:paraId="375EBA8D" w14:textId="77777777" w:rsidR="00906898" w:rsidRPr="00263DB9" w:rsidRDefault="00906898" w:rsidP="00E51817">
      <w:pPr>
        <w:widowControl w:val="0"/>
        <w:ind w:right="1416"/>
        <w:outlineLvl w:val="0"/>
        <w:rPr>
          <w:color w:val="000000"/>
          <w:szCs w:val="22"/>
        </w:rPr>
      </w:pPr>
    </w:p>
    <w:p w14:paraId="375EBA8E" w14:textId="77777777" w:rsidR="00906898" w:rsidRPr="00263DB9" w:rsidRDefault="00906898" w:rsidP="00E51817">
      <w:pPr>
        <w:widowControl w:val="0"/>
        <w:ind w:right="1416"/>
        <w:outlineLvl w:val="0"/>
        <w:rPr>
          <w:color w:val="000000"/>
          <w:szCs w:val="22"/>
        </w:rPr>
      </w:pPr>
    </w:p>
    <w:p w14:paraId="375EBA8F" w14:textId="77777777" w:rsidR="00906898" w:rsidRPr="00263DB9" w:rsidRDefault="00906898" w:rsidP="00E51817">
      <w:pPr>
        <w:widowControl w:val="0"/>
        <w:ind w:right="1416"/>
        <w:outlineLvl w:val="0"/>
        <w:rPr>
          <w:color w:val="000000"/>
          <w:szCs w:val="22"/>
        </w:rPr>
      </w:pPr>
    </w:p>
    <w:p w14:paraId="375EBA90" w14:textId="77777777" w:rsidR="00906898" w:rsidRPr="00263DB9" w:rsidRDefault="00906898" w:rsidP="00E51817">
      <w:pPr>
        <w:widowControl w:val="0"/>
        <w:ind w:right="1416"/>
        <w:outlineLvl w:val="0"/>
        <w:rPr>
          <w:color w:val="000000"/>
          <w:szCs w:val="22"/>
        </w:rPr>
      </w:pPr>
    </w:p>
    <w:p w14:paraId="375EBA91" w14:textId="77777777" w:rsidR="00906898" w:rsidRPr="00263DB9" w:rsidRDefault="00906898" w:rsidP="00E51817">
      <w:pPr>
        <w:widowControl w:val="0"/>
        <w:ind w:right="1416"/>
        <w:outlineLvl w:val="0"/>
        <w:rPr>
          <w:color w:val="000000"/>
          <w:szCs w:val="22"/>
        </w:rPr>
      </w:pPr>
    </w:p>
    <w:p w14:paraId="375EBA92" w14:textId="77777777" w:rsidR="00906898" w:rsidRPr="00263DB9" w:rsidRDefault="00906898" w:rsidP="00E51817">
      <w:pPr>
        <w:widowControl w:val="0"/>
        <w:ind w:right="1416"/>
        <w:jc w:val="center"/>
        <w:outlineLvl w:val="0"/>
        <w:rPr>
          <w:b/>
          <w:color w:val="000000"/>
          <w:szCs w:val="22"/>
        </w:rPr>
      </w:pPr>
      <w:r w:rsidRPr="00263DB9">
        <w:rPr>
          <w:b/>
          <w:color w:val="000000"/>
          <w:szCs w:val="22"/>
        </w:rPr>
        <w:t>ANEXO II</w:t>
      </w:r>
    </w:p>
    <w:p w14:paraId="375EBA93" w14:textId="77777777" w:rsidR="00906898" w:rsidRPr="00263DB9" w:rsidRDefault="00906898" w:rsidP="00E51817">
      <w:pPr>
        <w:widowControl w:val="0"/>
        <w:ind w:right="1416"/>
        <w:rPr>
          <w:color w:val="000000"/>
          <w:szCs w:val="22"/>
        </w:rPr>
      </w:pPr>
    </w:p>
    <w:p w14:paraId="375EBA94" w14:textId="77777777" w:rsidR="00906898" w:rsidRPr="00263DB9" w:rsidRDefault="00906898" w:rsidP="00E51817">
      <w:pPr>
        <w:widowControl w:val="0"/>
        <w:numPr>
          <w:ilvl w:val="0"/>
          <w:numId w:val="3"/>
        </w:numPr>
        <w:tabs>
          <w:tab w:val="clear" w:pos="1494"/>
        </w:tabs>
        <w:ind w:left="1701" w:right="1416" w:hanging="567"/>
        <w:rPr>
          <w:color w:val="000000"/>
          <w:szCs w:val="22"/>
        </w:rPr>
      </w:pPr>
      <w:r w:rsidRPr="00263DB9">
        <w:rPr>
          <w:b/>
          <w:color w:val="000000"/>
          <w:szCs w:val="22"/>
        </w:rPr>
        <w:t>FABRICANTE RESPONSÁVEL PELA LIBERTAÇÃO DO LOTE</w:t>
      </w:r>
    </w:p>
    <w:p w14:paraId="375EBA95" w14:textId="77777777" w:rsidR="00906898" w:rsidRPr="00263DB9" w:rsidRDefault="00906898" w:rsidP="00E51817">
      <w:pPr>
        <w:widowControl w:val="0"/>
        <w:ind w:right="1416"/>
        <w:rPr>
          <w:color w:val="000000"/>
          <w:szCs w:val="22"/>
        </w:rPr>
      </w:pPr>
    </w:p>
    <w:p w14:paraId="375EBA96" w14:textId="77777777" w:rsidR="00906898" w:rsidRPr="00263DB9" w:rsidRDefault="00906898" w:rsidP="00E51817">
      <w:pPr>
        <w:widowControl w:val="0"/>
        <w:numPr>
          <w:ilvl w:val="0"/>
          <w:numId w:val="3"/>
        </w:numPr>
        <w:tabs>
          <w:tab w:val="clear" w:pos="1494"/>
          <w:tab w:val="num" w:pos="-6946"/>
        </w:tabs>
        <w:ind w:left="1701" w:right="1416" w:hanging="567"/>
        <w:rPr>
          <w:b/>
          <w:color w:val="000000"/>
          <w:szCs w:val="22"/>
        </w:rPr>
      </w:pPr>
      <w:r w:rsidRPr="00263DB9">
        <w:rPr>
          <w:b/>
          <w:color w:val="000000"/>
          <w:szCs w:val="22"/>
        </w:rPr>
        <w:t xml:space="preserve">CONDIÇÕES </w:t>
      </w:r>
      <w:r w:rsidRPr="00263DB9">
        <w:rPr>
          <w:b/>
          <w:szCs w:val="24"/>
        </w:rPr>
        <w:t>OU RESTRIÇÕES RELATIVAS AO FORNECIMENTO E UTILIZAÇÃO</w:t>
      </w:r>
    </w:p>
    <w:p w14:paraId="375EBA97" w14:textId="77777777" w:rsidR="00906898" w:rsidRPr="00263DB9" w:rsidRDefault="00906898" w:rsidP="00E51817">
      <w:pPr>
        <w:pStyle w:val="ListParagraph"/>
        <w:widowControl w:val="0"/>
        <w:ind w:left="0"/>
        <w:rPr>
          <w:color w:val="000000"/>
          <w:szCs w:val="22"/>
        </w:rPr>
      </w:pPr>
    </w:p>
    <w:p w14:paraId="375EBA98" w14:textId="77777777" w:rsidR="00906898" w:rsidRPr="00263DB9" w:rsidRDefault="00906898" w:rsidP="00E51817">
      <w:pPr>
        <w:widowControl w:val="0"/>
        <w:numPr>
          <w:ilvl w:val="0"/>
          <w:numId w:val="3"/>
        </w:numPr>
        <w:tabs>
          <w:tab w:val="clear" w:pos="1494"/>
        </w:tabs>
        <w:ind w:left="1701" w:right="1418" w:hanging="567"/>
        <w:rPr>
          <w:b/>
          <w:color w:val="000000"/>
          <w:szCs w:val="22"/>
        </w:rPr>
      </w:pPr>
      <w:r w:rsidRPr="00263DB9">
        <w:rPr>
          <w:b/>
          <w:szCs w:val="24"/>
        </w:rPr>
        <w:t>OUTRAS CONDIÇÕES E REQUISITOS DA AUTORIZAÇÃO DE INTRODUÇÃO NO MERCADO</w:t>
      </w:r>
    </w:p>
    <w:p w14:paraId="375EBA99" w14:textId="77777777" w:rsidR="00A765DC" w:rsidRPr="00263DB9" w:rsidRDefault="00A765DC" w:rsidP="00E51817">
      <w:pPr>
        <w:widowControl w:val="0"/>
        <w:ind w:right="1416"/>
        <w:rPr>
          <w:color w:val="000000"/>
          <w:szCs w:val="22"/>
        </w:rPr>
      </w:pPr>
    </w:p>
    <w:p w14:paraId="375EBA9A" w14:textId="77777777" w:rsidR="00A765DC" w:rsidRPr="00263DB9" w:rsidRDefault="004653D3" w:rsidP="00E51817">
      <w:pPr>
        <w:widowControl w:val="0"/>
        <w:tabs>
          <w:tab w:val="left" w:pos="1701"/>
        </w:tabs>
        <w:ind w:left="1701" w:right="1418" w:hanging="567"/>
        <w:rPr>
          <w:b/>
          <w:color w:val="000000"/>
          <w:szCs w:val="22"/>
        </w:rPr>
      </w:pPr>
      <w:r w:rsidRPr="00263DB9">
        <w:rPr>
          <w:b/>
          <w:szCs w:val="24"/>
        </w:rPr>
        <w:t>D.</w:t>
      </w:r>
      <w:r w:rsidRPr="00263DB9">
        <w:rPr>
          <w:b/>
          <w:szCs w:val="24"/>
        </w:rPr>
        <w:tab/>
      </w:r>
      <w:r w:rsidRPr="00263DB9">
        <w:rPr>
          <w:b/>
          <w:caps/>
          <w:szCs w:val="24"/>
        </w:rPr>
        <w:t>Condições ou restrições relativas à utilização segura e eficaz do medicamento</w:t>
      </w:r>
    </w:p>
    <w:p w14:paraId="375EBA9B" w14:textId="77777777" w:rsidR="00906898" w:rsidRPr="00263DB9" w:rsidRDefault="00906898" w:rsidP="00E51817">
      <w:pPr>
        <w:widowControl w:val="0"/>
        <w:ind w:left="567" w:hanging="567"/>
        <w:rPr>
          <w:szCs w:val="22"/>
        </w:rPr>
      </w:pPr>
      <w:r w:rsidRPr="00263DB9">
        <w:rPr>
          <w:color w:val="000000"/>
          <w:szCs w:val="22"/>
        </w:rPr>
        <w:br w:type="page"/>
      </w:r>
      <w:r w:rsidRPr="00263DB9">
        <w:rPr>
          <w:b/>
          <w:szCs w:val="22"/>
        </w:rPr>
        <w:lastRenderedPageBreak/>
        <w:t>A.</w:t>
      </w:r>
      <w:r w:rsidRPr="00263DB9">
        <w:rPr>
          <w:b/>
          <w:szCs w:val="22"/>
        </w:rPr>
        <w:tab/>
        <w:t>FABRICANTE RESPONSÁVEL PELA LIBERTAÇÃO DO LOTE</w:t>
      </w:r>
    </w:p>
    <w:p w14:paraId="375EBA9C" w14:textId="77777777" w:rsidR="00906898" w:rsidRPr="00263DB9" w:rsidRDefault="00906898" w:rsidP="00E51817">
      <w:pPr>
        <w:widowControl w:val="0"/>
        <w:numPr>
          <w:ilvl w:val="12"/>
          <w:numId w:val="0"/>
        </w:numPr>
        <w:ind w:right="1416"/>
        <w:rPr>
          <w:szCs w:val="22"/>
        </w:rPr>
      </w:pPr>
    </w:p>
    <w:p w14:paraId="375EBA9D" w14:textId="77777777" w:rsidR="00906898" w:rsidRPr="00263DB9" w:rsidRDefault="00906898" w:rsidP="00E51817">
      <w:pPr>
        <w:widowControl w:val="0"/>
        <w:numPr>
          <w:ilvl w:val="12"/>
          <w:numId w:val="0"/>
        </w:numPr>
        <w:outlineLvl w:val="0"/>
        <w:rPr>
          <w:szCs w:val="22"/>
          <w:u w:val="single"/>
        </w:rPr>
      </w:pPr>
      <w:r w:rsidRPr="00263DB9">
        <w:rPr>
          <w:szCs w:val="22"/>
          <w:u w:val="single"/>
        </w:rPr>
        <w:t>Nome e endereço do fabricante responsável pela libertação do lote</w:t>
      </w:r>
    </w:p>
    <w:p w14:paraId="375EBA9E" w14:textId="77777777" w:rsidR="00906898" w:rsidRPr="00263DB9" w:rsidRDefault="00906898" w:rsidP="00E51817">
      <w:pPr>
        <w:widowControl w:val="0"/>
        <w:numPr>
          <w:ilvl w:val="12"/>
          <w:numId w:val="0"/>
        </w:numPr>
        <w:rPr>
          <w:szCs w:val="22"/>
        </w:rPr>
      </w:pPr>
    </w:p>
    <w:p w14:paraId="375EBA9F" w14:textId="77777777" w:rsidR="003942FE" w:rsidRPr="00263DB9" w:rsidRDefault="003942FE" w:rsidP="00E51817">
      <w:pPr>
        <w:widowControl w:val="0"/>
        <w:tabs>
          <w:tab w:val="left" w:pos="7513"/>
        </w:tabs>
        <w:rPr>
          <w:szCs w:val="22"/>
          <w:lang w:val="fr-CH"/>
        </w:rPr>
      </w:pPr>
      <w:r w:rsidRPr="00263DB9">
        <w:rPr>
          <w:szCs w:val="22"/>
          <w:lang w:val="fr-CH"/>
        </w:rPr>
        <w:t>Lek d.d, PE PROIZVODNJA LENDAVA</w:t>
      </w:r>
    </w:p>
    <w:p w14:paraId="375EBAA0" w14:textId="77777777" w:rsidR="003942FE" w:rsidRPr="00263DB9" w:rsidRDefault="003942FE" w:rsidP="00E51817">
      <w:pPr>
        <w:widowControl w:val="0"/>
        <w:tabs>
          <w:tab w:val="left" w:pos="7513"/>
        </w:tabs>
        <w:rPr>
          <w:szCs w:val="22"/>
          <w:lang w:val="fr-CH"/>
        </w:rPr>
      </w:pPr>
      <w:r w:rsidRPr="00263DB9">
        <w:rPr>
          <w:szCs w:val="22"/>
          <w:lang w:val="fr-CH"/>
        </w:rPr>
        <w:t>Trimlini 2D</w:t>
      </w:r>
    </w:p>
    <w:p w14:paraId="375EBAA1" w14:textId="77777777" w:rsidR="003942FE" w:rsidRPr="00263DB9" w:rsidRDefault="003942FE" w:rsidP="00E51817">
      <w:pPr>
        <w:widowControl w:val="0"/>
        <w:tabs>
          <w:tab w:val="left" w:pos="7513"/>
        </w:tabs>
        <w:rPr>
          <w:szCs w:val="22"/>
          <w:lang w:val="fr-CH"/>
        </w:rPr>
      </w:pPr>
      <w:r w:rsidRPr="00263DB9">
        <w:rPr>
          <w:szCs w:val="22"/>
          <w:lang w:val="fr-CH"/>
        </w:rPr>
        <w:t>Lendava, 9220</w:t>
      </w:r>
    </w:p>
    <w:p w14:paraId="375EBAA2" w14:textId="77777777" w:rsidR="003942FE" w:rsidRPr="00263DB9" w:rsidRDefault="003942FE" w:rsidP="00E51817">
      <w:pPr>
        <w:pStyle w:val="Text"/>
        <w:widowControl w:val="0"/>
        <w:spacing w:before="0"/>
        <w:jc w:val="left"/>
        <w:rPr>
          <w:sz w:val="22"/>
          <w:szCs w:val="22"/>
          <w:lang w:val="fr-CH"/>
        </w:rPr>
      </w:pPr>
      <w:r w:rsidRPr="00263DB9">
        <w:rPr>
          <w:sz w:val="22"/>
          <w:szCs w:val="22"/>
          <w:lang w:val="pt-PT"/>
        </w:rPr>
        <w:t>Eslovénia</w:t>
      </w:r>
    </w:p>
    <w:p w14:paraId="375EBAA3" w14:textId="77777777" w:rsidR="003942FE" w:rsidRPr="00263DB9" w:rsidRDefault="003942FE" w:rsidP="00E51817">
      <w:pPr>
        <w:widowControl w:val="0"/>
        <w:ind w:right="-2"/>
        <w:rPr>
          <w:szCs w:val="22"/>
          <w:lang w:val="fr-CH"/>
        </w:rPr>
      </w:pPr>
    </w:p>
    <w:p w14:paraId="375EBAA4" w14:textId="77777777" w:rsidR="00906898" w:rsidRPr="00263DB9" w:rsidRDefault="00906898" w:rsidP="00E51817">
      <w:pPr>
        <w:widowControl w:val="0"/>
        <w:numPr>
          <w:ilvl w:val="12"/>
          <w:numId w:val="0"/>
        </w:numPr>
        <w:rPr>
          <w:szCs w:val="22"/>
        </w:rPr>
      </w:pPr>
      <w:r w:rsidRPr="00263DB9">
        <w:rPr>
          <w:szCs w:val="22"/>
        </w:rPr>
        <w:t>Novartis Pharma GmbH</w:t>
      </w:r>
    </w:p>
    <w:p w14:paraId="375EBAA5" w14:textId="77777777" w:rsidR="00906898" w:rsidRPr="00263DB9" w:rsidRDefault="00906898" w:rsidP="00E51817">
      <w:pPr>
        <w:widowControl w:val="0"/>
        <w:numPr>
          <w:ilvl w:val="12"/>
          <w:numId w:val="0"/>
        </w:numPr>
        <w:tabs>
          <w:tab w:val="left" w:pos="5387"/>
        </w:tabs>
        <w:rPr>
          <w:szCs w:val="22"/>
        </w:rPr>
      </w:pPr>
      <w:r w:rsidRPr="00263DB9">
        <w:rPr>
          <w:szCs w:val="22"/>
        </w:rPr>
        <w:t>Roonstrasse 25,</w:t>
      </w:r>
    </w:p>
    <w:p w14:paraId="375EBAA6" w14:textId="77777777" w:rsidR="00906898" w:rsidRPr="00263DB9" w:rsidRDefault="00906898" w:rsidP="00E51817">
      <w:pPr>
        <w:widowControl w:val="0"/>
        <w:numPr>
          <w:ilvl w:val="12"/>
          <w:numId w:val="0"/>
        </w:numPr>
        <w:rPr>
          <w:szCs w:val="22"/>
        </w:rPr>
      </w:pPr>
      <w:r w:rsidRPr="00263DB9">
        <w:rPr>
          <w:szCs w:val="22"/>
        </w:rPr>
        <w:t>D-90429 Nuremberga</w:t>
      </w:r>
    </w:p>
    <w:p w14:paraId="375EBAA7" w14:textId="77777777" w:rsidR="00906898" w:rsidRPr="00263DB9" w:rsidRDefault="00906898" w:rsidP="00E51817">
      <w:pPr>
        <w:widowControl w:val="0"/>
        <w:numPr>
          <w:ilvl w:val="12"/>
          <w:numId w:val="0"/>
        </w:numPr>
        <w:rPr>
          <w:szCs w:val="22"/>
        </w:rPr>
      </w:pPr>
      <w:r w:rsidRPr="00263DB9">
        <w:rPr>
          <w:szCs w:val="22"/>
        </w:rPr>
        <w:t>Alemanha</w:t>
      </w:r>
    </w:p>
    <w:p w14:paraId="375EBAA8" w14:textId="67322FF5" w:rsidR="00906898" w:rsidRDefault="00906898" w:rsidP="00E51817">
      <w:pPr>
        <w:widowControl w:val="0"/>
        <w:numPr>
          <w:ilvl w:val="12"/>
          <w:numId w:val="0"/>
        </w:numPr>
        <w:rPr>
          <w:szCs w:val="22"/>
        </w:rPr>
      </w:pPr>
    </w:p>
    <w:p w14:paraId="2BC5EA06" w14:textId="77777777" w:rsidR="00CF3881" w:rsidRPr="00CF3881" w:rsidRDefault="00CF3881" w:rsidP="00CF3881">
      <w:pPr>
        <w:widowControl w:val="0"/>
        <w:numPr>
          <w:ilvl w:val="12"/>
          <w:numId w:val="0"/>
        </w:numPr>
        <w:rPr>
          <w:szCs w:val="22"/>
        </w:rPr>
      </w:pPr>
      <w:r w:rsidRPr="00CF3881">
        <w:rPr>
          <w:szCs w:val="22"/>
        </w:rPr>
        <w:t>Sandoz S.R.L.</w:t>
      </w:r>
    </w:p>
    <w:p w14:paraId="62AFC517" w14:textId="77777777" w:rsidR="00CF3881" w:rsidRPr="00CF3881" w:rsidRDefault="00CF3881" w:rsidP="00CF3881">
      <w:pPr>
        <w:widowControl w:val="0"/>
        <w:numPr>
          <w:ilvl w:val="12"/>
          <w:numId w:val="0"/>
        </w:numPr>
        <w:rPr>
          <w:szCs w:val="22"/>
        </w:rPr>
      </w:pPr>
      <w:r w:rsidRPr="00CF3881">
        <w:rPr>
          <w:szCs w:val="22"/>
        </w:rPr>
        <w:t>Str. Livezeni nr. 7A</w:t>
      </w:r>
    </w:p>
    <w:p w14:paraId="0C28E630" w14:textId="77777777" w:rsidR="00CF3881" w:rsidRPr="00CF3881" w:rsidRDefault="00CF3881" w:rsidP="00CF3881">
      <w:pPr>
        <w:widowControl w:val="0"/>
        <w:numPr>
          <w:ilvl w:val="12"/>
          <w:numId w:val="0"/>
        </w:numPr>
        <w:rPr>
          <w:szCs w:val="22"/>
        </w:rPr>
      </w:pPr>
      <w:r w:rsidRPr="00CF3881">
        <w:rPr>
          <w:szCs w:val="22"/>
        </w:rPr>
        <w:t>540472, Targu Mures</w:t>
      </w:r>
    </w:p>
    <w:p w14:paraId="0B66B215" w14:textId="56CABB85" w:rsidR="00CF3881" w:rsidRDefault="00CF3881" w:rsidP="00CF3881">
      <w:pPr>
        <w:widowControl w:val="0"/>
        <w:numPr>
          <w:ilvl w:val="12"/>
          <w:numId w:val="0"/>
        </w:numPr>
        <w:rPr>
          <w:szCs w:val="22"/>
        </w:rPr>
      </w:pPr>
      <w:r w:rsidRPr="00CF3881">
        <w:rPr>
          <w:szCs w:val="22"/>
        </w:rPr>
        <w:t>Roménia</w:t>
      </w:r>
    </w:p>
    <w:p w14:paraId="3A88B00A" w14:textId="77777777" w:rsidR="00CF3881" w:rsidRPr="00263DB9" w:rsidRDefault="00CF3881" w:rsidP="00CF3881">
      <w:pPr>
        <w:widowControl w:val="0"/>
        <w:numPr>
          <w:ilvl w:val="12"/>
          <w:numId w:val="0"/>
        </w:numPr>
        <w:rPr>
          <w:szCs w:val="22"/>
        </w:rPr>
      </w:pPr>
    </w:p>
    <w:p w14:paraId="375EBAA9" w14:textId="77777777" w:rsidR="00906898" w:rsidRPr="00263DB9" w:rsidRDefault="003942FE" w:rsidP="00E51817">
      <w:pPr>
        <w:widowControl w:val="0"/>
        <w:numPr>
          <w:ilvl w:val="12"/>
          <w:numId w:val="0"/>
        </w:numPr>
      </w:pPr>
      <w:r w:rsidRPr="00263DB9">
        <w:t>O folheto informativo que acompanha o medicamento tem de mencionar o nome e endereço do fabricante responsável pela libertação do lote em causa.</w:t>
      </w:r>
    </w:p>
    <w:p w14:paraId="375EBAAA" w14:textId="77777777" w:rsidR="003942FE" w:rsidRPr="00263DB9" w:rsidRDefault="003942FE" w:rsidP="00E51817">
      <w:pPr>
        <w:widowControl w:val="0"/>
        <w:numPr>
          <w:ilvl w:val="12"/>
          <w:numId w:val="0"/>
        </w:numPr>
      </w:pPr>
    </w:p>
    <w:p w14:paraId="375EBAAB" w14:textId="77777777" w:rsidR="003942FE" w:rsidRPr="00263DB9" w:rsidRDefault="003942FE" w:rsidP="00E51817">
      <w:pPr>
        <w:widowControl w:val="0"/>
        <w:numPr>
          <w:ilvl w:val="12"/>
          <w:numId w:val="0"/>
        </w:numPr>
        <w:rPr>
          <w:szCs w:val="22"/>
        </w:rPr>
      </w:pPr>
    </w:p>
    <w:p w14:paraId="375EBAAC" w14:textId="77777777" w:rsidR="00906898" w:rsidRPr="00263DB9" w:rsidRDefault="00906898" w:rsidP="00831CCB">
      <w:pPr>
        <w:keepNext/>
        <w:widowControl w:val="0"/>
        <w:ind w:left="567" w:hanging="567"/>
        <w:rPr>
          <w:b/>
          <w:szCs w:val="24"/>
        </w:rPr>
      </w:pPr>
      <w:r w:rsidRPr="00263DB9">
        <w:rPr>
          <w:b/>
          <w:color w:val="000000"/>
          <w:szCs w:val="22"/>
        </w:rPr>
        <w:t>B.</w:t>
      </w:r>
      <w:r w:rsidRPr="00263DB9">
        <w:rPr>
          <w:b/>
          <w:color w:val="000000"/>
          <w:szCs w:val="22"/>
        </w:rPr>
        <w:tab/>
        <w:t xml:space="preserve">CONDIÇÕES </w:t>
      </w:r>
      <w:r w:rsidRPr="00263DB9">
        <w:rPr>
          <w:b/>
          <w:szCs w:val="24"/>
        </w:rPr>
        <w:t>OU RESTRIÇÕES RELATIVAS AO FORNECIMENTO E UTILIZAÇÃO</w:t>
      </w:r>
    </w:p>
    <w:p w14:paraId="375EBAAD" w14:textId="77777777" w:rsidR="00906898" w:rsidRPr="00263DB9" w:rsidRDefault="00906898" w:rsidP="00831CCB">
      <w:pPr>
        <w:pStyle w:val="EndnoteText"/>
        <w:keepNext/>
        <w:numPr>
          <w:ilvl w:val="12"/>
          <w:numId w:val="0"/>
        </w:numPr>
        <w:tabs>
          <w:tab w:val="clear" w:pos="567"/>
        </w:tabs>
        <w:rPr>
          <w:color w:val="000000"/>
          <w:szCs w:val="22"/>
        </w:rPr>
      </w:pPr>
    </w:p>
    <w:p w14:paraId="375EBAAE" w14:textId="77777777" w:rsidR="00906898" w:rsidRPr="00263DB9" w:rsidRDefault="00906898" w:rsidP="00E51817">
      <w:pPr>
        <w:widowControl w:val="0"/>
        <w:numPr>
          <w:ilvl w:val="12"/>
          <w:numId w:val="0"/>
        </w:numPr>
        <w:rPr>
          <w:color w:val="000000"/>
          <w:szCs w:val="22"/>
        </w:rPr>
      </w:pPr>
      <w:r w:rsidRPr="00263DB9">
        <w:rPr>
          <w:color w:val="000000"/>
          <w:szCs w:val="22"/>
        </w:rPr>
        <w:t xml:space="preserve">Medicamento de receita médica restrita, de utilização reservada a certos meios especializados (ver anexo I: Resumo das Características do Medicamento, </w:t>
      </w:r>
      <w:r w:rsidRPr="00263DB9">
        <w:rPr>
          <w:noProof/>
          <w:color w:val="000000"/>
          <w:szCs w:val="22"/>
        </w:rPr>
        <w:t>secção</w:t>
      </w:r>
      <w:r w:rsidRPr="00263DB9">
        <w:rPr>
          <w:color w:val="000000"/>
          <w:szCs w:val="22"/>
        </w:rPr>
        <w:t xml:space="preserve"> 4.2).</w:t>
      </w:r>
    </w:p>
    <w:p w14:paraId="375EBAAF" w14:textId="77777777" w:rsidR="00906898" w:rsidRPr="00263DB9" w:rsidRDefault="00906898" w:rsidP="00E51817">
      <w:pPr>
        <w:widowControl w:val="0"/>
        <w:numPr>
          <w:ilvl w:val="12"/>
          <w:numId w:val="0"/>
        </w:numPr>
        <w:rPr>
          <w:color w:val="000000"/>
          <w:szCs w:val="22"/>
        </w:rPr>
      </w:pPr>
    </w:p>
    <w:p w14:paraId="375EBAB0" w14:textId="77777777" w:rsidR="00906898" w:rsidRPr="00263DB9" w:rsidRDefault="00906898" w:rsidP="00E51817">
      <w:pPr>
        <w:widowControl w:val="0"/>
        <w:numPr>
          <w:ilvl w:val="12"/>
          <w:numId w:val="0"/>
        </w:numPr>
        <w:rPr>
          <w:color w:val="000000"/>
          <w:szCs w:val="22"/>
        </w:rPr>
      </w:pPr>
    </w:p>
    <w:p w14:paraId="375EBAB1" w14:textId="77777777" w:rsidR="00906898" w:rsidRPr="00263DB9" w:rsidRDefault="00906898" w:rsidP="00831CCB">
      <w:pPr>
        <w:keepNext/>
        <w:widowControl w:val="0"/>
        <w:numPr>
          <w:ilvl w:val="12"/>
          <w:numId w:val="0"/>
        </w:numPr>
        <w:ind w:left="567" w:hanging="567"/>
        <w:rPr>
          <w:color w:val="000000"/>
          <w:szCs w:val="22"/>
        </w:rPr>
      </w:pPr>
      <w:r w:rsidRPr="00263DB9">
        <w:rPr>
          <w:b/>
          <w:color w:val="000000"/>
          <w:szCs w:val="22"/>
        </w:rPr>
        <w:t>C.</w:t>
      </w:r>
      <w:r w:rsidRPr="00263DB9">
        <w:rPr>
          <w:b/>
          <w:color w:val="000000"/>
          <w:szCs w:val="22"/>
        </w:rPr>
        <w:tab/>
        <w:t>OUTRAS</w:t>
      </w:r>
      <w:r w:rsidRPr="00263DB9">
        <w:rPr>
          <w:b/>
          <w:szCs w:val="24"/>
        </w:rPr>
        <w:t xml:space="preserve"> CONDIÇÕES E REQUISITOS DA AUTORIZAÇÃO DE INTRODUÇÃO NO MERCADO</w:t>
      </w:r>
    </w:p>
    <w:p w14:paraId="375EBAB2" w14:textId="77777777" w:rsidR="004653D3" w:rsidRPr="00263DB9" w:rsidRDefault="004653D3" w:rsidP="00831CCB">
      <w:pPr>
        <w:keepNext/>
        <w:widowControl w:val="0"/>
        <w:ind w:right="-1"/>
        <w:rPr>
          <w:color w:val="000000"/>
          <w:szCs w:val="22"/>
        </w:rPr>
      </w:pPr>
    </w:p>
    <w:p w14:paraId="375EBAB3" w14:textId="77777777" w:rsidR="004653D3" w:rsidRPr="00263DB9" w:rsidRDefault="004653D3" w:rsidP="00831CCB">
      <w:pPr>
        <w:keepNext/>
        <w:widowControl w:val="0"/>
        <w:numPr>
          <w:ilvl w:val="0"/>
          <w:numId w:val="23"/>
        </w:numPr>
        <w:tabs>
          <w:tab w:val="left" w:pos="0"/>
          <w:tab w:val="left" w:pos="567"/>
        </w:tabs>
        <w:spacing w:line="260" w:lineRule="exact"/>
        <w:ind w:right="567" w:hanging="720"/>
        <w:rPr>
          <w:szCs w:val="24"/>
        </w:rPr>
      </w:pPr>
      <w:r w:rsidRPr="00263DB9">
        <w:rPr>
          <w:b/>
          <w:szCs w:val="24"/>
        </w:rPr>
        <w:t>Relatórios Periódicos de Segurança</w:t>
      </w:r>
    </w:p>
    <w:p w14:paraId="375EBAB4" w14:textId="77777777" w:rsidR="00831CCB" w:rsidRPr="00263DB9" w:rsidRDefault="00831CCB" w:rsidP="00831CCB">
      <w:pPr>
        <w:keepNext/>
        <w:widowControl w:val="0"/>
        <w:tabs>
          <w:tab w:val="left" w:pos="0"/>
        </w:tabs>
        <w:ind w:right="-1"/>
        <w:rPr>
          <w:szCs w:val="24"/>
          <w:lang w:bidi="pt-PT"/>
        </w:rPr>
      </w:pPr>
    </w:p>
    <w:p w14:paraId="375EBAB5" w14:textId="77777777" w:rsidR="004653D3" w:rsidRPr="00263DB9" w:rsidRDefault="00ED1C9D" w:rsidP="00E51817">
      <w:pPr>
        <w:widowControl w:val="0"/>
        <w:tabs>
          <w:tab w:val="left" w:pos="0"/>
        </w:tabs>
        <w:ind w:right="-1"/>
        <w:rPr>
          <w:szCs w:val="24"/>
        </w:rPr>
      </w:pPr>
      <w:r w:rsidRPr="00263DB9">
        <w:rPr>
          <w:szCs w:val="24"/>
          <w:lang w:bidi="pt-PT"/>
        </w:rPr>
        <w:t xml:space="preserve">Os requisitos para a apresentação de </w:t>
      </w:r>
      <w:r w:rsidR="004653D3" w:rsidRPr="00263DB9">
        <w:rPr>
          <w:szCs w:val="24"/>
        </w:rPr>
        <w:t xml:space="preserve">relatórios periódicos de segurança para este medicamento </w:t>
      </w:r>
      <w:r w:rsidRPr="00263DB9">
        <w:rPr>
          <w:szCs w:val="24"/>
        </w:rPr>
        <w:t>estão</w:t>
      </w:r>
      <w:r w:rsidR="004653D3" w:rsidRPr="00263DB9">
        <w:rPr>
          <w:szCs w:val="24"/>
        </w:rPr>
        <w:t xml:space="preserve"> estabelecidos na lista Europeia de datas de referência (lista EURD), tal como previsto nos termos </w:t>
      </w:r>
      <w:r w:rsidRPr="00263DB9">
        <w:rPr>
          <w:szCs w:val="24"/>
        </w:rPr>
        <w:t xml:space="preserve">nos termos do </w:t>
      </w:r>
      <w:r w:rsidR="004653D3" w:rsidRPr="00263DB9">
        <w:rPr>
          <w:szCs w:val="24"/>
        </w:rPr>
        <w:t>n.º 7 do artigo 107.º-C da Diretiva 2001/83</w:t>
      </w:r>
      <w:r w:rsidRPr="00263DB9">
        <w:rPr>
          <w:szCs w:val="24"/>
        </w:rPr>
        <w:t>/CE</w:t>
      </w:r>
      <w:r w:rsidRPr="00263DB9">
        <w:t xml:space="preserve"> e quaisquer atualizações subsequentes</w:t>
      </w:r>
      <w:r w:rsidR="004653D3" w:rsidRPr="00263DB9">
        <w:rPr>
          <w:szCs w:val="24"/>
        </w:rPr>
        <w:t xml:space="preserve"> publicada</w:t>
      </w:r>
      <w:r w:rsidRPr="00263DB9">
        <w:rPr>
          <w:szCs w:val="24"/>
        </w:rPr>
        <w:t>s</w:t>
      </w:r>
      <w:r w:rsidR="004653D3" w:rsidRPr="00263DB9">
        <w:rPr>
          <w:szCs w:val="24"/>
        </w:rPr>
        <w:t xml:space="preserve"> no portal europeu de medicamentos.</w:t>
      </w:r>
    </w:p>
    <w:p w14:paraId="375EBAB6" w14:textId="77777777" w:rsidR="002872D1" w:rsidRPr="00263DB9" w:rsidRDefault="002872D1" w:rsidP="00E51817">
      <w:pPr>
        <w:widowControl w:val="0"/>
        <w:tabs>
          <w:tab w:val="left" w:pos="0"/>
        </w:tabs>
        <w:ind w:right="-1"/>
        <w:rPr>
          <w:i/>
          <w:szCs w:val="24"/>
        </w:rPr>
      </w:pPr>
    </w:p>
    <w:p w14:paraId="375EBAB7" w14:textId="77777777" w:rsidR="004653D3" w:rsidRPr="00263DB9" w:rsidRDefault="004653D3" w:rsidP="00E51817">
      <w:pPr>
        <w:widowControl w:val="0"/>
        <w:ind w:right="-1"/>
        <w:rPr>
          <w:color w:val="000000"/>
          <w:szCs w:val="22"/>
        </w:rPr>
      </w:pPr>
    </w:p>
    <w:p w14:paraId="375EBAB8" w14:textId="77777777" w:rsidR="00906898" w:rsidRPr="00263DB9" w:rsidRDefault="002872D1" w:rsidP="00831CCB">
      <w:pPr>
        <w:keepNext/>
        <w:widowControl w:val="0"/>
        <w:suppressAutoHyphens/>
        <w:ind w:left="567" w:right="14" w:hanging="567"/>
        <w:rPr>
          <w:b/>
        </w:rPr>
      </w:pPr>
      <w:r w:rsidRPr="00263DB9">
        <w:rPr>
          <w:b/>
          <w:iCs/>
          <w:noProof/>
          <w:color w:val="000000"/>
        </w:rPr>
        <w:t>D.</w:t>
      </w:r>
      <w:r w:rsidRPr="00263DB9">
        <w:rPr>
          <w:b/>
          <w:iCs/>
          <w:noProof/>
          <w:color w:val="000000"/>
        </w:rPr>
        <w:tab/>
      </w:r>
      <w:r w:rsidR="00906898" w:rsidRPr="00263DB9">
        <w:rPr>
          <w:b/>
          <w:szCs w:val="24"/>
        </w:rPr>
        <w:t>CONDIÇÕES OU RESTRIÇÕES RELATIVAS À UTILIZAÇÃO SEGURA E EFICAZ DO MEDICAMENTO</w:t>
      </w:r>
    </w:p>
    <w:p w14:paraId="375EBAB9" w14:textId="77777777" w:rsidR="00906898" w:rsidRPr="00263DB9" w:rsidRDefault="00906898" w:rsidP="00831CCB">
      <w:pPr>
        <w:keepNext/>
        <w:widowControl w:val="0"/>
        <w:suppressAutoHyphens/>
        <w:ind w:right="14"/>
        <w:rPr>
          <w:szCs w:val="24"/>
        </w:rPr>
      </w:pPr>
    </w:p>
    <w:p w14:paraId="375EBABA" w14:textId="77777777" w:rsidR="002872D1" w:rsidRPr="00263DB9" w:rsidRDefault="002872D1" w:rsidP="00831CCB">
      <w:pPr>
        <w:keepNext/>
        <w:widowControl w:val="0"/>
        <w:numPr>
          <w:ilvl w:val="0"/>
          <w:numId w:val="25"/>
        </w:numPr>
        <w:tabs>
          <w:tab w:val="left" w:pos="567"/>
        </w:tabs>
        <w:spacing w:line="260" w:lineRule="exact"/>
        <w:ind w:left="567" w:right="-1" w:hanging="567"/>
        <w:rPr>
          <w:b/>
          <w:szCs w:val="24"/>
        </w:rPr>
      </w:pPr>
      <w:r w:rsidRPr="00263DB9">
        <w:rPr>
          <w:b/>
          <w:szCs w:val="24"/>
        </w:rPr>
        <w:t>Plano de Gestão do Risco (PGR)</w:t>
      </w:r>
    </w:p>
    <w:p w14:paraId="375EBABB" w14:textId="77777777" w:rsidR="00831CCB" w:rsidRPr="00263DB9" w:rsidRDefault="00831CCB" w:rsidP="00831CCB">
      <w:pPr>
        <w:keepNext/>
        <w:widowControl w:val="0"/>
        <w:ind w:right="-1"/>
        <w:rPr>
          <w:szCs w:val="24"/>
        </w:rPr>
      </w:pPr>
    </w:p>
    <w:p w14:paraId="375EBABC" w14:textId="77777777" w:rsidR="002872D1" w:rsidRPr="00263DB9" w:rsidRDefault="002872D1" w:rsidP="00E51817">
      <w:pPr>
        <w:widowControl w:val="0"/>
        <w:ind w:right="-1"/>
        <w:rPr>
          <w:b/>
          <w:szCs w:val="24"/>
        </w:rPr>
      </w:pPr>
      <w:r w:rsidRPr="00263DB9">
        <w:rPr>
          <w:szCs w:val="24"/>
        </w:rPr>
        <w:t xml:space="preserve">O Titular da AIM deve efetuar as atividades e as intervenções de farmacovigilância requeridas e detalhadas no PGR apresentado no Módulo 1.8.2. da Autorização de Introdução no Mercado, e quaisquer atualizações subsequentes do PGR </w:t>
      </w:r>
      <w:r w:rsidR="008352B3" w:rsidRPr="00263DB9">
        <w:rPr>
          <w:szCs w:val="24"/>
        </w:rPr>
        <w:t xml:space="preserve">que sejam </w:t>
      </w:r>
      <w:r w:rsidRPr="00263DB9">
        <w:rPr>
          <w:szCs w:val="24"/>
        </w:rPr>
        <w:t>acordadas.</w:t>
      </w:r>
    </w:p>
    <w:p w14:paraId="375EBABD" w14:textId="77777777" w:rsidR="002872D1" w:rsidRPr="00263DB9" w:rsidRDefault="002872D1" w:rsidP="00E51817">
      <w:pPr>
        <w:widowControl w:val="0"/>
        <w:ind w:right="-1"/>
        <w:rPr>
          <w:szCs w:val="24"/>
        </w:rPr>
      </w:pPr>
    </w:p>
    <w:p w14:paraId="375EBABE" w14:textId="77777777" w:rsidR="002872D1" w:rsidRPr="00263DB9" w:rsidRDefault="002872D1" w:rsidP="00831CCB">
      <w:pPr>
        <w:keepNext/>
        <w:widowControl w:val="0"/>
        <w:ind w:right="-1"/>
        <w:rPr>
          <w:i/>
          <w:szCs w:val="24"/>
        </w:rPr>
      </w:pPr>
      <w:r w:rsidRPr="00263DB9">
        <w:rPr>
          <w:szCs w:val="24"/>
        </w:rPr>
        <w:t>Deve ser apresentado um PGR atualizado:</w:t>
      </w:r>
    </w:p>
    <w:p w14:paraId="375EBABF" w14:textId="77777777" w:rsidR="002872D1" w:rsidRPr="00263DB9" w:rsidRDefault="002872D1" w:rsidP="00E51817">
      <w:pPr>
        <w:widowControl w:val="0"/>
        <w:numPr>
          <w:ilvl w:val="0"/>
          <w:numId w:val="24"/>
        </w:numPr>
        <w:tabs>
          <w:tab w:val="clear" w:pos="720"/>
        </w:tabs>
        <w:spacing w:line="260" w:lineRule="exact"/>
        <w:ind w:left="0" w:right="-57" w:firstLine="0"/>
        <w:rPr>
          <w:i/>
          <w:szCs w:val="24"/>
        </w:rPr>
      </w:pPr>
      <w:r w:rsidRPr="00263DB9">
        <w:rPr>
          <w:szCs w:val="24"/>
        </w:rPr>
        <w:t>A pedido da Agência Europeia de Medicamentos</w:t>
      </w:r>
    </w:p>
    <w:p w14:paraId="375EBAC0" w14:textId="77777777" w:rsidR="002872D1" w:rsidRPr="00263DB9" w:rsidRDefault="002872D1" w:rsidP="00E51817">
      <w:pPr>
        <w:widowControl w:val="0"/>
        <w:numPr>
          <w:ilvl w:val="0"/>
          <w:numId w:val="24"/>
        </w:numPr>
        <w:tabs>
          <w:tab w:val="clear" w:pos="720"/>
        </w:tabs>
        <w:spacing w:line="260" w:lineRule="exact"/>
        <w:ind w:left="567" w:right="-57" w:hanging="567"/>
        <w:rPr>
          <w:szCs w:val="24"/>
        </w:rPr>
      </w:pPr>
      <w:r w:rsidRPr="00263DB9">
        <w:rPr>
          <w:szCs w:val="24"/>
        </w:rPr>
        <w:t>Sempre que o sistema de gestão do risco for modificado, especialmente como resultado da receção de nova informação que possa levar a alterações significativas no perfil benefício-risco ou como resultado de ter sido atingido um objetivo importante (farmacovigilância ou minimização do risco).</w:t>
      </w:r>
    </w:p>
    <w:p w14:paraId="375EBAC1" w14:textId="77777777" w:rsidR="002872D1" w:rsidRPr="00263DB9" w:rsidRDefault="002872D1" w:rsidP="00E51817">
      <w:pPr>
        <w:widowControl w:val="0"/>
        <w:spacing w:line="260" w:lineRule="exact"/>
        <w:ind w:right="-57"/>
        <w:rPr>
          <w:szCs w:val="24"/>
        </w:rPr>
      </w:pPr>
    </w:p>
    <w:p w14:paraId="375EBAC2" w14:textId="77777777" w:rsidR="0032275B" w:rsidRPr="00263DB9" w:rsidRDefault="0032275B" w:rsidP="00831CCB">
      <w:pPr>
        <w:keepNext/>
        <w:widowControl w:val="0"/>
        <w:numPr>
          <w:ilvl w:val="0"/>
          <w:numId w:val="25"/>
        </w:numPr>
        <w:suppressAutoHyphens/>
        <w:ind w:left="567" w:right="14" w:hanging="567"/>
        <w:rPr>
          <w:szCs w:val="24"/>
        </w:rPr>
      </w:pPr>
      <w:r w:rsidRPr="00263DB9">
        <w:rPr>
          <w:b/>
          <w:szCs w:val="24"/>
        </w:rPr>
        <w:lastRenderedPageBreak/>
        <w:t>Obrigação de concretizar as medidas de pós-autorização</w:t>
      </w:r>
    </w:p>
    <w:p w14:paraId="375EBAC3" w14:textId="77777777" w:rsidR="0032275B" w:rsidRPr="00263DB9" w:rsidRDefault="0032275B" w:rsidP="00831CCB">
      <w:pPr>
        <w:keepNext/>
        <w:widowControl w:val="0"/>
        <w:suppressAutoHyphens/>
        <w:ind w:right="14"/>
        <w:rPr>
          <w:szCs w:val="24"/>
        </w:rPr>
      </w:pPr>
    </w:p>
    <w:p w14:paraId="375EBAC4" w14:textId="77777777" w:rsidR="0032275B" w:rsidRPr="00263DB9" w:rsidRDefault="0032275B" w:rsidP="00831CCB">
      <w:pPr>
        <w:keepNext/>
        <w:keepLines/>
        <w:widowControl w:val="0"/>
        <w:suppressAutoHyphens/>
        <w:ind w:right="11"/>
        <w:rPr>
          <w:szCs w:val="24"/>
        </w:rPr>
      </w:pPr>
      <w:r w:rsidRPr="00263DB9">
        <w:rPr>
          <w:szCs w:val="24"/>
        </w:rPr>
        <w:t>O Titular da Autorização de Introdução no Mercado deverá completar, dentro dos prazos indicados, as seguintes medidas:</w:t>
      </w:r>
    </w:p>
    <w:tbl>
      <w:tblPr>
        <w:tblpPr w:leftFromText="180" w:rightFromText="180" w:vertAnchor="text" w:horzAnchor="margin" w:tblpY="329"/>
        <w:tblW w:w="48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8"/>
        <w:gridCol w:w="1434"/>
      </w:tblGrid>
      <w:tr w:rsidR="00073090" w:rsidRPr="00263DB9" w14:paraId="375EBAC7" w14:textId="77777777" w:rsidTr="00831CCB">
        <w:trPr>
          <w:cantSplit/>
          <w:trHeight w:val="291"/>
        </w:trPr>
        <w:tc>
          <w:tcPr>
            <w:tcW w:w="4187" w:type="pct"/>
          </w:tcPr>
          <w:p w14:paraId="375EBAC5" w14:textId="77777777" w:rsidR="00073090" w:rsidRPr="00263DB9" w:rsidRDefault="00073090" w:rsidP="00831CCB">
            <w:pPr>
              <w:pStyle w:val="TabletextrowsAgency"/>
              <w:keepNext/>
              <w:widowControl w:val="0"/>
              <w:rPr>
                <w:rFonts w:ascii="Times New Roman" w:hAnsi="Times New Roman" w:cs="Times New Roman"/>
                <w:sz w:val="22"/>
                <w:szCs w:val="22"/>
              </w:rPr>
            </w:pPr>
            <w:r w:rsidRPr="00263DB9">
              <w:rPr>
                <w:rFonts w:ascii="Times New Roman" w:hAnsi="Times New Roman" w:cs="Times New Roman"/>
                <w:b/>
                <w:sz w:val="22"/>
                <w:szCs w:val="22"/>
              </w:rPr>
              <w:t>Descrição</w:t>
            </w:r>
          </w:p>
        </w:tc>
        <w:tc>
          <w:tcPr>
            <w:tcW w:w="813" w:type="pct"/>
          </w:tcPr>
          <w:p w14:paraId="375EBAC6" w14:textId="77777777" w:rsidR="00073090" w:rsidRPr="00263DB9" w:rsidRDefault="00073090" w:rsidP="00831CCB">
            <w:pPr>
              <w:keepNext/>
              <w:widowControl w:val="0"/>
              <w:ind w:right="-1"/>
              <w:rPr>
                <w:b/>
                <w:szCs w:val="22"/>
              </w:rPr>
            </w:pPr>
            <w:r w:rsidRPr="00263DB9">
              <w:rPr>
                <w:b/>
                <w:szCs w:val="22"/>
              </w:rPr>
              <w:t>Data limite</w:t>
            </w:r>
          </w:p>
        </w:tc>
      </w:tr>
      <w:tr w:rsidR="00073090" w:rsidRPr="00263DB9" w14:paraId="375EBACA" w14:textId="77777777" w:rsidTr="00831CCB">
        <w:trPr>
          <w:cantSplit/>
          <w:trHeight w:val="291"/>
        </w:trPr>
        <w:tc>
          <w:tcPr>
            <w:tcW w:w="4187" w:type="pct"/>
          </w:tcPr>
          <w:p w14:paraId="375EBAC8" w14:textId="77777777" w:rsidR="00073090" w:rsidRPr="00263DB9" w:rsidRDefault="000A2CD4" w:rsidP="00831CCB">
            <w:pPr>
              <w:pStyle w:val="TabletextrowsAgency"/>
              <w:keepNext/>
              <w:widowControl w:val="0"/>
              <w:rPr>
                <w:rFonts w:ascii="Times New Roman" w:hAnsi="Times New Roman" w:cs="Times New Roman"/>
                <w:sz w:val="22"/>
                <w:szCs w:val="22"/>
              </w:rPr>
            </w:pPr>
            <w:r w:rsidRPr="00263DB9">
              <w:rPr>
                <w:rFonts w:ascii="Times New Roman" w:hAnsi="Times New Roman" w:cs="Times New Roman"/>
                <w:sz w:val="22"/>
                <w:szCs w:val="22"/>
                <w:lang w:val="pt-PT"/>
              </w:rPr>
              <w:t xml:space="preserve">Desenvolver um estudo </w:t>
            </w:r>
            <w:r w:rsidR="00073090" w:rsidRPr="00263DB9">
              <w:rPr>
                <w:rFonts w:ascii="Times New Roman" w:hAnsi="Times New Roman" w:cs="Times New Roman"/>
                <w:sz w:val="22"/>
                <w:szCs w:val="22"/>
                <w:lang w:val="pt-PT"/>
              </w:rPr>
              <w:t xml:space="preserve">observacional </w:t>
            </w:r>
            <w:r w:rsidRPr="00263DB9">
              <w:rPr>
                <w:rFonts w:ascii="Times New Roman" w:hAnsi="Times New Roman" w:cs="Times New Roman"/>
                <w:sz w:val="22"/>
                <w:szCs w:val="22"/>
                <w:lang w:val="pt-PT"/>
              </w:rPr>
              <w:t xml:space="preserve">de registo </w:t>
            </w:r>
            <w:r w:rsidR="00073090" w:rsidRPr="00263DB9">
              <w:rPr>
                <w:rFonts w:ascii="Times New Roman" w:hAnsi="Times New Roman" w:cs="Times New Roman"/>
                <w:sz w:val="22"/>
                <w:szCs w:val="22"/>
                <w:lang w:val="pt-PT"/>
              </w:rPr>
              <w:t>para recolha de dados de eficácia e segurança em doentes pediátricos recém diagnosticados com Leucemia Linfoblástica Aguda Ph+ (LLA) tratados com quimioterapia+imatinib</w:t>
            </w:r>
            <w:r w:rsidR="00D20B05" w:rsidRPr="00263DB9">
              <w:rPr>
                <w:lang w:val="es-ES_tradnl"/>
              </w:rPr>
              <w:t>±</w:t>
            </w:r>
            <w:r w:rsidR="00073090" w:rsidRPr="00263DB9">
              <w:rPr>
                <w:rFonts w:ascii="Times New Roman" w:hAnsi="Times New Roman" w:cs="Times New Roman"/>
                <w:sz w:val="22"/>
                <w:szCs w:val="22"/>
                <w:lang w:val="pt-PT"/>
              </w:rPr>
              <w:t>HSCT. Submissão de relatório final do estudo.</w:t>
            </w:r>
          </w:p>
        </w:tc>
        <w:tc>
          <w:tcPr>
            <w:tcW w:w="813" w:type="pct"/>
          </w:tcPr>
          <w:p w14:paraId="375EBAC9" w14:textId="5904AD49" w:rsidR="00073090" w:rsidRPr="00263DB9" w:rsidRDefault="009E7CE2" w:rsidP="009E7CE2">
            <w:pPr>
              <w:pStyle w:val="TabletextrowsAgency"/>
              <w:keepNext/>
              <w:widowControl w:val="0"/>
              <w:rPr>
                <w:rFonts w:ascii="Times New Roman" w:hAnsi="Times New Roman" w:cs="Times New Roman"/>
                <w:sz w:val="22"/>
                <w:szCs w:val="22"/>
              </w:rPr>
            </w:pPr>
            <w:r>
              <w:rPr>
                <w:rFonts w:ascii="Times New Roman" w:hAnsi="Times New Roman" w:cs="Times New Roman"/>
                <w:sz w:val="22"/>
                <w:szCs w:val="22"/>
                <w:lang w:val="pt-PT"/>
              </w:rPr>
              <w:t>2</w:t>
            </w:r>
            <w:r w:rsidR="00057EDC" w:rsidRPr="00263DB9">
              <w:rPr>
                <w:rFonts w:ascii="Times New Roman" w:hAnsi="Times New Roman" w:cs="Times New Roman"/>
                <w:sz w:val="22"/>
                <w:szCs w:val="22"/>
                <w:lang w:val="pt-PT"/>
              </w:rPr>
              <w:t>3/06/202</w:t>
            </w:r>
            <w:r w:rsidR="00F2521F">
              <w:rPr>
                <w:rFonts w:ascii="Times New Roman" w:hAnsi="Times New Roman" w:cs="Times New Roman"/>
                <w:sz w:val="22"/>
                <w:szCs w:val="22"/>
                <w:lang w:val="pt-PT"/>
              </w:rPr>
              <w:t>3</w:t>
            </w:r>
          </w:p>
        </w:tc>
      </w:tr>
    </w:tbl>
    <w:p w14:paraId="375EBACB" w14:textId="77777777" w:rsidR="00906898" w:rsidRPr="00263DB9" w:rsidRDefault="00906898" w:rsidP="00831CCB">
      <w:pPr>
        <w:keepNext/>
        <w:widowControl w:val="0"/>
        <w:suppressAutoHyphens/>
        <w:ind w:right="14"/>
        <w:rPr>
          <w:color w:val="000000"/>
          <w:szCs w:val="22"/>
        </w:rPr>
      </w:pPr>
    </w:p>
    <w:p w14:paraId="375EBACC" w14:textId="77777777" w:rsidR="00906898" w:rsidRPr="00263DB9" w:rsidRDefault="001104DD" w:rsidP="00E51817">
      <w:pPr>
        <w:widowControl w:val="0"/>
        <w:suppressAutoHyphens/>
        <w:ind w:right="14"/>
        <w:rPr>
          <w:color w:val="000000"/>
          <w:szCs w:val="22"/>
        </w:rPr>
      </w:pPr>
      <w:r w:rsidRPr="00263DB9">
        <w:rPr>
          <w:color w:val="000000"/>
          <w:szCs w:val="22"/>
        </w:rPr>
        <w:br w:type="page"/>
      </w:r>
    </w:p>
    <w:p w14:paraId="375EBACD" w14:textId="77777777" w:rsidR="001104DD" w:rsidRPr="00263DB9" w:rsidRDefault="001104DD" w:rsidP="00E51817">
      <w:pPr>
        <w:widowControl w:val="0"/>
        <w:suppressAutoHyphens/>
        <w:ind w:right="14"/>
        <w:rPr>
          <w:color w:val="000000"/>
          <w:szCs w:val="22"/>
        </w:rPr>
      </w:pPr>
    </w:p>
    <w:p w14:paraId="375EBACE" w14:textId="77777777" w:rsidR="001104DD" w:rsidRPr="00263DB9" w:rsidRDefault="001104DD" w:rsidP="00E51817">
      <w:pPr>
        <w:widowControl w:val="0"/>
        <w:suppressAutoHyphens/>
        <w:ind w:right="14"/>
        <w:rPr>
          <w:color w:val="000000"/>
          <w:szCs w:val="22"/>
        </w:rPr>
      </w:pPr>
    </w:p>
    <w:p w14:paraId="375EBACF" w14:textId="77777777" w:rsidR="00906898" w:rsidRPr="00263DB9" w:rsidRDefault="00906898" w:rsidP="00E51817">
      <w:pPr>
        <w:widowControl w:val="0"/>
        <w:suppressAutoHyphens/>
        <w:ind w:right="14"/>
        <w:rPr>
          <w:color w:val="000000"/>
          <w:szCs w:val="22"/>
        </w:rPr>
      </w:pPr>
    </w:p>
    <w:p w14:paraId="375EBAD0" w14:textId="77777777" w:rsidR="00906898" w:rsidRPr="00263DB9" w:rsidRDefault="00906898" w:rsidP="00E51817">
      <w:pPr>
        <w:widowControl w:val="0"/>
        <w:suppressAutoHyphens/>
        <w:ind w:right="14"/>
        <w:rPr>
          <w:color w:val="000000"/>
          <w:szCs w:val="22"/>
        </w:rPr>
      </w:pPr>
    </w:p>
    <w:p w14:paraId="375EBAD1" w14:textId="77777777" w:rsidR="00906898" w:rsidRPr="00263DB9" w:rsidRDefault="00906898" w:rsidP="00E51817">
      <w:pPr>
        <w:widowControl w:val="0"/>
        <w:suppressAutoHyphens/>
        <w:ind w:right="14"/>
        <w:rPr>
          <w:color w:val="000000"/>
          <w:szCs w:val="22"/>
        </w:rPr>
      </w:pPr>
    </w:p>
    <w:p w14:paraId="375EBAD2" w14:textId="77777777" w:rsidR="00906898" w:rsidRPr="00263DB9" w:rsidRDefault="00906898" w:rsidP="00E51817">
      <w:pPr>
        <w:widowControl w:val="0"/>
        <w:suppressAutoHyphens/>
        <w:ind w:right="14"/>
        <w:rPr>
          <w:color w:val="000000"/>
          <w:szCs w:val="22"/>
        </w:rPr>
      </w:pPr>
    </w:p>
    <w:p w14:paraId="375EBAD3" w14:textId="77777777" w:rsidR="00906898" w:rsidRPr="00263DB9" w:rsidRDefault="00906898" w:rsidP="00E51817">
      <w:pPr>
        <w:widowControl w:val="0"/>
        <w:suppressAutoHyphens/>
        <w:ind w:right="14"/>
        <w:rPr>
          <w:color w:val="000000"/>
          <w:szCs w:val="22"/>
        </w:rPr>
      </w:pPr>
    </w:p>
    <w:p w14:paraId="375EBAD4" w14:textId="77777777" w:rsidR="00906898" w:rsidRPr="00263DB9" w:rsidRDefault="00906898" w:rsidP="00E51817">
      <w:pPr>
        <w:widowControl w:val="0"/>
        <w:suppressAutoHyphens/>
        <w:ind w:right="14"/>
        <w:rPr>
          <w:color w:val="000000"/>
          <w:szCs w:val="22"/>
        </w:rPr>
      </w:pPr>
    </w:p>
    <w:p w14:paraId="375EBAD5" w14:textId="77777777" w:rsidR="00906898" w:rsidRPr="00263DB9" w:rsidRDefault="00906898" w:rsidP="00E51817">
      <w:pPr>
        <w:widowControl w:val="0"/>
        <w:suppressAutoHyphens/>
        <w:ind w:right="14"/>
        <w:rPr>
          <w:color w:val="000000"/>
          <w:szCs w:val="22"/>
        </w:rPr>
      </w:pPr>
    </w:p>
    <w:p w14:paraId="375EBAD6" w14:textId="77777777" w:rsidR="00906898" w:rsidRPr="00263DB9" w:rsidRDefault="00906898" w:rsidP="00E51817">
      <w:pPr>
        <w:widowControl w:val="0"/>
        <w:suppressAutoHyphens/>
        <w:ind w:right="14"/>
        <w:rPr>
          <w:color w:val="000000"/>
          <w:szCs w:val="22"/>
        </w:rPr>
      </w:pPr>
    </w:p>
    <w:p w14:paraId="375EBAD7" w14:textId="77777777" w:rsidR="00906898" w:rsidRPr="00263DB9" w:rsidRDefault="00906898" w:rsidP="00E51817">
      <w:pPr>
        <w:widowControl w:val="0"/>
        <w:suppressAutoHyphens/>
        <w:ind w:right="14"/>
        <w:rPr>
          <w:color w:val="000000"/>
          <w:szCs w:val="22"/>
        </w:rPr>
      </w:pPr>
    </w:p>
    <w:p w14:paraId="375EBAD8" w14:textId="77777777" w:rsidR="00906898" w:rsidRPr="00263DB9" w:rsidRDefault="00906898" w:rsidP="00E51817">
      <w:pPr>
        <w:widowControl w:val="0"/>
        <w:suppressAutoHyphens/>
        <w:ind w:right="14"/>
        <w:rPr>
          <w:color w:val="000000"/>
          <w:szCs w:val="22"/>
        </w:rPr>
      </w:pPr>
    </w:p>
    <w:p w14:paraId="375EBAD9" w14:textId="77777777" w:rsidR="00906898" w:rsidRPr="00263DB9" w:rsidRDefault="00906898" w:rsidP="00E51817">
      <w:pPr>
        <w:widowControl w:val="0"/>
        <w:suppressAutoHyphens/>
        <w:ind w:right="14"/>
        <w:rPr>
          <w:color w:val="000000"/>
          <w:szCs w:val="22"/>
        </w:rPr>
      </w:pPr>
    </w:p>
    <w:p w14:paraId="375EBADA" w14:textId="77777777" w:rsidR="00906898" w:rsidRPr="00263DB9" w:rsidRDefault="00906898" w:rsidP="00E51817">
      <w:pPr>
        <w:widowControl w:val="0"/>
        <w:suppressAutoHyphens/>
        <w:ind w:right="14"/>
        <w:rPr>
          <w:color w:val="000000"/>
          <w:szCs w:val="22"/>
        </w:rPr>
      </w:pPr>
    </w:p>
    <w:p w14:paraId="375EBADB" w14:textId="77777777" w:rsidR="00906898" w:rsidRPr="00263DB9" w:rsidRDefault="00906898" w:rsidP="00E51817">
      <w:pPr>
        <w:widowControl w:val="0"/>
        <w:suppressAutoHyphens/>
        <w:ind w:right="14"/>
        <w:rPr>
          <w:color w:val="000000"/>
          <w:szCs w:val="22"/>
        </w:rPr>
      </w:pPr>
    </w:p>
    <w:p w14:paraId="375EBADC" w14:textId="77777777" w:rsidR="00906898" w:rsidRPr="00263DB9" w:rsidRDefault="00906898" w:rsidP="00E51817">
      <w:pPr>
        <w:widowControl w:val="0"/>
        <w:suppressAutoHyphens/>
        <w:ind w:right="14"/>
        <w:rPr>
          <w:color w:val="000000"/>
          <w:szCs w:val="22"/>
        </w:rPr>
      </w:pPr>
    </w:p>
    <w:p w14:paraId="375EBADD" w14:textId="77777777" w:rsidR="00906898" w:rsidRPr="00263DB9" w:rsidRDefault="00906898" w:rsidP="00E51817">
      <w:pPr>
        <w:widowControl w:val="0"/>
        <w:suppressAutoHyphens/>
        <w:ind w:right="14"/>
        <w:rPr>
          <w:color w:val="000000"/>
          <w:szCs w:val="22"/>
        </w:rPr>
      </w:pPr>
    </w:p>
    <w:p w14:paraId="375EBADE" w14:textId="77777777" w:rsidR="00906898" w:rsidRPr="00263DB9" w:rsidRDefault="00906898" w:rsidP="00E51817">
      <w:pPr>
        <w:widowControl w:val="0"/>
        <w:suppressAutoHyphens/>
        <w:ind w:right="14"/>
        <w:rPr>
          <w:color w:val="000000"/>
          <w:szCs w:val="22"/>
        </w:rPr>
      </w:pPr>
    </w:p>
    <w:p w14:paraId="375EBADF" w14:textId="77777777" w:rsidR="00831CCB" w:rsidRPr="00263DB9" w:rsidRDefault="00831CCB" w:rsidP="00E51817">
      <w:pPr>
        <w:widowControl w:val="0"/>
        <w:suppressAutoHyphens/>
        <w:ind w:right="14"/>
        <w:rPr>
          <w:color w:val="000000"/>
          <w:szCs w:val="22"/>
        </w:rPr>
      </w:pPr>
    </w:p>
    <w:p w14:paraId="375EBAE0" w14:textId="77777777" w:rsidR="00906898" w:rsidRPr="00263DB9" w:rsidRDefault="00906898" w:rsidP="00E51817">
      <w:pPr>
        <w:widowControl w:val="0"/>
        <w:suppressAutoHyphens/>
        <w:ind w:right="14"/>
        <w:rPr>
          <w:color w:val="000000"/>
          <w:szCs w:val="22"/>
        </w:rPr>
      </w:pPr>
    </w:p>
    <w:p w14:paraId="375EBAE1" w14:textId="77777777" w:rsidR="00906898" w:rsidRPr="00263DB9" w:rsidRDefault="00906898" w:rsidP="00E51817">
      <w:pPr>
        <w:widowControl w:val="0"/>
        <w:suppressAutoHyphens/>
        <w:ind w:right="14"/>
        <w:rPr>
          <w:color w:val="000000"/>
          <w:szCs w:val="22"/>
        </w:rPr>
      </w:pPr>
    </w:p>
    <w:p w14:paraId="375EBAE2" w14:textId="77777777" w:rsidR="00906898" w:rsidRPr="00263DB9" w:rsidRDefault="00906898" w:rsidP="00E51817">
      <w:pPr>
        <w:widowControl w:val="0"/>
        <w:suppressAutoHyphens/>
        <w:ind w:right="14"/>
        <w:rPr>
          <w:color w:val="000000"/>
          <w:szCs w:val="22"/>
        </w:rPr>
      </w:pPr>
    </w:p>
    <w:p w14:paraId="375EBAE3" w14:textId="77777777" w:rsidR="00906898" w:rsidRPr="00263DB9" w:rsidRDefault="00906898" w:rsidP="00E51817">
      <w:pPr>
        <w:widowControl w:val="0"/>
        <w:suppressAutoHyphens/>
        <w:ind w:right="14"/>
        <w:rPr>
          <w:color w:val="000000"/>
          <w:szCs w:val="22"/>
        </w:rPr>
      </w:pPr>
    </w:p>
    <w:p w14:paraId="375EBAE4" w14:textId="77777777" w:rsidR="00906898" w:rsidRPr="00263DB9" w:rsidRDefault="00906898" w:rsidP="00E51817">
      <w:pPr>
        <w:widowControl w:val="0"/>
        <w:suppressAutoHyphens/>
        <w:ind w:right="14"/>
        <w:jc w:val="center"/>
        <w:rPr>
          <w:b/>
          <w:color w:val="000000"/>
          <w:szCs w:val="22"/>
        </w:rPr>
      </w:pPr>
      <w:r w:rsidRPr="00263DB9">
        <w:rPr>
          <w:b/>
          <w:color w:val="000000"/>
          <w:szCs w:val="22"/>
        </w:rPr>
        <w:t>ANEXO III</w:t>
      </w:r>
    </w:p>
    <w:p w14:paraId="375EBAE5" w14:textId="77777777" w:rsidR="00906898" w:rsidRPr="00263DB9" w:rsidRDefault="00906898" w:rsidP="00E51817">
      <w:pPr>
        <w:widowControl w:val="0"/>
        <w:suppressAutoHyphens/>
        <w:ind w:right="14"/>
        <w:jc w:val="center"/>
        <w:rPr>
          <w:color w:val="000000"/>
          <w:szCs w:val="22"/>
        </w:rPr>
      </w:pPr>
    </w:p>
    <w:p w14:paraId="375EBAE6" w14:textId="77777777" w:rsidR="00906898" w:rsidRPr="00263DB9" w:rsidRDefault="00906898" w:rsidP="00E51817">
      <w:pPr>
        <w:widowControl w:val="0"/>
        <w:suppressAutoHyphens/>
        <w:ind w:right="14"/>
        <w:jc w:val="center"/>
        <w:rPr>
          <w:b/>
          <w:color w:val="000000"/>
          <w:szCs w:val="22"/>
        </w:rPr>
      </w:pPr>
      <w:r w:rsidRPr="00263DB9">
        <w:rPr>
          <w:b/>
          <w:color w:val="000000"/>
          <w:szCs w:val="22"/>
        </w:rPr>
        <w:t>ROTULAGEM E FOLHETO INFORMATIVO</w:t>
      </w:r>
    </w:p>
    <w:p w14:paraId="375EBAE7" w14:textId="77777777" w:rsidR="00906898" w:rsidRPr="00263DB9" w:rsidRDefault="00906898" w:rsidP="00E51817">
      <w:pPr>
        <w:widowControl w:val="0"/>
        <w:suppressAutoHyphens/>
        <w:ind w:right="14"/>
        <w:jc w:val="center"/>
        <w:rPr>
          <w:color w:val="000000"/>
          <w:szCs w:val="22"/>
        </w:rPr>
      </w:pPr>
    </w:p>
    <w:p w14:paraId="375EBAE8" w14:textId="77777777" w:rsidR="00906898" w:rsidRPr="00263DB9" w:rsidRDefault="00906898" w:rsidP="00E51817">
      <w:pPr>
        <w:widowControl w:val="0"/>
        <w:suppressAutoHyphens/>
        <w:ind w:right="14"/>
        <w:rPr>
          <w:color w:val="000000"/>
          <w:szCs w:val="22"/>
        </w:rPr>
      </w:pPr>
      <w:r w:rsidRPr="00263DB9">
        <w:rPr>
          <w:b/>
          <w:color w:val="000000"/>
          <w:szCs w:val="22"/>
        </w:rPr>
        <w:br w:type="page"/>
      </w:r>
    </w:p>
    <w:p w14:paraId="375EBAE9" w14:textId="77777777" w:rsidR="00906898" w:rsidRPr="00263DB9" w:rsidRDefault="00906898" w:rsidP="00E51817">
      <w:pPr>
        <w:widowControl w:val="0"/>
        <w:suppressAutoHyphens/>
        <w:ind w:right="14"/>
        <w:rPr>
          <w:color w:val="000000"/>
          <w:szCs w:val="22"/>
        </w:rPr>
      </w:pPr>
    </w:p>
    <w:p w14:paraId="375EBAEA" w14:textId="77777777" w:rsidR="00906898" w:rsidRPr="00263DB9" w:rsidRDefault="00906898" w:rsidP="00E51817">
      <w:pPr>
        <w:widowControl w:val="0"/>
        <w:suppressAutoHyphens/>
        <w:ind w:right="14"/>
        <w:rPr>
          <w:color w:val="000000"/>
          <w:szCs w:val="22"/>
        </w:rPr>
      </w:pPr>
    </w:p>
    <w:p w14:paraId="375EBAEB" w14:textId="77777777" w:rsidR="00906898" w:rsidRPr="00263DB9" w:rsidRDefault="00906898" w:rsidP="00E51817">
      <w:pPr>
        <w:widowControl w:val="0"/>
        <w:suppressAutoHyphens/>
        <w:ind w:right="14"/>
        <w:rPr>
          <w:color w:val="000000"/>
          <w:szCs w:val="22"/>
        </w:rPr>
      </w:pPr>
    </w:p>
    <w:p w14:paraId="375EBAEC" w14:textId="77777777" w:rsidR="00906898" w:rsidRPr="00263DB9" w:rsidRDefault="00906898" w:rsidP="00E51817">
      <w:pPr>
        <w:widowControl w:val="0"/>
        <w:suppressAutoHyphens/>
        <w:ind w:right="14"/>
        <w:rPr>
          <w:color w:val="000000"/>
          <w:szCs w:val="22"/>
        </w:rPr>
      </w:pPr>
    </w:p>
    <w:p w14:paraId="375EBAED" w14:textId="77777777" w:rsidR="00906898" w:rsidRPr="00263DB9" w:rsidRDefault="00906898" w:rsidP="00E51817">
      <w:pPr>
        <w:widowControl w:val="0"/>
        <w:suppressAutoHyphens/>
        <w:ind w:right="14"/>
        <w:rPr>
          <w:color w:val="000000"/>
          <w:szCs w:val="22"/>
        </w:rPr>
      </w:pPr>
    </w:p>
    <w:p w14:paraId="375EBAEE" w14:textId="77777777" w:rsidR="00906898" w:rsidRPr="00263DB9" w:rsidRDefault="00906898" w:rsidP="00E51817">
      <w:pPr>
        <w:widowControl w:val="0"/>
        <w:suppressAutoHyphens/>
        <w:ind w:right="14"/>
        <w:rPr>
          <w:color w:val="000000"/>
          <w:szCs w:val="22"/>
        </w:rPr>
      </w:pPr>
    </w:p>
    <w:p w14:paraId="375EBAEF" w14:textId="77777777" w:rsidR="00906898" w:rsidRPr="00263DB9" w:rsidRDefault="00906898" w:rsidP="00E51817">
      <w:pPr>
        <w:widowControl w:val="0"/>
        <w:suppressAutoHyphens/>
        <w:ind w:right="14"/>
        <w:rPr>
          <w:color w:val="000000"/>
          <w:szCs w:val="22"/>
        </w:rPr>
      </w:pPr>
    </w:p>
    <w:p w14:paraId="375EBAF0" w14:textId="77777777" w:rsidR="00906898" w:rsidRPr="00263DB9" w:rsidRDefault="00906898" w:rsidP="00E51817">
      <w:pPr>
        <w:widowControl w:val="0"/>
        <w:suppressAutoHyphens/>
        <w:ind w:right="14"/>
        <w:rPr>
          <w:color w:val="000000"/>
          <w:szCs w:val="22"/>
        </w:rPr>
      </w:pPr>
    </w:p>
    <w:p w14:paraId="375EBAF1" w14:textId="77777777" w:rsidR="00906898" w:rsidRPr="00263DB9" w:rsidRDefault="00906898" w:rsidP="00E51817">
      <w:pPr>
        <w:widowControl w:val="0"/>
        <w:suppressAutoHyphens/>
        <w:ind w:right="14"/>
        <w:rPr>
          <w:color w:val="000000"/>
          <w:szCs w:val="22"/>
        </w:rPr>
      </w:pPr>
    </w:p>
    <w:p w14:paraId="375EBAF2" w14:textId="77777777" w:rsidR="00906898" w:rsidRPr="00263DB9" w:rsidRDefault="00906898" w:rsidP="00E51817">
      <w:pPr>
        <w:widowControl w:val="0"/>
        <w:suppressAutoHyphens/>
        <w:ind w:right="14"/>
        <w:rPr>
          <w:color w:val="000000"/>
          <w:szCs w:val="22"/>
        </w:rPr>
      </w:pPr>
    </w:p>
    <w:p w14:paraId="375EBAF3" w14:textId="77777777" w:rsidR="00906898" w:rsidRPr="00263DB9" w:rsidRDefault="00906898" w:rsidP="00E51817">
      <w:pPr>
        <w:widowControl w:val="0"/>
        <w:suppressAutoHyphens/>
        <w:ind w:right="14"/>
        <w:rPr>
          <w:color w:val="000000"/>
          <w:szCs w:val="22"/>
        </w:rPr>
      </w:pPr>
    </w:p>
    <w:p w14:paraId="375EBAF4" w14:textId="77777777" w:rsidR="00906898" w:rsidRPr="00263DB9" w:rsidRDefault="00906898" w:rsidP="00E51817">
      <w:pPr>
        <w:widowControl w:val="0"/>
        <w:suppressAutoHyphens/>
        <w:ind w:right="14"/>
        <w:rPr>
          <w:color w:val="000000"/>
          <w:szCs w:val="22"/>
        </w:rPr>
      </w:pPr>
    </w:p>
    <w:p w14:paraId="375EBAF5" w14:textId="77777777" w:rsidR="00906898" w:rsidRPr="00263DB9" w:rsidRDefault="00906898" w:rsidP="00E51817">
      <w:pPr>
        <w:widowControl w:val="0"/>
        <w:suppressAutoHyphens/>
        <w:ind w:right="14"/>
        <w:rPr>
          <w:color w:val="000000"/>
          <w:szCs w:val="22"/>
        </w:rPr>
      </w:pPr>
    </w:p>
    <w:p w14:paraId="375EBAF6" w14:textId="77777777" w:rsidR="00906898" w:rsidRPr="00263DB9" w:rsidRDefault="00906898" w:rsidP="00E51817">
      <w:pPr>
        <w:widowControl w:val="0"/>
        <w:suppressAutoHyphens/>
        <w:ind w:right="14"/>
        <w:rPr>
          <w:color w:val="000000"/>
          <w:szCs w:val="22"/>
        </w:rPr>
      </w:pPr>
    </w:p>
    <w:p w14:paraId="375EBAF7" w14:textId="77777777" w:rsidR="00906898" w:rsidRPr="00263DB9" w:rsidRDefault="00906898" w:rsidP="00E51817">
      <w:pPr>
        <w:widowControl w:val="0"/>
        <w:suppressAutoHyphens/>
        <w:ind w:right="14"/>
        <w:rPr>
          <w:color w:val="000000"/>
          <w:szCs w:val="22"/>
        </w:rPr>
      </w:pPr>
    </w:p>
    <w:p w14:paraId="375EBAF8" w14:textId="77777777" w:rsidR="00906898" w:rsidRPr="00263DB9" w:rsidRDefault="00906898" w:rsidP="00E51817">
      <w:pPr>
        <w:widowControl w:val="0"/>
        <w:suppressAutoHyphens/>
        <w:ind w:right="14"/>
        <w:rPr>
          <w:color w:val="000000"/>
          <w:szCs w:val="22"/>
        </w:rPr>
      </w:pPr>
    </w:p>
    <w:p w14:paraId="375EBAF9" w14:textId="77777777" w:rsidR="00906898" w:rsidRPr="00263DB9" w:rsidRDefault="00906898" w:rsidP="00E51817">
      <w:pPr>
        <w:widowControl w:val="0"/>
        <w:suppressAutoHyphens/>
        <w:ind w:right="14"/>
        <w:rPr>
          <w:color w:val="000000"/>
          <w:szCs w:val="22"/>
        </w:rPr>
      </w:pPr>
    </w:p>
    <w:p w14:paraId="375EBAFA" w14:textId="77777777" w:rsidR="00906898" w:rsidRPr="00263DB9" w:rsidRDefault="00906898" w:rsidP="00E51817">
      <w:pPr>
        <w:widowControl w:val="0"/>
        <w:suppressAutoHyphens/>
        <w:ind w:right="14"/>
        <w:rPr>
          <w:color w:val="000000"/>
          <w:szCs w:val="22"/>
        </w:rPr>
      </w:pPr>
    </w:p>
    <w:p w14:paraId="375EBAFB" w14:textId="77777777" w:rsidR="00906898" w:rsidRPr="00263DB9" w:rsidRDefault="00906898" w:rsidP="00E51817">
      <w:pPr>
        <w:widowControl w:val="0"/>
        <w:suppressAutoHyphens/>
        <w:ind w:right="14"/>
        <w:rPr>
          <w:color w:val="000000"/>
          <w:szCs w:val="22"/>
        </w:rPr>
      </w:pPr>
    </w:p>
    <w:p w14:paraId="375EBAFC" w14:textId="77777777" w:rsidR="00831CCB" w:rsidRPr="00263DB9" w:rsidRDefault="00831CCB" w:rsidP="00E51817">
      <w:pPr>
        <w:widowControl w:val="0"/>
        <w:suppressAutoHyphens/>
        <w:ind w:right="14"/>
        <w:rPr>
          <w:color w:val="000000"/>
          <w:szCs w:val="22"/>
        </w:rPr>
      </w:pPr>
    </w:p>
    <w:p w14:paraId="375EBAFD" w14:textId="77777777" w:rsidR="00906898" w:rsidRPr="00263DB9" w:rsidRDefault="00906898" w:rsidP="00E51817">
      <w:pPr>
        <w:widowControl w:val="0"/>
        <w:suppressAutoHyphens/>
        <w:ind w:right="14"/>
        <w:rPr>
          <w:color w:val="000000"/>
          <w:szCs w:val="22"/>
        </w:rPr>
      </w:pPr>
    </w:p>
    <w:p w14:paraId="375EBAFE" w14:textId="77777777" w:rsidR="00906898" w:rsidRPr="00263DB9" w:rsidRDefault="00906898" w:rsidP="00E51817">
      <w:pPr>
        <w:widowControl w:val="0"/>
        <w:suppressAutoHyphens/>
        <w:ind w:right="14"/>
        <w:rPr>
          <w:color w:val="000000"/>
          <w:szCs w:val="22"/>
        </w:rPr>
      </w:pPr>
    </w:p>
    <w:p w14:paraId="375EBAFF" w14:textId="77777777" w:rsidR="00906898" w:rsidRPr="00263DB9" w:rsidRDefault="00906898" w:rsidP="00E51817">
      <w:pPr>
        <w:widowControl w:val="0"/>
        <w:suppressAutoHyphens/>
        <w:ind w:right="14"/>
        <w:rPr>
          <w:color w:val="000000"/>
          <w:szCs w:val="22"/>
        </w:rPr>
      </w:pPr>
    </w:p>
    <w:p w14:paraId="375EBB00" w14:textId="77777777" w:rsidR="00906898" w:rsidRPr="00263DB9" w:rsidRDefault="00906898" w:rsidP="00E51817">
      <w:pPr>
        <w:widowControl w:val="0"/>
        <w:suppressAutoHyphens/>
        <w:ind w:right="14"/>
        <w:jc w:val="center"/>
        <w:rPr>
          <w:color w:val="000000"/>
          <w:szCs w:val="22"/>
        </w:rPr>
      </w:pPr>
      <w:r w:rsidRPr="00263DB9">
        <w:rPr>
          <w:b/>
          <w:color w:val="000000"/>
          <w:szCs w:val="22"/>
        </w:rPr>
        <w:t>A. ROTULAGEM</w:t>
      </w:r>
    </w:p>
    <w:p w14:paraId="375EBB01" w14:textId="77777777" w:rsidR="00906898" w:rsidRPr="00263DB9" w:rsidRDefault="00906898" w:rsidP="00E51817">
      <w:pPr>
        <w:widowControl w:val="0"/>
        <w:shd w:val="clear" w:color="auto" w:fill="FFFFFF"/>
        <w:suppressAutoHyphens/>
        <w:ind w:right="14"/>
        <w:rPr>
          <w:color w:val="000000"/>
          <w:szCs w:val="22"/>
        </w:rPr>
      </w:pPr>
      <w:r w:rsidRPr="00263DB9">
        <w:rPr>
          <w:color w:val="000000"/>
          <w:szCs w:val="22"/>
        </w:rPr>
        <w:br w:type="page"/>
      </w:r>
    </w:p>
    <w:p w14:paraId="375EBB7D" w14:textId="77777777" w:rsidR="00831CCB" w:rsidRPr="00263DB9" w:rsidRDefault="00831CCB" w:rsidP="0019690E">
      <w:pPr>
        <w:widowControl w:val="0"/>
        <w:shd w:val="clear" w:color="auto" w:fill="FFFFFF"/>
        <w:suppressAutoHyphens/>
        <w:ind w:right="14"/>
        <w:rPr>
          <w:color w:val="000000"/>
          <w:szCs w:val="22"/>
        </w:rPr>
      </w:pPr>
    </w:p>
    <w:p w14:paraId="375EBB7E"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hd w:val="clear" w:color="auto" w:fill="FFFFFF"/>
        <w:suppressAutoHyphens/>
        <w:ind w:right="14"/>
        <w:rPr>
          <w:b/>
          <w:color w:val="000000"/>
          <w:szCs w:val="22"/>
        </w:rPr>
      </w:pPr>
      <w:r w:rsidRPr="00263DB9">
        <w:rPr>
          <w:b/>
          <w:color w:val="000000"/>
          <w:szCs w:val="22"/>
        </w:rPr>
        <w:t>INDICAÇÕES A INCLUIR NO ACONDICIONAMENTO SECUNDÁRIO</w:t>
      </w:r>
    </w:p>
    <w:p w14:paraId="375EBB7F"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hd w:val="clear" w:color="auto" w:fill="FFFFFF"/>
        <w:suppressAutoHyphens/>
        <w:ind w:right="14"/>
        <w:rPr>
          <w:color w:val="000000"/>
          <w:szCs w:val="22"/>
        </w:rPr>
      </w:pPr>
    </w:p>
    <w:p w14:paraId="375EBB80"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hd w:val="clear" w:color="auto" w:fill="FFFFFF"/>
        <w:suppressAutoHyphens/>
        <w:ind w:right="14"/>
        <w:rPr>
          <w:b/>
          <w:color w:val="000000"/>
          <w:szCs w:val="22"/>
        </w:rPr>
      </w:pPr>
      <w:r w:rsidRPr="00263DB9">
        <w:rPr>
          <w:b/>
          <w:color w:val="000000"/>
          <w:szCs w:val="22"/>
        </w:rPr>
        <w:t>CARTONAGEM</w:t>
      </w:r>
    </w:p>
    <w:p w14:paraId="375EBB81" w14:textId="77777777" w:rsidR="00906898" w:rsidRPr="00263DB9" w:rsidRDefault="00906898" w:rsidP="00E51817">
      <w:pPr>
        <w:widowControl w:val="0"/>
        <w:suppressAutoHyphens/>
        <w:ind w:right="14"/>
        <w:rPr>
          <w:color w:val="000000"/>
          <w:szCs w:val="22"/>
        </w:rPr>
      </w:pPr>
    </w:p>
    <w:p w14:paraId="375EBB82" w14:textId="77777777" w:rsidR="00906898" w:rsidRPr="00263DB9" w:rsidRDefault="00906898" w:rsidP="00E51817">
      <w:pPr>
        <w:widowControl w:val="0"/>
        <w:suppressAutoHyphens/>
        <w:ind w:right="14"/>
        <w:rPr>
          <w:color w:val="000000"/>
          <w:szCs w:val="22"/>
        </w:rPr>
      </w:pPr>
    </w:p>
    <w:p w14:paraId="375EBB83"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w:t>
      </w:r>
      <w:r w:rsidRPr="00263DB9">
        <w:rPr>
          <w:b/>
          <w:color w:val="000000"/>
          <w:szCs w:val="22"/>
        </w:rPr>
        <w:tab/>
        <w:t>NOME DO MEDICAMENTO</w:t>
      </w:r>
    </w:p>
    <w:p w14:paraId="375EBB84" w14:textId="77777777" w:rsidR="00906898" w:rsidRPr="00263DB9" w:rsidRDefault="00906898" w:rsidP="00E51817">
      <w:pPr>
        <w:widowControl w:val="0"/>
        <w:suppressAutoHyphens/>
        <w:ind w:right="14"/>
        <w:rPr>
          <w:color w:val="000000"/>
          <w:szCs w:val="22"/>
        </w:rPr>
      </w:pPr>
    </w:p>
    <w:p w14:paraId="375EBB85" w14:textId="77777777" w:rsidR="00906898" w:rsidRPr="00263DB9" w:rsidRDefault="00906898" w:rsidP="00E51817">
      <w:pPr>
        <w:widowControl w:val="0"/>
        <w:suppressAutoHyphens/>
        <w:ind w:right="14"/>
        <w:rPr>
          <w:color w:val="000000"/>
          <w:szCs w:val="22"/>
        </w:rPr>
      </w:pPr>
      <w:r w:rsidRPr="00263DB9">
        <w:rPr>
          <w:color w:val="000000"/>
          <w:szCs w:val="22"/>
        </w:rPr>
        <w:t>Glivec 100 mg cápsulas</w:t>
      </w:r>
    </w:p>
    <w:p w14:paraId="375EBB86" w14:textId="77777777" w:rsidR="00906898" w:rsidRPr="00263DB9" w:rsidRDefault="001104DD" w:rsidP="00E51817">
      <w:pPr>
        <w:widowControl w:val="0"/>
        <w:suppressAutoHyphens/>
        <w:ind w:right="14"/>
        <w:rPr>
          <w:color w:val="000000"/>
          <w:szCs w:val="22"/>
        </w:rPr>
      </w:pPr>
      <w:r w:rsidRPr="00263DB9">
        <w:rPr>
          <w:color w:val="000000"/>
          <w:szCs w:val="22"/>
        </w:rPr>
        <w:t>i</w:t>
      </w:r>
      <w:r w:rsidR="00906898" w:rsidRPr="00263DB9">
        <w:rPr>
          <w:color w:val="000000"/>
          <w:szCs w:val="22"/>
        </w:rPr>
        <w:t>matinib</w:t>
      </w:r>
    </w:p>
    <w:p w14:paraId="375EBB87" w14:textId="77777777" w:rsidR="00906898" w:rsidRPr="00263DB9" w:rsidRDefault="00906898" w:rsidP="00E51817">
      <w:pPr>
        <w:widowControl w:val="0"/>
        <w:suppressAutoHyphens/>
        <w:ind w:right="14"/>
        <w:rPr>
          <w:color w:val="000000"/>
          <w:szCs w:val="22"/>
        </w:rPr>
      </w:pPr>
    </w:p>
    <w:p w14:paraId="375EBB88" w14:textId="77777777" w:rsidR="00906898" w:rsidRPr="00263DB9" w:rsidRDefault="00906898" w:rsidP="00E51817">
      <w:pPr>
        <w:widowControl w:val="0"/>
        <w:suppressAutoHyphens/>
        <w:ind w:right="14"/>
        <w:rPr>
          <w:color w:val="000000"/>
          <w:szCs w:val="22"/>
        </w:rPr>
      </w:pPr>
    </w:p>
    <w:p w14:paraId="375EBB89"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b/>
          <w:color w:val="000000"/>
          <w:szCs w:val="22"/>
        </w:rPr>
      </w:pPr>
      <w:r w:rsidRPr="00263DB9">
        <w:rPr>
          <w:b/>
          <w:color w:val="000000"/>
          <w:szCs w:val="22"/>
        </w:rPr>
        <w:t>2.</w:t>
      </w:r>
      <w:r w:rsidRPr="00263DB9">
        <w:rPr>
          <w:b/>
          <w:color w:val="000000"/>
          <w:szCs w:val="22"/>
        </w:rPr>
        <w:tab/>
        <w:t>DESCRIÇÃO DA(S) SUBSTÂNCIA(S) ATIVA(S)</w:t>
      </w:r>
    </w:p>
    <w:p w14:paraId="375EBB8A" w14:textId="77777777" w:rsidR="00906898" w:rsidRPr="00263DB9" w:rsidRDefault="00906898" w:rsidP="00E51817">
      <w:pPr>
        <w:widowControl w:val="0"/>
        <w:suppressAutoHyphens/>
        <w:ind w:right="14"/>
        <w:rPr>
          <w:color w:val="000000"/>
          <w:szCs w:val="22"/>
        </w:rPr>
      </w:pPr>
    </w:p>
    <w:p w14:paraId="375EBB8B" w14:textId="77777777" w:rsidR="00906898" w:rsidRPr="00263DB9" w:rsidRDefault="00906898" w:rsidP="00E51817">
      <w:pPr>
        <w:widowControl w:val="0"/>
        <w:suppressAutoHyphens/>
        <w:ind w:right="14"/>
        <w:rPr>
          <w:color w:val="000000"/>
          <w:szCs w:val="22"/>
        </w:rPr>
      </w:pPr>
      <w:r w:rsidRPr="00263DB9">
        <w:rPr>
          <w:color w:val="000000"/>
          <w:szCs w:val="22"/>
        </w:rPr>
        <w:t>Cada cápsula contém 100 mg de imatinib (como mesilato).</w:t>
      </w:r>
    </w:p>
    <w:p w14:paraId="375EBB8C" w14:textId="77777777" w:rsidR="00906898" w:rsidRPr="00263DB9" w:rsidRDefault="00906898" w:rsidP="00E51817">
      <w:pPr>
        <w:widowControl w:val="0"/>
        <w:suppressAutoHyphens/>
        <w:ind w:right="14"/>
        <w:rPr>
          <w:color w:val="000000"/>
          <w:szCs w:val="22"/>
        </w:rPr>
      </w:pPr>
    </w:p>
    <w:p w14:paraId="375EBB8D" w14:textId="77777777" w:rsidR="00906898" w:rsidRPr="00263DB9" w:rsidRDefault="00906898" w:rsidP="00E51817">
      <w:pPr>
        <w:widowControl w:val="0"/>
        <w:suppressAutoHyphens/>
        <w:ind w:right="14"/>
        <w:rPr>
          <w:color w:val="000000"/>
          <w:szCs w:val="22"/>
        </w:rPr>
      </w:pPr>
    </w:p>
    <w:p w14:paraId="375EBB8E"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3.</w:t>
      </w:r>
      <w:r w:rsidRPr="00263DB9">
        <w:rPr>
          <w:b/>
          <w:color w:val="000000"/>
          <w:szCs w:val="22"/>
        </w:rPr>
        <w:tab/>
        <w:t>LISTA DOS EXCIPIENTES</w:t>
      </w:r>
    </w:p>
    <w:p w14:paraId="375EBB8F" w14:textId="77777777" w:rsidR="00906898" w:rsidRPr="00263DB9" w:rsidRDefault="00906898" w:rsidP="00E51817">
      <w:pPr>
        <w:widowControl w:val="0"/>
        <w:suppressAutoHyphens/>
        <w:ind w:right="14"/>
        <w:rPr>
          <w:color w:val="000000"/>
          <w:szCs w:val="22"/>
        </w:rPr>
      </w:pPr>
    </w:p>
    <w:p w14:paraId="375EBB90" w14:textId="77777777" w:rsidR="00906898" w:rsidRPr="00263DB9" w:rsidRDefault="00906898" w:rsidP="00E51817">
      <w:pPr>
        <w:widowControl w:val="0"/>
        <w:suppressAutoHyphens/>
        <w:ind w:right="14"/>
        <w:rPr>
          <w:color w:val="000000"/>
          <w:szCs w:val="22"/>
        </w:rPr>
      </w:pPr>
    </w:p>
    <w:p w14:paraId="375EBB91"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4.</w:t>
      </w:r>
      <w:r w:rsidRPr="00263DB9">
        <w:rPr>
          <w:b/>
          <w:color w:val="000000"/>
          <w:szCs w:val="22"/>
        </w:rPr>
        <w:tab/>
        <w:t>FORMA FARMACÊUTICA E CONTEÚDO</w:t>
      </w:r>
    </w:p>
    <w:p w14:paraId="375EBB92" w14:textId="77777777" w:rsidR="00906898" w:rsidRPr="00263DB9" w:rsidRDefault="00906898" w:rsidP="00E51817">
      <w:pPr>
        <w:widowControl w:val="0"/>
        <w:suppressAutoHyphens/>
        <w:ind w:right="14"/>
        <w:rPr>
          <w:color w:val="000000"/>
          <w:szCs w:val="22"/>
        </w:rPr>
      </w:pPr>
    </w:p>
    <w:p w14:paraId="375EBB93" w14:textId="77777777" w:rsidR="00906898" w:rsidRPr="00263DB9" w:rsidRDefault="00906898" w:rsidP="00E51817">
      <w:pPr>
        <w:widowControl w:val="0"/>
        <w:suppressAutoHyphens/>
        <w:ind w:right="14"/>
        <w:rPr>
          <w:color w:val="000000"/>
          <w:szCs w:val="22"/>
        </w:rPr>
      </w:pPr>
      <w:r w:rsidRPr="00263DB9">
        <w:rPr>
          <w:color w:val="000000"/>
          <w:szCs w:val="22"/>
        </w:rPr>
        <w:t>24 cápsulas</w:t>
      </w:r>
    </w:p>
    <w:p w14:paraId="375EBB94" w14:textId="77777777" w:rsidR="00906898" w:rsidRPr="00263DB9" w:rsidRDefault="00906898" w:rsidP="00E51817">
      <w:pPr>
        <w:widowControl w:val="0"/>
        <w:suppressAutoHyphens/>
        <w:ind w:right="14"/>
        <w:rPr>
          <w:color w:val="000000"/>
          <w:szCs w:val="22"/>
          <w:shd w:val="clear" w:color="auto" w:fill="D9D9D9"/>
        </w:rPr>
      </w:pPr>
      <w:r w:rsidRPr="00263DB9">
        <w:rPr>
          <w:color w:val="000000"/>
          <w:szCs w:val="22"/>
          <w:shd w:val="clear" w:color="auto" w:fill="D9D9D9"/>
        </w:rPr>
        <w:t>48 cápsulas</w:t>
      </w:r>
    </w:p>
    <w:p w14:paraId="375EBB95" w14:textId="77777777" w:rsidR="00906898" w:rsidRPr="00263DB9" w:rsidRDefault="00906898" w:rsidP="00E51817">
      <w:pPr>
        <w:widowControl w:val="0"/>
        <w:suppressAutoHyphens/>
        <w:ind w:right="14"/>
        <w:rPr>
          <w:color w:val="000000"/>
          <w:szCs w:val="22"/>
          <w:shd w:val="clear" w:color="auto" w:fill="D9D9D9"/>
        </w:rPr>
      </w:pPr>
      <w:r w:rsidRPr="00263DB9">
        <w:rPr>
          <w:color w:val="000000"/>
          <w:szCs w:val="22"/>
          <w:shd w:val="clear" w:color="auto" w:fill="D9D9D9"/>
        </w:rPr>
        <w:t>96 cápsulas</w:t>
      </w:r>
    </w:p>
    <w:p w14:paraId="375EBB96" w14:textId="77777777" w:rsidR="00906898" w:rsidRPr="00263DB9" w:rsidRDefault="00906898" w:rsidP="00E51817">
      <w:pPr>
        <w:widowControl w:val="0"/>
        <w:suppressAutoHyphens/>
        <w:ind w:right="14"/>
        <w:rPr>
          <w:color w:val="000000"/>
          <w:szCs w:val="22"/>
          <w:shd w:val="clear" w:color="auto" w:fill="D9D9D9"/>
        </w:rPr>
      </w:pPr>
      <w:r w:rsidRPr="00263DB9">
        <w:rPr>
          <w:color w:val="000000"/>
          <w:szCs w:val="22"/>
          <w:shd w:val="clear" w:color="auto" w:fill="D9D9D9"/>
        </w:rPr>
        <w:t>120 cápsulas</w:t>
      </w:r>
    </w:p>
    <w:p w14:paraId="375EBB97" w14:textId="77777777" w:rsidR="00906898" w:rsidRPr="00263DB9" w:rsidRDefault="00906898" w:rsidP="00E51817">
      <w:pPr>
        <w:widowControl w:val="0"/>
        <w:suppressAutoHyphens/>
        <w:ind w:right="14"/>
        <w:rPr>
          <w:color w:val="000000"/>
          <w:szCs w:val="22"/>
          <w:shd w:val="clear" w:color="auto" w:fill="D9D9D9"/>
        </w:rPr>
      </w:pPr>
      <w:r w:rsidRPr="00263DB9">
        <w:rPr>
          <w:color w:val="000000"/>
          <w:szCs w:val="22"/>
          <w:shd w:val="clear" w:color="auto" w:fill="D9D9D9"/>
        </w:rPr>
        <w:t>180 cápsulas</w:t>
      </w:r>
    </w:p>
    <w:p w14:paraId="375EBB98" w14:textId="77777777" w:rsidR="00906898" w:rsidRPr="00263DB9" w:rsidRDefault="00906898" w:rsidP="00E51817">
      <w:pPr>
        <w:widowControl w:val="0"/>
        <w:suppressAutoHyphens/>
        <w:ind w:right="14"/>
        <w:rPr>
          <w:color w:val="000000"/>
          <w:szCs w:val="22"/>
        </w:rPr>
      </w:pPr>
    </w:p>
    <w:p w14:paraId="375EBB99" w14:textId="77777777" w:rsidR="00906898" w:rsidRPr="00263DB9" w:rsidRDefault="00906898" w:rsidP="00E51817">
      <w:pPr>
        <w:widowControl w:val="0"/>
        <w:suppressAutoHyphens/>
        <w:ind w:right="14"/>
        <w:rPr>
          <w:color w:val="000000"/>
          <w:szCs w:val="22"/>
        </w:rPr>
      </w:pPr>
    </w:p>
    <w:p w14:paraId="375EBB9A"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5.</w:t>
      </w:r>
      <w:r w:rsidRPr="00263DB9">
        <w:rPr>
          <w:b/>
          <w:color w:val="000000"/>
          <w:szCs w:val="22"/>
        </w:rPr>
        <w:tab/>
        <w:t>MODO E VIA(S) DE ADMINISTRAÇÃO</w:t>
      </w:r>
    </w:p>
    <w:p w14:paraId="375EBB9B" w14:textId="77777777" w:rsidR="00906898" w:rsidRPr="00263DB9" w:rsidRDefault="00906898" w:rsidP="00E51817">
      <w:pPr>
        <w:widowControl w:val="0"/>
        <w:suppressAutoHyphens/>
        <w:ind w:right="14"/>
        <w:rPr>
          <w:color w:val="000000"/>
          <w:szCs w:val="22"/>
        </w:rPr>
      </w:pPr>
    </w:p>
    <w:p w14:paraId="375EBB9C" w14:textId="77777777" w:rsidR="00906898" w:rsidRPr="00263DB9" w:rsidRDefault="00906898" w:rsidP="00E51817">
      <w:pPr>
        <w:widowControl w:val="0"/>
        <w:suppressAutoHyphens/>
        <w:ind w:right="14"/>
        <w:rPr>
          <w:color w:val="000000"/>
          <w:szCs w:val="22"/>
        </w:rPr>
      </w:pPr>
      <w:r w:rsidRPr="00263DB9">
        <w:rPr>
          <w:color w:val="000000"/>
          <w:szCs w:val="22"/>
        </w:rPr>
        <w:t xml:space="preserve">Via oral. </w:t>
      </w:r>
      <w:r w:rsidRPr="00263DB9">
        <w:rPr>
          <w:noProof/>
          <w:color w:val="000000"/>
          <w:szCs w:val="22"/>
        </w:rPr>
        <w:t>Consultar o folheto informativo antes de utilizar.</w:t>
      </w:r>
    </w:p>
    <w:p w14:paraId="375EBB9D" w14:textId="77777777" w:rsidR="00906898" w:rsidRPr="00263DB9" w:rsidRDefault="00906898" w:rsidP="00E51817">
      <w:pPr>
        <w:widowControl w:val="0"/>
        <w:suppressAutoHyphens/>
        <w:ind w:right="14"/>
        <w:rPr>
          <w:color w:val="000000"/>
          <w:szCs w:val="22"/>
        </w:rPr>
      </w:pPr>
    </w:p>
    <w:p w14:paraId="375EBB9E" w14:textId="77777777" w:rsidR="00906898" w:rsidRPr="00263DB9" w:rsidRDefault="00906898" w:rsidP="00E51817">
      <w:pPr>
        <w:widowControl w:val="0"/>
        <w:suppressAutoHyphens/>
        <w:ind w:right="14"/>
        <w:rPr>
          <w:color w:val="000000"/>
          <w:szCs w:val="22"/>
        </w:rPr>
      </w:pPr>
    </w:p>
    <w:p w14:paraId="375EBB9F"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b/>
          <w:color w:val="000000"/>
          <w:szCs w:val="22"/>
        </w:rPr>
      </w:pPr>
      <w:r w:rsidRPr="00263DB9">
        <w:rPr>
          <w:b/>
          <w:color w:val="000000"/>
          <w:szCs w:val="22"/>
        </w:rPr>
        <w:t>6.</w:t>
      </w:r>
      <w:r w:rsidRPr="00263DB9">
        <w:rPr>
          <w:b/>
          <w:color w:val="000000"/>
          <w:szCs w:val="22"/>
        </w:rPr>
        <w:tab/>
        <w:t xml:space="preserve">ADVERTÊNCIA ESPECIAL DE QUE O MEDICAMENTO DEVE SER MANTIDO FORA </w:t>
      </w:r>
      <w:r w:rsidRPr="00263DB9">
        <w:rPr>
          <w:b/>
          <w:szCs w:val="24"/>
        </w:rPr>
        <w:t>DA VISTA E</w:t>
      </w:r>
      <w:r w:rsidRPr="00263DB9">
        <w:rPr>
          <w:b/>
          <w:color w:val="000000"/>
          <w:szCs w:val="22"/>
        </w:rPr>
        <w:t xml:space="preserve"> DO ALCANCE DAS CRIANÇAS</w:t>
      </w:r>
    </w:p>
    <w:p w14:paraId="375EBBA0" w14:textId="77777777" w:rsidR="00906898" w:rsidRPr="00263DB9" w:rsidRDefault="00906898" w:rsidP="00E51817">
      <w:pPr>
        <w:widowControl w:val="0"/>
        <w:suppressAutoHyphens/>
        <w:ind w:right="14"/>
        <w:rPr>
          <w:color w:val="000000"/>
          <w:szCs w:val="22"/>
        </w:rPr>
      </w:pPr>
    </w:p>
    <w:p w14:paraId="375EBBA1" w14:textId="77777777" w:rsidR="00906898" w:rsidRPr="00263DB9" w:rsidRDefault="00906898" w:rsidP="00E51817">
      <w:pPr>
        <w:widowControl w:val="0"/>
        <w:suppressAutoHyphens/>
        <w:ind w:right="14"/>
        <w:rPr>
          <w:color w:val="000000"/>
          <w:szCs w:val="22"/>
        </w:rPr>
      </w:pPr>
      <w:r w:rsidRPr="00263DB9">
        <w:rPr>
          <w:color w:val="000000"/>
          <w:szCs w:val="22"/>
        </w:rPr>
        <w:t xml:space="preserve">Manter fora </w:t>
      </w:r>
      <w:r w:rsidRPr="00263DB9">
        <w:rPr>
          <w:szCs w:val="24"/>
        </w:rPr>
        <w:t xml:space="preserve">da vista e </w:t>
      </w:r>
      <w:r w:rsidRPr="00263DB9">
        <w:rPr>
          <w:color w:val="000000"/>
          <w:szCs w:val="22"/>
        </w:rPr>
        <w:t>do alcance das crianças.</w:t>
      </w:r>
    </w:p>
    <w:p w14:paraId="375EBBA2" w14:textId="77777777" w:rsidR="00906898" w:rsidRPr="00263DB9" w:rsidRDefault="00906898" w:rsidP="00E51817">
      <w:pPr>
        <w:widowControl w:val="0"/>
        <w:suppressAutoHyphens/>
        <w:ind w:right="14"/>
        <w:rPr>
          <w:color w:val="000000"/>
          <w:szCs w:val="22"/>
        </w:rPr>
      </w:pPr>
    </w:p>
    <w:p w14:paraId="375EBBA3" w14:textId="77777777" w:rsidR="00906898" w:rsidRPr="00263DB9" w:rsidRDefault="00906898" w:rsidP="00E51817">
      <w:pPr>
        <w:widowControl w:val="0"/>
        <w:suppressAutoHyphens/>
        <w:ind w:right="14"/>
        <w:rPr>
          <w:color w:val="000000"/>
          <w:szCs w:val="22"/>
        </w:rPr>
      </w:pPr>
    </w:p>
    <w:p w14:paraId="375EBBA4"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7.</w:t>
      </w:r>
      <w:r w:rsidRPr="00263DB9">
        <w:rPr>
          <w:b/>
          <w:color w:val="000000"/>
          <w:szCs w:val="22"/>
        </w:rPr>
        <w:tab/>
        <w:t>OUTRAS ADVERTÊNCIAS ESPECIAIS, SE NECESSÁRIO</w:t>
      </w:r>
    </w:p>
    <w:p w14:paraId="375EBBA5" w14:textId="77777777" w:rsidR="00906898" w:rsidRPr="00263DB9" w:rsidRDefault="00906898" w:rsidP="00E51817">
      <w:pPr>
        <w:widowControl w:val="0"/>
        <w:suppressAutoHyphens/>
        <w:ind w:right="14"/>
        <w:rPr>
          <w:color w:val="000000"/>
          <w:szCs w:val="22"/>
        </w:rPr>
      </w:pPr>
    </w:p>
    <w:p w14:paraId="375EBBA6" w14:textId="77777777" w:rsidR="00906898" w:rsidRPr="00263DB9" w:rsidRDefault="00906898" w:rsidP="00E51817">
      <w:pPr>
        <w:widowControl w:val="0"/>
        <w:suppressAutoHyphens/>
        <w:ind w:right="14"/>
        <w:rPr>
          <w:color w:val="000000"/>
          <w:szCs w:val="22"/>
        </w:rPr>
      </w:pPr>
      <w:r w:rsidRPr="00263DB9">
        <w:rPr>
          <w:color w:val="000000"/>
          <w:szCs w:val="22"/>
        </w:rPr>
        <w:t>Utilizar apenas de acordo com as instruções de um médico.</w:t>
      </w:r>
    </w:p>
    <w:p w14:paraId="375EBBA7" w14:textId="77777777" w:rsidR="00906898" w:rsidRPr="00263DB9" w:rsidRDefault="00906898" w:rsidP="00E51817">
      <w:pPr>
        <w:widowControl w:val="0"/>
        <w:suppressAutoHyphens/>
        <w:ind w:right="14"/>
        <w:rPr>
          <w:color w:val="000000"/>
          <w:szCs w:val="22"/>
        </w:rPr>
      </w:pPr>
    </w:p>
    <w:p w14:paraId="375EBBA8" w14:textId="77777777" w:rsidR="00906898" w:rsidRPr="00263DB9" w:rsidRDefault="00906898" w:rsidP="00E51817">
      <w:pPr>
        <w:widowControl w:val="0"/>
        <w:suppressAutoHyphens/>
        <w:ind w:right="14"/>
        <w:rPr>
          <w:color w:val="000000"/>
          <w:szCs w:val="22"/>
        </w:rPr>
      </w:pPr>
    </w:p>
    <w:p w14:paraId="375EBBA9"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8.</w:t>
      </w:r>
      <w:r w:rsidRPr="00263DB9">
        <w:rPr>
          <w:b/>
          <w:color w:val="000000"/>
          <w:szCs w:val="22"/>
        </w:rPr>
        <w:tab/>
        <w:t>PRAZO DE VALIDADE</w:t>
      </w:r>
    </w:p>
    <w:p w14:paraId="375EBBAA" w14:textId="77777777" w:rsidR="00906898" w:rsidRPr="00263DB9" w:rsidRDefault="00906898" w:rsidP="00E51817">
      <w:pPr>
        <w:widowControl w:val="0"/>
        <w:suppressAutoHyphens/>
        <w:ind w:right="14"/>
        <w:rPr>
          <w:color w:val="000000"/>
          <w:szCs w:val="22"/>
        </w:rPr>
      </w:pPr>
    </w:p>
    <w:p w14:paraId="375EBBAB" w14:textId="23173653" w:rsidR="00906898" w:rsidRPr="00263DB9" w:rsidRDefault="00195DDF" w:rsidP="00E51817">
      <w:pPr>
        <w:widowControl w:val="0"/>
        <w:suppressAutoHyphens/>
        <w:ind w:right="14"/>
        <w:rPr>
          <w:i/>
          <w:color w:val="000000"/>
          <w:szCs w:val="22"/>
        </w:rPr>
      </w:pPr>
      <w:r w:rsidRPr="00263DB9">
        <w:rPr>
          <w:color w:val="000000"/>
          <w:szCs w:val="22"/>
        </w:rPr>
        <w:t>EXP</w:t>
      </w:r>
    </w:p>
    <w:p w14:paraId="375EBBAC" w14:textId="77777777" w:rsidR="00906898" w:rsidRPr="00263DB9" w:rsidRDefault="00906898" w:rsidP="00E51817">
      <w:pPr>
        <w:widowControl w:val="0"/>
        <w:suppressAutoHyphens/>
        <w:ind w:right="14"/>
        <w:rPr>
          <w:color w:val="000000"/>
          <w:szCs w:val="22"/>
        </w:rPr>
      </w:pPr>
    </w:p>
    <w:p w14:paraId="375EBBAD" w14:textId="77777777" w:rsidR="00906898" w:rsidRPr="00263DB9" w:rsidRDefault="00906898" w:rsidP="00E51817">
      <w:pPr>
        <w:widowControl w:val="0"/>
        <w:suppressAutoHyphens/>
        <w:ind w:right="14"/>
        <w:rPr>
          <w:color w:val="000000"/>
          <w:szCs w:val="22"/>
        </w:rPr>
      </w:pPr>
    </w:p>
    <w:p w14:paraId="375EBBAE" w14:textId="77777777" w:rsidR="00906898" w:rsidRPr="00263DB9" w:rsidRDefault="00906898" w:rsidP="00831CCB">
      <w:pPr>
        <w:keepNext/>
        <w:keepLines/>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9.</w:t>
      </w:r>
      <w:r w:rsidRPr="00263DB9">
        <w:rPr>
          <w:b/>
          <w:color w:val="000000"/>
          <w:szCs w:val="22"/>
        </w:rPr>
        <w:tab/>
        <w:t>CONDIÇÕES ESPECIAIS DE CONSERVAÇÃO</w:t>
      </w:r>
    </w:p>
    <w:p w14:paraId="375EBBAF" w14:textId="77777777" w:rsidR="00906898" w:rsidRPr="00263DB9" w:rsidRDefault="00906898" w:rsidP="00831CCB">
      <w:pPr>
        <w:keepNext/>
        <w:keepLines/>
        <w:widowControl w:val="0"/>
        <w:suppressAutoHyphens/>
        <w:ind w:right="14"/>
        <w:rPr>
          <w:color w:val="000000"/>
          <w:szCs w:val="22"/>
        </w:rPr>
      </w:pPr>
    </w:p>
    <w:p w14:paraId="375EBBB0" w14:textId="77777777" w:rsidR="00906898" w:rsidRPr="00263DB9" w:rsidRDefault="00906898" w:rsidP="00831CCB">
      <w:pPr>
        <w:keepNext/>
        <w:keepLines/>
        <w:widowControl w:val="0"/>
        <w:suppressAutoHyphens/>
        <w:rPr>
          <w:color w:val="000000"/>
          <w:szCs w:val="22"/>
        </w:rPr>
      </w:pPr>
      <w:r w:rsidRPr="00263DB9">
        <w:rPr>
          <w:color w:val="000000"/>
          <w:szCs w:val="22"/>
        </w:rPr>
        <w:t>Não conservar acima de 30°C. Conservar na embalagem de origem para proteger da humidade.</w:t>
      </w:r>
    </w:p>
    <w:p w14:paraId="375EBBB1" w14:textId="77777777" w:rsidR="00906898" w:rsidRPr="00263DB9" w:rsidRDefault="00906898" w:rsidP="00E51817">
      <w:pPr>
        <w:widowControl w:val="0"/>
        <w:suppressAutoHyphens/>
        <w:ind w:right="14"/>
        <w:rPr>
          <w:color w:val="000000"/>
          <w:szCs w:val="22"/>
        </w:rPr>
      </w:pPr>
    </w:p>
    <w:p w14:paraId="375EBBB2" w14:textId="77777777" w:rsidR="00906898" w:rsidRPr="00263DB9" w:rsidRDefault="00906898" w:rsidP="00E51817">
      <w:pPr>
        <w:widowControl w:val="0"/>
        <w:suppressAutoHyphens/>
        <w:ind w:right="14"/>
        <w:rPr>
          <w:color w:val="000000"/>
          <w:szCs w:val="22"/>
        </w:rPr>
      </w:pPr>
    </w:p>
    <w:p w14:paraId="375EBBB3" w14:textId="77777777" w:rsidR="00906898" w:rsidRPr="00263DB9" w:rsidRDefault="00906898" w:rsidP="00831CCB">
      <w:pPr>
        <w:keepNext/>
        <w:keepLines/>
        <w:widowControl w:val="0"/>
        <w:pBdr>
          <w:top w:val="single" w:sz="4" w:space="1" w:color="auto"/>
          <w:left w:val="single" w:sz="4" w:space="4" w:color="auto"/>
          <w:bottom w:val="single" w:sz="4" w:space="1" w:color="auto"/>
          <w:right w:val="single" w:sz="4" w:space="4" w:color="auto"/>
        </w:pBdr>
        <w:suppressAutoHyphens/>
        <w:ind w:left="567" w:hanging="567"/>
        <w:rPr>
          <w:b/>
          <w:color w:val="000000"/>
          <w:szCs w:val="22"/>
        </w:rPr>
      </w:pPr>
      <w:r w:rsidRPr="00263DB9">
        <w:rPr>
          <w:b/>
          <w:color w:val="000000"/>
          <w:szCs w:val="22"/>
        </w:rPr>
        <w:lastRenderedPageBreak/>
        <w:t>10.</w:t>
      </w:r>
      <w:r w:rsidRPr="00263DB9">
        <w:rPr>
          <w:b/>
          <w:color w:val="000000"/>
          <w:szCs w:val="22"/>
        </w:rPr>
        <w:tab/>
        <w:t>CUIDADOS ESPECIAIS QUANTO À ELIMINAÇÃO DO MEDICAMENTO NÃO UTILIZADO OU DOS RESÍDUOS PROVENIENTES DESSE MEDICAMENTO, SE APLICÁVEL</w:t>
      </w:r>
    </w:p>
    <w:p w14:paraId="375EBBB4" w14:textId="77777777" w:rsidR="00906898" w:rsidRPr="00263DB9" w:rsidRDefault="00906898" w:rsidP="00831CCB">
      <w:pPr>
        <w:keepNext/>
        <w:keepLines/>
        <w:widowControl w:val="0"/>
        <w:suppressAutoHyphens/>
        <w:ind w:right="14"/>
        <w:rPr>
          <w:color w:val="000000"/>
          <w:szCs w:val="22"/>
        </w:rPr>
      </w:pPr>
    </w:p>
    <w:p w14:paraId="375EBBB5" w14:textId="77777777" w:rsidR="00906898" w:rsidRPr="00263DB9" w:rsidRDefault="00906898" w:rsidP="00E51817">
      <w:pPr>
        <w:widowControl w:val="0"/>
        <w:suppressAutoHyphens/>
        <w:ind w:right="14"/>
        <w:rPr>
          <w:color w:val="000000"/>
          <w:szCs w:val="22"/>
        </w:rPr>
      </w:pPr>
    </w:p>
    <w:p w14:paraId="375EBBB6" w14:textId="77777777" w:rsidR="00906898" w:rsidRPr="00263DB9" w:rsidRDefault="00906898" w:rsidP="00831CCB">
      <w:pPr>
        <w:keepNext/>
        <w:keepLines/>
        <w:widowControl w:val="0"/>
        <w:pBdr>
          <w:top w:val="single" w:sz="4" w:space="1" w:color="auto"/>
          <w:left w:val="single" w:sz="4" w:space="4" w:color="auto"/>
          <w:bottom w:val="single" w:sz="4" w:space="1" w:color="auto"/>
          <w:right w:val="single" w:sz="4" w:space="4" w:color="auto"/>
        </w:pBdr>
        <w:suppressAutoHyphens/>
        <w:ind w:left="567" w:hanging="567"/>
        <w:rPr>
          <w:b/>
          <w:color w:val="000000"/>
          <w:szCs w:val="22"/>
        </w:rPr>
      </w:pPr>
      <w:r w:rsidRPr="00263DB9">
        <w:rPr>
          <w:b/>
          <w:color w:val="000000"/>
          <w:szCs w:val="22"/>
        </w:rPr>
        <w:t>11.</w:t>
      </w:r>
      <w:r w:rsidRPr="00263DB9">
        <w:rPr>
          <w:b/>
          <w:color w:val="000000"/>
          <w:szCs w:val="22"/>
        </w:rPr>
        <w:tab/>
        <w:t>NOME E ENDEREÇO DO TITULAR DA AUTORIZAÇÃO DE INTRODUÇÃO NO MERCADO</w:t>
      </w:r>
    </w:p>
    <w:p w14:paraId="375EBBB7" w14:textId="77777777" w:rsidR="00906898" w:rsidRPr="00263DB9" w:rsidRDefault="00906898" w:rsidP="00831CCB">
      <w:pPr>
        <w:keepNext/>
        <w:keepLines/>
        <w:widowControl w:val="0"/>
        <w:suppressAutoHyphens/>
        <w:ind w:right="14"/>
        <w:rPr>
          <w:color w:val="000000"/>
          <w:szCs w:val="22"/>
        </w:rPr>
      </w:pPr>
    </w:p>
    <w:p w14:paraId="375EBBB8" w14:textId="77777777" w:rsidR="00906898" w:rsidRPr="00263DB9" w:rsidRDefault="00906898" w:rsidP="00831CCB">
      <w:pPr>
        <w:pStyle w:val="EndnoteText"/>
        <w:keepNext/>
        <w:keepLines/>
        <w:tabs>
          <w:tab w:val="clear" w:pos="567"/>
        </w:tabs>
        <w:suppressAutoHyphens/>
        <w:rPr>
          <w:color w:val="000000"/>
          <w:szCs w:val="22"/>
          <w:lang w:val="en-US"/>
        </w:rPr>
      </w:pPr>
      <w:r w:rsidRPr="00263DB9">
        <w:rPr>
          <w:color w:val="000000"/>
          <w:szCs w:val="22"/>
          <w:lang w:val="en-US"/>
        </w:rPr>
        <w:t>Novartis Europharm Limited</w:t>
      </w:r>
    </w:p>
    <w:p w14:paraId="375EBBB9" w14:textId="77777777" w:rsidR="009C587B" w:rsidRPr="00263DB9" w:rsidRDefault="009C587B" w:rsidP="00E51817">
      <w:pPr>
        <w:keepNext/>
        <w:widowControl w:val="0"/>
        <w:rPr>
          <w:color w:val="000000"/>
          <w:lang w:val="en-US"/>
        </w:rPr>
      </w:pPr>
      <w:r w:rsidRPr="00263DB9">
        <w:rPr>
          <w:color w:val="000000"/>
          <w:lang w:val="en-US"/>
        </w:rPr>
        <w:t>Vista Building</w:t>
      </w:r>
    </w:p>
    <w:p w14:paraId="375EBBBA" w14:textId="77777777" w:rsidR="009C587B" w:rsidRPr="00263DB9" w:rsidRDefault="009C587B" w:rsidP="00E51817">
      <w:pPr>
        <w:keepNext/>
        <w:widowControl w:val="0"/>
        <w:rPr>
          <w:color w:val="000000"/>
          <w:lang w:val="en-US"/>
        </w:rPr>
      </w:pPr>
      <w:r w:rsidRPr="00263DB9">
        <w:rPr>
          <w:color w:val="000000"/>
          <w:lang w:val="en-US"/>
        </w:rPr>
        <w:t>Elm Park, Merrion Road</w:t>
      </w:r>
    </w:p>
    <w:p w14:paraId="375EBBBB" w14:textId="77777777" w:rsidR="009C587B" w:rsidRPr="00263DB9" w:rsidRDefault="009C587B" w:rsidP="00E51817">
      <w:pPr>
        <w:keepNext/>
        <w:widowControl w:val="0"/>
        <w:rPr>
          <w:color w:val="000000"/>
        </w:rPr>
      </w:pPr>
      <w:r w:rsidRPr="00263DB9">
        <w:rPr>
          <w:color w:val="000000"/>
        </w:rPr>
        <w:t>Dublin 4</w:t>
      </w:r>
    </w:p>
    <w:p w14:paraId="375EBBBC" w14:textId="77777777" w:rsidR="009C587B" w:rsidRPr="00263DB9" w:rsidRDefault="009C587B" w:rsidP="00E51817">
      <w:pPr>
        <w:widowControl w:val="0"/>
        <w:rPr>
          <w:color w:val="000000"/>
        </w:rPr>
      </w:pPr>
      <w:r w:rsidRPr="00263DB9">
        <w:rPr>
          <w:color w:val="000000"/>
        </w:rPr>
        <w:t>Irlanda</w:t>
      </w:r>
    </w:p>
    <w:p w14:paraId="375EBBBD" w14:textId="77777777" w:rsidR="00906898" w:rsidRPr="00263DB9" w:rsidRDefault="00906898" w:rsidP="00E51817">
      <w:pPr>
        <w:widowControl w:val="0"/>
        <w:suppressAutoHyphens/>
        <w:ind w:right="14"/>
        <w:rPr>
          <w:color w:val="000000"/>
          <w:szCs w:val="22"/>
        </w:rPr>
      </w:pPr>
    </w:p>
    <w:p w14:paraId="375EBBBE" w14:textId="77777777" w:rsidR="00906898" w:rsidRPr="00263DB9" w:rsidRDefault="00906898" w:rsidP="00E51817">
      <w:pPr>
        <w:widowControl w:val="0"/>
        <w:suppressAutoHyphens/>
        <w:ind w:right="14"/>
        <w:rPr>
          <w:color w:val="000000"/>
          <w:szCs w:val="22"/>
        </w:rPr>
      </w:pPr>
    </w:p>
    <w:p w14:paraId="375EBBBF"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12.</w:t>
      </w:r>
      <w:r w:rsidRPr="00263DB9">
        <w:rPr>
          <w:b/>
          <w:color w:val="000000"/>
          <w:szCs w:val="22"/>
        </w:rPr>
        <w:tab/>
        <w:t>NÚMERO(S) DA AUTORIZAÇÃO DE INTRODUÇÃO NO MERCADO</w:t>
      </w:r>
    </w:p>
    <w:p w14:paraId="375EBBC0" w14:textId="77777777" w:rsidR="00906898" w:rsidRPr="00263DB9" w:rsidRDefault="00906898" w:rsidP="00E51817">
      <w:pPr>
        <w:widowControl w:val="0"/>
        <w:suppressAutoHyphens/>
        <w:ind w:right="14"/>
        <w:rPr>
          <w:color w:val="000000"/>
          <w:szCs w:val="22"/>
        </w:rPr>
      </w:pPr>
    </w:p>
    <w:p w14:paraId="375EBBC1" w14:textId="77777777" w:rsidR="00906898" w:rsidRPr="00263DB9" w:rsidRDefault="00906898" w:rsidP="00E51817">
      <w:pPr>
        <w:widowControl w:val="0"/>
        <w:tabs>
          <w:tab w:val="left" w:pos="2268"/>
        </w:tabs>
        <w:suppressAutoHyphens/>
        <w:ind w:right="14"/>
        <w:rPr>
          <w:color w:val="000000"/>
          <w:szCs w:val="22"/>
          <w:shd w:val="clear" w:color="auto" w:fill="D9D9D9"/>
        </w:rPr>
      </w:pPr>
      <w:r w:rsidRPr="00263DB9">
        <w:rPr>
          <w:color w:val="000000"/>
          <w:szCs w:val="22"/>
        </w:rPr>
        <w:t>EU/1/01/198/002</w:t>
      </w:r>
      <w:r w:rsidRPr="00263DB9">
        <w:rPr>
          <w:color w:val="000000"/>
          <w:szCs w:val="22"/>
        </w:rPr>
        <w:tab/>
      </w:r>
      <w:r w:rsidRPr="00263DB9">
        <w:rPr>
          <w:color w:val="000000"/>
          <w:szCs w:val="22"/>
          <w:shd w:val="clear" w:color="auto" w:fill="D9D9D9"/>
        </w:rPr>
        <w:t>24 cápsulas</w:t>
      </w:r>
    </w:p>
    <w:p w14:paraId="375EBBC2" w14:textId="77777777" w:rsidR="00906898" w:rsidRPr="00263DB9" w:rsidRDefault="00906898" w:rsidP="00E51817">
      <w:pPr>
        <w:widowControl w:val="0"/>
        <w:tabs>
          <w:tab w:val="left" w:pos="2268"/>
        </w:tabs>
        <w:suppressAutoHyphens/>
        <w:ind w:right="14"/>
        <w:rPr>
          <w:color w:val="000000"/>
          <w:szCs w:val="22"/>
          <w:shd w:val="clear" w:color="auto" w:fill="D9D9D9"/>
        </w:rPr>
      </w:pPr>
      <w:r w:rsidRPr="00263DB9">
        <w:rPr>
          <w:color w:val="000000"/>
          <w:szCs w:val="22"/>
          <w:shd w:val="clear" w:color="auto" w:fill="D9D9D9"/>
        </w:rPr>
        <w:t>EU/1/01/198/003</w:t>
      </w:r>
      <w:r w:rsidRPr="00263DB9">
        <w:rPr>
          <w:color w:val="000000"/>
          <w:szCs w:val="22"/>
          <w:shd w:val="clear" w:color="auto" w:fill="D9D9D9"/>
        </w:rPr>
        <w:tab/>
        <w:t>48 cápsulas</w:t>
      </w:r>
    </w:p>
    <w:p w14:paraId="375EBBC3" w14:textId="77777777" w:rsidR="00906898" w:rsidRPr="00263DB9" w:rsidRDefault="00906898" w:rsidP="00E51817">
      <w:pPr>
        <w:widowControl w:val="0"/>
        <w:tabs>
          <w:tab w:val="left" w:pos="2268"/>
        </w:tabs>
        <w:suppressAutoHyphens/>
        <w:ind w:right="14"/>
        <w:rPr>
          <w:color w:val="000000"/>
          <w:szCs w:val="22"/>
          <w:shd w:val="clear" w:color="auto" w:fill="D9D9D9"/>
        </w:rPr>
      </w:pPr>
      <w:r w:rsidRPr="00263DB9">
        <w:rPr>
          <w:color w:val="000000"/>
          <w:szCs w:val="22"/>
          <w:shd w:val="clear" w:color="auto" w:fill="D9D9D9"/>
        </w:rPr>
        <w:t>EU/1/01/198/004</w:t>
      </w:r>
      <w:r w:rsidRPr="00263DB9">
        <w:rPr>
          <w:color w:val="000000"/>
          <w:szCs w:val="22"/>
          <w:shd w:val="clear" w:color="auto" w:fill="D9D9D9"/>
        </w:rPr>
        <w:tab/>
        <w:t>96 cápsulas</w:t>
      </w:r>
    </w:p>
    <w:p w14:paraId="375EBBC4" w14:textId="77777777" w:rsidR="00906898" w:rsidRPr="00263DB9" w:rsidRDefault="00906898" w:rsidP="00E51817">
      <w:pPr>
        <w:widowControl w:val="0"/>
        <w:tabs>
          <w:tab w:val="left" w:pos="2268"/>
        </w:tabs>
        <w:suppressAutoHyphens/>
        <w:ind w:right="14"/>
        <w:rPr>
          <w:color w:val="000000"/>
          <w:szCs w:val="22"/>
          <w:shd w:val="clear" w:color="auto" w:fill="D9D9D9"/>
        </w:rPr>
      </w:pPr>
      <w:r w:rsidRPr="00263DB9">
        <w:rPr>
          <w:color w:val="000000"/>
          <w:szCs w:val="22"/>
          <w:shd w:val="clear" w:color="auto" w:fill="D9D9D9"/>
        </w:rPr>
        <w:t>EU/1/01/198/005</w:t>
      </w:r>
      <w:r w:rsidRPr="00263DB9">
        <w:rPr>
          <w:color w:val="000000"/>
          <w:szCs w:val="22"/>
          <w:shd w:val="clear" w:color="auto" w:fill="D9D9D9"/>
        </w:rPr>
        <w:tab/>
        <w:t>120 cápsulas</w:t>
      </w:r>
    </w:p>
    <w:p w14:paraId="375EBBC5" w14:textId="77777777" w:rsidR="00906898" w:rsidRPr="00263DB9" w:rsidRDefault="00906898" w:rsidP="00E51817">
      <w:pPr>
        <w:widowControl w:val="0"/>
        <w:tabs>
          <w:tab w:val="left" w:pos="2268"/>
        </w:tabs>
        <w:suppressAutoHyphens/>
        <w:ind w:right="14"/>
        <w:rPr>
          <w:color w:val="000000"/>
          <w:szCs w:val="22"/>
          <w:shd w:val="clear" w:color="auto" w:fill="D9D9D9"/>
        </w:rPr>
      </w:pPr>
      <w:r w:rsidRPr="00263DB9">
        <w:rPr>
          <w:color w:val="000000"/>
          <w:szCs w:val="22"/>
          <w:shd w:val="clear" w:color="auto" w:fill="D9D9D9"/>
        </w:rPr>
        <w:t>EU/1/01/198/006</w:t>
      </w:r>
      <w:r w:rsidRPr="00263DB9">
        <w:rPr>
          <w:color w:val="000000"/>
          <w:szCs w:val="22"/>
          <w:shd w:val="clear" w:color="auto" w:fill="D9D9D9"/>
        </w:rPr>
        <w:tab/>
        <w:t>180 cápsulas</w:t>
      </w:r>
    </w:p>
    <w:p w14:paraId="375EBBC6" w14:textId="77777777" w:rsidR="00906898" w:rsidRPr="00263DB9" w:rsidRDefault="00906898" w:rsidP="00E51817">
      <w:pPr>
        <w:widowControl w:val="0"/>
        <w:tabs>
          <w:tab w:val="left" w:pos="2552"/>
        </w:tabs>
        <w:suppressAutoHyphens/>
        <w:ind w:right="14"/>
        <w:rPr>
          <w:color w:val="000000"/>
          <w:szCs w:val="22"/>
        </w:rPr>
      </w:pPr>
    </w:p>
    <w:p w14:paraId="375EBBC7" w14:textId="77777777" w:rsidR="00906898" w:rsidRPr="00263DB9" w:rsidRDefault="00906898" w:rsidP="00E51817">
      <w:pPr>
        <w:widowControl w:val="0"/>
        <w:suppressAutoHyphens/>
        <w:ind w:right="14"/>
        <w:rPr>
          <w:color w:val="000000"/>
          <w:szCs w:val="22"/>
        </w:rPr>
      </w:pPr>
    </w:p>
    <w:p w14:paraId="375EBBC8" w14:textId="77777777" w:rsidR="00906898" w:rsidRPr="00263DB9" w:rsidRDefault="00906898" w:rsidP="00E51817">
      <w:pPr>
        <w:widowControl w:val="0"/>
        <w:pBdr>
          <w:top w:val="single" w:sz="4" w:space="0" w:color="auto"/>
          <w:left w:val="single" w:sz="4" w:space="4" w:color="auto"/>
          <w:bottom w:val="single" w:sz="4" w:space="1" w:color="auto"/>
          <w:right w:val="single" w:sz="4" w:space="4" w:color="auto"/>
        </w:pBdr>
        <w:suppressAutoHyphens/>
        <w:ind w:left="567" w:hanging="567"/>
        <w:rPr>
          <w:b/>
          <w:color w:val="000000"/>
          <w:szCs w:val="22"/>
        </w:rPr>
      </w:pPr>
      <w:r w:rsidRPr="00263DB9">
        <w:rPr>
          <w:b/>
          <w:color w:val="000000"/>
          <w:szCs w:val="22"/>
        </w:rPr>
        <w:t>13.</w:t>
      </w:r>
      <w:r w:rsidRPr="00263DB9">
        <w:rPr>
          <w:b/>
          <w:color w:val="000000"/>
          <w:szCs w:val="22"/>
        </w:rPr>
        <w:tab/>
        <w:t>NÚMERO DO LOTE</w:t>
      </w:r>
    </w:p>
    <w:p w14:paraId="375EBBC9" w14:textId="77777777" w:rsidR="00906898" w:rsidRPr="00263DB9" w:rsidRDefault="00906898" w:rsidP="00E51817">
      <w:pPr>
        <w:widowControl w:val="0"/>
        <w:suppressAutoHyphens/>
        <w:ind w:right="14"/>
        <w:rPr>
          <w:color w:val="000000"/>
          <w:szCs w:val="22"/>
        </w:rPr>
      </w:pPr>
    </w:p>
    <w:p w14:paraId="375EBBCA" w14:textId="4C8BD2F0" w:rsidR="00906898" w:rsidRPr="00263DB9" w:rsidRDefault="00195DDF" w:rsidP="00E51817">
      <w:pPr>
        <w:widowControl w:val="0"/>
        <w:suppressAutoHyphens/>
        <w:ind w:right="14"/>
        <w:rPr>
          <w:color w:val="000000"/>
          <w:szCs w:val="22"/>
        </w:rPr>
      </w:pPr>
      <w:r w:rsidRPr="00263DB9">
        <w:rPr>
          <w:color w:val="000000"/>
          <w:szCs w:val="22"/>
        </w:rPr>
        <w:t>Lot</w:t>
      </w:r>
    </w:p>
    <w:p w14:paraId="375EBBCB" w14:textId="77777777" w:rsidR="00906898" w:rsidRPr="00263DB9" w:rsidRDefault="00906898" w:rsidP="00E51817">
      <w:pPr>
        <w:widowControl w:val="0"/>
        <w:suppressAutoHyphens/>
        <w:ind w:right="14"/>
        <w:rPr>
          <w:color w:val="000000"/>
          <w:szCs w:val="22"/>
        </w:rPr>
      </w:pPr>
    </w:p>
    <w:p w14:paraId="375EBBCC" w14:textId="77777777" w:rsidR="00906898" w:rsidRPr="00263DB9" w:rsidRDefault="00906898" w:rsidP="00E51817">
      <w:pPr>
        <w:widowControl w:val="0"/>
        <w:suppressAutoHyphens/>
        <w:ind w:right="14"/>
        <w:rPr>
          <w:color w:val="000000"/>
          <w:szCs w:val="22"/>
        </w:rPr>
      </w:pPr>
    </w:p>
    <w:p w14:paraId="375EBBCD"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14.</w:t>
      </w:r>
      <w:r w:rsidRPr="00263DB9">
        <w:rPr>
          <w:b/>
          <w:color w:val="000000"/>
          <w:szCs w:val="22"/>
        </w:rPr>
        <w:tab/>
      </w:r>
      <w:r w:rsidRPr="00263DB9">
        <w:rPr>
          <w:b/>
          <w:noProof/>
          <w:color w:val="000000"/>
          <w:szCs w:val="22"/>
        </w:rPr>
        <w:t xml:space="preserve">CLASSIFICAÇÃO QUANTO À DISPENSA </w:t>
      </w:r>
      <w:r w:rsidRPr="00263DB9">
        <w:rPr>
          <w:b/>
          <w:caps/>
          <w:noProof/>
          <w:color w:val="000000"/>
          <w:szCs w:val="22"/>
        </w:rPr>
        <w:t>ao Público</w:t>
      </w:r>
    </w:p>
    <w:p w14:paraId="375EBBCE" w14:textId="77777777" w:rsidR="00906898" w:rsidRPr="00263DB9" w:rsidRDefault="00906898" w:rsidP="00E51817">
      <w:pPr>
        <w:widowControl w:val="0"/>
        <w:suppressAutoHyphens/>
        <w:ind w:right="14"/>
        <w:rPr>
          <w:color w:val="000000"/>
          <w:szCs w:val="22"/>
        </w:rPr>
      </w:pPr>
    </w:p>
    <w:p w14:paraId="375EBBCF" w14:textId="77777777" w:rsidR="00906898" w:rsidRPr="00263DB9" w:rsidRDefault="00906898" w:rsidP="00E51817">
      <w:pPr>
        <w:widowControl w:val="0"/>
        <w:suppressAutoHyphens/>
        <w:ind w:right="14"/>
        <w:rPr>
          <w:color w:val="000000"/>
          <w:szCs w:val="22"/>
        </w:rPr>
      </w:pPr>
    </w:p>
    <w:p w14:paraId="375EBBD0"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15.</w:t>
      </w:r>
      <w:r w:rsidRPr="00263DB9">
        <w:rPr>
          <w:b/>
          <w:color w:val="000000"/>
          <w:szCs w:val="22"/>
        </w:rPr>
        <w:tab/>
        <w:t>INSTRUÇÕES DE UTILIZAÇÃO</w:t>
      </w:r>
    </w:p>
    <w:p w14:paraId="375EBBD1" w14:textId="77777777" w:rsidR="00906898" w:rsidRPr="00263DB9" w:rsidRDefault="00906898" w:rsidP="00E51817">
      <w:pPr>
        <w:widowControl w:val="0"/>
        <w:suppressAutoHyphens/>
        <w:ind w:right="14"/>
        <w:rPr>
          <w:color w:val="000000"/>
          <w:szCs w:val="22"/>
        </w:rPr>
      </w:pPr>
    </w:p>
    <w:p w14:paraId="375EBBD2" w14:textId="77777777" w:rsidR="00906898" w:rsidRPr="00263DB9" w:rsidRDefault="00906898" w:rsidP="00E51817">
      <w:pPr>
        <w:widowControl w:val="0"/>
        <w:suppressAutoHyphens/>
        <w:ind w:right="14"/>
        <w:rPr>
          <w:color w:val="000000"/>
          <w:szCs w:val="22"/>
        </w:rPr>
      </w:pPr>
    </w:p>
    <w:p w14:paraId="375EBBD3"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16.</w:t>
      </w:r>
      <w:r w:rsidRPr="00263DB9">
        <w:rPr>
          <w:b/>
          <w:color w:val="000000"/>
          <w:szCs w:val="22"/>
        </w:rPr>
        <w:tab/>
        <w:t>INFORMAÇÃO EM BRAILLE</w:t>
      </w:r>
    </w:p>
    <w:p w14:paraId="375EBBD4" w14:textId="77777777" w:rsidR="00906898" w:rsidRPr="00263DB9" w:rsidRDefault="00906898" w:rsidP="00E51817">
      <w:pPr>
        <w:widowControl w:val="0"/>
        <w:suppressAutoHyphens/>
        <w:ind w:right="14"/>
        <w:rPr>
          <w:color w:val="000000"/>
          <w:szCs w:val="22"/>
          <w:u w:val="single"/>
        </w:rPr>
      </w:pPr>
    </w:p>
    <w:p w14:paraId="375EBBD5" w14:textId="77777777" w:rsidR="00906898" w:rsidRPr="00263DB9" w:rsidRDefault="00906898" w:rsidP="00E51817">
      <w:pPr>
        <w:widowControl w:val="0"/>
        <w:rPr>
          <w:color w:val="000000"/>
          <w:szCs w:val="22"/>
        </w:rPr>
      </w:pPr>
      <w:r w:rsidRPr="00263DB9">
        <w:rPr>
          <w:color w:val="000000"/>
          <w:szCs w:val="22"/>
        </w:rPr>
        <w:t>Glivec 100 mg</w:t>
      </w:r>
    </w:p>
    <w:p w14:paraId="375EBBD6" w14:textId="77777777" w:rsidR="009061E3" w:rsidRPr="00263DB9" w:rsidRDefault="009061E3" w:rsidP="00E51817">
      <w:pPr>
        <w:widowControl w:val="0"/>
        <w:rPr>
          <w:color w:val="000000"/>
          <w:szCs w:val="22"/>
        </w:rPr>
      </w:pPr>
    </w:p>
    <w:p w14:paraId="375EBBD7" w14:textId="77777777" w:rsidR="009061E3" w:rsidRPr="00263DB9" w:rsidRDefault="009061E3" w:rsidP="00E51817">
      <w:pPr>
        <w:widowControl w:val="0"/>
        <w:pBdr>
          <w:top w:val="single" w:sz="4" w:space="1" w:color="auto"/>
          <w:left w:val="single" w:sz="4" w:space="4" w:color="auto"/>
          <w:bottom w:val="single" w:sz="4" w:space="1" w:color="auto"/>
          <w:right w:val="single" w:sz="4" w:space="4" w:color="auto"/>
        </w:pBdr>
        <w:ind w:left="-3"/>
        <w:outlineLvl w:val="0"/>
        <w:rPr>
          <w:i/>
          <w:noProof/>
        </w:rPr>
      </w:pPr>
      <w:r w:rsidRPr="00263DB9">
        <w:rPr>
          <w:b/>
          <w:noProof/>
        </w:rPr>
        <w:t>17.</w:t>
      </w:r>
      <w:r w:rsidRPr="00263DB9">
        <w:rPr>
          <w:b/>
          <w:noProof/>
        </w:rPr>
        <w:tab/>
        <w:t>IDENTIFICADOR ÚNICO – CÓDIGO DE BARRAS 2D</w:t>
      </w:r>
    </w:p>
    <w:p w14:paraId="375EBBD8" w14:textId="77777777" w:rsidR="009061E3" w:rsidRPr="00263DB9" w:rsidRDefault="009061E3" w:rsidP="00E51817">
      <w:pPr>
        <w:widowControl w:val="0"/>
        <w:rPr>
          <w:noProof/>
        </w:rPr>
      </w:pPr>
    </w:p>
    <w:p w14:paraId="375EBBD9" w14:textId="77777777" w:rsidR="009061E3" w:rsidRPr="00263DB9" w:rsidRDefault="009061E3" w:rsidP="00E51817">
      <w:pPr>
        <w:widowControl w:val="0"/>
        <w:rPr>
          <w:shd w:val="pct15" w:color="auto" w:fill="auto"/>
        </w:rPr>
      </w:pPr>
      <w:r w:rsidRPr="00263DB9">
        <w:rPr>
          <w:shd w:val="pct15" w:color="auto" w:fill="auto"/>
        </w:rPr>
        <w:t>Código de barras 2D com identificador único incluído.</w:t>
      </w:r>
    </w:p>
    <w:p w14:paraId="375EBBDA" w14:textId="77777777" w:rsidR="009061E3" w:rsidRPr="00263DB9" w:rsidRDefault="009061E3" w:rsidP="00E51817">
      <w:pPr>
        <w:widowControl w:val="0"/>
        <w:rPr>
          <w:noProof/>
          <w:szCs w:val="22"/>
          <w:shd w:val="clear" w:color="auto" w:fill="CCCCCC"/>
        </w:rPr>
      </w:pPr>
    </w:p>
    <w:p w14:paraId="375EBBDB" w14:textId="77777777" w:rsidR="009061E3" w:rsidRPr="00263DB9" w:rsidRDefault="009061E3" w:rsidP="00E51817">
      <w:pPr>
        <w:widowControl w:val="0"/>
        <w:rPr>
          <w:noProof/>
          <w:szCs w:val="22"/>
          <w:shd w:val="clear" w:color="auto" w:fill="CCCCCC"/>
        </w:rPr>
      </w:pPr>
    </w:p>
    <w:p w14:paraId="375EBBDC" w14:textId="77777777" w:rsidR="009061E3" w:rsidRPr="00263DB9" w:rsidRDefault="00A75E40" w:rsidP="00831CCB">
      <w:pPr>
        <w:keepNext/>
        <w:widowControl w:val="0"/>
        <w:pBdr>
          <w:top w:val="single" w:sz="4" w:space="1" w:color="auto"/>
          <w:left w:val="single" w:sz="4" w:space="4" w:color="auto"/>
          <w:bottom w:val="single" w:sz="4" w:space="1" w:color="auto"/>
          <w:right w:val="single" w:sz="4" w:space="4" w:color="auto"/>
        </w:pBdr>
        <w:outlineLvl w:val="0"/>
        <w:rPr>
          <w:i/>
          <w:noProof/>
        </w:rPr>
      </w:pPr>
      <w:r w:rsidRPr="00263DB9">
        <w:rPr>
          <w:b/>
          <w:noProof/>
        </w:rPr>
        <w:t>18.</w:t>
      </w:r>
      <w:r w:rsidRPr="00263DB9">
        <w:rPr>
          <w:b/>
          <w:noProof/>
        </w:rPr>
        <w:tab/>
      </w:r>
      <w:r w:rsidR="009061E3" w:rsidRPr="00263DB9">
        <w:rPr>
          <w:b/>
          <w:noProof/>
        </w:rPr>
        <w:t>IDENTIFICADOR ÚNICO - DADOS PARA LEITURA HUMANA</w:t>
      </w:r>
    </w:p>
    <w:p w14:paraId="375EBBDD" w14:textId="77777777" w:rsidR="009061E3" w:rsidRPr="00263DB9" w:rsidRDefault="009061E3" w:rsidP="00831CCB">
      <w:pPr>
        <w:keepNext/>
        <w:widowControl w:val="0"/>
        <w:rPr>
          <w:noProof/>
        </w:rPr>
      </w:pPr>
    </w:p>
    <w:p w14:paraId="375EBBDE" w14:textId="77777777" w:rsidR="009061E3" w:rsidRPr="00263DB9" w:rsidRDefault="009061E3" w:rsidP="00831CCB">
      <w:pPr>
        <w:keepNext/>
        <w:widowControl w:val="0"/>
        <w:rPr>
          <w:szCs w:val="22"/>
        </w:rPr>
      </w:pPr>
      <w:r w:rsidRPr="00263DB9">
        <w:t>PC:</w:t>
      </w:r>
    </w:p>
    <w:p w14:paraId="375EBBDF" w14:textId="77777777" w:rsidR="009061E3" w:rsidRPr="00263DB9" w:rsidRDefault="009061E3" w:rsidP="00831CCB">
      <w:pPr>
        <w:keepNext/>
        <w:widowControl w:val="0"/>
        <w:rPr>
          <w:szCs w:val="22"/>
        </w:rPr>
      </w:pPr>
      <w:r w:rsidRPr="00263DB9">
        <w:t>SN:</w:t>
      </w:r>
    </w:p>
    <w:p w14:paraId="375EBBE0" w14:textId="77777777" w:rsidR="00906898" w:rsidRPr="00263DB9" w:rsidRDefault="009061E3" w:rsidP="00E51817">
      <w:pPr>
        <w:widowControl w:val="0"/>
        <w:rPr>
          <w:color w:val="000000"/>
          <w:szCs w:val="22"/>
        </w:rPr>
      </w:pPr>
      <w:r w:rsidRPr="00263DB9">
        <w:t>NN:</w:t>
      </w:r>
    </w:p>
    <w:p w14:paraId="375EBBE1" w14:textId="77777777" w:rsidR="00906898" w:rsidRPr="00263DB9" w:rsidRDefault="00906898" w:rsidP="00E51817">
      <w:pPr>
        <w:widowControl w:val="0"/>
        <w:suppressAutoHyphens/>
        <w:rPr>
          <w:color w:val="000000"/>
          <w:szCs w:val="22"/>
        </w:rPr>
      </w:pPr>
      <w:r w:rsidRPr="00263DB9">
        <w:rPr>
          <w:color w:val="000000"/>
          <w:szCs w:val="22"/>
        </w:rPr>
        <w:br w:type="page"/>
      </w:r>
    </w:p>
    <w:p w14:paraId="375EBBE2" w14:textId="77777777" w:rsidR="00831CCB" w:rsidRPr="00263DB9" w:rsidRDefault="00831CCB" w:rsidP="00831CCB">
      <w:pPr>
        <w:widowControl w:val="0"/>
        <w:suppressAutoHyphens/>
        <w:ind w:right="14"/>
        <w:rPr>
          <w:color w:val="000000"/>
          <w:szCs w:val="22"/>
        </w:rPr>
      </w:pPr>
    </w:p>
    <w:p w14:paraId="375EBBE3"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rPr>
          <w:b/>
          <w:color w:val="000000"/>
          <w:szCs w:val="22"/>
        </w:rPr>
      </w:pPr>
      <w:r w:rsidRPr="00263DB9">
        <w:rPr>
          <w:b/>
          <w:color w:val="000000"/>
          <w:szCs w:val="22"/>
        </w:rPr>
        <w:t>INDICAÇÕES MÍNIMAS A INCLUIR NAS EMBALAGENS “BLISTER” OU FITAS CONTENTORAS</w:t>
      </w:r>
    </w:p>
    <w:p w14:paraId="375EBBE4"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rPr>
          <w:color w:val="000000"/>
          <w:szCs w:val="22"/>
        </w:rPr>
      </w:pPr>
    </w:p>
    <w:p w14:paraId="375EBBE5"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rPr>
          <w:color w:val="000000"/>
          <w:szCs w:val="22"/>
        </w:rPr>
      </w:pPr>
      <w:r w:rsidRPr="00263DB9">
        <w:rPr>
          <w:b/>
          <w:color w:val="000000"/>
          <w:szCs w:val="22"/>
        </w:rPr>
        <w:t>BLISTERS</w:t>
      </w:r>
    </w:p>
    <w:p w14:paraId="375EBBE6" w14:textId="77777777" w:rsidR="00906898" w:rsidRPr="00263DB9" w:rsidRDefault="00906898" w:rsidP="00E51817">
      <w:pPr>
        <w:widowControl w:val="0"/>
        <w:suppressAutoHyphens/>
        <w:ind w:right="14"/>
        <w:rPr>
          <w:color w:val="000000"/>
          <w:szCs w:val="22"/>
        </w:rPr>
      </w:pPr>
    </w:p>
    <w:p w14:paraId="375EBBE7" w14:textId="77777777" w:rsidR="00906898" w:rsidRPr="00263DB9" w:rsidRDefault="00906898" w:rsidP="00E51817">
      <w:pPr>
        <w:widowControl w:val="0"/>
        <w:suppressAutoHyphens/>
        <w:ind w:right="14"/>
        <w:rPr>
          <w:color w:val="000000"/>
          <w:szCs w:val="22"/>
        </w:rPr>
      </w:pPr>
    </w:p>
    <w:p w14:paraId="375EBBE8"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w:t>
      </w:r>
      <w:r w:rsidRPr="00263DB9">
        <w:rPr>
          <w:b/>
          <w:color w:val="000000"/>
          <w:szCs w:val="22"/>
        </w:rPr>
        <w:tab/>
        <w:t>NOME DO MEDICAMENTO</w:t>
      </w:r>
    </w:p>
    <w:p w14:paraId="375EBBE9" w14:textId="77777777" w:rsidR="00906898" w:rsidRPr="00263DB9" w:rsidRDefault="00906898" w:rsidP="00E51817">
      <w:pPr>
        <w:widowControl w:val="0"/>
        <w:suppressAutoHyphens/>
        <w:ind w:right="14"/>
        <w:rPr>
          <w:color w:val="000000"/>
          <w:szCs w:val="22"/>
        </w:rPr>
      </w:pPr>
    </w:p>
    <w:p w14:paraId="375EBBEA" w14:textId="77777777" w:rsidR="00906898" w:rsidRPr="00263DB9" w:rsidRDefault="00906898" w:rsidP="00E51817">
      <w:pPr>
        <w:widowControl w:val="0"/>
        <w:suppressAutoHyphens/>
        <w:ind w:right="14"/>
        <w:rPr>
          <w:color w:val="000000"/>
          <w:szCs w:val="22"/>
        </w:rPr>
      </w:pPr>
      <w:r w:rsidRPr="00263DB9">
        <w:rPr>
          <w:color w:val="000000"/>
          <w:szCs w:val="22"/>
        </w:rPr>
        <w:t>Glivec 100 mg cápsulas</w:t>
      </w:r>
    </w:p>
    <w:p w14:paraId="375EBBEB" w14:textId="77777777" w:rsidR="00906898" w:rsidRPr="00263DB9" w:rsidRDefault="001104DD" w:rsidP="00E51817">
      <w:pPr>
        <w:widowControl w:val="0"/>
        <w:suppressAutoHyphens/>
        <w:ind w:right="14"/>
        <w:rPr>
          <w:color w:val="000000"/>
          <w:szCs w:val="22"/>
        </w:rPr>
      </w:pPr>
      <w:r w:rsidRPr="00263DB9">
        <w:rPr>
          <w:color w:val="000000"/>
          <w:szCs w:val="22"/>
        </w:rPr>
        <w:t>i</w:t>
      </w:r>
      <w:r w:rsidR="00906898" w:rsidRPr="00263DB9">
        <w:rPr>
          <w:color w:val="000000"/>
          <w:szCs w:val="22"/>
        </w:rPr>
        <w:t>matinib</w:t>
      </w:r>
    </w:p>
    <w:p w14:paraId="375EBBEC" w14:textId="77777777" w:rsidR="00906898" w:rsidRPr="00263DB9" w:rsidRDefault="00906898" w:rsidP="00E51817">
      <w:pPr>
        <w:widowControl w:val="0"/>
        <w:suppressAutoHyphens/>
        <w:ind w:right="14"/>
        <w:rPr>
          <w:color w:val="000000"/>
          <w:szCs w:val="22"/>
        </w:rPr>
      </w:pPr>
    </w:p>
    <w:p w14:paraId="375EBBED" w14:textId="77777777" w:rsidR="00906898" w:rsidRPr="00263DB9" w:rsidRDefault="00906898" w:rsidP="00E51817">
      <w:pPr>
        <w:widowControl w:val="0"/>
        <w:suppressAutoHyphens/>
        <w:ind w:right="14"/>
        <w:rPr>
          <w:color w:val="000000"/>
          <w:szCs w:val="22"/>
        </w:rPr>
      </w:pPr>
    </w:p>
    <w:p w14:paraId="375EBBEE"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2.</w:t>
      </w:r>
      <w:r w:rsidRPr="00263DB9">
        <w:rPr>
          <w:b/>
          <w:color w:val="000000"/>
          <w:szCs w:val="22"/>
        </w:rPr>
        <w:tab/>
        <w:t>NOME DO TITULAR DA AUTORIZAÇÃO DE INTRODUÇÃO NO MERCADO</w:t>
      </w:r>
    </w:p>
    <w:p w14:paraId="375EBBEF" w14:textId="77777777" w:rsidR="00906898" w:rsidRPr="00263DB9" w:rsidRDefault="00906898" w:rsidP="00E51817">
      <w:pPr>
        <w:widowControl w:val="0"/>
        <w:suppressAutoHyphens/>
        <w:ind w:right="14"/>
        <w:rPr>
          <w:color w:val="000000"/>
          <w:szCs w:val="22"/>
        </w:rPr>
      </w:pPr>
    </w:p>
    <w:p w14:paraId="375EBBF0" w14:textId="77777777" w:rsidR="00906898" w:rsidRPr="00263DB9" w:rsidRDefault="00906898" w:rsidP="00E51817">
      <w:pPr>
        <w:widowControl w:val="0"/>
        <w:suppressAutoHyphens/>
        <w:ind w:right="14"/>
        <w:rPr>
          <w:color w:val="000000"/>
          <w:szCs w:val="22"/>
        </w:rPr>
      </w:pPr>
      <w:r w:rsidRPr="00263DB9">
        <w:rPr>
          <w:color w:val="000000"/>
          <w:szCs w:val="22"/>
        </w:rPr>
        <w:t>Novartis Europharm Limited</w:t>
      </w:r>
    </w:p>
    <w:p w14:paraId="375EBBF1" w14:textId="77777777" w:rsidR="00906898" w:rsidRPr="00263DB9" w:rsidRDefault="00906898" w:rsidP="00E51817">
      <w:pPr>
        <w:widowControl w:val="0"/>
        <w:suppressAutoHyphens/>
        <w:ind w:right="14"/>
        <w:rPr>
          <w:color w:val="000000"/>
          <w:szCs w:val="22"/>
        </w:rPr>
      </w:pPr>
    </w:p>
    <w:p w14:paraId="375EBBF2" w14:textId="77777777" w:rsidR="00906898" w:rsidRPr="00263DB9" w:rsidRDefault="00906898" w:rsidP="00E51817">
      <w:pPr>
        <w:widowControl w:val="0"/>
        <w:suppressAutoHyphens/>
        <w:ind w:right="14"/>
        <w:rPr>
          <w:color w:val="000000"/>
          <w:szCs w:val="22"/>
        </w:rPr>
      </w:pPr>
    </w:p>
    <w:p w14:paraId="375EBBF3"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3.</w:t>
      </w:r>
      <w:r w:rsidRPr="00263DB9">
        <w:rPr>
          <w:b/>
          <w:color w:val="000000"/>
          <w:szCs w:val="22"/>
        </w:rPr>
        <w:tab/>
        <w:t>PRAZO DE VALIDADE</w:t>
      </w:r>
    </w:p>
    <w:p w14:paraId="375EBBF4" w14:textId="77777777" w:rsidR="00906898" w:rsidRPr="00263DB9" w:rsidRDefault="00906898" w:rsidP="00E51817">
      <w:pPr>
        <w:widowControl w:val="0"/>
        <w:suppressAutoHyphens/>
        <w:ind w:right="14"/>
        <w:rPr>
          <w:color w:val="000000"/>
          <w:szCs w:val="22"/>
        </w:rPr>
      </w:pPr>
    </w:p>
    <w:p w14:paraId="375EBBF5" w14:textId="77777777" w:rsidR="00906898" w:rsidRPr="00263DB9" w:rsidRDefault="00906898" w:rsidP="00E51817">
      <w:pPr>
        <w:widowControl w:val="0"/>
        <w:suppressAutoHyphens/>
        <w:ind w:right="14"/>
        <w:rPr>
          <w:i/>
          <w:color w:val="000000"/>
          <w:szCs w:val="22"/>
        </w:rPr>
      </w:pPr>
      <w:r w:rsidRPr="00263DB9">
        <w:rPr>
          <w:color w:val="000000"/>
          <w:szCs w:val="22"/>
        </w:rPr>
        <w:t>EXP</w:t>
      </w:r>
    </w:p>
    <w:p w14:paraId="375EBBF6" w14:textId="77777777" w:rsidR="00906898" w:rsidRPr="00263DB9" w:rsidRDefault="00906898" w:rsidP="00E51817">
      <w:pPr>
        <w:widowControl w:val="0"/>
        <w:suppressAutoHyphens/>
        <w:ind w:right="14"/>
        <w:rPr>
          <w:color w:val="000000"/>
          <w:szCs w:val="22"/>
        </w:rPr>
      </w:pPr>
    </w:p>
    <w:p w14:paraId="375EBBF7" w14:textId="77777777" w:rsidR="00906898" w:rsidRPr="00263DB9" w:rsidRDefault="00906898" w:rsidP="00E51817">
      <w:pPr>
        <w:widowControl w:val="0"/>
        <w:suppressAutoHyphens/>
        <w:ind w:right="14"/>
        <w:rPr>
          <w:color w:val="000000"/>
          <w:szCs w:val="22"/>
        </w:rPr>
      </w:pPr>
    </w:p>
    <w:p w14:paraId="375EBBF8"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4.</w:t>
      </w:r>
      <w:r w:rsidRPr="00263DB9">
        <w:rPr>
          <w:b/>
          <w:color w:val="000000"/>
          <w:szCs w:val="22"/>
        </w:rPr>
        <w:tab/>
        <w:t>NÚMERO DO LOTE</w:t>
      </w:r>
    </w:p>
    <w:p w14:paraId="375EBBF9" w14:textId="77777777" w:rsidR="00906898" w:rsidRPr="00263DB9" w:rsidRDefault="00906898" w:rsidP="00E51817">
      <w:pPr>
        <w:widowControl w:val="0"/>
        <w:suppressAutoHyphens/>
        <w:ind w:right="14"/>
        <w:rPr>
          <w:color w:val="000000"/>
          <w:szCs w:val="22"/>
        </w:rPr>
      </w:pPr>
    </w:p>
    <w:p w14:paraId="375EBBFA" w14:textId="2B281CCA" w:rsidR="00906898" w:rsidRPr="00263DB9" w:rsidRDefault="00195DDF" w:rsidP="00E51817">
      <w:pPr>
        <w:widowControl w:val="0"/>
        <w:rPr>
          <w:color w:val="000000"/>
          <w:szCs w:val="22"/>
        </w:rPr>
      </w:pPr>
      <w:r w:rsidRPr="00263DB9">
        <w:rPr>
          <w:color w:val="000000"/>
          <w:szCs w:val="22"/>
        </w:rPr>
        <w:t>Lot</w:t>
      </w:r>
    </w:p>
    <w:p w14:paraId="375EBBFB" w14:textId="77777777" w:rsidR="00906898" w:rsidRPr="00263DB9" w:rsidRDefault="00906898" w:rsidP="00E51817">
      <w:pPr>
        <w:widowControl w:val="0"/>
        <w:rPr>
          <w:color w:val="000000"/>
          <w:szCs w:val="22"/>
        </w:rPr>
      </w:pPr>
    </w:p>
    <w:p w14:paraId="375EBBFC" w14:textId="77777777" w:rsidR="00906898" w:rsidRPr="00263DB9" w:rsidRDefault="00906898" w:rsidP="00E51817">
      <w:pPr>
        <w:widowControl w:val="0"/>
        <w:rPr>
          <w:color w:val="000000"/>
          <w:szCs w:val="22"/>
        </w:rPr>
      </w:pPr>
    </w:p>
    <w:p w14:paraId="375EBBFD"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tabs>
          <w:tab w:val="left" w:pos="142"/>
        </w:tabs>
        <w:ind w:left="567" w:hanging="567"/>
        <w:rPr>
          <w:b/>
          <w:noProof/>
          <w:color w:val="000000"/>
        </w:rPr>
      </w:pPr>
      <w:r w:rsidRPr="00263DB9">
        <w:rPr>
          <w:b/>
          <w:noProof/>
          <w:color w:val="000000"/>
        </w:rPr>
        <w:t>5.</w:t>
      </w:r>
      <w:r w:rsidRPr="00263DB9">
        <w:rPr>
          <w:b/>
          <w:noProof/>
          <w:color w:val="000000"/>
        </w:rPr>
        <w:tab/>
        <w:t>OUTRAS</w:t>
      </w:r>
    </w:p>
    <w:p w14:paraId="375EBBFE" w14:textId="77777777" w:rsidR="00906898" w:rsidRPr="00263DB9" w:rsidRDefault="00906898" w:rsidP="00E51817">
      <w:pPr>
        <w:widowControl w:val="0"/>
        <w:suppressAutoHyphens/>
        <w:ind w:right="14"/>
        <w:rPr>
          <w:color w:val="000000"/>
          <w:szCs w:val="22"/>
        </w:rPr>
      </w:pPr>
    </w:p>
    <w:p w14:paraId="375EBBFF" w14:textId="77777777" w:rsidR="00906898" w:rsidRPr="00263DB9" w:rsidRDefault="00906898" w:rsidP="00E51817">
      <w:pPr>
        <w:widowControl w:val="0"/>
        <w:shd w:val="clear" w:color="auto" w:fill="FFFFFF"/>
        <w:suppressAutoHyphens/>
        <w:ind w:right="14"/>
        <w:rPr>
          <w:color w:val="000000"/>
          <w:szCs w:val="22"/>
        </w:rPr>
      </w:pPr>
      <w:r w:rsidRPr="00263DB9">
        <w:rPr>
          <w:color w:val="000000"/>
          <w:szCs w:val="22"/>
        </w:rPr>
        <w:br w:type="page"/>
      </w:r>
    </w:p>
    <w:p w14:paraId="375EBC00" w14:textId="77777777" w:rsidR="00831CCB" w:rsidRPr="00263DB9" w:rsidRDefault="00831CCB" w:rsidP="00831CCB">
      <w:pPr>
        <w:widowControl w:val="0"/>
        <w:suppressAutoHyphens/>
        <w:ind w:right="14"/>
        <w:rPr>
          <w:color w:val="000000"/>
          <w:szCs w:val="22"/>
        </w:rPr>
      </w:pPr>
    </w:p>
    <w:p w14:paraId="375EBC01"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hd w:val="clear" w:color="auto" w:fill="FFFFFF"/>
        <w:suppressAutoHyphens/>
        <w:ind w:right="14"/>
        <w:rPr>
          <w:b/>
          <w:color w:val="000000"/>
          <w:szCs w:val="22"/>
        </w:rPr>
      </w:pPr>
      <w:r w:rsidRPr="00263DB9">
        <w:rPr>
          <w:b/>
          <w:color w:val="000000"/>
          <w:szCs w:val="22"/>
        </w:rPr>
        <w:t>INDICAÇÕES A INCLUIR NO ACONDICIONAMENTO SECUNDÁRIO</w:t>
      </w:r>
    </w:p>
    <w:p w14:paraId="375EBC02"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hd w:val="clear" w:color="auto" w:fill="FFFFFF"/>
        <w:suppressAutoHyphens/>
        <w:ind w:right="14"/>
        <w:rPr>
          <w:color w:val="000000"/>
          <w:szCs w:val="22"/>
        </w:rPr>
      </w:pPr>
    </w:p>
    <w:p w14:paraId="375EBC03"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hd w:val="clear" w:color="auto" w:fill="FFFFFF"/>
        <w:suppressAutoHyphens/>
        <w:ind w:right="14"/>
        <w:rPr>
          <w:b/>
          <w:caps/>
          <w:color w:val="000000"/>
          <w:szCs w:val="22"/>
        </w:rPr>
      </w:pPr>
      <w:r w:rsidRPr="00263DB9">
        <w:rPr>
          <w:b/>
          <w:caps/>
          <w:color w:val="000000"/>
          <w:szCs w:val="22"/>
        </w:rPr>
        <w:t>Cartonagem</w:t>
      </w:r>
    </w:p>
    <w:p w14:paraId="375EBC04" w14:textId="77777777" w:rsidR="00906898" w:rsidRPr="00263DB9" w:rsidRDefault="00906898" w:rsidP="00E51817">
      <w:pPr>
        <w:widowControl w:val="0"/>
        <w:suppressAutoHyphens/>
        <w:ind w:right="14"/>
        <w:rPr>
          <w:color w:val="000000"/>
          <w:szCs w:val="22"/>
        </w:rPr>
      </w:pPr>
    </w:p>
    <w:p w14:paraId="375EBC05" w14:textId="77777777" w:rsidR="00906898" w:rsidRPr="00263DB9" w:rsidRDefault="00906898" w:rsidP="00E51817">
      <w:pPr>
        <w:widowControl w:val="0"/>
        <w:suppressAutoHyphens/>
        <w:ind w:right="14"/>
        <w:rPr>
          <w:color w:val="000000"/>
          <w:szCs w:val="22"/>
        </w:rPr>
      </w:pPr>
    </w:p>
    <w:p w14:paraId="375EBC06"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w:t>
      </w:r>
      <w:r w:rsidRPr="00263DB9">
        <w:rPr>
          <w:b/>
          <w:color w:val="000000"/>
          <w:szCs w:val="22"/>
        </w:rPr>
        <w:tab/>
        <w:t>NOME DO MEDICAMENTO</w:t>
      </w:r>
    </w:p>
    <w:p w14:paraId="375EBC07" w14:textId="77777777" w:rsidR="00906898" w:rsidRPr="00263DB9" w:rsidRDefault="00906898" w:rsidP="00E51817">
      <w:pPr>
        <w:widowControl w:val="0"/>
        <w:suppressAutoHyphens/>
        <w:ind w:right="14"/>
        <w:rPr>
          <w:color w:val="000000"/>
          <w:szCs w:val="22"/>
        </w:rPr>
      </w:pPr>
    </w:p>
    <w:p w14:paraId="375EBC08" w14:textId="77777777" w:rsidR="00906898" w:rsidRPr="00263DB9" w:rsidRDefault="00906898" w:rsidP="00E51817">
      <w:pPr>
        <w:widowControl w:val="0"/>
        <w:suppressAutoHyphens/>
        <w:ind w:right="14"/>
        <w:rPr>
          <w:color w:val="000000"/>
          <w:szCs w:val="22"/>
        </w:rPr>
      </w:pPr>
      <w:r w:rsidRPr="00263DB9">
        <w:rPr>
          <w:color w:val="000000"/>
          <w:szCs w:val="22"/>
        </w:rPr>
        <w:t>Glivec 100 mg comprimidos revestidos por película</w:t>
      </w:r>
    </w:p>
    <w:p w14:paraId="375EBC09" w14:textId="77777777" w:rsidR="00906898" w:rsidRPr="00263DB9" w:rsidRDefault="001104DD" w:rsidP="00E51817">
      <w:pPr>
        <w:widowControl w:val="0"/>
        <w:suppressAutoHyphens/>
        <w:ind w:right="14"/>
        <w:rPr>
          <w:color w:val="000000"/>
          <w:szCs w:val="22"/>
        </w:rPr>
      </w:pPr>
      <w:r w:rsidRPr="00263DB9">
        <w:rPr>
          <w:color w:val="000000"/>
          <w:szCs w:val="22"/>
        </w:rPr>
        <w:t>i</w:t>
      </w:r>
      <w:r w:rsidR="00906898" w:rsidRPr="00263DB9">
        <w:rPr>
          <w:color w:val="000000"/>
          <w:szCs w:val="22"/>
        </w:rPr>
        <w:t>matinib</w:t>
      </w:r>
    </w:p>
    <w:p w14:paraId="375EBC0A" w14:textId="77777777" w:rsidR="00906898" w:rsidRPr="00263DB9" w:rsidRDefault="00906898" w:rsidP="00E51817">
      <w:pPr>
        <w:widowControl w:val="0"/>
        <w:suppressAutoHyphens/>
        <w:ind w:right="14"/>
        <w:rPr>
          <w:color w:val="000000"/>
          <w:szCs w:val="22"/>
        </w:rPr>
      </w:pPr>
    </w:p>
    <w:p w14:paraId="375EBC0B" w14:textId="77777777" w:rsidR="00906898" w:rsidRPr="00263DB9" w:rsidRDefault="00906898" w:rsidP="00E51817">
      <w:pPr>
        <w:widowControl w:val="0"/>
        <w:suppressAutoHyphens/>
        <w:ind w:right="14"/>
        <w:rPr>
          <w:color w:val="000000"/>
          <w:szCs w:val="22"/>
        </w:rPr>
      </w:pPr>
    </w:p>
    <w:p w14:paraId="375EBC0C"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b/>
          <w:color w:val="000000"/>
          <w:szCs w:val="22"/>
        </w:rPr>
      </w:pPr>
      <w:r w:rsidRPr="00263DB9">
        <w:rPr>
          <w:b/>
          <w:color w:val="000000"/>
          <w:szCs w:val="22"/>
        </w:rPr>
        <w:t>2.</w:t>
      </w:r>
      <w:r w:rsidRPr="00263DB9">
        <w:rPr>
          <w:b/>
          <w:color w:val="000000"/>
          <w:szCs w:val="22"/>
        </w:rPr>
        <w:tab/>
        <w:t>DESCRIÇÃO DA(S) SUBSTÂNCIA(S) ATIVA(S)</w:t>
      </w:r>
    </w:p>
    <w:p w14:paraId="375EBC0D" w14:textId="77777777" w:rsidR="00906898" w:rsidRPr="00263DB9" w:rsidRDefault="00906898" w:rsidP="00E51817">
      <w:pPr>
        <w:widowControl w:val="0"/>
        <w:suppressAutoHyphens/>
        <w:ind w:right="14"/>
        <w:rPr>
          <w:color w:val="000000"/>
          <w:szCs w:val="22"/>
        </w:rPr>
      </w:pPr>
    </w:p>
    <w:p w14:paraId="375EBC0E" w14:textId="77777777" w:rsidR="00906898" w:rsidRPr="00263DB9" w:rsidRDefault="00906898" w:rsidP="00E51817">
      <w:pPr>
        <w:widowControl w:val="0"/>
        <w:suppressAutoHyphens/>
        <w:ind w:right="14"/>
        <w:rPr>
          <w:color w:val="000000"/>
          <w:szCs w:val="22"/>
        </w:rPr>
      </w:pPr>
      <w:r w:rsidRPr="00263DB9">
        <w:rPr>
          <w:color w:val="000000"/>
          <w:szCs w:val="22"/>
        </w:rPr>
        <w:t>Cada comprimido revestido por película contém 100 mg de imatinib (como mesilato).</w:t>
      </w:r>
    </w:p>
    <w:p w14:paraId="375EBC0F" w14:textId="77777777" w:rsidR="00906898" w:rsidRPr="00263DB9" w:rsidRDefault="00906898" w:rsidP="00E51817">
      <w:pPr>
        <w:widowControl w:val="0"/>
        <w:suppressAutoHyphens/>
        <w:ind w:right="14"/>
        <w:rPr>
          <w:color w:val="000000"/>
          <w:szCs w:val="22"/>
        </w:rPr>
      </w:pPr>
    </w:p>
    <w:p w14:paraId="375EBC10" w14:textId="77777777" w:rsidR="00906898" w:rsidRPr="00263DB9" w:rsidRDefault="00906898" w:rsidP="00E51817">
      <w:pPr>
        <w:widowControl w:val="0"/>
        <w:suppressAutoHyphens/>
        <w:ind w:right="14"/>
        <w:rPr>
          <w:color w:val="000000"/>
          <w:szCs w:val="22"/>
        </w:rPr>
      </w:pPr>
    </w:p>
    <w:p w14:paraId="375EBC11"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3.</w:t>
      </w:r>
      <w:r w:rsidRPr="00263DB9">
        <w:rPr>
          <w:b/>
          <w:color w:val="000000"/>
          <w:szCs w:val="22"/>
        </w:rPr>
        <w:tab/>
        <w:t>LISTA DOS EXCIPIENTES</w:t>
      </w:r>
    </w:p>
    <w:p w14:paraId="375EBC12" w14:textId="77777777" w:rsidR="00906898" w:rsidRPr="00263DB9" w:rsidRDefault="00906898" w:rsidP="00E51817">
      <w:pPr>
        <w:widowControl w:val="0"/>
        <w:suppressAutoHyphens/>
        <w:ind w:right="14"/>
        <w:rPr>
          <w:color w:val="000000"/>
          <w:szCs w:val="22"/>
        </w:rPr>
      </w:pPr>
    </w:p>
    <w:p w14:paraId="375EBC13" w14:textId="77777777" w:rsidR="00906898" w:rsidRPr="00263DB9" w:rsidRDefault="00906898" w:rsidP="00E51817">
      <w:pPr>
        <w:widowControl w:val="0"/>
        <w:suppressAutoHyphens/>
        <w:ind w:right="14"/>
        <w:rPr>
          <w:color w:val="000000"/>
          <w:szCs w:val="22"/>
        </w:rPr>
      </w:pPr>
    </w:p>
    <w:p w14:paraId="375EBC14"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4.</w:t>
      </w:r>
      <w:r w:rsidRPr="00263DB9">
        <w:rPr>
          <w:b/>
          <w:color w:val="000000"/>
          <w:szCs w:val="22"/>
        </w:rPr>
        <w:tab/>
        <w:t>FORMA FARMACÊUTICA E CONTEÚDO</w:t>
      </w:r>
    </w:p>
    <w:p w14:paraId="375EBC15" w14:textId="77777777" w:rsidR="00906898" w:rsidRPr="00263DB9" w:rsidRDefault="00906898" w:rsidP="00E51817">
      <w:pPr>
        <w:widowControl w:val="0"/>
        <w:suppressAutoHyphens/>
        <w:ind w:right="14"/>
        <w:rPr>
          <w:color w:val="000000"/>
          <w:szCs w:val="22"/>
        </w:rPr>
      </w:pPr>
    </w:p>
    <w:p w14:paraId="375EBC16" w14:textId="77777777" w:rsidR="00906898" w:rsidRPr="00263DB9" w:rsidRDefault="00906898" w:rsidP="00E51817">
      <w:pPr>
        <w:widowControl w:val="0"/>
        <w:suppressAutoHyphens/>
        <w:ind w:right="14"/>
        <w:rPr>
          <w:color w:val="000000"/>
          <w:szCs w:val="22"/>
        </w:rPr>
      </w:pPr>
      <w:r w:rsidRPr="00263DB9">
        <w:rPr>
          <w:color w:val="000000"/>
          <w:szCs w:val="22"/>
        </w:rPr>
        <w:t>20 comprimidos revestidos por película,</w:t>
      </w:r>
    </w:p>
    <w:p w14:paraId="375EBC17" w14:textId="77777777" w:rsidR="00906898" w:rsidRPr="00263DB9" w:rsidRDefault="00906898" w:rsidP="00E51817">
      <w:pPr>
        <w:widowControl w:val="0"/>
        <w:suppressAutoHyphens/>
        <w:ind w:right="14"/>
        <w:rPr>
          <w:color w:val="000000"/>
          <w:szCs w:val="22"/>
          <w:shd w:val="clear" w:color="auto" w:fill="D9D9D9"/>
        </w:rPr>
      </w:pPr>
      <w:r w:rsidRPr="00263DB9">
        <w:rPr>
          <w:color w:val="000000"/>
          <w:szCs w:val="22"/>
          <w:shd w:val="clear" w:color="auto" w:fill="D9D9D9"/>
        </w:rPr>
        <w:t>60 comprimidos revestidos por película,</w:t>
      </w:r>
    </w:p>
    <w:p w14:paraId="375EBC18" w14:textId="77777777" w:rsidR="00906898" w:rsidRPr="00263DB9" w:rsidRDefault="00906898" w:rsidP="00E51817">
      <w:pPr>
        <w:widowControl w:val="0"/>
        <w:suppressAutoHyphens/>
        <w:ind w:right="14"/>
        <w:rPr>
          <w:color w:val="000000"/>
          <w:szCs w:val="22"/>
          <w:shd w:val="clear" w:color="auto" w:fill="D9D9D9"/>
        </w:rPr>
      </w:pPr>
      <w:r w:rsidRPr="00263DB9">
        <w:rPr>
          <w:color w:val="000000"/>
          <w:szCs w:val="22"/>
          <w:shd w:val="clear" w:color="auto" w:fill="D9D9D9"/>
        </w:rPr>
        <w:t>120 comprimidos revestidos por película,</w:t>
      </w:r>
    </w:p>
    <w:p w14:paraId="375EBC19" w14:textId="77777777" w:rsidR="00906898" w:rsidRPr="00263DB9" w:rsidRDefault="00906898" w:rsidP="00E51817">
      <w:pPr>
        <w:widowControl w:val="0"/>
        <w:suppressAutoHyphens/>
        <w:ind w:right="14"/>
        <w:rPr>
          <w:color w:val="000000"/>
          <w:szCs w:val="22"/>
          <w:shd w:val="clear" w:color="auto" w:fill="D9D9D9"/>
        </w:rPr>
      </w:pPr>
      <w:r w:rsidRPr="00263DB9">
        <w:rPr>
          <w:color w:val="000000"/>
          <w:szCs w:val="22"/>
          <w:shd w:val="clear" w:color="auto" w:fill="D9D9D9"/>
        </w:rPr>
        <w:t>180 comprimidos revestidos por película,</w:t>
      </w:r>
    </w:p>
    <w:p w14:paraId="375EBC1A" w14:textId="77777777" w:rsidR="00906898" w:rsidRPr="00263DB9" w:rsidRDefault="00906898" w:rsidP="00E51817">
      <w:pPr>
        <w:widowControl w:val="0"/>
        <w:suppressAutoHyphens/>
        <w:ind w:right="14"/>
        <w:rPr>
          <w:color w:val="000000"/>
          <w:szCs w:val="22"/>
        </w:rPr>
      </w:pPr>
    </w:p>
    <w:p w14:paraId="375EBC1B" w14:textId="77777777" w:rsidR="00906898" w:rsidRPr="00263DB9" w:rsidRDefault="00906898" w:rsidP="00E51817">
      <w:pPr>
        <w:widowControl w:val="0"/>
        <w:suppressAutoHyphens/>
        <w:ind w:right="14"/>
        <w:rPr>
          <w:color w:val="000000"/>
          <w:szCs w:val="22"/>
        </w:rPr>
      </w:pPr>
    </w:p>
    <w:p w14:paraId="375EBC1C"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5.</w:t>
      </w:r>
      <w:r w:rsidRPr="00263DB9">
        <w:rPr>
          <w:b/>
          <w:color w:val="000000"/>
          <w:szCs w:val="22"/>
        </w:rPr>
        <w:tab/>
        <w:t>MODO E VIA(S) DE ADMINISTRAÇÃO</w:t>
      </w:r>
    </w:p>
    <w:p w14:paraId="375EBC1D" w14:textId="77777777" w:rsidR="00906898" w:rsidRPr="00263DB9" w:rsidRDefault="00906898" w:rsidP="00E51817">
      <w:pPr>
        <w:widowControl w:val="0"/>
        <w:suppressAutoHyphens/>
        <w:ind w:right="14"/>
        <w:rPr>
          <w:color w:val="000000"/>
          <w:szCs w:val="22"/>
        </w:rPr>
      </w:pPr>
    </w:p>
    <w:p w14:paraId="375EBC1E" w14:textId="77777777" w:rsidR="00906898" w:rsidRPr="00263DB9" w:rsidRDefault="00906898" w:rsidP="00E51817">
      <w:pPr>
        <w:widowControl w:val="0"/>
        <w:suppressAutoHyphens/>
        <w:ind w:right="14"/>
        <w:rPr>
          <w:color w:val="000000"/>
          <w:szCs w:val="22"/>
        </w:rPr>
      </w:pPr>
      <w:r w:rsidRPr="00263DB9">
        <w:rPr>
          <w:color w:val="000000"/>
          <w:szCs w:val="22"/>
        </w:rPr>
        <w:t xml:space="preserve">Via oral. </w:t>
      </w:r>
      <w:r w:rsidRPr="00263DB9">
        <w:rPr>
          <w:noProof/>
          <w:color w:val="000000"/>
          <w:szCs w:val="22"/>
        </w:rPr>
        <w:t>Consultar o folheto informativo antes de utilizar</w:t>
      </w:r>
      <w:r w:rsidRPr="00263DB9">
        <w:rPr>
          <w:color w:val="000000"/>
          <w:szCs w:val="22"/>
        </w:rPr>
        <w:t>.</w:t>
      </w:r>
    </w:p>
    <w:p w14:paraId="375EBC1F" w14:textId="77777777" w:rsidR="00906898" w:rsidRPr="00263DB9" w:rsidRDefault="00906898" w:rsidP="00E51817">
      <w:pPr>
        <w:widowControl w:val="0"/>
        <w:suppressAutoHyphens/>
        <w:ind w:right="14"/>
        <w:rPr>
          <w:color w:val="000000"/>
          <w:szCs w:val="22"/>
        </w:rPr>
      </w:pPr>
    </w:p>
    <w:p w14:paraId="375EBC20" w14:textId="77777777" w:rsidR="00906898" w:rsidRPr="00263DB9" w:rsidRDefault="00906898" w:rsidP="00E51817">
      <w:pPr>
        <w:widowControl w:val="0"/>
        <w:suppressAutoHyphens/>
        <w:ind w:right="14"/>
        <w:rPr>
          <w:color w:val="000000"/>
          <w:szCs w:val="22"/>
        </w:rPr>
      </w:pPr>
    </w:p>
    <w:p w14:paraId="375EBC21"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b/>
          <w:color w:val="000000"/>
          <w:szCs w:val="22"/>
        </w:rPr>
      </w:pPr>
      <w:r w:rsidRPr="00263DB9">
        <w:rPr>
          <w:b/>
          <w:color w:val="000000"/>
          <w:szCs w:val="22"/>
        </w:rPr>
        <w:t>6.</w:t>
      </w:r>
      <w:r w:rsidRPr="00263DB9">
        <w:rPr>
          <w:b/>
          <w:color w:val="000000"/>
          <w:szCs w:val="22"/>
        </w:rPr>
        <w:tab/>
        <w:t xml:space="preserve">ADVERTÊNCIA ESPECIAL DE QUE O MEDICAMENTO DEVE SER MANTIDO FORA </w:t>
      </w:r>
      <w:r w:rsidRPr="00263DB9">
        <w:rPr>
          <w:b/>
          <w:szCs w:val="24"/>
        </w:rPr>
        <w:t>DA VISTA E</w:t>
      </w:r>
      <w:r w:rsidRPr="00263DB9">
        <w:rPr>
          <w:b/>
          <w:color w:val="000000"/>
          <w:szCs w:val="22"/>
        </w:rPr>
        <w:t xml:space="preserve"> DO ALCANCE DAS CRIANÇAS</w:t>
      </w:r>
    </w:p>
    <w:p w14:paraId="375EBC22" w14:textId="77777777" w:rsidR="00906898" w:rsidRPr="00263DB9" w:rsidRDefault="00906898" w:rsidP="00E51817">
      <w:pPr>
        <w:widowControl w:val="0"/>
        <w:suppressAutoHyphens/>
        <w:ind w:right="14"/>
        <w:rPr>
          <w:color w:val="000000"/>
          <w:szCs w:val="22"/>
        </w:rPr>
      </w:pPr>
    </w:p>
    <w:p w14:paraId="375EBC23" w14:textId="77777777" w:rsidR="00906898" w:rsidRPr="00263DB9" w:rsidRDefault="00906898" w:rsidP="00E51817">
      <w:pPr>
        <w:widowControl w:val="0"/>
        <w:suppressAutoHyphens/>
        <w:ind w:right="14"/>
        <w:rPr>
          <w:color w:val="000000"/>
          <w:szCs w:val="22"/>
        </w:rPr>
      </w:pPr>
      <w:r w:rsidRPr="00263DB9">
        <w:rPr>
          <w:color w:val="000000"/>
          <w:szCs w:val="22"/>
        </w:rPr>
        <w:t xml:space="preserve">Manter fora </w:t>
      </w:r>
      <w:r w:rsidRPr="00263DB9">
        <w:rPr>
          <w:szCs w:val="24"/>
        </w:rPr>
        <w:t xml:space="preserve">da vista e </w:t>
      </w:r>
      <w:r w:rsidRPr="00263DB9">
        <w:rPr>
          <w:color w:val="000000"/>
          <w:szCs w:val="22"/>
        </w:rPr>
        <w:t>do alcance das crianças.</w:t>
      </w:r>
    </w:p>
    <w:p w14:paraId="375EBC24" w14:textId="77777777" w:rsidR="00906898" w:rsidRPr="00263DB9" w:rsidRDefault="00906898" w:rsidP="00E51817">
      <w:pPr>
        <w:widowControl w:val="0"/>
        <w:suppressAutoHyphens/>
        <w:ind w:right="14"/>
        <w:rPr>
          <w:color w:val="000000"/>
          <w:szCs w:val="22"/>
        </w:rPr>
      </w:pPr>
    </w:p>
    <w:p w14:paraId="375EBC25" w14:textId="77777777" w:rsidR="00906898" w:rsidRPr="00263DB9" w:rsidRDefault="00906898" w:rsidP="00E51817">
      <w:pPr>
        <w:widowControl w:val="0"/>
        <w:suppressAutoHyphens/>
        <w:ind w:right="14"/>
        <w:rPr>
          <w:color w:val="000000"/>
          <w:szCs w:val="22"/>
        </w:rPr>
      </w:pPr>
    </w:p>
    <w:p w14:paraId="375EBC26"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7.</w:t>
      </w:r>
      <w:r w:rsidRPr="00263DB9">
        <w:rPr>
          <w:b/>
          <w:color w:val="000000"/>
          <w:szCs w:val="22"/>
        </w:rPr>
        <w:tab/>
        <w:t>OUTRAS ADVERTÊNCIAS ESPECIAIS, SE NECESSÁRIO</w:t>
      </w:r>
    </w:p>
    <w:p w14:paraId="375EBC27" w14:textId="77777777" w:rsidR="00906898" w:rsidRPr="00263DB9" w:rsidRDefault="00906898" w:rsidP="00E51817">
      <w:pPr>
        <w:widowControl w:val="0"/>
        <w:suppressAutoHyphens/>
        <w:ind w:right="14"/>
        <w:rPr>
          <w:color w:val="000000"/>
          <w:szCs w:val="22"/>
        </w:rPr>
      </w:pPr>
    </w:p>
    <w:p w14:paraId="375EBC28" w14:textId="77777777" w:rsidR="00906898" w:rsidRPr="00263DB9" w:rsidRDefault="00906898" w:rsidP="00E51817">
      <w:pPr>
        <w:widowControl w:val="0"/>
        <w:suppressAutoHyphens/>
        <w:ind w:right="14"/>
        <w:rPr>
          <w:color w:val="000000"/>
          <w:szCs w:val="22"/>
        </w:rPr>
      </w:pPr>
      <w:r w:rsidRPr="00263DB9">
        <w:rPr>
          <w:color w:val="000000"/>
          <w:szCs w:val="22"/>
        </w:rPr>
        <w:t>Utilizar apenas de acordo com as instruções de um médico.</w:t>
      </w:r>
    </w:p>
    <w:p w14:paraId="375EBC29" w14:textId="77777777" w:rsidR="00906898" w:rsidRPr="00263DB9" w:rsidRDefault="00906898" w:rsidP="00E51817">
      <w:pPr>
        <w:widowControl w:val="0"/>
        <w:suppressAutoHyphens/>
        <w:ind w:right="14"/>
        <w:rPr>
          <w:color w:val="000000"/>
          <w:szCs w:val="22"/>
        </w:rPr>
      </w:pPr>
    </w:p>
    <w:p w14:paraId="375EBC2A" w14:textId="77777777" w:rsidR="00906898" w:rsidRPr="00263DB9" w:rsidRDefault="00906898" w:rsidP="00E51817">
      <w:pPr>
        <w:widowControl w:val="0"/>
        <w:suppressAutoHyphens/>
        <w:ind w:right="14"/>
        <w:rPr>
          <w:color w:val="000000"/>
          <w:szCs w:val="22"/>
        </w:rPr>
      </w:pPr>
    </w:p>
    <w:p w14:paraId="375EBC2B"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8.</w:t>
      </w:r>
      <w:r w:rsidRPr="00263DB9">
        <w:rPr>
          <w:b/>
          <w:color w:val="000000"/>
          <w:szCs w:val="22"/>
        </w:rPr>
        <w:tab/>
        <w:t>PRAZO DE VALIDADE</w:t>
      </w:r>
    </w:p>
    <w:p w14:paraId="375EBC2C" w14:textId="77777777" w:rsidR="00906898" w:rsidRPr="00263DB9" w:rsidRDefault="00906898" w:rsidP="00E51817">
      <w:pPr>
        <w:widowControl w:val="0"/>
        <w:suppressAutoHyphens/>
        <w:ind w:right="14"/>
        <w:rPr>
          <w:color w:val="000000"/>
          <w:szCs w:val="22"/>
        </w:rPr>
      </w:pPr>
    </w:p>
    <w:p w14:paraId="375EBC2D" w14:textId="3CE53A37" w:rsidR="00906898" w:rsidRPr="00263DB9" w:rsidRDefault="00195DDF" w:rsidP="00E51817">
      <w:pPr>
        <w:widowControl w:val="0"/>
        <w:suppressAutoHyphens/>
        <w:ind w:right="14"/>
        <w:rPr>
          <w:i/>
          <w:color w:val="000000"/>
          <w:szCs w:val="22"/>
        </w:rPr>
      </w:pPr>
      <w:r w:rsidRPr="00263DB9">
        <w:rPr>
          <w:color w:val="000000"/>
          <w:szCs w:val="22"/>
        </w:rPr>
        <w:t>EXP</w:t>
      </w:r>
    </w:p>
    <w:p w14:paraId="375EBC2E" w14:textId="77777777" w:rsidR="00906898" w:rsidRPr="00263DB9" w:rsidRDefault="00906898" w:rsidP="00E51817">
      <w:pPr>
        <w:widowControl w:val="0"/>
        <w:suppressAutoHyphens/>
        <w:ind w:right="14"/>
        <w:rPr>
          <w:color w:val="000000"/>
          <w:szCs w:val="22"/>
        </w:rPr>
      </w:pPr>
    </w:p>
    <w:p w14:paraId="375EBC2F" w14:textId="77777777" w:rsidR="00906898" w:rsidRPr="00263DB9" w:rsidRDefault="00906898" w:rsidP="00E51817">
      <w:pPr>
        <w:widowControl w:val="0"/>
        <w:suppressAutoHyphens/>
        <w:ind w:right="14"/>
        <w:rPr>
          <w:color w:val="000000"/>
          <w:szCs w:val="22"/>
        </w:rPr>
      </w:pPr>
    </w:p>
    <w:p w14:paraId="375EBC30" w14:textId="77777777" w:rsidR="00906898" w:rsidRPr="00263DB9" w:rsidRDefault="00906898" w:rsidP="00831CCB">
      <w:pPr>
        <w:keepNext/>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9.</w:t>
      </w:r>
      <w:r w:rsidRPr="00263DB9">
        <w:rPr>
          <w:b/>
          <w:color w:val="000000"/>
          <w:szCs w:val="22"/>
        </w:rPr>
        <w:tab/>
        <w:t>CONDIÇÕES ESPECIAIS DE CONSERVAÇÃO</w:t>
      </w:r>
    </w:p>
    <w:p w14:paraId="375EBC31" w14:textId="77777777" w:rsidR="00906898" w:rsidRPr="00263DB9" w:rsidRDefault="00906898" w:rsidP="00831CCB">
      <w:pPr>
        <w:keepNext/>
        <w:widowControl w:val="0"/>
        <w:suppressAutoHyphens/>
        <w:ind w:right="14"/>
        <w:rPr>
          <w:color w:val="000000"/>
          <w:szCs w:val="22"/>
        </w:rPr>
      </w:pPr>
    </w:p>
    <w:p w14:paraId="375EBC32" w14:textId="77777777" w:rsidR="00906898" w:rsidRPr="00263DB9" w:rsidRDefault="00906898" w:rsidP="00E51817">
      <w:pPr>
        <w:widowControl w:val="0"/>
        <w:suppressAutoHyphens/>
        <w:rPr>
          <w:color w:val="000000"/>
          <w:szCs w:val="22"/>
        </w:rPr>
      </w:pPr>
      <w:r w:rsidRPr="00263DB9">
        <w:rPr>
          <w:color w:val="000000"/>
          <w:szCs w:val="22"/>
        </w:rPr>
        <w:t>Não conservar acima de 30°C. Conservar na embalagem de origem para proteger da humidade.</w:t>
      </w:r>
    </w:p>
    <w:p w14:paraId="375EBC33" w14:textId="77777777" w:rsidR="00906898" w:rsidRPr="00263DB9" w:rsidRDefault="00906898" w:rsidP="00E51817">
      <w:pPr>
        <w:widowControl w:val="0"/>
        <w:suppressAutoHyphens/>
        <w:ind w:right="14"/>
        <w:rPr>
          <w:color w:val="000000"/>
          <w:szCs w:val="22"/>
        </w:rPr>
      </w:pPr>
    </w:p>
    <w:p w14:paraId="375EBC34" w14:textId="77777777" w:rsidR="00906898" w:rsidRPr="00263DB9" w:rsidRDefault="00906898" w:rsidP="00E51817">
      <w:pPr>
        <w:widowControl w:val="0"/>
        <w:suppressAutoHyphens/>
        <w:ind w:right="14"/>
        <w:rPr>
          <w:color w:val="000000"/>
          <w:szCs w:val="22"/>
        </w:rPr>
      </w:pPr>
    </w:p>
    <w:p w14:paraId="375EBC35" w14:textId="77777777" w:rsidR="00906898" w:rsidRPr="00263DB9" w:rsidRDefault="00906898" w:rsidP="00831CCB">
      <w:pPr>
        <w:keepNext/>
        <w:keepLines/>
        <w:widowControl w:val="0"/>
        <w:pBdr>
          <w:top w:val="single" w:sz="4" w:space="1" w:color="auto"/>
          <w:left w:val="single" w:sz="4" w:space="4" w:color="auto"/>
          <w:bottom w:val="single" w:sz="4" w:space="1" w:color="auto"/>
          <w:right w:val="single" w:sz="4" w:space="4" w:color="auto"/>
        </w:pBdr>
        <w:suppressAutoHyphens/>
        <w:ind w:left="567" w:hanging="567"/>
        <w:rPr>
          <w:b/>
          <w:color w:val="000000"/>
          <w:szCs w:val="22"/>
        </w:rPr>
      </w:pPr>
      <w:r w:rsidRPr="00263DB9">
        <w:rPr>
          <w:b/>
          <w:color w:val="000000"/>
          <w:szCs w:val="22"/>
        </w:rPr>
        <w:lastRenderedPageBreak/>
        <w:t>10.</w:t>
      </w:r>
      <w:r w:rsidRPr="00263DB9">
        <w:rPr>
          <w:b/>
          <w:color w:val="000000"/>
          <w:szCs w:val="22"/>
        </w:rPr>
        <w:tab/>
        <w:t>CUIDADOS ESPECIAIS QUANTO À ELIMINAÇÃO DO MEDICAMENTO NÃO UTILIZADO OU DOS RESÍDUOS PROVENIENTES DESSE MEDICAMENTO, SE APLICÁVEL</w:t>
      </w:r>
    </w:p>
    <w:p w14:paraId="375EBC36" w14:textId="77777777" w:rsidR="00906898" w:rsidRPr="00263DB9" w:rsidRDefault="00906898" w:rsidP="00E51817">
      <w:pPr>
        <w:widowControl w:val="0"/>
        <w:suppressAutoHyphens/>
        <w:ind w:right="14"/>
        <w:rPr>
          <w:color w:val="000000"/>
          <w:szCs w:val="22"/>
        </w:rPr>
      </w:pPr>
    </w:p>
    <w:p w14:paraId="375EBC37" w14:textId="77777777" w:rsidR="00906898" w:rsidRPr="00263DB9" w:rsidRDefault="00906898" w:rsidP="00E51817">
      <w:pPr>
        <w:widowControl w:val="0"/>
        <w:suppressAutoHyphens/>
        <w:ind w:right="14"/>
        <w:rPr>
          <w:color w:val="000000"/>
          <w:szCs w:val="22"/>
        </w:rPr>
      </w:pPr>
    </w:p>
    <w:p w14:paraId="375EBC38" w14:textId="77777777" w:rsidR="00906898" w:rsidRPr="00263DB9" w:rsidRDefault="00906898" w:rsidP="00831CCB">
      <w:pPr>
        <w:keepNext/>
        <w:keepLines/>
        <w:widowControl w:val="0"/>
        <w:pBdr>
          <w:top w:val="single" w:sz="4" w:space="1" w:color="auto"/>
          <w:left w:val="single" w:sz="4" w:space="4" w:color="auto"/>
          <w:bottom w:val="single" w:sz="4" w:space="1" w:color="auto"/>
          <w:right w:val="single" w:sz="4" w:space="4" w:color="auto"/>
        </w:pBdr>
        <w:suppressAutoHyphens/>
        <w:ind w:left="567" w:hanging="567"/>
        <w:rPr>
          <w:b/>
          <w:color w:val="000000"/>
          <w:szCs w:val="22"/>
        </w:rPr>
      </w:pPr>
      <w:r w:rsidRPr="00263DB9">
        <w:rPr>
          <w:b/>
          <w:color w:val="000000"/>
          <w:szCs w:val="22"/>
        </w:rPr>
        <w:t>11.</w:t>
      </w:r>
      <w:r w:rsidRPr="00263DB9">
        <w:rPr>
          <w:b/>
          <w:color w:val="000000"/>
          <w:szCs w:val="22"/>
        </w:rPr>
        <w:tab/>
        <w:t>NOME E ENDEREÇO DO TITULAR DA AUTORIZAÇÃO DE INTRODUÇÃO NO MERCADO</w:t>
      </w:r>
    </w:p>
    <w:p w14:paraId="375EBC39" w14:textId="77777777" w:rsidR="00906898" w:rsidRPr="00263DB9" w:rsidRDefault="00906898" w:rsidP="00831CCB">
      <w:pPr>
        <w:keepNext/>
        <w:keepLines/>
        <w:widowControl w:val="0"/>
        <w:suppressAutoHyphens/>
        <w:ind w:right="14"/>
        <w:rPr>
          <w:color w:val="000000"/>
          <w:szCs w:val="22"/>
        </w:rPr>
      </w:pPr>
    </w:p>
    <w:p w14:paraId="375EBC3A" w14:textId="77777777" w:rsidR="00906898" w:rsidRPr="00263DB9" w:rsidRDefault="00906898" w:rsidP="00831CCB">
      <w:pPr>
        <w:keepNext/>
        <w:keepLines/>
        <w:widowControl w:val="0"/>
        <w:suppressAutoHyphens/>
        <w:rPr>
          <w:color w:val="000000"/>
          <w:szCs w:val="22"/>
          <w:lang w:val="en-US"/>
        </w:rPr>
      </w:pPr>
      <w:r w:rsidRPr="00263DB9">
        <w:rPr>
          <w:color w:val="000000"/>
          <w:szCs w:val="22"/>
          <w:lang w:val="en-US"/>
        </w:rPr>
        <w:t>Novartis Europharm Limited</w:t>
      </w:r>
    </w:p>
    <w:p w14:paraId="375EBC3B" w14:textId="77777777" w:rsidR="009C587B" w:rsidRPr="00263DB9" w:rsidRDefault="009C587B" w:rsidP="00E51817">
      <w:pPr>
        <w:keepNext/>
        <w:widowControl w:val="0"/>
        <w:rPr>
          <w:color w:val="000000"/>
          <w:lang w:val="en-US"/>
        </w:rPr>
      </w:pPr>
      <w:r w:rsidRPr="00263DB9">
        <w:rPr>
          <w:color w:val="000000"/>
          <w:lang w:val="en-US"/>
        </w:rPr>
        <w:t>Vista Building</w:t>
      </w:r>
    </w:p>
    <w:p w14:paraId="375EBC3C" w14:textId="77777777" w:rsidR="009C587B" w:rsidRPr="00263DB9" w:rsidRDefault="009C587B" w:rsidP="00E51817">
      <w:pPr>
        <w:keepNext/>
        <w:widowControl w:val="0"/>
        <w:rPr>
          <w:color w:val="000000"/>
          <w:lang w:val="en-US"/>
        </w:rPr>
      </w:pPr>
      <w:r w:rsidRPr="00263DB9">
        <w:rPr>
          <w:color w:val="000000"/>
          <w:lang w:val="en-US"/>
        </w:rPr>
        <w:t>Elm Park, Merrion Road</w:t>
      </w:r>
    </w:p>
    <w:p w14:paraId="375EBC3D" w14:textId="77777777" w:rsidR="009C587B" w:rsidRPr="00263DB9" w:rsidRDefault="009C587B" w:rsidP="00E51817">
      <w:pPr>
        <w:keepNext/>
        <w:widowControl w:val="0"/>
        <w:rPr>
          <w:color w:val="000000"/>
        </w:rPr>
      </w:pPr>
      <w:r w:rsidRPr="00263DB9">
        <w:rPr>
          <w:color w:val="000000"/>
        </w:rPr>
        <w:t>Dublin 4</w:t>
      </w:r>
    </w:p>
    <w:p w14:paraId="375EBC3E" w14:textId="77777777" w:rsidR="009C587B" w:rsidRPr="00263DB9" w:rsidRDefault="009C587B" w:rsidP="00E51817">
      <w:pPr>
        <w:widowControl w:val="0"/>
        <w:rPr>
          <w:color w:val="000000"/>
        </w:rPr>
      </w:pPr>
      <w:r w:rsidRPr="00263DB9">
        <w:rPr>
          <w:color w:val="000000"/>
        </w:rPr>
        <w:t>Irlanda</w:t>
      </w:r>
    </w:p>
    <w:p w14:paraId="375EBC3F" w14:textId="77777777" w:rsidR="00906898" w:rsidRPr="00263DB9" w:rsidRDefault="00906898" w:rsidP="00E51817">
      <w:pPr>
        <w:widowControl w:val="0"/>
        <w:suppressAutoHyphens/>
        <w:ind w:right="14"/>
        <w:rPr>
          <w:color w:val="000000"/>
          <w:szCs w:val="22"/>
        </w:rPr>
      </w:pPr>
    </w:p>
    <w:p w14:paraId="375EBC40" w14:textId="77777777" w:rsidR="00906898" w:rsidRPr="00263DB9" w:rsidRDefault="00906898" w:rsidP="00E51817">
      <w:pPr>
        <w:widowControl w:val="0"/>
        <w:suppressAutoHyphens/>
        <w:ind w:right="14"/>
        <w:rPr>
          <w:color w:val="000000"/>
          <w:szCs w:val="22"/>
        </w:rPr>
      </w:pPr>
    </w:p>
    <w:p w14:paraId="375EBC41"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12.</w:t>
      </w:r>
      <w:r w:rsidRPr="00263DB9">
        <w:rPr>
          <w:b/>
          <w:color w:val="000000"/>
          <w:szCs w:val="22"/>
        </w:rPr>
        <w:tab/>
        <w:t>NÚMERO(S) DA AUTORIZAÇÃO DE INTRODUÇÃO NO MERCADO</w:t>
      </w:r>
    </w:p>
    <w:p w14:paraId="375EBC42" w14:textId="77777777" w:rsidR="00906898" w:rsidRPr="00263DB9" w:rsidRDefault="00906898" w:rsidP="00E51817">
      <w:pPr>
        <w:widowControl w:val="0"/>
        <w:suppressAutoHyphens/>
        <w:ind w:right="14"/>
        <w:rPr>
          <w:color w:val="000000"/>
          <w:szCs w:val="22"/>
        </w:rPr>
      </w:pPr>
    </w:p>
    <w:p w14:paraId="375EBC43" w14:textId="77777777" w:rsidR="00906898" w:rsidRPr="00263DB9" w:rsidRDefault="00906898" w:rsidP="00E51817">
      <w:pPr>
        <w:widowControl w:val="0"/>
        <w:tabs>
          <w:tab w:val="left" w:pos="2268"/>
        </w:tabs>
        <w:suppressAutoHyphens/>
        <w:ind w:right="14"/>
        <w:rPr>
          <w:color w:val="000000"/>
          <w:szCs w:val="22"/>
          <w:shd w:val="clear" w:color="auto" w:fill="D9D9D9"/>
        </w:rPr>
      </w:pPr>
      <w:r w:rsidRPr="00263DB9">
        <w:rPr>
          <w:color w:val="000000"/>
          <w:szCs w:val="22"/>
        </w:rPr>
        <w:t>EU/1/01/198/007</w:t>
      </w:r>
      <w:r w:rsidRPr="00263DB9">
        <w:rPr>
          <w:color w:val="000000"/>
          <w:szCs w:val="22"/>
        </w:rPr>
        <w:tab/>
      </w:r>
      <w:r w:rsidRPr="00263DB9">
        <w:rPr>
          <w:color w:val="000000"/>
          <w:szCs w:val="22"/>
          <w:shd w:val="clear" w:color="auto" w:fill="D9D9D9"/>
        </w:rPr>
        <w:t>20 comprimidos</w:t>
      </w:r>
      <w:r w:rsidR="00D409EB" w:rsidRPr="00263DB9">
        <w:rPr>
          <w:color w:val="000000"/>
          <w:szCs w:val="22"/>
          <w:shd w:val="pct15" w:color="auto" w:fill="auto"/>
        </w:rPr>
        <w:t xml:space="preserve"> (Blisters em PVC/alumínio)</w:t>
      </w:r>
    </w:p>
    <w:p w14:paraId="375EBC44" w14:textId="77777777" w:rsidR="00906898" w:rsidRPr="00263DB9" w:rsidRDefault="00906898" w:rsidP="00E51817">
      <w:pPr>
        <w:widowControl w:val="0"/>
        <w:tabs>
          <w:tab w:val="left" w:pos="2268"/>
        </w:tabs>
        <w:suppressAutoHyphens/>
        <w:ind w:right="14"/>
        <w:rPr>
          <w:color w:val="000000"/>
          <w:szCs w:val="22"/>
          <w:shd w:val="clear" w:color="auto" w:fill="D9D9D9"/>
        </w:rPr>
      </w:pPr>
      <w:r w:rsidRPr="00263DB9">
        <w:rPr>
          <w:color w:val="000000"/>
          <w:szCs w:val="22"/>
          <w:shd w:val="clear" w:color="auto" w:fill="D9D9D9"/>
        </w:rPr>
        <w:t>EU/1/01/198/008</w:t>
      </w:r>
      <w:r w:rsidRPr="00263DB9">
        <w:rPr>
          <w:color w:val="000000"/>
          <w:szCs w:val="22"/>
          <w:shd w:val="clear" w:color="auto" w:fill="D9D9D9"/>
        </w:rPr>
        <w:tab/>
        <w:t>60 comprimidos</w:t>
      </w:r>
      <w:r w:rsidR="00D409EB" w:rsidRPr="00263DB9">
        <w:rPr>
          <w:color w:val="000000"/>
          <w:szCs w:val="22"/>
          <w:shd w:val="pct15" w:color="auto" w:fill="auto"/>
        </w:rPr>
        <w:t xml:space="preserve"> (Blisters em PVC/alumínio)</w:t>
      </w:r>
    </w:p>
    <w:p w14:paraId="375EBC45" w14:textId="77777777" w:rsidR="00906898" w:rsidRPr="00263DB9" w:rsidRDefault="00906898" w:rsidP="00E51817">
      <w:pPr>
        <w:widowControl w:val="0"/>
        <w:tabs>
          <w:tab w:val="left" w:pos="2268"/>
        </w:tabs>
        <w:suppressAutoHyphens/>
        <w:ind w:right="14"/>
        <w:rPr>
          <w:color w:val="000000"/>
          <w:szCs w:val="22"/>
          <w:shd w:val="clear" w:color="auto" w:fill="D9D9D9"/>
        </w:rPr>
      </w:pPr>
      <w:r w:rsidRPr="00263DB9">
        <w:rPr>
          <w:color w:val="000000"/>
          <w:szCs w:val="22"/>
          <w:shd w:val="clear" w:color="auto" w:fill="D9D9D9"/>
        </w:rPr>
        <w:t>EU/1/01/198/011</w:t>
      </w:r>
      <w:r w:rsidRPr="00263DB9">
        <w:rPr>
          <w:color w:val="000000"/>
          <w:szCs w:val="22"/>
          <w:shd w:val="clear" w:color="auto" w:fill="D9D9D9"/>
        </w:rPr>
        <w:tab/>
        <w:t>120 comprimidos</w:t>
      </w:r>
      <w:r w:rsidR="00D409EB" w:rsidRPr="00263DB9">
        <w:rPr>
          <w:color w:val="000000"/>
          <w:szCs w:val="22"/>
          <w:shd w:val="pct15" w:color="auto" w:fill="auto"/>
        </w:rPr>
        <w:t xml:space="preserve"> (Blisters em PVC/alumínio)</w:t>
      </w:r>
    </w:p>
    <w:p w14:paraId="375EBC46" w14:textId="77777777" w:rsidR="00906898" w:rsidRPr="00263DB9" w:rsidRDefault="00906898" w:rsidP="00E51817">
      <w:pPr>
        <w:widowControl w:val="0"/>
        <w:tabs>
          <w:tab w:val="left" w:pos="2268"/>
        </w:tabs>
        <w:suppressAutoHyphens/>
        <w:ind w:right="14"/>
        <w:rPr>
          <w:color w:val="000000"/>
          <w:szCs w:val="22"/>
          <w:shd w:val="clear" w:color="auto" w:fill="D9D9D9"/>
        </w:rPr>
      </w:pPr>
      <w:r w:rsidRPr="00263DB9">
        <w:rPr>
          <w:color w:val="000000"/>
          <w:szCs w:val="22"/>
          <w:shd w:val="clear" w:color="auto" w:fill="D9D9D9"/>
        </w:rPr>
        <w:t>EU/1/01/198/012</w:t>
      </w:r>
      <w:r w:rsidRPr="00263DB9">
        <w:rPr>
          <w:color w:val="000000"/>
          <w:szCs w:val="22"/>
          <w:shd w:val="clear" w:color="auto" w:fill="D9D9D9"/>
        </w:rPr>
        <w:tab/>
        <w:t>180 comprimidos</w:t>
      </w:r>
      <w:r w:rsidR="00D409EB" w:rsidRPr="00263DB9">
        <w:rPr>
          <w:color w:val="000000"/>
          <w:szCs w:val="22"/>
          <w:shd w:val="pct15" w:color="auto" w:fill="auto"/>
        </w:rPr>
        <w:t xml:space="preserve"> (Blisters em PVC/alumínio)</w:t>
      </w:r>
    </w:p>
    <w:p w14:paraId="375EBC47" w14:textId="77777777" w:rsidR="00D409EB" w:rsidRPr="00263DB9" w:rsidRDefault="00D409EB" w:rsidP="00E51817">
      <w:pPr>
        <w:widowControl w:val="0"/>
        <w:suppressAutoHyphens/>
        <w:ind w:left="2268" w:right="14" w:hanging="2268"/>
        <w:rPr>
          <w:color w:val="000000"/>
          <w:szCs w:val="22"/>
          <w:shd w:val="pct15" w:color="auto" w:fill="auto"/>
        </w:rPr>
      </w:pPr>
      <w:r w:rsidRPr="00263DB9">
        <w:rPr>
          <w:color w:val="000000"/>
          <w:szCs w:val="22"/>
          <w:shd w:val="pct15" w:color="auto" w:fill="auto"/>
        </w:rPr>
        <w:t>EU/1/01/198/01</w:t>
      </w:r>
      <w:r w:rsidR="00D12D19" w:rsidRPr="00263DB9">
        <w:rPr>
          <w:color w:val="000000"/>
          <w:szCs w:val="22"/>
          <w:shd w:val="pct15" w:color="auto" w:fill="auto"/>
        </w:rPr>
        <w:t>4</w:t>
      </w:r>
      <w:r w:rsidRPr="00263DB9">
        <w:rPr>
          <w:color w:val="000000"/>
          <w:szCs w:val="22"/>
          <w:shd w:val="pct15" w:color="auto" w:fill="auto"/>
        </w:rPr>
        <w:tab/>
      </w:r>
      <w:r w:rsidR="00D12D19" w:rsidRPr="00263DB9">
        <w:rPr>
          <w:color w:val="000000"/>
          <w:szCs w:val="22"/>
          <w:shd w:val="pct15" w:color="auto" w:fill="auto"/>
        </w:rPr>
        <w:t>6</w:t>
      </w:r>
      <w:r w:rsidRPr="00263DB9">
        <w:rPr>
          <w:color w:val="000000"/>
          <w:szCs w:val="22"/>
          <w:shd w:val="pct15" w:color="auto" w:fill="auto"/>
        </w:rPr>
        <w:t>0 comprimidos (Blisters em PVDC/alumínio)</w:t>
      </w:r>
    </w:p>
    <w:p w14:paraId="375EBC48" w14:textId="77777777" w:rsidR="00D409EB" w:rsidRPr="00263DB9" w:rsidRDefault="00D409EB" w:rsidP="00E51817">
      <w:pPr>
        <w:widowControl w:val="0"/>
        <w:suppressAutoHyphens/>
        <w:ind w:left="2268" w:right="14" w:hanging="2268"/>
        <w:rPr>
          <w:color w:val="000000"/>
          <w:szCs w:val="22"/>
          <w:shd w:val="pct15" w:color="auto" w:fill="auto"/>
        </w:rPr>
      </w:pPr>
      <w:r w:rsidRPr="00263DB9">
        <w:rPr>
          <w:color w:val="000000"/>
          <w:szCs w:val="22"/>
          <w:shd w:val="pct15" w:color="auto" w:fill="auto"/>
        </w:rPr>
        <w:t>EU/1/01/198/01</w:t>
      </w:r>
      <w:r w:rsidR="00D12D19" w:rsidRPr="00263DB9">
        <w:rPr>
          <w:color w:val="000000"/>
          <w:szCs w:val="22"/>
          <w:shd w:val="pct15" w:color="auto" w:fill="auto"/>
        </w:rPr>
        <w:t>5</w:t>
      </w:r>
      <w:r w:rsidRPr="00263DB9">
        <w:rPr>
          <w:color w:val="000000"/>
          <w:szCs w:val="22"/>
          <w:shd w:val="pct15" w:color="auto" w:fill="auto"/>
        </w:rPr>
        <w:tab/>
        <w:t>1</w:t>
      </w:r>
      <w:r w:rsidR="00D12D19" w:rsidRPr="00263DB9">
        <w:rPr>
          <w:color w:val="000000"/>
          <w:szCs w:val="22"/>
          <w:shd w:val="pct15" w:color="auto" w:fill="auto"/>
        </w:rPr>
        <w:t>2</w:t>
      </w:r>
      <w:r w:rsidRPr="00263DB9">
        <w:rPr>
          <w:color w:val="000000"/>
          <w:szCs w:val="22"/>
          <w:shd w:val="pct15" w:color="auto" w:fill="auto"/>
        </w:rPr>
        <w:t>0 comprimidos (Blisters em PVDC/alumínio)</w:t>
      </w:r>
    </w:p>
    <w:p w14:paraId="375EBC49" w14:textId="77777777" w:rsidR="00E329AF" w:rsidRPr="00263DB9" w:rsidRDefault="00E329AF" w:rsidP="00E51817">
      <w:pPr>
        <w:widowControl w:val="0"/>
        <w:tabs>
          <w:tab w:val="left" w:pos="2268"/>
        </w:tabs>
        <w:suppressAutoHyphens/>
        <w:ind w:right="14"/>
        <w:rPr>
          <w:color w:val="000000"/>
          <w:szCs w:val="22"/>
          <w:shd w:val="clear" w:color="auto" w:fill="D9D9D9"/>
        </w:rPr>
      </w:pPr>
      <w:r w:rsidRPr="00263DB9">
        <w:rPr>
          <w:color w:val="000000"/>
          <w:szCs w:val="22"/>
          <w:shd w:val="clear" w:color="auto" w:fill="D9D9D9"/>
        </w:rPr>
        <w:t>EU/1/01/198/01</w:t>
      </w:r>
      <w:r w:rsidR="00D12D19" w:rsidRPr="00263DB9">
        <w:rPr>
          <w:color w:val="000000"/>
          <w:szCs w:val="22"/>
          <w:shd w:val="clear" w:color="auto" w:fill="D9D9D9"/>
        </w:rPr>
        <w:t>6</w:t>
      </w:r>
      <w:r w:rsidRPr="00263DB9">
        <w:rPr>
          <w:color w:val="000000"/>
          <w:szCs w:val="22"/>
          <w:shd w:val="clear" w:color="auto" w:fill="D9D9D9"/>
        </w:rPr>
        <w:tab/>
      </w:r>
      <w:r w:rsidR="00D12D19" w:rsidRPr="00263DB9">
        <w:rPr>
          <w:color w:val="000000"/>
          <w:szCs w:val="22"/>
          <w:shd w:val="clear" w:color="auto" w:fill="D9D9D9"/>
        </w:rPr>
        <w:t>18</w:t>
      </w:r>
      <w:r w:rsidRPr="00263DB9">
        <w:rPr>
          <w:color w:val="000000"/>
          <w:szCs w:val="22"/>
          <w:shd w:val="clear" w:color="auto" w:fill="D9D9D9"/>
        </w:rPr>
        <w:t>0 comprimidos</w:t>
      </w:r>
      <w:r w:rsidRPr="00263DB9">
        <w:rPr>
          <w:color w:val="000000"/>
          <w:szCs w:val="22"/>
          <w:shd w:val="pct15" w:color="auto" w:fill="auto"/>
        </w:rPr>
        <w:t xml:space="preserve"> (Blisters em PVDC/alumínio)</w:t>
      </w:r>
    </w:p>
    <w:p w14:paraId="375EBC4A" w14:textId="77777777" w:rsidR="00906898" w:rsidRPr="00263DB9" w:rsidRDefault="00906898" w:rsidP="00E51817">
      <w:pPr>
        <w:widowControl w:val="0"/>
        <w:suppressAutoHyphens/>
        <w:ind w:right="14"/>
        <w:rPr>
          <w:color w:val="000000"/>
          <w:szCs w:val="22"/>
        </w:rPr>
      </w:pPr>
    </w:p>
    <w:p w14:paraId="375EBC4B" w14:textId="77777777" w:rsidR="00906898" w:rsidRPr="00263DB9" w:rsidRDefault="00906898" w:rsidP="00E51817">
      <w:pPr>
        <w:widowControl w:val="0"/>
        <w:suppressAutoHyphens/>
        <w:ind w:right="14"/>
        <w:rPr>
          <w:color w:val="000000"/>
          <w:szCs w:val="22"/>
        </w:rPr>
      </w:pPr>
    </w:p>
    <w:p w14:paraId="375EBC4C"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b/>
          <w:color w:val="000000"/>
          <w:szCs w:val="22"/>
        </w:rPr>
      </w:pPr>
      <w:r w:rsidRPr="00263DB9">
        <w:rPr>
          <w:b/>
          <w:color w:val="000000"/>
          <w:szCs w:val="22"/>
        </w:rPr>
        <w:t>13.</w:t>
      </w:r>
      <w:r w:rsidRPr="00263DB9">
        <w:rPr>
          <w:b/>
          <w:color w:val="000000"/>
          <w:szCs w:val="22"/>
        </w:rPr>
        <w:tab/>
        <w:t>NÚMERO DO LOTE</w:t>
      </w:r>
    </w:p>
    <w:p w14:paraId="375EBC4D" w14:textId="77777777" w:rsidR="00906898" w:rsidRPr="00263DB9" w:rsidRDefault="00906898" w:rsidP="00E51817">
      <w:pPr>
        <w:widowControl w:val="0"/>
        <w:suppressAutoHyphens/>
        <w:ind w:right="14"/>
        <w:rPr>
          <w:color w:val="000000"/>
          <w:szCs w:val="22"/>
        </w:rPr>
      </w:pPr>
    </w:p>
    <w:p w14:paraId="375EBC4E" w14:textId="40F718BC" w:rsidR="00906898" w:rsidRPr="00263DB9" w:rsidRDefault="00195DDF" w:rsidP="00E51817">
      <w:pPr>
        <w:widowControl w:val="0"/>
        <w:suppressAutoHyphens/>
        <w:ind w:right="14"/>
        <w:rPr>
          <w:color w:val="000000"/>
          <w:szCs w:val="22"/>
        </w:rPr>
      </w:pPr>
      <w:r w:rsidRPr="00263DB9">
        <w:rPr>
          <w:color w:val="000000"/>
          <w:szCs w:val="22"/>
        </w:rPr>
        <w:t>Lot</w:t>
      </w:r>
    </w:p>
    <w:p w14:paraId="375EBC4F" w14:textId="77777777" w:rsidR="00906898" w:rsidRPr="00263DB9" w:rsidRDefault="00906898" w:rsidP="00E51817">
      <w:pPr>
        <w:widowControl w:val="0"/>
        <w:suppressAutoHyphens/>
        <w:ind w:right="14"/>
        <w:rPr>
          <w:color w:val="000000"/>
          <w:szCs w:val="22"/>
        </w:rPr>
      </w:pPr>
    </w:p>
    <w:p w14:paraId="375EBC50" w14:textId="77777777" w:rsidR="00906898" w:rsidRPr="00263DB9" w:rsidRDefault="00906898" w:rsidP="00E51817">
      <w:pPr>
        <w:widowControl w:val="0"/>
        <w:suppressAutoHyphens/>
        <w:ind w:right="14"/>
        <w:rPr>
          <w:color w:val="000000"/>
          <w:szCs w:val="22"/>
        </w:rPr>
      </w:pPr>
    </w:p>
    <w:p w14:paraId="375EBC51"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14.</w:t>
      </w:r>
      <w:r w:rsidRPr="00263DB9">
        <w:rPr>
          <w:b/>
          <w:color w:val="000000"/>
          <w:szCs w:val="22"/>
        </w:rPr>
        <w:tab/>
        <w:t>CLASSIFICAÇÃO QUANTO À DISPENSA AO PÚBLICO</w:t>
      </w:r>
    </w:p>
    <w:p w14:paraId="375EBC52" w14:textId="77777777" w:rsidR="00906898" w:rsidRPr="00263DB9" w:rsidRDefault="00906898" w:rsidP="00E51817">
      <w:pPr>
        <w:widowControl w:val="0"/>
        <w:suppressAutoHyphens/>
        <w:ind w:left="567" w:hanging="567"/>
        <w:rPr>
          <w:color w:val="000000"/>
          <w:szCs w:val="22"/>
        </w:rPr>
      </w:pPr>
    </w:p>
    <w:p w14:paraId="375EBC53" w14:textId="77777777" w:rsidR="00906898" w:rsidRPr="00263DB9" w:rsidRDefault="00906898" w:rsidP="00E51817">
      <w:pPr>
        <w:widowControl w:val="0"/>
        <w:suppressAutoHyphens/>
        <w:ind w:right="14"/>
        <w:rPr>
          <w:color w:val="000000"/>
          <w:szCs w:val="22"/>
        </w:rPr>
      </w:pPr>
    </w:p>
    <w:p w14:paraId="375EBC54"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15.</w:t>
      </w:r>
      <w:r w:rsidRPr="00263DB9">
        <w:rPr>
          <w:b/>
          <w:color w:val="000000"/>
          <w:szCs w:val="22"/>
        </w:rPr>
        <w:tab/>
        <w:t>INSTRUÇÕES DE UTILIZAÇÃO</w:t>
      </w:r>
    </w:p>
    <w:p w14:paraId="375EBC55" w14:textId="77777777" w:rsidR="00906898" w:rsidRPr="00263DB9" w:rsidRDefault="00906898" w:rsidP="00E51817">
      <w:pPr>
        <w:widowControl w:val="0"/>
        <w:suppressAutoHyphens/>
        <w:ind w:right="14"/>
        <w:rPr>
          <w:color w:val="000000"/>
          <w:szCs w:val="22"/>
        </w:rPr>
      </w:pPr>
    </w:p>
    <w:p w14:paraId="375EBC56" w14:textId="77777777" w:rsidR="00906898" w:rsidRPr="00263DB9" w:rsidRDefault="00906898" w:rsidP="00E51817">
      <w:pPr>
        <w:widowControl w:val="0"/>
        <w:suppressAutoHyphens/>
        <w:ind w:right="14"/>
        <w:rPr>
          <w:color w:val="000000"/>
          <w:szCs w:val="22"/>
        </w:rPr>
      </w:pPr>
    </w:p>
    <w:p w14:paraId="375EBC57"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16.</w:t>
      </w:r>
      <w:r w:rsidRPr="00263DB9">
        <w:rPr>
          <w:b/>
          <w:color w:val="000000"/>
          <w:szCs w:val="22"/>
        </w:rPr>
        <w:tab/>
        <w:t>INFORMAÇÃO EM BRAILLE</w:t>
      </w:r>
    </w:p>
    <w:p w14:paraId="375EBC58" w14:textId="77777777" w:rsidR="00906898" w:rsidRPr="00263DB9" w:rsidRDefault="00906898" w:rsidP="00E51817">
      <w:pPr>
        <w:widowControl w:val="0"/>
        <w:suppressAutoHyphens/>
        <w:ind w:right="14"/>
        <w:rPr>
          <w:color w:val="000000"/>
          <w:szCs w:val="22"/>
          <w:u w:val="single"/>
        </w:rPr>
      </w:pPr>
    </w:p>
    <w:p w14:paraId="375EBC59" w14:textId="77777777" w:rsidR="00906898" w:rsidRPr="00263DB9" w:rsidRDefault="00906898" w:rsidP="00E51817">
      <w:pPr>
        <w:widowControl w:val="0"/>
        <w:suppressAutoHyphens/>
        <w:ind w:right="14"/>
        <w:rPr>
          <w:color w:val="000000"/>
          <w:szCs w:val="22"/>
        </w:rPr>
      </w:pPr>
      <w:r w:rsidRPr="00263DB9">
        <w:rPr>
          <w:color w:val="000000"/>
          <w:szCs w:val="22"/>
        </w:rPr>
        <w:t>Glivec 100 mg</w:t>
      </w:r>
    </w:p>
    <w:p w14:paraId="375EBC5A" w14:textId="77777777" w:rsidR="009061E3" w:rsidRPr="00263DB9" w:rsidRDefault="009061E3" w:rsidP="00E51817">
      <w:pPr>
        <w:widowControl w:val="0"/>
        <w:suppressAutoHyphens/>
        <w:ind w:right="14"/>
        <w:rPr>
          <w:color w:val="000000"/>
          <w:szCs w:val="22"/>
        </w:rPr>
      </w:pPr>
    </w:p>
    <w:p w14:paraId="375EBC5B" w14:textId="77777777" w:rsidR="009061E3" w:rsidRPr="00263DB9" w:rsidRDefault="009061E3" w:rsidP="00E51817">
      <w:pPr>
        <w:widowControl w:val="0"/>
        <w:pBdr>
          <w:top w:val="single" w:sz="4" w:space="1" w:color="auto"/>
          <w:left w:val="single" w:sz="4" w:space="4" w:color="auto"/>
          <w:bottom w:val="single" w:sz="4" w:space="1" w:color="auto"/>
          <w:right w:val="single" w:sz="4" w:space="4" w:color="auto"/>
        </w:pBdr>
        <w:ind w:left="-3"/>
        <w:outlineLvl w:val="0"/>
        <w:rPr>
          <w:i/>
          <w:noProof/>
        </w:rPr>
      </w:pPr>
      <w:r w:rsidRPr="00263DB9">
        <w:rPr>
          <w:b/>
          <w:noProof/>
        </w:rPr>
        <w:t>17.</w:t>
      </w:r>
      <w:r w:rsidRPr="00263DB9">
        <w:rPr>
          <w:b/>
          <w:noProof/>
        </w:rPr>
        <w:tab/>
        <w:t>IDENTIFICADOR ÚNICO – CÓDIGO DE BARRAS 2D</w:t>
      </w:r>
    </w:p>
    <w:p w14:paraId="375EBC5C" w14:textId="77777777" w:rsidR="009061E3" w:rsidRPr="00263DB9" w:rsidRDefault="009061E3" w:rsidP="00E51817">
      <w:pPr>
        <w:widowControl w:val="0"/>
        <w:rPr>
          <w:noProof/>
        </w:rPr>
      </w:pPr>
    </w:p>
    <w:p w14:paraId="375EBC5D" w14:textId="77777777" w:rsidR="009061E3" w:rsidRPr="00263DB9" w:rsidRDefault="009061E3" w:rsidP="00E51817">
      <w:pPr>
        <w:widowControl w:val="0"/>
        <w:rPr>
          <w:shd w:val="pct15" w:color="auto" w:fill="auto"/>
        </w:rPr>
      </w:pPr>
      <w:r w:rsidRPr="00263DB9">
        <w:rPr>
          <w:shd w:val="pct15" w:color="auto" w:fill="auto"/>
        </w:rPr>
        <w:t>Código de barras 2D com identificador único incluído.</w:t>
      </w:r>
    </w:p>
    <w:p w14:paraId="375EBC5E" w14:textId="77777777" w:rsidR="009061E3" w:rsidRPr="00263DB9" w:rsidRDefault="009061E3" w:rsidP="00E51817">
      <w:pPr>
        <w:widowControl w:val="0"/>
        <w:rPr>
          <w:noProof/>
          <w:szCs w:val="22"/>
          <w:shd w:val="clear" w:color="auto" w:fill="CCCCCC"/>
        </w:rPr>
      </w:pPr>
    </w:p>
    <w:p w14:paraId="375EBC5F" w14:textId="77777777" w:rsidR="009061E3" w:rsidRPr="00263DB9" w:rsidRDefault="009061E3" w:rsidP="00E51817">
      <w:pPr>
        <w:widowControl w:val="0"/>
        <w:rPr>
          <w:noProof/>
          <w:szCs w:val="22"/>
          <w:shd w:val="clear" w:color="auto" w:fill="CCCCCC"/>
        </w:rPr>
      </w:pPr>
    </w:p>
    <w:p w14:paraId="375EBC60" w14:textId="77777777" w:rsidR="009061E3" w:rsidRPr="00263DB9" w:rsidRDefault="00A75E40" w:rsidP="00831CCB">
      <w:pPr>
        <w:keepNext/>
        <w:widowControl w:val="0"/>
        <w:pBdr>
          <w:top w:val="single" w:sz="4" w:space="1" w:color="auto"/>
          <w:left w:val="single" w:sz="4" w:space="4" w:color="auto"/>
          <w:bottom w:val="single" w:sz="4" w:space="1" w:color="auto"/>
          <w:right w:val="single" w:sz="4" w:space="4" w:color="auto"/>
        </w:pBdr>
        <w:outlineLvl w:val="0"/>
        <w:rPr>
          <w:i/>
          <w:noProof/>
        </w:rPr>
      </w:pPr>
      <w:r w:rsidRPr="00263DB9">
        <w:rPr>
          <w:b/>
          <w:noProof/>
        </w:rPr>
        <w:t>18.</w:t>
      </w:r>
      <w:r w:rsidRPr="00263DB9">
        <w:rPr>
          <w:b/>
          <w:noProof/>
        </w:rPr>
        <w:tab/>
      </w:r>
      <w:r w:rsidR="009061E3" w:rsidRPr="00263DB9">
        <w:rPr>
          <w:b/>
          <w:noProof/>
        </w:rPr>
        <w:t>IDENTIFICADOR ÚNICO - DADOS PARA LEITURA HUMANA</w:t>
      </w:r>
    </w:p>
    <w:p w14:paraId="375EBC61" w14:textId="77777777" w:rsidR="009061E3" w:rsidRPr="00263DB9" w:rsidRDefault="009061E3" w:rsidP="00831CCB">
      <w:pPr>
        <w:keepNext/>
        <w:widowControl w:val="0"/>
        <w:rPr>
          <w:noProof/>
        </w:rPr>
      </w:pPr>
    </w:p>
    <w:p w14:paraId="375EBC62" w14:textId="77777777" w:rsidR="009061E3" w:rsidRPr="00263DB9" w:rsidRDefault="009061E3" w:rsidP="00831CCB">
      <w:pPr>
        <w:keepNext/>
        <w:widowControl w:val="0"/>
        <w:rPr>
          <w:szCs w:val="22"/>
        </w:rPr>
      </w:pPr>
      <w:r w:rsidRPr="00263DB9">
        <w:t>PC:</w:t>
      </w:r>
    </w:p>
    <w:p w14:paraId="375EBC63" w14:textId="77777777" w:rsidR="009061E3" w:rsidRPr="00263DB9" w:rsidRDefault="009061E3" w:rsidP="00831CCB">
      <w:pPr>
        <w:keepNext/>
        <w:widowControl w:val="0"/>
        <w:rPr>
          <w:szCs w:val="22"/>
        </w:rPr>
      </w:pPr>
      <w:r w:rsidRPr="00263DB9">
        <w:t>SN:</w:t>
      </w:r>
    </w:p>
    <w:p w14:paraId="375EBC64" w14:textId="77777777" w:rsidR="009061E3" w:rsidRPr="00263DB9" w:rsidRDefault="009061E3" w:rsidP="00831CCB">
      <w:pPr>
        <w:widowControl w:val="0"/>
        <w:rPr>
          <w:color w:val="000000"/>
          <w:szCs w:val="22"/>
        </w:rPr>
      </w:pPr>
      <w:r w:rsidRPr="00263DB9">
        <w:t>NN:</w:t>
      </w:r>
    </w:p>
    <w:p w14:paraId="375EBC65" w14:textId="77777777" w:rsidR="00906898" w:rsidRPr="00263DB9" w:rsidRDefault="00906898" w:rsidP="00E51817">
      <w:pPr>
        <w:widowControl w:val="0"/>
        <w:suppressAutoHyphens/>
        <w:ind w:right="14"/>
        <w:rPr>
          <w:color w:val="000000"/>
          <w:szCs w:val="22"/>
        </w:rPr>
      </w:pPr>
      <w:r w:rsidRPr="00263DB9">
        <w:rPr>
          <w:color w:val="000000"/>
          <w:szCs w:val="22"/>
        </w:rPr>
        <w:br w:type="page"/>
      </w:r>
    </w:p>
    <w:p w14:paraId="375EBC66" w14:textId="77777777" w:rsidR="00831CCB" w:rsidRPr="00263DB9" w:rsidRDefault="00831CCB" w:rsidP="00831CCB">
      <w:pPr>
        <w:widowControl w:val="0"/>
        <w:suppressAutoHyphens/>
        <w:ind w:right="14"/>
        <w:rPr>
          <w:color w:val="000000"/>
          <w:szCs w:val="22"/>
        </w:rPr>
      </w:pPr>
    </w:p>
    <w:p w14:paraId="375EBC67"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rPr>
          <w:b/>
          <w:color w:val="000000"/>
          <w:szCs w:val="22"/>
        </w:rPr>
      </w:pPr>
      <w:r w:rsidRPr="00263DB9">
        <w:rPr>
          <w:b/>
          <w:color w:val="000000"/>
          <w:szCs w:val="22"/>
        </w:rPr>
        <w:t>INDICAÇÕES MÍNIMAS A INCLUIR NAS EMBALAGENS “BLISTER” OU FITAS CONTENTORAS</w:t>
      </w:r>
    </w:p>
    <w:p w14:paraId="375EBC68"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rPr>
          <w:color w:val="000000"/>
          <w:szCs w:val="22"/>
        </w:rPr>
      </w:pPr>
    </w:p>
    <w:p w14:paraId="375EBC69"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rPr>
          <w:color w:val="000000"/>
          <w:szCs w:val="22"/>
        </w:rPr>
      </w:pPr>
      <w:r w:rsidRPr="00263DB9">
        <w:rPr>
          <w:b/>
          <w:color w:val="000000"/>
          <w:szCs w:val="22"/>
        </w:rPr>
        <w:t>BLISTERS</w:t>
      </w:r>
    </w:p>
    <w:p w14:paraId="375EBC6A" w14:textId="77777777" w:rsidR="00906898" w:rsidRPr="00263DB9" w:rsidRDefault="00906898" w:rsidP="00E51817">
      <w:pPr>
        <w:widowControl w:val="0"/>
        <w:suppressAutoHyphens/>
        <w:ind w:right="14"/>
        <w:rPr>
          <w:color w:val="000000"/>
          <w:szCs w:val="22"/>
        </w:rPr>
      </w:pPr>
    </w:p>
    <w:p w14:paraId="375EBC6B" w14:textId="77777777" w:rsidR="00906898" w:rsidRPr="00263DB9" w:rsidRDefault="00906898" w:rsidP="00E51817">
      <w:pPr>
        <w:widowControl w:val="0"/>
        <w:suppressAutoHyphens/>
        <w:ind w:right="14"/>
        <w:rPr>
          <w:color w:val="000000"/>
          <w:szCs w:val="22"/>
        </w:rPr>
      </w:pPr>
    </w:p>
    <w:p w14:paraId="375EBC6C"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w:t>
      </w:r>
      <w:r w:rsidRPr="00263DB9">
        <w:rPr>
          <w:b/>
          <w:color w:val="000000"/>
          <w:szCs w:val="22"/>
        </w:rPr>
        <w:tab/>
        <w:t>NOME DO MEDICAMENTO</w:t>
      </w:r>
    </w:p>
    <w:p w14:paraId="375EBC6D" w14:textId="77777777" w:rsidR="00906898" w:rsidRPr="00263DB9" w:rsidRDefault="00906898" w:rsidP="00E51817">
      <w:pPr>
        <w:widowControl w:val="0"/>
        <w:suppressAutoHyphens/>
        <w:ind w:right="14"/>
        <w:rPr>
          <w:color w:val="000000"/>
          <w:szCs w:val="22"/>
        </w:rPr>
      </w:pPr>
    </w:p>
    <w:p w14:paraId="375EBC6E" w14:textId="77777777" w:rsidR="00906898" w:rsidRPr="00263DB9" w:rsidRDefault="00906898" w:rsidP="00E51817">
      <w:pPr>
        <w:widowControl w:val="0"/>
        <w:suppressAutoHyphens/>
        <w:ind w:right="14"/>
        <w:rPr>
          <w:color w:val="000000"/>
          <w:szCs w:val="22"/>
        </w:rPr>
      </w:pPr>
      <w:r w:rsidRPr="00263DB9">
        <w:rPr>
          <w:color w:val="000000"/>
          <w:szCs w:val="22"/>
        </w:rPr>
        <w:t>Glivec 100 mg comprimidos</w:t>
      </w:r>
    </w:p>
    <w:p w14:paraId="375EBC6F" w14:textId="77777777" w:rsidR="00906898" w:rsidRPr="00263DB9" w:rsidRDefault="001104DD" w:rsidP="00E51817">
      <w:pPr>
        <w:widowControl w:val="0"/>
        <w:suppressAutoHyphens/>
        <w:ind w:right="14"/>
        <w:rPr>
          <w:color w:val="000000"/>
          <w:szCs w:val="22"/>
        </w:rPr>
      </w:pPr>
      <w:r w:rsidRPr="00263DB9">
        <w:rPr>
          <w:color w:val="000000"/>
          <w:szCs w:val="22"/>
        </w:rPr>
        <w:t>i</w:t>
      </w:r>
      <w:r w:rsidR="00906898" w:rsidRPr="00263DB9">
        <w:rPr>
          <w:color w:val="000000"/>
          <w:szCs w:val="22"/>
        </w:rPr>
        <w:t>matinib</w:t>
      </w:r>
    </w:p>
    <w:p w14:paraId="375EBC70" w14:textId="77777777" w:rsidR="00906898" w:rsidRPr="00263DB9" w:rsidRDefault="00906898" w:rsidP="00E51817">
      <w:pPr>
        <w:widowControl w:val="0"/>
        <w:suppressAutoHyphens/>
        <w:ind w:right="14"/>
        <w:rPr>
          <w:color w:val="000000"/>
          <w:szCs w:val="22"/>
        </w:rPr>
      </w:pPr>
    </w:p>
    <w:p w14:paraId="375EBC71" w14:textId="77777777" w:rsidR="00906898" w:rsidRPr="00263DB9" w:rsidRDefault="00906898" w:rsidP="00E51817">
      <w:pPr>
        <w:widowControl w:val="0"/>
        <w:suppressAutoHyphens/>
        <w:ind w:right="14"/>
        <w:rPr>
          <w:color w:val="000000"/>
          <w:szCs w:val="22"/>
        </w:rPr>
      </w:pPr>
    </w:p>
    <w:p w14:paraId="375EBC72"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2.</w:t>
      </w:r>
      <w:r w:rsidRPr="00263DB9">
        <w:rPr>
          <w:b/>
          <w:color w:val="000000"/>
          <w:szCs w:val="22"/>
        </w:rPr>
        <w:tab/>
        <w:t>NOME DO TITULAR DA AUTORIZAÇÃO DE INTRODUÇÃO NO MERCADO</w:t>
      </w:r>
    </w:p>
    <w:p w14:paraId="375EBC73" w14:textId="77777777" w:rsidR="00906898" w:rsidRPr="00263DB9" w:rsidRDefault="00906898" w:rsidP="00E51817">
      <w:pPr>
        <w:widowControl w:val="0"/>
        <w:suppressAutoHyphens/>
        <w:ind w:right="14"/>
        <w:rPr>
          <w:color w:val="000000"/>
          <w:szCs w:val="22"/>
        </w:rPr>
      </w:pPr>
    </w:p>
    <w:p w14:paraId="375EBC74" w14:textId="77777777" w:rsidR="00906898" w:rsidRPr="00263DB9" w:rsidRDefault="00906898" w:rsidP="00E51817">
      <w:pPr>
        <w:widowControl w:val="0"/>
        <w:suppressAutoHyphens/>
        <w:ind w:right="14"/>
        <w:rPr>
          <w:color w:val="000000"/>
          <w:szCs w:val="22"/>
        </w:rPr>
      </w:pPr>
      <w:r w:rsidRPr="00263DB9">
        <w:rPr>
          <w:color w:val="000000"/>
          <w:szCs w:val="22"/>
        </w:rPr>
        <w:t>Novartis Europharm Limited</w:t>
      </w:r>
    </w:p>
    <w:p w14:paraId="375EBC75" w14:textId="77777777" w:rsidR="00906898" w:rsidRPr="00263DB9" w:rsidRDefault="00906898" w:rsidP="00E51817">
      <w:pPr>
        <w:widowControl w:val="0"/>
        <w:suppressAutoHyphens/>
        <w:ind w:right="14"/>
        <w:rPr>
          <w:color w:val="000000"/>
          <w:szCs w:val="22"/>
        </w:rPr>
      </w:pPr>
    </w:p>
    <w:p w14:paraId="375EBC76" w14:textId="77777777" w:rsidR="00906898" w:rsidRPr="00263DB9" w:rsidRDefault="00906898" w:rsidP="00E51817">
      <w:pPr>
        <w:widowControl w:val="0"/>
        <w:suppressAutoHyphens/>
        <w:ind w:right="14"/>
        <w:rPr>
          <w:color w:val="000000"/>
          <w:szCs w:val="22"/>
        </w:rPr>
      </w:pPr>
    </w:p>
    <w:p w14:paraId="375EBC77"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3.</w:t>
      </w:r>
      <w:r w:rsidRPr="00263DB9">
        <w:rPr>
          <w:b/>
          <w:color w:val="000000"/>
          <w:szCs w:val="22"/>
        </w:rPr>
        <w:tab/>
        <w:t>PRAZO DE VALIDADE</w:t>
      </w:r>
    </w:p>
    <w:p w14:paraId="375EBC78" w14:textId="77777777" w:rsidR="00906898" w:rsidRPr="00263DB9" w:rsidRDefault="00906898" w:rsidP="00E51817">
      <w:pPr>
        <w:widowControl w:val="0"/>
        <w:suppressAutoHyphens/>
        <w:ind w:right="14"/>
        <w:rPr>
          <w:color w:val="000000"/>
          <w:szCs w:val="22"/>
        </w:rPr>
      </w:pPr>
    </w:p>
    <w:p w14:paraId="375EBC79" w14:textId="77777777" w:rsidR="00906898" w:rsidRPr="00263DB9" w:rsidRDefault="00906898" w:rsidP="00E51817">
      <w:pPr>
        <w:widowControl w:val="0"/>
        <w:suppressAutoHyphens/>
        <w:ind w:right="14"/>
        <w:rPr>
          <w:i/>
          <w:color w:val="000000"/>
          <w:szCs w:val="22"/>
        </w:rPr>
      </w:pPr>
      <w:r w:rsidRPr="00263DB9">
        <w:rPr>
          <w:color w:val="000000"/>
          <w:szCs w:val="22"/>
        </w:rPr>
        <w:t>EXP</w:t>
      </w:r>
    </w:p>
    <w:p w14:paraId="375EBC7A" w14:textId="77777777" w:rsidR="00906898" w:rsidRPr="00263DB9" w:rsidRDefault="00906898" w:rsidP="00E51817">
      <w:pPr>
        <w:widowControl w:val="0"/>
        <w:suppressAutoHyphens/>
        <w:ind w:right="14"/>
        <w:rPr>
          <w:color w:val="000000"/>
          <w:szCs w:val="22"/>
        </w:rPr>
      </w:pPr>
    </w:p>
    <w:p w14:paraId="375EBC7B" w14:textId="77777777" w:rsidR="00906898" w:rsidRPr="00263DB9" w:rsidRDefault="00906898" w:rsidP="00E51817">
      <w:pPr>
        <w:widowControl w:val="0"/>
        <w:suppressAutoHyphens/>
        <w:ind w:right="14"/>
        <w:rPr>
          <w:color w:val="000000"/>
          <w:szCs w:val="22"/>
        </w:rPr>
      </w:pPr>
    </w:p>
    <w:p w14:paraId="375EBC7C"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4.</w:t>
      </w:r>
      <w:r w:rsidRPr="00263DB9">
        <w:rPr>
          <w:b/>
          <w:color w:val="000000"/>
          <w:szCs w:val="22"/>
        </w:rPr>
        <w:tab/>
        <w:t>NÚMERO DO LOTE</w:t>
      </w:r>
    </w:p>
    <w:p w14:paraId="375EBC7D" w14:textId="77777777" w:rsidR="00906898" w:rsidRPr="00263DB9" w:rsidRDefault="00906898" w:rsidP="00E51817">
      <w:pPr>
        <w:widowControl w:val="0"/>
        <w:suppressAutoHyphens/>
        <w:ind w:right="14"/>
        <w:rPr>
          <w:color w:val="000000"/>
          <w:szCs w:val="22"/>
        </w:rPr>
      </w:pPr>
    </w:p>
    <w:p w14:paraId="375EBC7E" w14:textId="627CCC72" w:rsidR="00906898" w:rsidRPr="00263DB9" w:rsidRDefault="00195DDF" w:rsidP="00E51817">
      <w:pPr>
        <w:widowControl w:val="0"/>
        <w:rPr>
          <w:color w:val="000000"/>
          <w:szCs w:val="22"/>
        </w:rPr>
      </w:pPr>
      <w:r w:rsidRPr="00263DB9">
        <w:rPr>
          <w:color w:val="000000"/>
          <w:szCs w:val="22"/>
        </w:rPr>
        <w:t>Lot</w:t>
      </w:r>
    </w:p>
    <w:p w14:paraId="375EBC7F" w14:textId="77777777" w:rsidR="00906898" w:rsidRPr="00263DB9" w:rsidRDefault="00906898" w:rsidP="00E51817">
      <w:pPr>
        <w:widowControl w:val="0"/>
        <w:rPr>
          <w:color w:val="000000"/>
          <w:szCs w:val="22"/>
        </w:rPr>
      </w:pPr>
    </w:p>
    <w:p w14:paraId="375EBC80" w14:textId="77777777" w:rsidR="00906898" w:rsidRPr="00263DB9" w:rsidRDefault="00906898" w:rsidP="00E51817">
      <w:pPr>
        <w:widowControl w:val="0"/>
        <w:rPr>
          <w:color w:val="000000"/>
          <w:szCs w:val="22"/>
        </w:rPr>
      </w:pPr>
    </w:p>
    <w:p w14:paraId="375EBC81"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tabs>
          <w:tab w:val="left" w:pos="142"/>
        </w:tabs>
        <w:ind w:left="567" w:hanging="567"/>
        <w:rPr>
          <w:b/>
          <w:noProof/>
          <w:color w:val="000000"/>
        </w:rPr>
      </w:pPr>
      <w:r w:rsidRPr="00263DB9">
        <w:rPr>
          <w:b/>
          <w:noProof/>
          <w:color w:val="000000"/>
        </w:rPr>
        <w:t>5.</w:t>
      </w:r>
      <w:r w:rsidRPr="00263DB9">
        <w:rPr>
          <w:b/>
          <w:noProof/>
          <w:color w:val="000000"/>
        </w:rPr>
        <w:tab/>
        <w:t>OUTRAS</w:t>
      </w:r>
    </w:p>
    <w:p w14:paraId="375EBC82" w14:textId="77777777" w:rsidR="00906898" w:rsidRPr="00263DB9" w:rsidRDefault="00906898" w:rsidP="00E51817">
      <w:pPr>
        <w:widowControl w:val="0"/>
        <w:suppressAutoHyphens/>
        <w:ind w:right="14"/>
        <w:rPr>
          <w:color w:val="000000"/>
          <w:szCs w:val="22"/>
        </w:rPr>
      </w:pPr>
    </w:p>
    <w:p w14:paraId="375EBC83" w14:textId="77777777" w:rsidR="00906898" w:rsidRPr="00263DB9" w:rsidRDefault="00906898" w:rsidP="00E51817">
      <w:pPr>
        <w:widowControl w:val="0"/>
        <w:suppressAutoHyphens/>
        <w:ind w:right="14"/>
        <w:rPr>
          <w:color w:val="000000"/>
          <w:szCs w:val="22"/>
        </w:rPr>
      </w:pPr>
    </w:p>
    <w:p w14:paraId="375EBC84" w14:textId="77777777" w:rsidR="00906898" w:rsidRPr="00263DB9" w:rsidRDefault="00906898" w:rsidP="00E51817">
      <w:pPr>
        <w:widowControl w:val="0"/>
        <w:shd w:val="clear" w:color="auto" w:fill="FFFFFF"/>
        <w:suppressAutoHyphens/>
        <w:ind w:right="14"/>
        <w:rPr>
          <w:color w:val="000000"/>
          <w:szCs w:val="22"/>
        </w:rPr>
      </w:pPr>
      <w:r w:rsidRPr="00263DB9">
        <w:rPr>
          <w:color w:val="000000"/>
          <w:szCs w:val="22"/>
        </w:rPr>
        <w:br w:type="page"/>
      </w:r>
    </w:p>
    <w:p w14:paraId="375EBC85" w14:textId="77777777" w:rsidR="00831CCB" w:rsidRPr="00263DB9" w:rsidRDefault="00831CCB" w:rsidP="00831CCB">
      <w:pPr>
        <w:widowControl w:val="0"/>
        <w:suppressAutoHyphens/>
        <w:ind w:right="14"/>
        <w:rPr>
          <w:color w:val="000000"/>
          <w:szCs w:val="22"/>
        </w:rPr>
      </w:pPr>
    </w:p>
    <w:p w14:paraId="375EBC86"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hd w:val="clear" w:color="auto" w:fill="FFFFFF"/>
        <w:suppressAutoHyphens/>
        <w:ind w:right="14"/>
        <w:rPr>
          <w:b/>
          <w:color w:val="000000"/>
          <w:szCs w:val="22"/>
        </w:rPr>
      </w:pPr>
      <w:r w:rsidRPr="00263DB9">
        <w:rPr>
          <w:b/>
          <w:color w:val="000000"/>
          <w:szCs w:val="22"/>
        </w:rPr>
        <w:t>INDICAÇÕES A INCLUIR NO ACONDICIONAMENTO SECUNDÁRIO</w:t>
      </w:r>
    </w:p>
    <w:p w14:paraId="375EBC87"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hd w:val="clear" w:color="auto" w:fill="FFFFFF"/>
        <w:suppressAutoHyphens/>
        <w:ind w:right="14"/>
        <w:rPr>
          <w:color w:val="000000"/>
          <w:szCs w:val="22"/>
        </w:rPr>
      </w:pPr>
    </w:p>
    <w:p w14:paraId="375EBC88"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hd w:val="clear" w:color="auto" w:fill="FFFFFF"/>
        <w:suppressAutoHyphens/>
        <w:ind w:right="14"/>
        <w:rPr>
          <w:b/>
          <w:color w:val="000000"/>
          <w:szCs w:val="22"/>
        </w:rPr>
      </w:pPr>
      <w:r w:rsidRPr="00263DB9">
        <w:rPr>
          <w:b/>
          <w:color w:val="000000"/>
          <w:szCs w:val="22"/>
        </w:rPr>
        <w:t>CARTONAGEM</w:t>
      </w:r>
    </w:p>
    <w:p w14:paraId="375EBC89" w14:textId="77777777" w:rsidR="00906898" w:rsidRPr="00263DB9" w:rsidRDefault="00906898" w:rsidP="00E51817">
      <w:pPr>
        <w:widowControl w:val="0"/>
        <w:suppressAutoHyphens/>
        <w:ind w:right="14"/>
        <w:rPr>
          <w:color w:val="000000"/>
          <w:szCs w:val="22"/>
        </w:rPr>
      </w:pPr>
    </w:p>
    <w:p w14:paraId="375EBC8A" w14:textId="77777777" w:rsidR="00906898" w:rsidRPr="00263DB9" w:rsidRDefault="00906898" w:rsidP="00E51817">
      <w:pPr>
        <w:widowControl w:val="0"/>
        <w:suppressAutoHyphens/>
        <w:ind w:right="14"/>
        <w:rPr>
          <w:color w:val="000000"/>
          <w:szCs w:val="22"/>
        </w:rPr>
      </w:pPr>
    </w:p>
    <w:p w14:paraId="375EBC8B"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w:t>
      </w:r>
      <w:r w:rsidRPr="00263DB9">
        <w:rPr>
          <w:b/>
          <w:color w:val="000000"/>
          <w:szCs w:val="22"/>
        </w:rPr>
        <w:tab/>
        <w:t>NOME DO MEDICAMENTO</w:t>
      </w:r>
    </w:p>
    <w:p w14:paraId="375EBC8C" w14:textId="77777777" w:rsidR="00906898" w:rsidRPr="00263DB9" w:rsidRDefault="00906898" w:rsidP="00E51817">
      <w:pPr>
        <w:widowControl w:val="0"/>
        <w:suppressAutoHyphens/>
        <w:ind w:right="14"/>
        <w:rPr>
          <w:color w:val="000000"/>
          <w:szCs w:val="22"/>
        </w:rPr>
      </w:pPr>
    </w:p>
    <w:p w14:paraId="375EBC8D" w14:textId="77777777" w:rsidR="00906898" w:rsidRPr="00263DB9" w:rsidRDefault="00906898" w:rsidP="00E51817">
      <w:pPr>
        <w:widowControl w:val="0"/>
        <w:suppressAutoHyphens/>
        <w:ind w:right="14"/>
        <w:rPr>
          <w:color w:val="000000"/>
          <w:szCs w:val="22"/>
        </w:rPr>
      </w:pPr>
      <w:r w:rsidRPr="00263DB9">
        <w:rPr>
          <w:color w:val="000000"/>
          <w:szCs w:val="22"/>
        </w:rPr>
        <w:t>Glivec 400 mg comprimidos revestidos por película</w:t>
      </w:r>
    </w:p>
    <w:p w14:paraId="375EBC8E" w14:textId="77777777" w:rsidR="00906898" w:rsidRPr="00263DB9" w:rsidRDefault="001104DD" w:rsidP="00E51817">
      <w:pPr>
        <w:widowControl w:val="0"/>
        <w:suppressAutoHyphens/>
        <w:ind w:right="14"/>
        <w:rPr>
          <w:color w:val="000000"/>
          <w:szCs w:val="22"/>
        </w:rPr>
      </w:pPr>
      <w:r w:rsidRPr="00263DB9">
        <w:rPr>
          <w:color w:val="000000"/>
          <w:szCs w:val="22"/>
        </w:rPr>
        <w:t>i</w:t>
      </w:r>
      <w:r w:rsidR="00906898" w:rsidRPr="00263DB9">
        <w:rPr>
          <w:color w:val="000000"/>
          <w:szCs w:val="22"/>
        </w:rPr>
        <w:t>matinib</w:t>
      </w:r>
    </w:p>
    <w:p w14:paraId="375EBC8F" w14:textId="77777777" w:rsidR="00906898" w:rsidRPr="00263DB9" w:rsidRDefault="00906898" w:rsidP="00E51817">
      <w:pPr>
        <w:widowControl w:val="0"/>
        <w:suppressAutoHyphens/>
        <w:ind w:right="14"/>
        <w:rPr>
          <w:color w:val="000000"/>
          <w:szCs w:val="22"/>
        </w:rPr>
      </w:pPr>
    </w:p>
    <w:p w14:paraId="375EBC90" w14:textId="77777777" w:rsidR="00906898" w:rsidRPr="00263DB9" w:rsidRDefault="00906898" w:rsidP="00E51817">
      <w:pPr>
        <w:widowControl w:val="0"/>
        <w:suppressAutoHyphens/>
        <w:ind w:right="14"/>
        <w:rPr>
          <w:color w:val="000000"/>
          <w:szCs w:val="22"/>
        </w:rPr>
      </w:pPr>
    </w:p>
    <w:p w14:paraId="375EBC91"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b/>
          <w:color w:val="000000"/>
          <w:szCs w:val="22"/>
        </w:rPr>
      </w:pPr>
      <w:r w:rsidRPr="00263DB9">
        <w:rPr>
          <w:b/>
          <w:color w:val="000000"/>
          <w:szCs w:val="22"/>
        </w:rPr>
        <w:t>2.</w:t>
      </w:r>
      <w:r w:rsidRPr="00263DB9">
        <w:rPr>
          <w:b/>
          <w:color w:val="000000"/>
          <w:szCs w:val="22"/>
        </w:rPr>
        <w:tab/>
        <w:t>DESCRIÇÃO DA(S) SUBSTÂNCIA(S) ATIVA(S)</w:t>
      </w:r>
    </w:p>
    <w:p w14:paraId="375EBC92" w14:textId="77777777" w:rsidR="00906898" w:rsidRPr="00263DB9" w:rsidRDefault="00906898" w:rsidP="00E51817">
      <w:pPr>
        <w:widowControl w:val="0"/>
        <w:suppressAutoHyphens/>
        <w:ind w:right="14"/>
        <w:rPr>
          <w:color w:val="000000"/>
          <w:szCs w:val="22"/>
        </w:rPr>
      </w:pPr>
    </w:p>
    <w:p w14:paraId="375EBC93" w14:textId="77777777" w:rsidR="00906898" w:rsidRPr="00263DB9" w:rsidRDefault="00906898" w:rsidP="00E51817">
      <w:pPr>
        <w:widowControl w:val="0"/>
        <w:suppressAutoHyphens/>
        <w:ind w:right="14"/>
        <w:rPr>
          <w:color w:val="000000"/>
          <w:szCs w:val="22"/>
        </w:rPr>
      </w:pPr>
      <w:r w:rsidRPr="00263DB9">
        <w:rPr>
          <w:color w:val="000000"/>
          <w:szCs w:val="22"/>
        </w:rPr>
        <w:t>Cada comprimido revestido por película contém 400 mg de imatinib (como mesilato).</w:t>
      </w:r>
    </w:p>
    <w:p w14:paraId="375EBC94" w14:textId="77777777" w:rsidR="00906898" w:rsidRPr="00263DB9" w:rsidRDefault="00906898" w:rsidP="00E51817">
      <w:pPr>
        <w:widowControl w:val="0"/>
        <w:suppressAutoHyphens/>
        <w:ind w:right="14"/>
        <w:rPr>
          <w:color w:val="000000"/>
          <w:szCs w:val="22"/>
        </w:rPr>
      </w:pPr>
    </w:p>
    <w:p w14:paraId="375EBC95" w14:textId="77777777" w:rsidR="00906898" w:rsidRPr="00263DB9" w:rsidRDefault="00906898" w:rsidP="00E51817">
      <w:pPr>
        <w:widowControl w:val="0"/>
        <w:suppressAutoHyphens/>
        <w:ind w:right="14"/>
        <w:rPr>
          <w:color w:val="000000"/>
          <w:szCs w:val="22"/>
        </w:rPr>
      </w:pPr>
    </w:p>
    <w:p w14:paraId="375EBC96"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3.</w:t>
      </w:r>
      <w:r w:rsidRPr="00263DB9">
        <w:rPr>
          <w:b/>
          <w:color w:val="000000"/>
          <w:szCs w:val="22"/>
        </w:rPr>
        <w:tab/>
        <w:t>LISTA DOS EXCIPIENTES</w:t>
      </w:r>
    </w:p>
    <w:p w14:paraId="375EBC97" w14:textId="77777777" w:rsidR="00906898" w:rsidRPr="00263DB9" w:rsidRDefault="00906898" w:rsidP="00E51817">
      <w:pPr>
        <w:widowControl w:val="0"/>
        <w:suppressAutoHyphens/>
        <w:ind w:right="14"/>
        <w:rPr>
          <w:color w:val="000000"/>
          <w:szCs w:val="22"/>
        </w:rPr>
      </w:pPr>
    </w:p>
    <w:p w14:paraId="375EBC98" w14:textId="77777777" w:rsidR="00906898" w:rsidRPr="00263DB9" w:rsidRDefault="00906898" w:rsidP="00E51817">
      <w:pPr>
        <w:widowControl w:val="0"/>
        <w:suppressAutoHyphens/>
        <w:ind w:right="14"/>
        <w:rPr>
          <w:color w:val="000000"/>
          <w:szCs w:val="22"/>
        </w:rPr>
      </w:pPr>
    </w:p>
    <w:p w14:paraId="375EBC99"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4.</w:t>
      </w:r>
      <w:r w:rsidRPr="00263DB9">
        <w:rPr>
          <w:b/>
          <w:color w:val="000000"/>
          <w:szCs w:val="22"/>
        </w:rPr>
        <w:tab/>
        <w:t>FORMA FARMACÊUTICA E CONTEÚDO</w:t>
      </w:r>
    </w:p>
    <w:p w14:paraId="375EBC9A" w14:textId="77777777" w:rsidR="00906898" w:rsidRPr="00263DB9" w:rsidRDefault="00906898" w:rsidP="00E51817">
      <w:pPr>
        <w:widowControl w:val="0"/>
        <w:suppressAutoHyphens/>
        <w:ind w:right="14"/>
        <w:rPr>
          <w:color w:val="000000"/>
          <w:szCs w:val="22"/>
        </w:rPr>
      </w:pPr>
    </w:p>
    <w:p w14:paraId="375EBC9B" w14:textId="77777777" w:rsidR="00906898" w:rsidRPr="00263DB9" w:rsidRDefault="00906898" w:rsidP="00E51817">
      <w:pPr>
        <w:widowControl w:val="0"/>
        <w:suppressAutoHyphens/>
        <w:ind w:right="14"/>
        <w:rPr>
          <w:color w:val="000000"/>
          <w:szCs w:val="22"/>
        </w:rPr>
      </w:pPr>
      <w:r w:rsidRPr="00263DB9">
        <w:rPr>
          <w:color w:val="000000"/>
          <w:szCs w:val="22"/>
        </w:rPr>
        <w:t>10 comprimidos revestidos por película</w:t>
      </w:r>
    </w:p>
    <w:p w14:paraId="375EBC9C" w14:textId="77777777" w:rsidR="00906898" w:rsidRPr="00263DB9" w:rsidRDefault="00906898" w:rsidP="00E51817">
      <w:pPr>
        <w:widowControl w:val="0"/>
        <w:suppressAutoHyphens/>
        <w:ind w:right="14"/>
        <w:rPr>
          <w:color w:val="000000"/>
          <w:szCs w:val="22"/>
          <w:shd w:val="clear" w:color="auto" w:fill="D9D9D9"/>
        </w:rPr>
      </w:pPr>
      <w:r w:rsidRPr="00263DB9">
        <w:rPr>
          <w:color w:val="000000"/>
          <w:szCs w:val="22"/>
          <w:shd w:val="clear" w:color="auto" w:fill="D9D9D9"/>
        </w:rPr>
        <w:t>30 comprimidos revestidos por película</w:t>
      </w:r>
    </w:p>
    <w:p w14:paraId="375EBC9D" w14:textId="77777777" w:rsidR="00906898" w:rsidRPr="00263DB9" w:rsidRDefault="00906898" w:rsidP="00E51817">
      <w:pPr>
        <w:widowControl w:val="0"/>
        <w:suppressAutoHyphens/>
        <w:ind w:right="14"/>
        <w:rPr>
          <w:color w:val="000000"/>
          <w:szCs w:val="22"/>
          <w:shd w:val="clear" w:color="auto" w:fill="D9D9D9"/>
        </w:rPr>
      </w:pPr>
      <w:r w:rsidRPr="00263DB9">
        <w:rPr>
          <w:color w:val="000000"/>
          <w:szCs w:val="22"/>
          <w:shd w:val="clear" w:color="auto" w:fill="D9D9D9"/>
        </w:rPr>
        <w:t>90 comprimidos revestidos por película</w:t>
      </w:r>
    </w:p>
    <w:p w14:paraId="375EBC9E" w14:textId="77777777" w:rsidR="00906898" w:rsidRPr="00263DB9" w:rsidRDefault="00906898" w:rsidP="00E51817">
      <w:pPr>
        <w:widowControl w:val="0"/>
        <w:suppressAutoHyphens/>
        <w:ind w:right="14"/>
        <w:rPr>
          <w:color w:val="000000"/>
          <w:szCs w:val="22"/>
        </w:rPr>
      </w:pPr>
    </w:p>
    <w:p w14:paraId="375EBC9F" w14:textId="77777777" w:rsidR="00906898" w:rsidRPr="00263DB9" w:rsidRDefault="00906898" w:rsidP="00E51817">
      <w:pPr>
        <w:widowControl w:val="0"/>
        <w:suppressAutoHyphens/>
        <w:ind w:right="14"/>
        <w:rPr>
          <w:color w:val="000000"/>
          <w:szCs w:val="22"/>
        </w:rPr>
      </w:pPr>
    </w:p>
    <w:p w14:paraId="375EBCA0"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5.</w:t>
      </w:r>
      <w:r w:rsidRPr="00263DB9">
        <w:rPr>
          <w:b/>
          <w:color w:val="000000"/>
          <w:szCs w:val="22"/>
        </w:rPr>
        <w:tab/>
        <w:t>MODO E VIA(S) DE ADMINISTRAÇÃO</w:t>
      </w:r>
    </w:p>
    <w:p w14:paraId="375EBCA1" w14:textId="77777777" w:rsidR="00906898" w:rsidRPr="00263DB9" w:rsidRDefault="00906898" w:rsidP="00E51817">
      <w:pPr>
        <w:widowControl w:val="0"/>
        <w:suppressAutoHyphens/>
        <w:ind w:right="14"/>
        <w:rPr>
          <w:color w:val="000000"/>
          <w:szCs w:val="22"/>
        </w:rPr>
      </w:pPr>
    </w:p>
    <w:p w14:paraId="375EBCA2" w14:textId="77777777" w:rsidR="00906898" w:rsidRPr="00263DB9" w:rsidRDefault="00906898" w:rsidP="00E51817">
      <w:pPr>
        <w:widowControl w:val="0"/>
        <w:suppressAutoHyphens/>
        <w:ind w:right="14"/>
        <w:rPr>
          <w:color w:val="000000"/>
          <w:szCs w:val="22"/>
        </w:rPr>
      </w:pPr>
      <w:r w:rsidRPr="00263DB9">
        <w:rPr>
          <w:color w:val="000000"/>
          <w:szCs w:val="22"/>
        </w:rPr>
        <w:t xml:space="preserve">Via oral. </w:t>
      </w:r>
      <w:r w:rsidRPr="00263DB9">
        <w:rPr>
          <w:noProof/>
          <w:color w:val="000000"/>
          <w:szCs w:val="22"/>
        </w:rPr>
        <w:t>Consultar o folheto informativo antes de utilizar</w:t>
      </w:r>
      <w:r w:rsidRPr="00263DB9">
        <w:rPr>
          <w:color w:val="000000"/>
          <w:szCs w:val="22"/>
        </w:rPr>
        <w:t>.</w:t>
      </w:r>
    </w:p>
    <w:p w14:paraId="375EBCA3" w14:textId="77777777" w:rsidR="00906898" w:rsidRPr="00263DB9" w:rsidRDefault="00906898" w:rsidP="00E51817">
      <w:pPr>
        <w:widowControl w:val="0"/>
        <w:suppressAutoHyphens/>
        <w:ind w:right="14"/>
        <w:rPr>
          <w:color w:val="000000"/>
          <w:szCs w:val="22"/>
        </w:rPr>
      </w:pPr>
    </w:p>
    <w:p w14:paraId="375EBCA4" w14:textId="77777777" w:rsidR="00906898" w:rsidRPr="00263DB9" w:rsidRDefault="00906898" w:rsidP="00E51817">
      <w:pPr>
        <w:widowControl w:val="0"/>
        <w:suppressAutoHyphens/>
        <w:ind w:right="14"/>
        <w:rPr>
          <w:color w:val="000000"/>
          <w:szCs w:val="22"/>
        </w:rPr>
      </w:pPr>
    </w:p>
    <w:p w14:paraId="375EBCA5"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b/>
          <w:color w:val="000000"/>
          <w:szCs w:val="22"/>
        </w:rPr>
      </w:pPr>
      <w:r w:rsidRPr="00263DB9">
        <w:rPr>
          <w:b/>
          <w:color w:val="000000"/>
          <w:szCs w:val="22"/>
        </w:rPr>
        <w:t>6.</w:t>
      </w:r>
      <w:r w:rsidRPr="00263DB9">
        <w:rPr>
          <w:b/>
          <w:color w:val="000000"/>
          <w:szCs w:val="22"/>
        </w:rPr>
        <w:tab/>
        <w:t xml:space="preserve">ADVERTÊNCIA ESPECIAL DE QUE O MEDICAMENTO DEVE SER MANTIDO FORA </w:t>
      </w:r>
      <w:r w:rsidRPr="00263DB9">
        <w:rPr>
          <w:b/>
          <w:szCs w:val="24"/>
        </w:rPr>
        <w:t>DA VISTA E</w:t>
      </w:r>
      <w:r w:rsidRPr="00263DB9">
        <w:rPr>
          <w:b/>
          <w:color w:val="000000"/>
          <w:szCs w:val="22"/>
        </w:rPr>
        <w:t xml:space="preserve"> DO ALCANCE DAS CRIANÇAS</w:t>
      </w:r>
    </w:p>
    <w:p w14:paraId="375EBCA6" w14:textId="77777777" w:rsidR="00906898" w:rsidRPr="00263DB9" w:rsidRDefault="00906898" w:rsidP="00E51817">
      <w:pPr>
        <w:widowControl w:val="0"/>
        <w:suppressAutoHyphens/>
        <w:ind w:right="14"/>
        <w:rPr>
          <w:color w:val="000000"/>
          <w:szCs w:val="22"/>
        </w:rPr>
      </w:pPr>
    </w:p>
    <w:p w14:paraId="375EBCA7" w14:textId="77777777" w:rsidR="00906898" w:rsidRPr="00263DB9" w:rsidRDefault="00906898" w:rsidP="00E51817">
      <w:pPr>
        <w:widowControl w:val="0"/>
        <w:suppressAutoHyphens/>
        <w:ind w:right="14"/>
        <w:rPr>
          <w:color w:val="000000"/>
          <w:szCs w:val="22"/>
        </w:rPr>
      </w:pPr>
      <w:r w:rsidRPr="00263DB9">
        <w:rPr>
          <w:color w:val="000000"/>
          <w:szCs w:val="22"/>
        </w:rPr>
        <w:t xml:space="preserve">Manter fora </w:t>
      </w:r>
      <w:r w:rsidRPr="00263DB9">
        <w:rPr>
          <w:szCs w:val="24"/>
        </w:rPr>
        <w:t xml:space="preserve">da vista e </w:t>
      </w:r>
      <w:r w:rsidRPr="00263DB9">
        <w:rPr>
          <w:color w:val="000000"/>
          <w:szCs w:val="22"/>
        </w:rPr>
        <w:t>do alcance das crianças.</w:t>
      </w:r>
    </w:p>
    <w:p w14:paraId="375EBCA8" w14:textId="77777777" w:rsidR="00906898" w:rsidRPr="00263DB9" w:rsidRDefault="00906898" w:rsidP="00E51817">
      <w:pPr>
        <w:widowControl w:val="0"/>
        <w:suppressAutoHyphens/>
        <w:ind w:right="14"/>
        <w:rPr>
          <w:color w:val="000000"/>
          <w:szCs w:val="22"/>
        </w:rPr>
      </w:pPr>
    </w:p>
    <w:p w14:paraId="375EBCA9" w14:textId="77777777" w:rsidR="00906898" w:rsidRPr="00263DB9" w:rsidRDefault="00906898" w:rsidP="00E51817">
      <w:pPr>
        <w:widowControl w:val="0"/>
        <w:suppressAutoHyphens/>
        <w:ind w:right="14"/>
        <w:rPr>
          <w:color w:val="000000"/>
          <w:szCs w:val="22"/>
        </w:rPr>
      </w:pPr>
    </w:p>
    <w:p w14:paraId="375EBCAA"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7.</w:t>
      </w:r>
      <w:r w:rsidRPr="00263DB9">
        <w:rPr>
          <w:b/>
          <w:color w:val="000000"/>
          <w:szCs w:val="22"/>
        </w:rPr>
        <w:tab/>
        <w:t>OUTRAS ADVERTÊNCIAS ESPECIAIS, SE NECESSÁRIO</w:t>
      </w:r>
    </w:p>
    <w:p w14:paraId="375EBCAB" w14:textId="77777777" w:rsidR="00906898" w:rsidRPr="00263DB9" w:rsidRDefault="00906898" w:rsidP="00E51817">
      <w:pPr>
        <w:widowControl w:val="0"/>
        <w:suppressAutoHyphens/>
        <w:ind w:right="14"/>
        <w:rPr>
          <w:color w:val="000000"/>
          <w:szCs w:val="22"/>
        </w:rPr>
      </w:pPr>
    </w:p>
    <w:p w14:paraId="375EBCAC" w14:textId="77777777" w:rsidR="00906898" w:rsidRPr="00263DB9" w:rsidRDefault="00906898" w:rsidP="00E51817">
      <w:pPr>
        <w:widowControl w:val="0"/>
        <w:suppressAutoHyphens/>
        <w:ind w:right="14"/>
        <w:rPr>
          <w:color w:val="000000"/>
          <w:szCs w:val="22"/>
        </w:rPr>
      </w:pPr>
      <w:r w:rsidRPr="00263DB9">
        <w:rPr>
          <w:color w:val="000000"/>
          <w:szCs w:val="22"/>
        </w:rPr>
        <w:t>Utilizar apenas de acordo com as instruções de um médico.</w:t>
      </w:r>
    </w:p>
    <w:p w14:paraId="375EBCAD" w14:textId="77777777" w:rsidR="00906898" w:rsidRPr="00263DB9" w:rsidRDefault="00906898" w:rsidP="00E51817">
      <w:pPr>
        <w:widowControl w:val="0"/>
        <w:suppressAutoHyphens/>
        <w:ind w:right="14"/>
        <w:rPr>
          <w:color w:val="000000"/>
          <w:szCs w:val="22"/>
        </w:rPr>
      </w:pPr>
    </w:p>
    <w:p w14:paraId="375EBCAE" w14:textId="77777777" w:rsidR="00906898" w:rsidRPr="00263DB9" w:rsidRDefault="00906898" w:rsidP="00E51817">
      <w:pPr>
        <w:widowControl w:val="0"/>
        <w:suppressAutoHyphens/>
        <w:ind w:right="14"/>
        <w:rPr>
          <w:color w:val="000000"/>
          <w:szCs w:val="22"/>
        </w:rPr>
      </w:pPr>
    </w:p>
    <w:p w14:paraId="375EBCAF"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8.</w:t>
      </w:r>
      <w:r w:rsidRPr="00263DB9">
        <w:rPr>
          <w:b/>
          <w:color w:val="000000"/>
          <w:szCs w:val="22"/>
        </w:rPr>
        <w:tab/>
        <w:t>PRAZO DE VALIDADE</w:t>
      </w:r>
    </w:p>
    <w:p w14:paraId="375EBCB0" w14:textId="77777777" w:rsidR="00906898" w:rsidRPr="00263DB9" w:rsidRDefault="00906898" w:rsidP="00E51817">
      <w:pPr>
        <w:widowControl w:val="0"/>
        <w:suppressAutoHyphens/>
        <w:ind w:right="14"/>
        <w:rPr>
          <w:color w:val="000000"/>
          <w:szCs w:val="22"/>
        </w:rPr>
      </w:pPr>
    </w:p>
    <w:p w14:paraId="375EBCB1" w14:textId="68BC1DAF" w:rsidR="00906898" w:rsidRPr="00263DB9" w:rsidRDefault="00195DDF" w:rsidP="00E51817">
      <w:pPr>
        <w:widowControl w:val="0"/>
        <w:suppressAutoHyphens/>
        <w:ind w:right="14"/>
        <w:rPr>
          <w:i/>
          <w:color w:val="000000"/>
          <w:szCs w:val="22"/>
        </w:rPr>
      </w:pPr>
      <w:r w:rsidRPr="00263DB9">
        <w:rPr>
          <w:color w:val="000000"/>
          <w:szCs w:val="22"/>
        </w:rPr>
        <w:t>EXP</w:t>
      </w:r>
    </w:p>
    <w:p w14:paraId="375EBCB2" w14:textId="77777777" w:rsidR="00906898" w:rsidRPr="00263DB9" w:rsidRDefault="00906898" w:rsidP="00E51817">
      <w:pPr>
        <w:widowControl w:val="0"/>
        <w:suppressAutoHyphens/>
        <w:ind w:right="14"/>
        <w:rPr>
          <w:color w:val="000000"/>
          <w:szCs w:val="22"/>
        </w:rPr>
      </w:pPr>
    </w:p>
    <w:p w14:paraId="375EBCB3" w14:textId="77777777" w:rsidR="00906898" w:rsidRPr="00263DB9" w:rsidRDefault="00906898" w:rsidP="00E51817">
      <w:pPr>
        <w:widowControl w:val="0"/>
        <w:suppressAutoHyphens/>
        <w:ind w:right="14"/>
        <w:rPr>
          <w:color w:val="000000"/>
          <w:szCs w:val="22"/>
        </w:rPr>
      </w:pPr>
    </w:p>
    <w:p w14:paraId="375EBCB4" w14:textId="77777777" w:rsidR="00906898" w:rsidRPr="00263DB9" w:rsidRDefault="00906898" w:rsidP="00831CCB">
      <w:pPr>
        <w:keepNext/>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9.</w:t>
      </w:r>
      <w:r w:rsidRPr="00263DB9">
        <w:rPr>
          <w:b/>
          <w:color w:val="000000"/>
          <w:szCs w:val="22"/>
        </w:rPr>
        <w:tab/>
        <w:t>CONDIÇÕES ESPECIAIS DE CONSERVAÇÃO</w:t>
      </w:r>
    </w:p>
    <w:p w14:paraId="375EBCB5" w14:textId="77777777" w:rsidR="00906898" w:rsidRPr="00263DB9" w:rsidRDefault="00906898" w:rsidP="00831CCB">
      <w:pPr>
        <w:keepNext/>
        <w:widowControl w:val="0"/>
        <w:suppressAutoHyphens/>
        <w:ind w:right="14"/>
        <w:rPr>
          <w:color w:val="000000"/>
          <w:szCs w:val="22"/>
        </w:rPr>
      </w:pPr>
    </w:p>
    <w:p w14:paraId="375EBCB6" w14:textId="77777777" w:rsidR="00906898" w:rsidRPr="00263DB9" w:rsidRDefault="00906898" w:rsidP="00E51817">
      <w:pPr>
        <w:widowControl w:val="0"/>
        <w:suppressAutoHyphens/>
        <w:rPr>
          <w:color w:val="000000"/>
          <w:szCs w:val="22"/>
        </w:rPr>
      </w:pPr>
      <w:r w:rsidRPr="00263DB9">
        <w:rPr>
          <w:color w:val="000000"/>
          <w:szCs w:val="22"/>
        </w:rPr>
        <w:t>Não conservar acima de 30°C. Conservar na embalagem de origem para proteger da humidade.</w:t>
      </w:r>
    </w:p>
    <w:p w14:paraId="375EBCB7" w14:textId="77777777" w:rsidR="00906898" w:rsidRPr="00263DB9" w:rsidRDefault="00906898" w:rsidP="00E51817">
      <w:pPr>
        <w:widowControl w:val="0"/>
        <w:suppressAutoHyphens/>
        <w:ind w:right="14"/>
        <w:rPr>
          <w:color w:val="000000"/>
          <w:szCs w:val="22"/>
        </w:rPr>
      </w:pPr>
    </w:p>
    <w:p w14:paraId="375EBCB8" w14:textId="77777777" w:rsidR="00906898" w:rsidRPr="00263DB9" w:rsidRDefault="00906898" w:rsidP="00E51817">
      <w:pPr>
        <w:widowControl w:val="0"/>
        <w:suppressAutoHyphens/>
        <w:ind w:right="14"/>
        <w:rPr>
          <w:color w:val="000000"/>
          <w:szCs w:val="22"/>
        </w:rPr>
      </w:pPr>
    </w:p>
    <w:p w14:paraId="375EBCB9" w14:textId="77777777" w:rsidR="00906898" w:rsidRPr="00263DB9" w:rsidRDefault="00906898" w:rsidP="00831CCB">
      <w:pPr>
        <w:keepNext/>
        <w:keepLines/>
        <w:widowControl w:val="0"/>
        <w:pBdr>
          <w:top w:val="single" w:sz="4" w:space="1" w:color="auto"/>
          <w:left w:val="single" w:sz="4" w:space="4" w:color="auto"/>
          <w:bottom w:val="single" w:sz="4" w:space="1" w:color="auto"/>
          <w:right w:val="single" w:sz="4" w:space="4" w:color="auto"/>
        </w:pBdr>
        <w:suppressAutoHyphens/>
        <w:ind w:left="567" w:hanging="567"/>
        <w:rPr>
          <w:b/>
          <w:color w:val="000000"/>
          <w:szCs w:val="22"/>
        </w:rPr>
      </w:pPr>
      <w:r w:rsidRPr="00263DB9">
        <w:rPr>
          <w:b/>
          <w:color w:val="000000"/>
          <w:szCs w:val="22"/>
        </w:rPr>
        <w:lastRenderedPageBreak/>
        <w:t>10.</w:t>
      </w:r>
      <w:r w:rsidRPr="00263DB9">
        <w:rPr>
          <w:b/>
          <w:color w:val="000000"/>
          <w:szCs w:val="22"/>
        </w:rPr>
        <w:tab/>
        <w:t>CUIDADOS ESPECIAIS QUANTO À ELIMINAÇÃO DO MEDICAMENTO NÃO UTILIZADO OU DOS RESÍDUOS PROVENIENTES DESSE MEDICAMENTO, SE APLICÁVEL</w:t>
      </w:r>
    </w:p>
    <w:p w14:paraId="375EBCBA" w14:textId="77777777" w:rsidR="00906898" w:rsidRPr="00263DB9" w:rsidRDefault="00906898" w:rsidP="00E51817">
      <w:pPr>
        <w:widowControl w:val="0"/>
        <w:suppressAutoHyphens/>
        <w:ind w:right="14"/>
        <w:rPr>
          <w:color w:val="000000"/>
          <w:szCs w:val="22"/>
        </w:rPr>
      </w:pPr>
    </w:p>
    <w:p w14:paraId="375EBCBB" w14:textId="77777777" w:rsidR="00906898" w:rsidRPr="00263DB9" w:rsidRDefault="00906898" w:rsidP="00E51817">
      <w:pPr>
        <w:widowControl w:val="0"/>
        <w:suppressAutoHyphens/>
        <w:ind w:right="14"/>
        <w:rPr>
          <w:color w:val="000000"/>
          <w:szCs w:val="22"/>
        </w:rPr>
      </w:pPr>
    </w:p>
    <w:p w14:paraId="375EBCBC" w14:textId="77777777" w:rsidR="00906898" w:rsidRPr="00263DB9" w:rsidRDefault="00906898" w:rsidP="00831CCB">
      <w:pPr>
        <w:keepNext/>
        <w:keepLines/>
        <w:widowControl w:val="0"/>
        <w:pBdr>
          <w:top w:val="single" w:sz="4" w:space="1" w:color="auto"/>
          <w:left w:val="single" w:sz="4" w:space="4" w:color="auto"/>
          <w:bottom w:val="single" w:sz="4" w:space="1" w:color="auto"/>
          <w:right w:val="single" w:sz="4" w:space="4" w:color="auto"/>
        </w:pBdr>
        <w:suppressAutoHyphens/>
        <w:ind w:left="567" w:hanging="567"/>
        <w:rPr>
          <w:b/>
          <w:color w:val="000000"/>
          <w:szCs w:val="22"/>
        </w:rPr>
      </w:pPr>
      <w:r w:rsidRPr="00263DB9">
        <w:rPr>
          <w:b/>
          <w:color w:val="000000"/>
          <w:szCs w:val="22"/>
        </w:rPr>
        <w:t>11.</w:t>
      </w:r>
      <w:r w:rsidRPr="00263DB9">
        <w:rPr>
          <w:b/>
          <w:color w:val="000000"/>
          <w:szCs w:val="22"/>
        </w:rPr>
        <w:tab/>
        <w:t>NOME E ENDEREÇO DO TITULAR DA AUTORIZAÇÃO DE INTRODUÇÃO NO MERCADO</w:t>
      </w:r>
    </w:p>
    <w:p w14:paraId="375EBCBD" w14:textId="77777777" w:rsidR="00906898" w:rsidRPr="00263DB9" w:rsidRDefault="00906898" w:rsidP="00831CCB">
      <w:pPr>
        <w:keepNext/>
        <w:keepLines/>
        <w:widowControl w:val="0"/>
        <w:suppressAutoHyphens/>
        <w:ind w:right="14"/>
        <w:rPr>
          <w:color w:val="000000"/>
          <w:szCs w:val="22"/>
        </w:rPr>
      </w:pPr>
    </w:p>
    <w:p w14:paraId="375EBCBE" w14:textId="77777777" w:rsidR="00906898" w:rsidRPr="00263DB9" w:rsidRDefault="00906898" w:rsidP="00831CCB">
      <w:pPr>
        <w:pStyle w:val="EndnoteText"/>
        <w:keepNext/>
        <w:keepLines/>
        <w:tabs>
          <w:tab w:val="clear" w:pos="567"/>
        </w:tabs>
        <w:suppressAutoHyphens/>
        <w:rPr>
          <w:color w:val="000000"/>
          <w:szCs w:val="22"/>
          <w:lang w:val="en-US"/>
        </w:rPr>
      </w:pPr>
      <w:r w:rsidRPr="00263DB9">
        <w:rPr>
          <w:color w:val="000000"/>
          <w:szCs w:val="22"/>
          <w:lang w:val="en-US"/>
        </w:rPr>
        <w:t>Novartis Europharm Limited</w:t>
      </w:r>
    </w:p>
    <w:p w14:paraId="375EBCBF" w14:textId="77777777" w:rsidR="009C587B" w:rsidRPr="00263DB9" w:rsidRDefault="009C587B" w:rsidP="00E51817">
      <w:pPr>
        <w:keepNext/>
        <w:widowControl w:val="0"/>
        <w:rPr>
          <w:color w:val="000000"/>
          <w:lang w:val="en-US"/>
        </w:rPr>
      </w:pPr>
      <w:r w:rsidRPr="00263DB9">
        <w:rPr>
          <w:color w:val="000000"/>
          <w:lang w:val="en-US"/>
        </w:rPr>
        <w:t>Vista Building</w:t>
      </w:r>
    </w:p>
    <w:p w14:paraId="375EBCC0" w14:textId="77777777" w:rsidR="009C587B" w:rsidRPr="00263DB9" w:rsidRDefault="009C587B" w:rsidP="00E51817">
      <w:pPr>
        <w:keepNext/>
        <w:widowControl w:val="0"/>
        <w:rPr>
          <w:color w:val="000000"/>
          <w:lang w:val="en-US"/>
        </w:rPr>
      </w:pPr>
      <w:r w:rsidRPr="00263DB9">
        <w:rPr>
          <w:color w:val="000000"/>
          <w:lang w:val="en-US"/>
        </w:rPr>
        <w:t>Elm Park, Merrion Road</w:t>
      </w:r>
    </w:p>
    <w:p w14:paraId="375EBCC1" w14:textId="77777777" w:rsidR="009C587B" w:rsidRPr="00263DB9" w:rsidRDefault="009C587B" w:rsidP="00E51817">
      <w:pPr>
        <w:keepNext/>
        <w:widowControl w:val="0"/>
        <w:rPr>
          <w:color w:val="000000"/>
        </w:rPr>
      </w:pPr>
      <w:r w:rsidRPr="00263DB9">
        <w:rPr>
          <w:color w:val="000000"/>
        </w:rPr>
        <w:t>Dublin 4</w:t>
      </w:r>
    </w:p>
    <w:p w14:paraId="375EBCC2" w14:textId="77777777" w:rsidR="009C587B" w:rsidRPr="00263DB9" w:rsidRDefault="009C587B" w:rsidP="00E51817">
      <w:pPr>
        <w:widowControl w:val="0"/>
        <w:rPr>
          <w:color w:val="000000"/>
        </w:rPr>
      </w:pPr>
      <w:r w:rsidRPr="00263DB9">
        <w:rPr>
          <w:color w:val="000000"/>
        </w:rPr>
        <w:t>Irlanda</w:t>
      </w:r>
    </w:p>
    <w:p w14:paraId="375EBCC3" w14:textId="77777777" w:rsidR="00906898" w:rsidRPr="00263DB9" w:rsidRDefault="00906898" w:rsidP="00E51817">
      <w:pPr>
        <w:widowControl w:val="0"/>
        <w:suppressAutoHyphens/>
        <w:ind w:right="14"/>
        <w:rPr>
          <w:color w:val="000000"/>
          <w:szCs w:val="22"/>
        </w:rPr>
      </w:pPr>
    </w:p>
    <w:p w14:paraId="375EBCC4" w14:textId="77777777" w:rsidR="00906898" w:rsidRPr="00263DB9" w:rsidRDefault="00906898" w:rsidP="00E51817">
      <w:pPr>
        <w:widowControl w:val="0"/>
        <w:suppressAutoHyphens/>
        <w:ind w:right="14"/>
        <w:rPr>
          <w:color w:val="000000"/>
          <w:szCs w:val="22"/>
        </w:rPr>
      </w:pPr>
    </w:p>
    <w:p w14:paraId="375EBCC5"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12.</w:t>
      </w:r>
      <w:r w:rsidRPr="00263DB9">
        <w:rPr>
          <w:b/>
          <w:color w:val="000000"/>
          <w:szCs w:val="22"/>
        </w:rPr>
        <w:tab/>
        <w:t>NÚMERO(S) DA AUTORIZAÇÃO DE INTRODUÇÃO NO MERCADO</w:t>
      </w:r>
    </w:p>
    <w:p w14:paraId="375EBCC6" w14:textId="77777777" w:rsidR="00906898" w:rsidRPr="00263DB9" w:rsidRDefault="00906898" w:rsidP="00E51817">
      <w:pPr>
        <w:widowControl w:val="0"/>
        <w:suppressAutoHyphens/>
        <w:ind w:right="14"/>
        <w:rPr>
          <w:color w:val="000000"/>
          <w:szCs w:val="22"/>
        </w:rPr>
      </w:pPr>
    </w:p>
    <w:p w14:paraId="375EBCC7" w14:textId="77777777" w:rsidR="00906898" w:rsidRPr="00263DB9" w:rsidRDefault="00906898" w:rsidP="00E51817">
      <w:pPr>
        <w:widowControl w:val="0"/>
        <w:tabs>
          <w:tab w:val="left" w:pos="2268"/>
        </w:tabs>
        <w:suppressAutoHyphens/>
        <w:ind w:right="14"/>
        <w:rPr>
          <w:color w:val="000000"/>
          <w:szCs w:val="22"/>
          <w:shd w:val="clear" w:color="auto" w:fill="D9D9D9"/>
        </w:rPr>
      </w:pPr>
      <w:r w:rsidRPr="00263DB9">
        <w:rPr>
          <w:color w:val="000000"/>
          <w:szCs w:val="22"/>
        </w:rPr>
        <w:t>EU/1/01/198/009</w:t>
      </w:r>
      <w:r w:rsidRPr="00263DB9">
        <w:rPr>
          <w:color w:val="000000"/>
          <w:szCs w:val="22"/>
        </w:rPr>
        <w:tab/>
      </w:r>
      <w:r w:rsidRPr="00263DB9">
        <w:rPr>
          <w:color w:val="000000"/>
          <w:szCs w:val="22"/>
          <w:shd w:val="clear" w:color="auto" w:fill="D9D9D9"/>
        </w:rPr>
        <w:t>10 comprimidos</w:t>
      </w:r>
    </w:p>
    <w:p w14:paraId="375EBCC8" w14:textId="77777777" w:rsidR="00906898" w:rsidRPr="00263DB9" w:rsidRDefault="00906898" w:rsidP="00E51817">
      <w:pPr>
        <w:widowControl w:val="0"/>
        <w:tabs>
          <w:tab w:val="left" w:pos="2268"/>
        </w:tabs>
        <w:suppressAutoHyphens/>
        <w:ind w:right="14"/>
        <w:rPr>
          <w:color w:val="000000"/>
          <w:szCs w:val="22"/>
          <w:shd w:val="clear" w:color="auto" w:fill="D9D9D9"/>
        </w:rPr>
      </w:pPr>
      <w:r w:rsidRPr="00263DB9">
        <w:rPr>
          <w:color w:val="000000"/>
          <w:szCs w:val="22"/>
          <w:shd w:val="clear" w:color="auto" w:fill="D9D9D9"/>
        </w:rPr>
        <w:t>EU/1/01/198/010</w:t>
      </w:r>
      <w:r w:rsidRPr="00263DB9">
        <w:rPr>
          <w:color w:val="000000"/>
          <w:szCs w:val="22"/>
          <w:shd w:val="clear" w:color="auto" w:fill="D9D9D9"/>
        </w:rPr>
        <w:tab/>
        <w:t>30 comprimidos</w:t>
      </w:r>
    </w:p>
    <w:p w14:paraId="375EBCC9" w14:textId="77777777" w:rsidR="00906898" w:rsidRPr="00263DB9" w:rsidRDefault="00906898" w:rsidP="00E51817">
      <w:pPr>
        <w:widowControl w:val="0"/>
        <w:tabs>
          <w:tab w:val="left" w:pos="2268"/>
        </w:tabs>
        <w:suppressAutoHyphens/>
        <w:ind w:right="14"/>
        <w:rPr>
          <w:color w:val="000000"/>
          <w:szCs w:val="22"/>
          <w:shd w:val="clear" w:color="auto" w:fill="D9D9D9"/>
        </w:rPr>
      </w:pPr>
      <w:r w:rsidRPr="00263DB9">
        <w:rPr>
          <w:color w:val="000000"/>
          <w:szCs w:val="22"/>
          <w:shd w:val="clear" w:color="auto" w:fill="D9D9D9"/>
        </w:rPr>
        <w:t>EU/1/01/198/013</w:t>
      </w:r>
      <w:r w:rsidRPr="00263DB9">
        <w:rPr>
          <w:color w:val="000000"/>
          <w:szCs w:val="22"/>
          <w:shd w:val="clear" w:color="auto" w:fill="D9D9D9"/>
        </w:rPr>
        <w:tab/>
        <w:t>90 comprimidos</w:t>
      </w:r>
    </w:p>
    <w:p w14:paraId="375EBCCA" w14:textId="77777777" w:rsidR="00906898" w:rsidRPr="00263DB9" w:rsidRDefault="00906898" w:rsidP="00E51817">
      <w:pPr>
        <w:widowControl w:val="0"/>
        <w:suppressAutoHyphens/>
        <w:ind w:right="14"/>
        <w:rPr>
          <w:color w:val="000000"/>
          <w:szCs w:val="22"/>
        </w:rPr>
      </w:pPr>
    </w:p>
    <w:p w14:paraId="375EBCCB" w14:textId="77777777" w:rsidR="00906898" w:rsidRPr="00263DB9" w:rsidRDefault="00906898" w:rsidP="00E51817">
      <w:pPr>
        <w:widowControl w:val="0"/>
        <w:suppressAutoHyphens/>
        <w:ind w:right="14"/>
        <w:rPr>
          <w:color w:val="000000"/>
          <w:szCs w:val="22"/>
        </w:rPr>
      </w:pPr>
    </w:p>
    <w:p w14:paraId="375EBCCC" w14:textId="77777777" w:rsidR="00906898" w:rsidRPr="00263DB9" w:rsidRDefault="00906898" w:rsidP="00E51817">
      <w:pPr>
        <w:widowControl w:val="0"/>
        <w:pBdr>
          <w:top w:val="single" w:sz="4" w:space="0" w:color="auto"/>
          <w:left w:val="single" w:sz="4" w:space="4" w:color="auto"/>
          <w:bottom w:val="single" w:sz="4" w:space="1" w:color="auto"/>
          <w:right w:val="single" w:sz="4" w:space="4" w:color="auto"/>
        </w:pBdr>
        <w:suppressAutoHyphens/>
        <w:ind w:left="567" w:hanging="567"/>
        <w:rPr>
          <w:b/>
          <w:color w:val="000000"/>
          <w:szCs w:val="22"/>
        </w:rPr>
      </w:pPr>
      <w:r w:rsidRPr="00263DB9">
        <w:rPr>
          <w:b/>
          <w:color w:val="000000"/>
          <w:szCs w:val="22"/>
        </w:rPr>
        <w:t>13.</w:t>
      </w:r>
      <w:r w:rsidRPr="00263DB9">
        <w:rPr>
          <w:b/>
          <w:color w:val="000000"/>
          <w:szCs w:val="22"/>
        </w:rPr>
        <w:tab/>
        <w:t>NÚMERO DO LOTE</w:t>
      </w:r>
    </w:p>
    <w:p w14:paraId="375EBCCD" w14:textId="77777777" w:rsidR="00906898" w:rsidRPr="00263DB9" w:rsidRDefault="00906898" w:rsidP="00E51817">
      <w:pPr>
        <w:widowControl w:val="0"/>
        <w:suppressAutoHyphens/>
        <w:ind w:right="14"/>
        <w:rPr>
          <w:color w:val="000000"/>
          <w:szCs w:val="22"/>
        </w:rPr>
      </w:pPr>
    </w:p>
    <w:p w14:paraId="375EBCCE" w14:textId="13CBAE79" w:rsidR="00906898" w:rsidRPr="00263DB9" w:rsidRDefault="00195DDF" w:rsidP="00E51817">
      <w:pPr>
        <w:widowControl w:val="0"/>
        <w:suppressAutoHyphens/>
        <w:ind w:right="14"/>
        <w:rPr>
          <w:color w:val="000000"/>
          <w:szCs w:val="22"/>
        </w:rPr>
      </w:pPr>
      <w:r w:rsidRPr="00263DB9">
        <w:rPr>
          <w:color w:val="000000"/>
          <w:szCs w:val="22"/>
        </w:rPr>
        <w:t>Lot</w:t>
      </w:r>
    </w:p>
    <w:p w14:paraId="375EBCCF" w14:textId="77777777" w:rsidR="00906898" w:rsidRPr="00263DB9" w:rsidRDefault="00906898" w:rsidP="00E51817">
      <w:pPr>
        <w:widowControl w:val="0"/>
        <w:suppressAutoHyphens/>
        <w:ind w:right="14"/>
        <w:rPr>
          <w:color w:val="000000"/>
          <w:szCs w:val="22"/>
        </w:rPr>
      </w:pPr>
    </w:p>
    <w:p w14:paraId="375EBCD0" w14:textId="77777777" w:rsidR="00906898" w:rsidRPr="00263DB9" w:rsidRDefault="00906898" w:rsidP="00E51817">
      <w:pPr>
        <w:widowControl w:val="0"/>
        <w:suppressAutoHyphens/>
        <w:ind w:right="14"/>
        <w:rPr>
          <w:color w:val="000000"/>
          <w:szCs w:val="22"/>
        </w:rPr>
      </w:pPr>
    </w:p>
    <w:p w14:paraId="375EBCD1"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14.</w:t>
      </w:r>
      <w:r w:rsidRPr="00263DB9">
        <w:rPr>
          <w:b/>
          <w:color w:val="000000"/>
          <w:szCs w:val="22"/>
        </w:rPr>
        <w:tab/>
      </w:r>
      <w:r w:rsidRPr="00263DB9">
        <w:rPr>
          <w:b/>
          <w:noProof/>
          <w:color w:val="000000"/>
          <w:szCs w:val="22"/>
        </w:rPr>
        <w:t xml:space="preserve">CLASSIFICAÇÃO QUANTO À DISPENSA </w:t>
      </w:r>
      <w:r w:rsidRPr="00263DB9">
        <w:rPr>
          <w:b/>
          <w:caps/>
          <w:noProof/>
          <w:color w:val="000000"/>
          <w:szCs w:val="22"/>
        </w:rPr>
        <w:t>ao Público</w:t>
      </w:r>
    </w:p>
    <w:p w14:paraId="375EBCD2" w14:textId="77777777" w:rsidR="00906898" w:rsidRPr="00263DB9" w:rsidRDefault="00906898" w:rsidP="00E51817">
      <w:pPr>
        <w:widowControl w:val="0"/>
        <w:suppressAutoHyphens/>
        <w:ind w:right="14"/>
        <w:rPr>
          <w:color w:val="000000"/>
          <w:szCs w:val="22"/>
        </w:rPr>
      </w:pPr>
    </w:p>
    <w:p w14:paraId="375EBCD3" w14:textId="77777777" w:rsidR="00906898" w:rsidRPr="00263DB9" w:rsidRDefault="00906898" w:rsidP="00E51817">
      <w:pPr>
        <w:widowControl w:val="0"/>
        <w:suppressAutoHyphens/>
        <w:ind w:right="14"/>
        <w:rPr>
          <w:color w:val="000000"/>
          <w:szCs w:val="22"/>
        </w:rPr>
      </w:pPr>
    </w:p>
    <w:p w14:paraId="375EBCD4"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15.</w:t>
      </w:r>
      <w:r w:rsidRPr="00263DB9">
        <w:rPr>
          <w:b/>
          <w:color w:val="000000"/>
          <w:szCs w:val="22"/>
        </w:rPr>
        <w:tab/>
        <w:t>INSTRUÇÕES DE UTILIZAÇÃO</w:t>
      </w:r>
    </w:p>
    <w:p w14:paraId="375EBCD5" w14:textId="77777777" w:rsidR="00906898" w:rsidRPr="00263DB9" w:rsidRDefault="00906898" w:rsidP="00E51817">
      <w:pPr>
        <w:widowControl w:val="0"/>
        <w:suppressAutoHyphens/>
        <w:ind w:right="14"/>
        <w:rPr>
          <w:color w:val="000000"/>
          <w:szCs w:val="22"/>
        </w:rPr>
      </w:pPr>
    </w:p>
    <w:p w14:paraId="375EBCD6" w14:textId="77777777" w:rsidR="00906898" w:rsidRPr="00263DB9" w:rsidRDefault="00906898" w:rsidP="00E51817">
      <w:pPr>
        <w:widowControl w:val="0"/>
        <w:suppressAutoHyphens/>
        <w:ind w:right="14"/>
        <w:rPr>
          <w:color w:val="000000"/>
          <w:szCs w:val="22"/>
        </w:rPr>
      </w:pPr>
    </w:p>
    <w:p w14:paraId="375EBCD7"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16.</w:t>
      </w:r>
      <w:r w:rsidRPr="00263DB9">
        <w:rPr>
          <w:b/>
          <w:color w:val="000000"/>
          <w:szCs w:val="22"/>
        </w:rPr>
        <w:tab/>
        <w:t>INFORMAÇÃO EM BRAILLE</w:t>
      </w:r>
    </w:p>
    <w:p w14:paraId="375EBCD8" w14:textId="77777777" w:rsidR="00906898" w:rsidRPr="00263DB9" w:rsidRDefault="00906898" w:rsidP="00E51817">
      <w:pPr>
        <w:widowControl w:val="0"/>
        <w:suppressAutoHyphens/>
        <w:ind w:right="14"/>
        <w:rPr>
          <w:color w:val="000000"/>
          <w:szCs w:val="22"/>
          <w:u w:val="single"/>
        </w:rPr>
      </w:pPr>
    </w:p>
    <w:p w14:paraId="375EBCD9" w14:textId="77777777" w:rsidR="00906898" w:rsidRPr="00263DB9" w:rsidRDefault="00906898" w:rsidP="00E51817">
      <w:pPr>
        <w:widowControl w:val="0"/>
        <w:rPr>
          <w:color w:val="000000"/>
          <w:szCs w:val="22"/>
        </w:rPr>
      </w:pPr>
      <w:r w:rsidRPr="00263DB9">
        <w:rPr>
          <w:color w:val="000000"/>
          <w:szCs w:val="22"/>
        </w:rPr>
        <w:t>Glivec 400 mg</w:t>
      </w:r>
    </w:p>
    <w:p w14:paraId="375EBCDA" w14:textId="77777777" w:rsidR="00A75E40" w:rsidRPr="00263DB9" w:rsidRDefault="00A75E40" w:rsidP="00E51817">
      <w:pPr>
        <w:widowControl w:val="0"/>
        <w:suppressAutoHyphens/>
        <w:ind w:right="14"/>
        <w:rPr>
          <w:color w:val="000000"/>
          <w:szCs w:val="22"/>
        </w:rPr>
      </w:pPr>
    </w:p>
    <w:p w14:paraId="375EBCDB" w14:textId="77777777" w:rsidR="00A75E40" w:rsidRPr="00263DB9" w:rsidRDefault="00A75E40" w:rsidP="00E51817">
      <w:pPr>
        <w:widowControl w:val="0"/>
        <w:pBdr>
          <w:top w:val="single" w:sz="4" w:space="1" w:color="auto"/>
          <w:left w:val="single" w:sz="4" w:space="4" w:color="auto"/>
          <w:bottom w:val="single" w:sz="4" w:space="1" w:color="auto"/>
          <w:right w:val="single" w:sz="4" w:space="4" w:color="auto"/>
        </w:pBdr>
        <w:ind w:left="-3"/>
        <w:outlineLvl w:val="0"/>
        <w:rPr>
          <w:i/>
          <w:noProof/>
        </w:rPr>
      </w:pPr>
      <w:r w:rsidRPr="00263DB9">
        <w:rPr>
          <w:b/>
          <w:noProof/>
        </w:rPr>
        <w:t>17.</w:t>
      </w:r>
      <w:r w:rsidRPr="00263DB9">
        <w:rPr>
          <w:b/>
          <w:noProof/>
        </w:rPr>
        <w:tab/>
        <w:t>IDENTIFICADOR ÚNICO – CÓDIGO DE BARRAS 2D</w:t>
      </w:r>
    </w:p>
    <w:p w14:paraId="375EBCDC" w14:textId="77777777" w:rsidR="00A75E40" w:rsidRPr="00263DB9" w:rsidRDefault="00A75E40" w:rsidP="00E51817">
      <w:pPr>
        <w:widowControl w:val="0"/>
        <w:rPr>
          <w:noProof/>
        </w:rPr>
      </w:pPr>
    </w:p>
    <w:p w14:paraId="375EBCDD" w14:textId="77777777" w:rsidR="00A75E40" w:rsidRPr="00263DB9" w:rsidRDefault="00A75E40" w:rsidP="00E51817">
      <w:pPr>
        <w:widowControl w:val="0"/>
        <w:rPr>
          <w:shd w:val="pct15" w:color="auto" w:fill="auto"/>
        </w:rPr>
      </w:pPr>
      <w:r w:rsidRPr="00263DB9">
        <w:rPr>
          <w:shd w:val="pct15" w:color="auto" w:fill="auto"/>
        </w:rPr>
        <w:t>Código de barras 2D com identificador único incluído.</w:t>
      </w:r>
    </w:p>
    <w:p w14:paraId="375EBCDE" w14:textId="77777777" w:rsidR="00A75E40" w:rsidRPr="00263DB9" w:rsidRDefault="00A75E40" w:rsidP="00E51817">
      <w:pPr>
        <w:widowControl w:val="0"/>
        <w:rPr>
          <w:noProof/>
          <w:szCs w:val="22"/>
          <w:shd w:val="clear" w:color="auto" w:fill="CCCCCC"/>
        </w:rPr>
      </w:pPr>
    </w:p>
    <w:p w14:paraId="375EBCDF" w14:textId="77777777" w:rsidR="00A75E40" w:rsidRPr="00263DB9" w:rsidRDefault="00A75E40" w:rsidP="00E51817">
      <w:pPr>
        <w:widowControl w:val="0"/>
        <w:rPr>
          <w:noProof/>
          <w:szCs w:val="22"/>
          <w:shd w:val="clear" w:color="auto" w:fill="CCCCCC"/>
        </w:rPr>
      </w:pPr>
    </w:p>
    <w:p w14:paraId="375EBCE0" w14:textId="77777777" w:rsidR="00A75E40" w:rsidRPr="00263DB9" w:rsidRDefault="00A75E40" w:rsidP="00831CCB">
      <w:pPr>
        <w:keepNext/>
        <w:widowControl w:val="0"/>
        <w:pBdr>
          <w:top w:val="single" w:sz="4" w:space="1" w:color="auto"/>
          <w:left w:val="single" w:sz="4" w:space="4" w:color="auto"/>
          <w:bottom w:val="single" w:sz="4" w:space="1" w:color="auto"/>
          <w:right w:val="single" w:sz="4" w:space="4" w:color="auto"/>
        </w:pBdr>
        <w:outlineLvl w:val="0"/>
        <w:rPr>
          <w:i/>
          <w:noProof/>
        </w:rPr>
      </w:pPr>
      <w:r w:rsidRPr="00263DB9">
        <w:rPr>
          <w:b/>
          <w:noProof/>
        </w:rPr>
        <w:t>18.</w:t>
      </w:r>
      <w:r w:rsidRPr="00263DB9">
        <w:rPr>
          <w:b/>
          <w:noProof/>
        </w:rPr>
        <w:tab/>
        <w:t>IDENTIFICADOR ÚNICO - DADOS PARA LEITURA HUMANA</w:t>
      </w:r>
    </w:p>
    <w:p w14:paraId="375EBCE1" w14:textId="77777777" w:rsidR="00A75E40" w:rsidRPr="00263DB9" w:rsidRDefault="00A75E40" w:rsidP="00831CCB">
      <w:pPr>
        <w:keepNext/>
        <w:widowControl w:val="0"/>
        <w:rPr>
          <w:noProof/>
        </w:rPr>
      </w:pPr>
    </w:p>
    <w:p w14:paraId="375EBCE2" w14:textId="77777777" w:rsidR="00A75E40" w:rsidRPr="00263DB9" w:rsidRDefault="00A75E40" w:rsidP="00831CCB">
      <w:pPr>
        <w:keepNext/>
        <w:widowControl w:val="0"/>
        <w:rPr>
          <w:szCs w:val="22"/>
        </w:rPr>
      </w:pPr>
      <w:r w:rsidRPr="00263DB9">
        <w:t>PC:</w:t>
      </w:r>
    </w:p>
    <w:p w14:paraId="375EBCE3" w14:textId="77777777" w:rsidR="00A75E40" w:rsidRPr="00263DB9" w:rsidRDefault="00A75E40" w:rsidP="00831CCB">
      <w:pPr>
        <w:keepNext/>
        <w:widowControl w:val="0"/>
        <w:rPr>
          <w:szCs w:val="22"/>
        </w:rPr>
      </w:pPr>
      <w:r w:rsidRPr="00263DB9">
        <w:t>SN:</w:t>
      </w:r>
    </w:p>
    <w:p w14:paraId="375EBCE4" w14:textId="77777777" w:rsidR="00A75E40" w:rsidRPr="00263DB9" w:rsidRDefault="00A75E40" w:rsidP="00E51817">
      <w:pPr>
        <w:widowControl w:val="0"/>
        <w:rPr>
          <w:color w:val="000000"/>
          <w:szCs w:val="22"/>
        </w:rPr>
      </w:pPr>
      <w:r w:rsidRPr="00263DB9">
        <w:t>NN:</w:t>
      </w:r>
    </w:p>
    <w:p w14:paraId="375EBCE5" w14:textId="77777777" w:rsidR="00906898" w:rsidRPr="00263DB9" w:rsidRDefault="00A75E40" w:rsidP="00E51817">
      <w:pPr>
        <w:widowControl w:val="0"/>
        <w:suppressAutoHyphens/>
        <w:ind w:right="14"/>
        <w:rPr>
          <w:color w:val="000000"/>
          <w:szCs w:val="22"/>
        </w:rPr>
      </w:pPr>
      <w:r w:rsidRPr="00263DB9">
        <w:rPr>
          <w:color w:val="000000"/>
          <w:szCs w:val="22"/>
        </w:rPr>
        <w:br w:type="page"/>
      </w:r>
    </w:p>
    <w:p w14:paraId="375EBCE6" w14:textId="77777777" w:rsidR="00831CCB" w:rsidRPr="00263DB9" w:rsidRDefault="00831CCB" w:rsidP="00831CCB">
      <w:pPr>
        <w:widowControl w:val="0"/>
        <w:suppressAutoHyphens/>
        <w:ind w:right="14"/>
        <w:rPr>
          <w:color w:val="000000"/>
          <w:szCs w:val="22"/>
        </w:rPr>
      </w:pPr>
    </w:p>
    <w:p w14:paraId="375EBCE7"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rPr>
          <w:b/>
          <w:color w:val="000000"/>
          <w:szCs w:val="22"/>
        </w:rPr>
      </w:pPr>
      <w:r w:rsidRPr="00263DB9">
        <w:rPr>
          <w:b/>
          <w:color w:val="000000"/>
          <w:szCs w:val="22"/>
        </w:rPr>
        <w:t>INDICAÇÕES MÍNIMAS A INCLUIR NAS EMBALAGENS “BLISTER” OU FITAS CONTENTORAS</w:t>
      </w:r>
    </w:p>
    <w:p w14:paraId="375EBCE8"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rPr>
          <w:color w:val="000000"/>
          <w:szCs w:val="22"/>
        </w:rPr>
      </w:pPr>
    </w:p>
    <w:p w14:paraId="375EBCE9"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rPr>
          <w:color w:val="000000"/>
          <w:szCs w:val="22"/>
        </w:rPr>
      </w:pPr>
      <w:r w:rsidRPr="00263DB9">
        <w:rPr>
          <w:b/>
          <w:color w:val="000000"/>
          <w:szCs w:val="22"/>
        </w:rPr>
        <w:t>BLISTERS</w:t>
      </w:r>
    </w:p>
    <w:p w14:paraId="375EBCEA" w14:textId="77777777" w:rsidR="00906898" w:rsidRPr="00263DB9" w:rsidRDefault="00906898" w:rsidP="00E51817">
      <w:pPr>
        <w:widowControl w:val="0"/>
        <w:suppressAutoHyphens/>
        <w:ind w:right="14"/>
        <w:rPr>
          <w:color w:val="000000"/>
          <w:szCs w:val="22"/>
        </w:rPr>
      </w:pPr>
    </w:p>
    <w:p w14:paraId="375EBCEB" w14:textId="77777777" w:rsidR="00906898" w:rsidRPr="00263DB9" w:rsidRDefault="00906898" w:rsidP="00E51817">
      <w:pPr>
        <w:widowControl w:val="0"/>
        <w:suppressAutoHyphens/>
        <w:ind w:right="14"/>
        <w:rPr>
          <w:color w:val="000000"/>
          <w:szCs w:val="22"/>
        </w:rPr>
      </w:pPr>
    </w:p>
    <w:p w14:paraId="375EBCEC"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1.</w:t>
      </w:r>
      <w:r w:rsidRPr="00263DB9">
        <w:rPr>
          <w:b/>
          <w:color w:val="000000"/>
          <w:szCs w:val="22"/>
        </w:rPr>
        <w:tab/>
        <w:t>NOME DO MEDICAMENTO</w:t>
      </w:r>
    </w:p>
    <w:p w14:paraId="375EBCED" w14:textId="77777777" w:rsidR="00906898" w:rsidRPr="00263DB9" w:rsidRDefault="00906898" w:rsidP="00E51817">
      <w:pPr>
        <w:widowControl w:val="0"/>
        <w:suppressAutoHyphens/>
        <w:ind w:right="14"/>
        <w:rPr>
          <w:color w:val="000000"/>
          <w:szCs w:val="22"/>
        </w:rPr>
      </w:pPr>
    </w:p>
    <w:p w14:paraId="375EBCEE" w14:textId="77777777" w:rsidR="00906898" w:rsidRPr="00263DB9" w:rsidRDefault="00906898" w:rsidP="00E51817">
      <w:pPr>
        <w:widowControl w:val="0"/>
        <w:suppressAutoHyphens/>
        <w:ind w:right="14"/>
        <w:rPr>
          <w:color w:val="000000"/>
          <w:szCs w:val="22"/>
        </w:rPr>
      </w:pPr>
      <w:r w:rsidRPr="00263DB9">
        <w:rPr>
          <w:color w:val="000000"/>
          <w:szCs w:val="22"/>
        </w:rPr>
        <w:t>Glivec 400 mg comprimidos</w:t>
      </w:r>
    </w:p>
    <w:p w14:paraId="375EBCEF" w14:textId="77777777" w:rsidR="00906898" w:rsidRPr="00263DB9" w:rsidRDefault="001104DD" w:rsidP="00E51817">
      <w:pPr>
        <w:widowControl w:val="0"/>
        <w:suppressAutoHyphens/>
        <w:ind w:right="14"/>
        <w:rPr>
          <w:color w:val="000000"/>
          <w:szCs w:val="22"/>
        </w:rPr>
      </w:pPr>
      <w:r w:rsidRPr="00263DB9">
        <w:rPr>
          <w:color w:val="000000"/>
          <w:szCs w:val="22"/>
        </w:rPr>
        <w:t>i</w:t>
      </w:r>
      <w:r w:rsidR="00906898" w:rsidRPr="00263DB9">
        <w:rPr>
          <w:color w:val="000000"/>
          <w:szCs w:val="22"/>
        </w:rPr>
        <w:t>matinib</w:t>
      </w:r>
    </w:p>
    <w:p w14:paraId="375EBCF0" w14:textId="77777777" w:rsidR="00906898" w:rsidRPr="00263DB9" w:rsidRDefault="00906898" w:rsidP="00E51817">
      <w:pPr>
        <w:widowControl w:val="0"/>
        <w:suppressAutoHyphens/>
        <w:ind w:right="14"/>
        <w:rPr>
          <w:color w:val="000000"/>
          <w:szCs w:val="22"/>
        </w:rPr>
      </w:pPr>
    </w:p>
    <w:p w14:paraId="375EBCF1" w14:textId="77777777" w:rsidR="00906898" w:rsidRPr="00263DB9" w:rsidRDefault="00906898" w:rsidP="00E51817">
      <w:pPr>
        <w:widowControl w:val="0"/>
        <w:suppressAutoHyphens/>
        <w:ind w:right="14"/>
        <w:rPr>
          <w:color w:val="000000"/>
          <w:szCs w:val="22"/>
        </w:rPr>
      </w:pPr>
    </w:p>
    <w:p w14:paraId="375EBCF2"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2.</w:t>
      </w:r>
      <w:r w:rsidRPr="00263DB9">
        <w:rPr>
          <w:b/>
          <w:color w:val="000000"/>
          <w:szCs w:val="22"/>
        </w:rPr>
        <w:tab/>
        <w:t>NOME DO TITULAR DA AUTORIZAÇÃO DE INTRODUÇÃO NO MERCADO</w:t>
      </w:r>
    </w:p>
    <w:p w14:paraId="375EBCF3" w14:textId="77777777" w:rsidR="00906898" w:rsidRPr="00263DB9" w:rsidRDefault="00906898" w:rsidP="00E51817">
      <w:pPr>
        <w:widowControl w:val="0"/>
        <w:suppressAutoHyphens/>
        <w:ind w:right="14"/>
        <w:rPr>
          <w:color w:val="000000"/>
          <w:szCs w:val="22"/>
        </w:rPr>
      </w:pPr>
    </w:p>
    <w:p w14:paraId="375EBCF4" w14:textId="77777777" w:rsidR="00906898" w:rsidRPr="00263DB9" w:rsidRDefault="00906898" w:rsidP="00E51817">
      <w:pPr>
        <w:widowControl w:val="0"/>
        <w:suppressAutoHyphens/>
        <w:ind w:right="14"/>
        <w:rPr>
          <w:color w:val="000000"/>
          <w:szCs w:val="22"/>
        </w:rPr>
      </w:pPr>
      <w:r w:rsidRPr="00263DB9">
        <w:rPr>
          <w:color w:val="000000"/>
          <w:szCs w:val="22"/>
        </w:rPr>
        <w:t>Novartis Europharm Limited</w:t>
      </w:r>
    </w:p>
    <w:p w14:paraId="375EBCF5" w14:textId="77777777" w:rsidR="00906898" w:rsidRPr="00263DB9" w:rsidRDefault="00906898" w:rsidP="00E51817">
      <w:pPr>
        <w:widowControl w:val="0"/>
        <w:suppressAutoHyphens/>
        <w:ind w:right="14"/>
        <w:rPr>
          <w:color w:val="000000"/>
          <w:szCs w:val="22"/>
        </w:rPr>
      </w:pPr>
    </w:p>
    <w:p w14:paraId="375EBCF6" w14:textId="77777777" w:rsidR="00906898" w:rsidRPr="00263DB9" w:rsidRDefault="00906898" w:rsidP="00E51817">
      <w:pPr>
        <w:widowControl w:val="0"/>
        <w:suppressAutoHyphens/>
        <w:ind w:right="14"/>
        <w:rPr>
          <w:color w:val="000000"/>
          <w:szCs w:val="22"/>
        </w:rPr>
      </w:pPr>
    </w:p>
    <w:p w14:paraId="375EBCF7"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3.</w:t>
      </w:r>
      <w:r w:rsidRPr="00263DB9">
        <w:rPr>
          <w:b/>
          <w:color w:val="000000"/>
          <w:szCs w:val="22"/>
        </w:rPr>
        <w:tab/>
        <w:t>PRAZO DE VALIDADE</w:t>
      </w:r>
    </w:p>
    <w:p w14:paraId="375EBCF8" w14:textId="77777777" w:rsidR="00906898" w:rsidRPr="00263DB9" w:rsidRDefault="00906898" w:rsidP="00E51817">
      <w:pPr>
        <w:widowControl w:val="0"/>
        <w:suppressAutoHyphens/>
        <w:ind w:right="14"/>
        <w:rPr>
          <w:color w:val="000000"/>
          <w:szCs w:val="22"/>
        </w:rPr>
      </w:pPr>
    </w:p>
    <w:p w14:paraId="375EBCF9" w14:textId="77777777" w:rsidR="00906898" w:rsidRPr="00263DB9" w:rsidRDefault="00906898" w:rsidP="00E51817">
      <w:pPr>
        <w:widowControl w:val="0"/>
        <w:suppressAutoHyphens/>
        <w:ind w:right="14"/>
        <w:rPr>
          <w:i/>
          <w:color w:val="000000"/>
          <w:szCs w:val="22"/>
        </w:rPr>
      </w:pPr>
      <w:r w:rsidRPr="00263DB9">
        <w:rPr>
          <w:color w:val="000000"/>
          <w:szCs w:val="22"/>
        </w:rPr>
        <w:t>EXP</w:t>
      </w:r>
    </w:p>
    <w:p w14:paraId="375EBCFA" w14:textId="77777777" w:rsidR="00906898" w:rsidRPr="00263DB9" w:rsidRDefault="00906898" w:rsidP="00E51817">
      <w:pPr>
        <w:widowControl w:val="0"/>
        <w:suppressAutoHyphens/>
        <w:ind w:right="14"/>
        <w:rPr>
          <w:color w:val="000000"/>
          <w:szCs w:val="22"/>
        </w:rPr>
      </w:pPr>
    </w:p>
    <w:p w14:paraId="375EBCFB" w14:textId="77777777" w:rsidR="00906898" w:rsidRPr="00263DB9" w:rsidRDefault="00906898" w:rsidP="00E51817">
      <w:pPr>
        <w:widowControl w:val="0"/>
        <w:suppressAutoHyphens/>
        <w:ind w:right="14"/>
        <w:rPr>
          <w:color w:val="000000"/>
          <w:szCs w:val="22"/>
        </w:rPr>
      </w:pPr>
    </w:p>
    <w:p w14:paraId="375EBCFC"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suppressAutoHyphens/>
        <w:ind w:left="567" w:hanging="567"/>
        <w:rPr>
          <w:color w:val="000000"/>
          <w:szCs w:val="22"/>
        </w:rPr>
      </w:pPr>
      <w:r w:rsidRPr="00263DB9">
        <w:rPr>
          <w:b/>
          <w:color w:val="000000"/>
          <w:szCs w:val="22"/>
        </w:rPr>
        <w:t>4.</w:t>
      </w:r>
      <w:r w:rsidRPr="00263DB9">
        <w:rPr>
          <w:b/>
          <w:color w:val="000000"/>
          <w:szCs w:val="22"/>
        </w:rPr>
        <w:tab/>
        <w:t>NÚMERO DO LOTE</w:t>
      </w:r>
    </w:p>
    <w:p w14:paraId="375EBCFD" w14:textId="77777777" w:rsidR="00906898" w:rsidRPr="00263DB9" w:rsidRDefault="00906898" w:rsidP="00E51817">
      <w:pPr>
        <w:widowControl w:val="0"/>
        <w:suppressAutoHyphens/>
        <w:ind w:right="14"/>
        <w:rPr>
          <w:color w:val="000000"/>
          <w:szCs w:val="22"/>
        </w:rPr>
      </w:pPr>
    </w:p>
    <w:p w14:paraId="375EBCFE" w14:textId="07F12104" w:rsidR="00906898" w:rsidRPr="00263DB9" w:rsidRDefault="00195DDF" w:rsidP="00E51817">
      <w:pPr>
        <w:widowControl w:val="0"/>
        <w:rPr>
          <w:color w:val="000000"/>
          <w:szCs w:val="22"/>
        </w:rPr>
      </w:pPr>
      <w:r w:rsidRPr="00263DB9">
        <w:rPr>
          <w:color w:val="000000"/>
          <w:szCs w:val="22"/>
        </w:rPr>
        <w:t>Lot</w:t>
      </w:r>
    </w:p>
    <w:p w14:paraId="375EBCFF" w14:textId="77777777" w:rsidR="00906898" w:rsidRPr="00263DB9" w:rsidRDefault="00906898" w:rsidP="00E51817">
      <w:pPr>
        <w:widowControl w:val="0"/>
        <w:rPr>
          <w:color w:val="000000"/>
          <w:szCs w:val="22"/>
        </w:rPr>
      </w:pPr>
    </w:p>
    <w:p w14:paraId="375EBD00" w14:textId="77777777" w:rsidR="00906898" w:rsidRPr="00263DB9" w:rsidRDefault="00906898" w:rsidP="00E51817">
      <w:pPr>
        <w:widowControl w:val="0"/>
        <w:rPr>
          <w:color w:val="000000"/>
          <w:szCs w:val="22"/>
        </w:rPr>
      </w:pPr>
    </w:p>
    <w:p w14:paraId="375EBD01" w14:textId="77777777" w:rsidR="00906898" w:rsidRPr="00263DB9" w:rsidRDefault="00906898" w:rsidP="00E51817">
      <w:pPr>
        <w:widowControl w:val="0"/>
        <w:pBdr>
          <w:top w:val="single" w:sz="4" w:space="1" w:color="auto"/>
          <w:left w:val="single" w:sz="4" w:space="4" w:color="auto"/>
          <w:bottom w:val="single" w:sz="4" w:space="1" w:color="auto"/>
          <w:right w:val="single" w:sz="4" w:space="4" w:color="auto"/>
        </w:pBdr>
        <w:tabs>
          <w:tab w:val="left" w:pos="142"/>
        </w:tabs>
        <w:ind w:left="567" w:hanging="567"/>
        <w:rPr>
          <w:b/>
          <w:noProof/>
          <w:color w:val="000000"/>
        </w:rPr>
      </w:pPr>
      <w:r w:rsidRPr="00263DB9">
        <w:rPr>
          <w:b/>
          <w:noProof/>
          <w:color w:val="000000"/>
        </w:rPr>
        <w:t>5.</w:t>
      </w:r>
      <w:r w:rsidRPr="00263DB9">
        <w:rPr>
          <w:b/>
          <w:noProof/>
          <w:color w:val="000000"/>
        </w:rPr>
        <w:tab/>
        <w:t>OUTRAS</w:t>
      </w:r>
    </w:p>
    <w:p w14:paraId="375EBD02" w14:textId="77777777" w:rsidR="00906898" w:rsidRPr="00263DB9" w:rsidRDefault="00906898" w:rsidP="00E51817">
      <w:pPr>
        <w:widowControl w:val="0"/>
        <w:suppressAutoHyphens/>
        <w:ind w:right="14"/>
        <w:rPr>
          <w:color w:val="000000"/>
          <w:szCs w:val="22"/>
        </w:rPr>
      </w:pPr>
    </w:p>
    <w:p w14:paraId="375EBD03" w14:textId="77777777" w:rsidR="00906898" w:rsidRPr="00263DB9" w:rsidRDefault="00906898" w:rsidP="00E51817">
      <w:pPr>
        <w:widowControl w:val="0"/>
        <w:suppressAutoHyphens/>
        <w:ind w:right="14"/>
        <w:rPr>
          <w:color w:val="000000"/>
          <w:szCs w:val="22"/>
        </w:rPr>
      </w:pPr>
      <w:r w:rsidRPr="00263DB9">
        <w:rPr>
          <w:color w:val="000000"/>
          <w:szCs w:val="22"/>
        </w:rPr>
        <w:br w:type="page"/>
      </w:r>
    </w:p>
    <w:p w14:paraId="375EBD04" w14:textId="77777777" w:rsidR="00906898" w:rsidRPr="00263DB9" w:rsidRDefault="00906898" w:rsidP="00E51817">
      <w:pPr>
        <w:widowControl w:val="0"/>
        <w:suppressAutoHyphens/>
        <w:ind w:right="14"/>
        <w:rPr>
          <w:color w:val="000000"/>
          <w:szCs w:val="22"/>
        </w:rPr>
      </w:pPr>
    </w:p>
    <w:p w14:paraId="375EBD05" w14:textId="77777777" w:rsidR="00906898" w:rsidRPr="00263DB9" w:rsidRDefault="00906898" w:rsidP="00E51817">
      <w:pPr>
        <w:widowControl w:val="0"/>
        <w:suppressAutoHyphens/>
        <w:ind w:right="14"/>
        <w:rPr>
          <w:color w:val="000000"/>
          <w:szCs w:val="22"/>
        </w:rPr>
      </w:pPr>
    </w:p>
    <w:p w14:paraId="375EBD06" w14:textId="77777777" w:rsidR="00906898" w:rsidRPr="00263DB9" w:rsidRDefault="00906898" w:rsidP="00E51817">
      <w:pPr>
        <w:widowControl w:val="0"/>
        <w:suppressAutoHyphens/>
        <w:ind w:right="14"/>
        <w:rPr>
          <w:color w:val="000000"/>
          <w:szCs w:val="22"/>
        </w:rPr>
      </w:pPr>
    </w:p>
    <w:p w14:paraId="375EBD07" w14:textId="77777777" w:rsidR="00906898" w:rsidRPr="00263DB9" w:rsidRDefault="00906898" w:rsidP="00E51817">
      <w:pPr>
        <w:widowControl w:val="0"/>
        <w:suppressAutoHyphens/>
        <w:ind w:right="14"/>
        <w:rPr>
          <w:color w:val="000000"/>
          <w:szCs w:val="22"/>
        </w:rPr>
      </w:pPr>
    </w:p>
    <w:p w14:paraId="375EBD08" w14:textId="77777777" w:rsidR="00906898" w:rsidRPr="00263DB9" w:rsidRDefault="00906898" w:rsidP="00E51817">
      <w:pPr>
        <w:widowControl w:val="0"/>
        <w:suppressAutoHyphens/>
        <w:ind w:right="14"/>
        <w:rPr>
          <w:color w:val="000000"/>
          <w:szCs w:val="22"/>
        </w:rPr>
      </w:pPr>
    </w:p>
    <w:p w14:paraId="375EBD09" w14:textId="77777777" w:rsidR="00906898" w:rsidRPr="00263DB9" w:rsidRDefault="00906898" w:rsidP="00E51817">
      <w:pPr>
        <w:widowControl w:val="0"/>
        <w:suppressAutoHyphens/>
        <w:ind w:right="14"/>
        <w:rPr>
          <w:color w:val="000000"/>
          <w:szCs w:val="22"/>
        </w:rPr>
      </w:pPr>
    </w:p>
    <w:p w14:paraId="375EBD0A" w14:textId="77777777" w:rsidR="00906898" w:rsidRPr="00263DB9" w:rsidRDefault="00906898" w:rsidP="00E51817">
      <w:pPr>
        <w:widowControl w:val="0"/>
        <w:suppressAutoHyphens/>
        <w:ind w:right="14"/>
        <w:rPr>
          <w:color w:val="000000"/>
          <w:szCs w:val="22"/>
        </w:rPr>
      </w:pPr>
    </w:p>
    <w:p w14:paraId="375EBD0B" w14:textId="77777777" w:rsidR="00906898" w:rsidRPr="00263DB9" w:rsidRDefault="00906898" w:rsidP="00E51817">
      <w:pPr>
        <w:widowControl w:val="0"/>
        <w:suppressAutoHyphens/>
        <w:ind w:right="14"/>
        <w:rPr>
          <w:color w:val="000000"/>
          <w:szCs w:val="22"/>
        </w:rPr>
      </w:pPr>
    </w:p>
    <w:p w14:paraId="375EBD0C" w14:textId="77777777" w:rsidR="00906898" w:rsidRPr="00263DB9" w:rsidRDefault="00906898" w:rsidP="00E51817">
      <w:pPr>
        <w:widowControl w:val="0"/>
        <w:suppressAutoHyphens/>
        <w:ind w:right="14"/>
        <w:rPr>
          <w:color w:val="000000"/>
          <w:szCs w:val="22"/>
        </w:rPr>
      </w:pPr>
    </w:p>
    <w:p w14:paraId="375EBD0D" w14:textId="77777777" w:rsidR="00906898" w:rsidRPr="00263DB9" w:rsidRDefault="00906898" w:rsidP="00E51817">
      <w:pPr>
        <w:widowControl w:val="0"/>
        <w:suppressAutoHyphens/>
        <w:ind w:right="14"/>
        <w:rPr>
          <w:color w:val="000000"/>
          <w:szCs w:val="22"/>
        </w:rPr>
      </w:pPr>
    </w:p>
    <w:p w14:paraId="375EBD0E" w14:textId="77777777" w:rsidR="00906898" w:rsidRPr="00263DB9" w:rsidRDefault="00906898" w:rsidP="00E51817">
      <w:pPr>
        <w:widowControl w:val="0"/>
        <w:suppressAutoHyphens/>
        <w:ind w:right="14"/>
        <w:rPr>
          <w:color w:val="000000"/>
          <w:szCs w:val="22"/>
        </w:rPr>
      </w:pPr>
    </w:p>
    <w:p w14:paraId="375EBD0F" w14:textId="77777777" w:rsidR="00906898" w:rsidRPr="00263DB9" w:rsidRDefault="00906898" w:rsidP="00E51817">
      <w:pPr>
        <w:widowControl w:val="0"/>
        <w:suppressAutoHyphens/>
        <w:ind w:right="14"/>
        <w:rPr>
          <w:color w:val="000000"/>
          <w:szCs w:val="22"/>
        </w:rPr>
      </w:pPr>
    </w:p>
    <w:p w14:paraId="375EBD10" w14:textId="77777777" w:rsidR="00906898" w:rsidRPr="00263DB9" w:rsidRDefault="00906898" w:rsidP="00E51817">
      <w:pPr>
        <w:widowControl w:val="0"/>
        <w:suppressAutoHyphens/>
        <w:ind w:right="14"/>
        <w:rPr>
          <w:color w:val="000000"/>
          <w:szCs w:val="22"/>
        </w:rPr>
      </w:pPr>
    </w:p>
    <w:p w14:paraId="375EBD11" w14:textId="77777777" w:rsidR="00906898" w:rsidRPr="00263DB9" w:rsidRDefault="00906898" w:rsidP="00E51817">
      <w:pPr>
        <w:widowControl w:val="0"/>
        <w:suppressAutoHyphens/>
        <w:ind w:right="14"/>
        <w:rPr>
          <w:color w:val="000000"/>
          <w:szCs w:val="22"/>
        </w:rPr>
      </w:pPr>
    </w:p>
    <w:p w14:paraId="375EBD12" w14:textId="77777777" w:rsidR="00906898" w:rsidRPr="00263DB9" w:rsidRDefault="00906898" w:rsidP="00E51817">
      <w:pPr>
        <w:widowControl w:val="0"/>
        <w:suppressAutoHyphens/>
        <w:ind w:right="14"/>
        <w:rPr>
          <w:color w:val="000000"/>
          <w:szCs w:val="22"/>
        </w:rPr>
      </w:pPr>
    </w:p>
    <w:p w14:paraId="375EBD13" w14:textId="77777777" w:rsidR="00906898" w:rsidRPr="00263DB9" w:rsidRDefault="00906898" w:rsidP="00E51817">
      <w:pPr>
        <w:widowControl w:val="0"/>
        <w:suppressAutoHyphens/>
        <w:ind w:right="14"/>
        <w:rPr>
          <w:color w:val="000000"/>
          <w:szCs w:val="22"/>
        </w:rPr>
      </w:pPr>
    </w:p>
    <w:p w14:paraId="375EBD14" w14:textId="77777777" w:rsidR="00906898" w:rsidRPr="00263DB9" w:rsidRDefault="00906898" w:rsidP="00E51817">
      <w:pPr>
        <w:widowControl w:val="0"/>
        <w:suppressAutoHyphens/>
        <w:ind w:right="14"/>
        <w:rPr>
          <w:color w:val="000000"/>
          <w:szCs w:val="22"/>
        </w:rPr>
      </w:pPr>
    </w:p>
    <w:p w14:paraId="375EBD15" w14:textId="77777777" w:rsidR="00906898" w:rsidRPr="00263DB9" w:rsidRDefault="00906898" w:rsidP="00E51817">
      <w:pPr>
        <w:widowControl w:val="0"/>
        <w:suppressAutoHyphens/>
        <w:ind w:right="14"/>
        <w:rPr>
          <w:color w:val="000000"/>
          <w:szCs w:val="22"/>
        </w:rPr>
      </w:pPr>
    </w:p>
    <w:p w14:paraId="375EBD16" w14:textId="77777777" w:rsidR="00831CCB" w:rsidRPr="00263DB9" w:rsidRDefault="00831CCB" w:rsidP="00E51817">
      <w:pPr>
        <w:widowControl w:val="0"/>
        <w:suppressAutoHyphens/>
        <w:ind w:right="14"/>
        <w:rPr>
          <w:color w:val="000000"/>
          <w:szCs w:val="22"/>
        </w:rPr>
      </w:pPr>
    </w:p>
    <w:p w14:paraId="375EBD17" w14:textId="77777777" w:rsidR="00906898" w:rsidRPr="00263DB9" w:rsidRDefault="00906898" w:rsidP="00E51817">
      <w:pPr>
        <w:widowControl w:val="0"/>
        <w:suppressAutoHyphens/>
        <w:ind w:right="14"/>
        <w:rPr>
          <w:color w:val="000000"/>
          <w:szCs w:val="22"/>
        </w:rPr>
      </w:pPr>
    </w:p>
    <w:p w14:paraId="375EBD18" w14:textId="77777777" w:rsidR="00906898" w:rsidRPr="00263DB9" w:rsidRDefault="00906898" w:rsidP="00E51817">
      <w:pPr>
        <w:widowControl w:val="0"/>
        <w:suppressAutoHyphens/>
        <w:ind w:right="14"/>
        <w:rPr>
          <w:color w:val="000000"/>
          <w:szCs w:val="22"/>
        </w:rPr>
      </w:pPr>
    </w:p>
    <w:p w14:paraId="375EBD19" w14:textId="77777777" w:rsidR="00906898" w:rsidRPr="00263DB9" w:rsidRDefault="00906898" w:rsidP="00E51817">
      <w:pPr>
        <w:widowControl w:val="0"/>
        <w:suppressAutoHyphens/>
        <w:ind w:right="14"/>
        <w:rPr>
          <w:color w:val="000000"/>
          <w:szCs w:val="22"/>
        </w:rPr>
      </w:pPr>
    </w:p>
    <w:p w14:paraId="375EBD1A" w14:textId="77777777" w:rsidR="00906898" w:rsidRPr="00263DB9" w:rsidRDefault="00906898" w:rsidP="00E51817">
      <w:pPr>
        <w:widowControl w:val="0"/>
        <w:suppressAutoHyphens/>
        <w:ind w:right="14"/>
        <w:rPr>
          <w:color w:val="000000"/>
          <w:szCs w:val="22"/>
        </w:rPr>
      </w:pPr>
    </w:p>
    <w:p w14:paraId="375EBD1B" w14:textId="77777777" w:rsidR="00906898" w:rsidRPr="00263DB9" w:rsidRDefault="00906898" w:rsidP="00E51817">
      <w:pPr>
        <w:pStyle w:val="Heading4"/>
        <w:keepNext w:val="0"/>
        <w:widowControl w:val="0"/>
        <w:rPr>
          <w:b w:val="0"/>
          <w:color w:val="000000"/>
          <w:szCs w:val="22"/>
        </w:rPr>
      </w:pPr>
      <w:r w:rsidRPr="00263DB9">
        <w:rPr>
          <w:color w:val="000000"/>
          <w:szCs w:val="22"/>
        </w:rPr>
        <w:t>B. FOLHETO INFORMATIVO</w:t>
      </w:r>
    </w:p>
    <w:p w14:paraId="375EBEA7" w14:textId="77777777" w:rsidR="00906898" w:rsidRPr="00263DB9" w:rsidRDefault="00906898" w:rsidP="00E51817">
      <w:pPr>
        <w:widowControl w:val="0"/>
        <w:suppressAutoHyphens/>
        <w:ind w:left="567" w:hanging="567"/>
        <w:jc w:val="center"/>
        <w:rPr>
          <w:color w:val="000000"/>
          <w:szCs w:val="22"/>
        </w:rPr>
      </w:pPr>
      <w:r w:rsidRPr="00263DB9">
        <w:rPr>
          <w:color w:val="000000"/>
          <w:szCs w:val="22"/>
        </w:rPr>
        <w:br w:type="page"/>
      </w:r>
      <w:r w:rsidRPr="00263DB9">
        <w:rPr>
          <w:b/>
          <w:szCs w:val="24"/>
        </w:rPr>
        <w:lastRenderedPageBreak/>
        <w:t>Folheto informativo: Informação para o doente</w:t>
      </w:r>
    </w:p>
    <w:p w14:paraId="375EBEA8" w14:textId="77777777" w:rsidR="00906898" w:rsidRPr="00263DB9" w:rsidRDefault="00906898" w:rsidP="00E51817">
      <w:pPr>
        <w:widowControl w:val="0"/>
        <w:suppressAutoHyphens/>
        <w:ind w:left="567" w:hanging="567"/>
        <w:jc w:val="center"/>
        <w:rPr>
          <w:color w:val="000000"/>
          <w:szCs w:val="22"/>
        </w:rPr>
      </w:pPr>
    </w:p>
    <w:p w14:paraId="375EBEA9" w14:textId="77777777" w:rsidR="00906898" w:rsidRPr="00263DB9" w:rsidRDefault="00906898" w:rsidP="00E51817">
      <w:pPr>
        <w:widowControl w:val="0"/>
        <w:jc w:val="center"/>
        <w:rPr>
          <w:color w:val="000000"/>
          <w:szCs w:val="22"/>
        </w:rPr>
      </w:pPr>
      <w:r w:rsidRPr="00263DB9">
        <w:rPr>
          <w:b/>
          <w:color w:val="000000"/>
          <w:szCs w:val="22"/>
        </w:rPr>
        <w:t>Glivec 100 mg cápsulas</w:t>
      </w:r>
    </w:p>
    <w:p w14:paraId="375EBEAA" w14:textId="77777777" w:rsidR="00906898" w:rsidRPr="00263DB9" w:rsidRDefault="001104DD" w:rsidP="00E51817">
      <w:pPr>
        <w:widowControl w:val="0"/>
        <w:suppressAutoHyphens/>
        <w:ind w:left="567" w:hanging="567"/>
        <w:jc w:val="center"/>
        <w:rPr>
          <w:color w:val="000000"/>
          <w:szCs w:val="22"/>
        </w:rPr>
      </w:pPr>
      <w:r w:rsidRPr="00263DB9">
        <w:rPr>
          <w:color w:val="000000"/>
          <w:szCs w:val="22"/>
        </w:rPr>
        <w:t>i</w:t>
      </w:r>
      <w:r w:rsidR="00906898" w:rsidRPr="00263DB9">
        <w:rPr>
          <w:color w:val="000000"/>
          <w:szCs w:val="22"/>
        </w:rPr>
        <w:t>matinib</w:t>
      </w:r>
    </w:p>
    <w:p w14:paraId="375EBEAB" w14:textId="77777777" w:rsidR="00906898" w:rsidRPr="00263DB9" w:rsidRDefault="00906898" w:rsidP="00E51817">
      <w:pPr>
        <w:widowControl w:val="0"/>
        <w:suppressAutoHyphens/>
        <w:ind w:left="567" w:hanging="567"/>
        <w:rPr>
          <w:color w:val="000000"/>
          <w:szCs w:val="22"/>
        </w:rPr>
      </w:pPr>
    </w:p>
    <w:p w14:paraId="375EBEAC" w14:textId="77777777" w:rsidR="00C96F0A" w:rsidRPr="00263DB9" w:rsidRDefault="006B5399" w:rsidP="00E51817">
      <w:pPr>
        <w:widowControl w:val="0"/>
        <w:ind w:right="-2"/>
        <w:rPr>
          <w:noProof/>
          <w:szCs w:val="22"/>
        </w:rPr>
      </w:pPr>
      <w:r w:rsidRPr="00263DB9">
        <w:rPr>
          <w:noProof/>
          <w:lang w:val="en-GB" w:eastAsia="en-GB"/>
        </w:rPr>
        <w:drawing>
          <wp:inline distT="0" distB="0" distL="0" distR="0" wp14:anchorId="375EC381" wp14:editId="375EC382">
            <wp:extent cx="201295" cy="173990"/>
            <wp:effectExtent l="0" t="0" r="0" b="0"/>
            <wp:docPr id="8" name="Picture 8"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_1000x858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C96F0A" w:rsidRPr="00263DB9">
        <w:rPr>
          <w:noProof/>
          <w:szCs w:val="22"/>
        </w:rPr>
        <w:t>Este medicamento está sujeito a monitorização adicional. Isto irá permitir a rápida identificação de nova informação de segurança.</w:t>
      </w:r>
      <w:r w:rsidR="00C96F0A" w:rsidRPr="00263DB9">
        <w:rPr>
          <w:szCs w:val="22"/>
        </w:rPr>
        <w:t xml:space="preserve"> </w:t>
      </w:r>
      <w:r w:rsidR="00C96F0A" w:rsidRPr="00263DB9">
        <w:rPr>
          <w:noProof/>
          <w:szCs w:val="22"/>
        </w:rPr>
        <w:t>Poderá ajudar, comunicando quaisquer efeitos secundários que tenha.</w:t>
      </w:r>
      <w:r w:rsidR="00C96F0A" w:rsidRPr="00263DB9">
        <w:rPr>
          <w:szCs w:val="22"/>
        </w:rPr>
        <w:t xml:space="preserve"> Para saber como comunicar efeitos secundários, veja o final da secção 4.</w:t>
      </w:r>
    </w:p>
    <w:p w14:paraId="375EBEAD" w14:textId="77777777" w:rsidR="00C96F0A" w:rsidRPr="00263DB9" w:rsidRDefault="00C96F0A" w:rsidP="00E51817">
      <w:pPr>
        <w:widowControl w:val="0"/>
        <w:ind w:right="-2"/>
        <w:rPr>
          <w:color w:val="000000"/>
          <w:szCs w:val="22"/>
        </w:rPr>
      </w:pPr>
    </w:p>
    <w:p w14:paraId="375EBEAE" w14:textId="77777777" w:rsidR="00906898" w:rsidRPr="00263DB9" w:rsidRDefault="00906898" w:rsidP="00E51817">
      <w:pPr>
        <w:widowControl w:val="0"/>
        <w:ind w:right="-2"/>
        <w:rPr>
          <w:color w:val="000000"/>
          <w:szCs w:val="22"/>
        </w:rPr>
      </w:pPr>
      <w:r w:rsidRPr="00263DB9">
        <w:rPr>
          <w:b/>
          <w:color w:val="000000"/>
          <w:szCs w:val="22"/>
        </w:rPr>
        <w:t xml:space="preserve">Leia </w:t>
      </w:r>
      <w:r w:rsidRPr="00263DB9">
        <w:rPr>
          <w:b/>
          <w:szCs w:val="24"/>
        </w:rPr>
        <w:t>com atenção todo</w:t>
      </w:r>
      <w:r w:rsidRPr="00263DB9">
        <w:rPr>
          <w:b/>
          <w:color w:val="000000"/>
          <w:szCs w:val="22"/>
        </w:rPr>
        <w:t xml:space="preserve"> este folheto antes de começar a tomar este medicamento, </w:t>
      </w:r>
      <w:r w:rsidRPr="00263DB9">
        <w:rPr>
          <w:b/>
          <w:szCs w:val="24"/>
        </w:rPr>
        <w:t>pois contém informação importante para si</w:t>
      </w:r>
      <w:r w:rsidRPr="00263DB9">
        <w:rPr>
          <w:b/>
          <w:color w:val="000000"/>
          <w:szCs w:val="22"/>
        </w:rPr>
        <w:t>.</w:t>
      </w:r>
    </w:p>
    <w:p w14:paraId="375EBEAF" w14:textId="77777777" w:rsidR="00906898" w:rsidRPr="00263DB9" w:rsidRDefault="00906898" w:rsidP="00E51817">
      <w:pPr>
        <w:widowControl w:val="0"/>
        <w:numPr>
          <w:ilvl w:val="0"/>
          <w:numId w:val="9"/>
        </w:numPr>
        <w:ind w:left="567" w:right="-2" w:hanging="567"/>
        <w:rPr>
          <w:color w:val="000000"/>
          <w:szCs w:val="22"/>
        </w:rPr>
      </w:pPr>
      <w:r w:rsidRPr="00263DB9">
        <w:rPr>
          <w:color w:val="000000"/>
          <w:szCs w:val="22"/>
        </w:rPr>
        <w:t xml:space="preserve">Conserve este folheto. Pode ter necessidade de o </w:t>
      </w:r>
      <w:r w:rsidRPr="00263DB9">
        <w:rPr>
          <w:szCs w:val="24"/>
        </w:rPr>
        <w:t>ler novamente</w:t>
      </w:r>
      <w:r w:rsidRPr="00263DB9">
        <w:rPr>
          <w:color w:val="000000"/>
          <w:szCs w:val="22"/>
        </w:rPr>
        <w:t>.</w:t>
      </w:r>
    </w:p>
    <w:p w14:paraId="375EBEB0" w14:textId="77777777" w:rsidR="00906898" w:rsidRPr="00263DB9" w:rsidRDefault="00906898" w:rsidP="00E51817">
      <w:pPr>
        <w:widowControl w:val="0"/>
        <w:numPr>
          <w:ilvl w:val="0"/>
          <w:numId w:val="9"/>
        </w:numPr>
        <w:ind w:left="567" w:right="-2" w:hanging="567"/>
        <w:rPr>
          <w:color w:val="000000"/>
          <w:szCs w:val="22"/>
        </w:rPr>
      </w:pPr>
      <w:r w:rsidRPr="00263DB9">
        <w:rPr>
          <w:color w:val="000000"/>
          <w:szCs w:val="22"/>
        </w:rPr>
        <w:t>Caso ainda tenha dúvidas, fale com o seu médico, farmacêutico ou enfermeiro.</w:t>
      </w:r>
    </w:p>
    <w:p w14:paraId="375EBEB1" w14:textId="77777777" w:rsidR="00906898" w:rsidRPr="00263DB9" w:rsidRDefault="00906898" w:rsidP="00E51817">
      <w:pPr>
        <w:widowControl w:val="0"/>
        <w:numPr>
          <w:ilvl w:val="0"/>
          <w:numId w:val="9"/>
        </w:numPr>
        <w:ind w:left="567" w:right="-2" w:hanging="567"/>
        <w:rPr>
          <w:color w:val="000000"/>
          <w:szCs w:val="22"/>
        </w:rPr>
      </w:pPr>
      <w:r w:rsidRPr="00263DB9">
        <w:rPr>
          <w:color w:val="000000"/>
          <w:szCs w:val="22"/>
        </w:rPr>
        <w:t>Este medicamento foi receitado apenas para si. Não deve dá-lo a outros. O medicamento pode ser-lhes prejudicial mesmo que apresentem os mesmos sinais de doença.</w:t>
      </w:r>
    </w:p>
    <w:p w14:paraId="375EBEB2" w14:textId="77777777" w:rsidR="00906898" w:rsidRPr="00263DB9" w:rsidRDefault="00906898" w:rsidP="00E51817">
      <w:pPr>
        <w:widowControl w:val="0"/>
        <w:numPr>
          <w:ilvl w:val="0"/>
          <w:numId w:val="9"/>
        </w:numPr>
        <w:ind w:left="567" w:right="-2" w:hanging="567"/>
        <w:rPr>
          <w:color w:val="000000"/>
          <w:szCs w:val="22"/>
        </w:rPr>
      </w:pPr>
      <w:r w:rsidRPr="00263DB9">
        <w:rPr>
          <w:color w:val="000000"/>
          <w:szCs w:val="22"/>
        </w:rPr>
        <w:t>Se tiver quaisquer efeitos secundários</w:t>
      </w:r>
      <w:r w:rsidRPr="00263DB9">
        <w:rPr>
          <w:szCs w:val="24"/>
        </w:rPr>
        <w:t>, incluindo possíveis efeitos secundários</w:t>
      </w:r>
      <w:r w:rsidRPr="00263DB9">
        <w:rPr>
          <w:color w:val="000000"/>
          <w:szCs w:val="22"/>
        </w:rPr>
        <w:t xml:space="preserve"> não indicados neste folheto, fale com o seu médico, farmacêutico ou enfermeiro.</w:t>
      </w:r>
      <w:r w:rsidR="002C2D01" w:rsidRPr="00263DB9">
        <w:rPr>
          <w:color w:val="000000"/>
          <w:szCs w:val="22"/>
        </w:rPr>
        <w:t xml:space="preserve"> </w:t>
      </w:r>
      <w:r w:rsidR="002C2D01" w:rsidRPr="00263DB9">
        <w:rPr>
          <w:noProof/>
          <w:szCs w:val="22"/>
        </w:rPr>
        <w:t>Ver secção 4.</w:t>
      </w:r>
    </w:p>
    <w:p w14:paraId="375EBEB3" w14:textId="77777777" w:rsidR="00906898" w:rsidRPr="00263DB9" w:rsidRDefault="00906898" w:rsidP="00E51817">
      <w:pPr>
        <w:widowControl w:val="0"/>
        <w:numPr>
          <w:ilvl w:val="12"/>
          <w:numId w:val="0"/>
        </w:numPr>
        <w:ind w:right="-2"/>
        <w:rPr>
          <w:color w:val="000000"/>
          <w:szCs w:val="22"/>
        </w:rPr>
      </w:pPr>
    </w:p>
    <w:p w14:paraId="375EBEB4" w14:textId="77777777" w:rsidR="00906898" w:rsidRPr="00263DB9" w:rsidRDefault="00906898" w:rsidP="00E51817">
      <w:pPr>
        <w:widowControl w:val="0"/>
        <w:ind w:right="-2"/>
        <w:rPr>
          <w:color w:val="000000"/>
          <w:szCs w:val="22"/>
        </w:rPr>
      </w:pPr>
    </w:p>
    <w:p w14:paraId="375EBEB5" w14:textId="77777777" w:rsidR="00906898" w:rsidRPr="00263DB9" w:rsidRDefault="00906898" w:rsidP="00273B82">
      <w:pPr>
        <w:keepNext/>
        <w:widowControl w:val="0"/>
        <w:suppressAutoHyphens/>
        <w:ind w:left="567" w:hanging="567"/>
        <w:rPr>
          <w:color w:val="000000"/>
          <w:szCs w:val="22"/>
        </w:rPr>
      </w:pPr>
      <w:r w:rsidRPr="00263DB9">
        <w:rPr>
          <w:b/>
          <w:szCs w:val="24"/>
        </w:rPr>
        <w:t xml:space="preserve">O que contém este </w:t>
      </w:r>
      <w:r w:rsidRPr="00263DB9">
        <w:rPr>
          <w:b/>
          <w:color w:val="000000"/>
          <w:szCs w:val="22"/>
        </w:rPr>
        <w:t>folheto</w:t>
      </w:r>
    </w:p>
    <w:p w14:paraId="375EBEB6" w14:textId="77777777" w:rsidR="00906898" w:rsidRPr="00263DB9" w:rsidRDefault="00906898" w:rsidP="00273B82">
      <w:pPr>
        <w:pStyle w:val="EndnoteText"/>
        <w:keepNext/>
        <w:tabs>
          <w:tab w:val="clear" w:pos="567"/>
        </w:tabs>
        <w:suppressAutoHyphens/>
        <w:rPr>
          <w:color w:val="000000"/>
          <w:szCs w:val="22"/>
        </w:rPr>
      </w:pPr>
      <w:r w:rsidRPr="00263DB9">
        <w:rPr>
          <w:color w:val="000000"/>
          <w:szCs w:val="22"/>
        </w:rPr>
        <w:t>1.</w:t>
      </w:r>
      <w:r w:rsidRPr="00263DB9">
        <w:rPr>
          <w:color w:val="000000"/>
          <w:szCs w:val="22"/>
        </w:rPr>
        <w:tab/>
        <w:t>O que é Glivec e para que é utilizado</w:t>
      </w:r>
    </w:p>
    <w:p w14:paraId="375EBEB7" w14:textId="77777777" w:rsidR="00906898" w:rsidRPr="00263DB9" w:rsidRDefault="00906898" w:rsidP="00273B82">
      <w:pPr>
        <w:keepNext/>
        <w:widowControl w:val="0"/>
        <w:suppressAutoHyphens/>
        <w:rPr>
          <w:color w:val="000000"/>
          <w:szCs w:val="22"/>
        </w:rPr>
      </w:pPr>
      <w:r w:rsidRPr="00263DB9">
        <w:rPr>
          <w:color w:val="000000"/>
          <w:szCs w:val="22"/>
        </w:rPr>
        <w:t>2.</w:t>
      </w:r>
      <w:r w:rsidRPr="00263DB9">
        <w:rPr>
          <w:color w:val="000000"/>
          <w:szCs w:val="22"/>
        </w:rPr>
        <w:tab/>
      </w:r>
      <w:r w:rsidRPr="00263DB9">
        <w:rPr>
          <w:szCs w:val="24"/>
        </w:rPr>
        <w:t>O que precisa</w:t>
      </w:r>
      <w:r w:rsidRPr="00263DB9">
        <w:rPr>
          <w:color w:val="000000"/>
          <w:szCs w:val="22"/>
        </w:rPr>
        <w:t xml:space="preserve"> de </w:t>
      </w:r>
      <w:r w:rsidRPr="00263DB9">
        <w:rPr>
          <w:szCs w:val="24"/>
        </w:rPr>
        <w:t>saber antes de</w:t>
      </w:r>
      <w:r w:rsidRPr="00263DB9">
        <w:rPr>
          <w:color w:val="000000"/>
          <w:szCs w:val="22"/>
        </w:rPr>
        <w:t xml:space="preserve"> tomar Glivec</w:t>
      </w:r>
    </w:p>
    <w:p w14:paraId="375EBEB8" w14:textId="77777777" w:rsidR="00906898" w:rsidRPr="00263DB9" w:rsidRDefault="00906898" w:rsidP="00273B82">
      <w:pPr>
        <w:keepNext/>
        <w:widowControl w:val="0"/>
        <w:suppressAutoHyphens/>
        <w:rPr>
          <w:color w:val="000000"/>
          <w:szCs w:val="22"/>
        </w:rPr>
      </w:pPr>
      <w:r w:rsidRPr="00263DB9">
        <w:rPr>
          <w:color w:val="000000"/>
          <w:szCs w:val="22"/>
        </w:rPr>
        <w:t>3.</w:t>
      </w:r>
      <w:r w:rsidRPr="00263DB9">
        <w:rPr>
          <w:color w:val="000000"/>
          <w:szCs w:val="22"/>
        </w:rPr>
        <w:tab/>
        <w:t>Como tomar Glivec</w:t>
      </w:r>
    </w:p>
    <w:p w14:paraId="375EBEB9" w14:textId="77777777" w:rsidR="00906898" w:rsidRPr="00263DB9" w:rsidRDefault="00906898" w:rsidP="00273B82">
      <w:pPr>
        <w:keepNext/>
        <w:widowControl w:val="0"/>
        <w:suppressAutoHyphens/>
        <w:rPr>
          <w:color w:val="000000"/>
          <w:szCs w:val="22"/>
        </w:rPr>
      </w:pPr>
      <w:r w:rsidRPr="00263DB9">
        <w:rPr>
          <w:color w:val="000000"/>
          <w:szCs w:val="22"/>
        </w:rPr>
        <w:t>4.</w:t>
      </w:r>
      <w:r w:rsidRPr="00263DB9">
        <w:rPr>
          <w:color w:val="000000"/>
          <w:szCs w:val="22"/>
        </w:rPr>
        <w:tab/>
        <w:t>Efeitos secundários possíveis</w:t>
      </w:r>
    </w:p>
    <w:p w14:paraId="375EBEBA" w14:textId="77777777" w:rsidR="00906898" w:rsidRPr="00263DB9" w:rsidRDefault="00906898" w:rsidP="00273B82">
      <w:pPr>
        <w:keepNext/>
        <w:widowControl w:val="0"/>
        <w:suppressAutoHyphens/>
        <w:rPr>
          <w:color w:val="000000"/>
          <w:szCs w:val="22"/>
        </w:rPr>
      </w:pPr>
      <w:r w:rsidRPr="00263DB9">
        <w:rPr>
          <w:color w:val="000000"/>
          <w:szCs w:val="22"/>
        </w:rPr>
        <w:t>5.</w:t>
      </w:r>
      <w:r w:rsidRPr="00263DB9">
        <w:rPr>
          <w:color w:val="000000"/>
          <w:szCs w:val="22"/>
        </w:rPr>
        <w:tab/>
        <w:t>Como conservar Glivec</w:t>
      </w:r>
    </w:p>
    <w:p w14:paraId="375EBEBB" w14:textId="77777777" w:rsidR="00906898" w:rsidRPr="00263DB9" w:rsidRDefault="00906898" w:rsidP="00E51817">
      <w:pPr>
        <w:widowControl w:val="0"/>
        <w:suppressAutoHyphens/>
        <w:rPr>
          <w:color w:val="000000"/>
          <w:szCs w:val="22"/>
        </w:rPr>
      </w:pPr>
      <w:r w:rsidRPr="00263DB9">
        <w:rPr>
          <w:color w:val="000000"/>
          <w:szCs w:val="22"/>
        </w:rPr>
        <w:t>6.</w:t>
      </w:r>
      <w:r w:rsidRPr="00263DB9">
        <w:rPr>
          <w:color w:val="000000"/>
          <w:szCs w:val="22"/>
        </w:rPr>
        <w:tab/>
      </w:r>
      <w:r w:rsidRPr="00263DB9">
        <w:rPr>
          <w:szCs w:val="24"/>
        </w:rPr>
        <w:t>Conteúdo da embalagem e outras</w:t>
      </w:r>
      <w:r w:rsidRPr="00263DB9">
        <w:rPr>
          <w:color w:val="000000"/>
          <w:szCs w:val="22"/>
        </w:rPr>
        <w:t xml:space="preserve"> informações</w:t>
      </w:r>
    </w:p>
    <w:p w14:paraId="375EBEBC" w14:textId="77777777" w:rsidR="00906898" w:rsidRPr="00263DB9" w:rsidRDefault="00906898" w:rsidP="00E51817">
      <w:pPr>
        <w:widowControl w:val="0"/>
        <w:suppressAutoHyphens/>
        <w:rPr>
          <w:color w:val="000000"/>
          <w:szCs w:val="22"/>
        </w:rPr>
      </w:pPr>
    </w:p>
    <w:p w14:paraId="375EBEBD" w14:textId="77777777" w:rsidR="00906898" w:rsidRPr="00263DB9" w:rsidRDefault="00906898" w:rsidP="00E51817">
      <w:pPr>
        <w:widowControl w:val="0"/>
        <w:numPr>
          <w:ilvl w:val="12"/>
          <w:numId w:val="0"/>
        </w:numPr>
        <w:suppressAutoHyphens/>
        <w:rPr>
          <w:color w:val="000000"/>
          <w:szCs w:val="22"/>
        </w:rPr>
      </w:pPr>
    </w:p>
    <w:p w14:paraId="375EBEBE" w14:textId="77777777" w:rsidR="00906898" w:rsidRPr="00263DB9" w:rsidRDefault="00906898" w:rsidP="00273B82">
      <w:pPr>
        <w:keepNext/>
        <w:widowControl w:val="0"/>
        <w:numPr>
          <w:ilvl w:val="12"/>
          <w:numId w:val="0"/>
        </w:numPr>
        <w:suppressAutoHyphens/>
        <w:ind w:left="567" w:hanging="567"/>
        <w:rPr>
          <w:b/>
          <w:color w:val="000000"/>
          <w:szCs w:val="22"/>
        </w:rPr>
      </w:pPr>
      <w:r w:rsidRPr="00263DB9">
        <w:rPr>
          <w:b/>
          <w:color w:val="000000"/>
          <w:szCs w:val="22"/>
        </w:rPr>
        <w:t>1.</w:t>
      </w:r>
      <w:r w:rsidRPr="00263DB9">
        <w:rPr>
          <w:b/>
          <w:color w:val="000000"/>
          <w:szCs w:val="22"/>
        </w:rPr>
        <w:tab/>
      </w:r>
      <w:r w:rsidRPr="00263DB9">
        <w:rPr>
          <w:b/>
          <w:szCs w:val="24"/>
        </w:rPr>
        <w:t>O que é Glivec e para que é utilizado</w:t>
      </w:r>
    </w:p>
    <w:p w14:paraId="375EBEBF" w14:textId="77777777" w:rsidR="00906898" w:rsidRPr="00263DB9" w:rsidRDefault="00906898" w:rsidP="00273B82">
      <w:pPr>
        <w:keepNext/>
        <w:widowControl w:val="0"/>
        <w:numPr>
          <w:ilvl w:val="12"/>
          <w:numId w:val="0"/>
        </w:numPr>
        <w:suppressAutoHyphens/>
        <w:ind w:left="567" w:hanging="567"/>
        <w:rPr>
          <w:color w:val="000000"/>
          <w:szCs w:val="22"/>
        </w:rPr>
      </w:pPr>
    </w:p>
    <w:p w14:paraId="375EBEC0" w14:textId="77777777" w:rsidR="00906898" w:rsidRPr="00263DB9" w:rsidRDefault="00906898" w:rsidP="00E51817">
      <w:pPr>
        <w:widowControl w:val="0"/>
        <w:numPr>
          <w:ilvl w:val="12"/>
          <w:numId w:val="0"/>
        </w:numPr>
        <w:tabs>
          <w:tab w:val="left" w:pos="1843"/>
        </w:tabs>
        <w:suppressAutoHyphens/>
        <w:rPr>
          <w:color w:val="000000"/>
          <w:szCs w:val="22"/>
        </w:rPr>
      </w:pPr>
      <w:r w:rsidRPr="00263DB9">
        <w:rPr>
          <w:color w:val="000000"/>
          <w:szCs w:val="22"/>
        </w:rPr>
        <w:t>Glivec é um medicamento que contem uma substância ativa chamada imatinib. Este medicamento atua através da inibição do crescimento de células anormais nas doenças abaixo listadas. Estas incluem alguns tipos de cancro.</w:t>
      </w:r>
    </w:p>
    <w:p w14:paraId="375EBEC1" w14:textId="77777777" w:rsidR="00906898" w:rsidRPr="00263DB9" w:rsidRDefault="00906898" w:rsidP="00E51817">
      <w:pPr>
        <w:widowControl w:val="0"/>
        <w:numPr>
          <w:ilvl w:val="12"/>
          <w:numId w:val="0"/>
        </w:numPr>
        <w:suppressAutoHyphens/>
        <w:rPr>
          <w:color w:val="000000"/>
          <w:szCs w:val="22"/>
        </w:rPr>
      </w:pPr>
    </w:p>
    <w:p w14:paraId="375EBEC2" w14:textId="77777777" w:rsidR="00906898" w:rsidRPr="00263DB9" w:rsidRDefault="00906898" w:rsidP="00273B82">
      <w:pPr>
        <w:keepNext/>
        <w:widowControl w:val="0"/>
        <w:numPr>
          <w:ilvl w:val="12"/>
          <w:numId w:val="0"/>
        </w:numPr>
        <w:suppressAutoHyphens/>
        <w:rPr>
          <w:b/>
          <w:bCs/>
          <w:color w:val="000000"/>
          <w:szCs w:val="22"/>
        </w:rPr>
      </w:pPr>
      <w:r w:rsidRPr="00263DB9">
        <w:rPr>
          <w:b/>
          <w:bCs/>
          <w:color w:val="000000"/>
          <w:szCs w:val="22"/>
        </w:rPr>
        <w:t>Glivec é um tratamento para os adultos e crianças para:</w:t>
      </w:r>
    </w:p>
    <w:p w14:paraId="375EBEC3" w14:textId="77777777" w:rsidR="00906898" w:rsidRPr="00263DB9" w:rsidRDefault="00906898" w:rsidP="00273B82">
      <w:pPr>
        <w:keepNext/>
        <w:widowControl w:val="0"/>
        <w:numPr>
          <w:ilvl w:val="12"/>
          <w:numId w:val="0"/>
        </w:numPr>
        <w:suppressAutoHyphens/>
        <w:rPr>
          <w:color w:val="000000"/>
          <w:szCs w:val="22"/>
        </w:rPr>
      </w:pPr>
    </w:p>
    <w:p w14:paraId="375EBEC4" w14:textId="77777777" w:rsidR="00906898" w:rsidRPr="00263DB9" w:rsidRDefault="00906898" w:rsidP="00E51817">
      <w:pPr>
        <w:widowControl w:val="0"/>
        <w:numPr>
          <w:ilvl w:val="12"/>
          <w:numId w:val="0"/>
        </w:numPr>
        <w:suppressAutoHyphens/>
        <w:ind w:left="567" w:hanging="567"/>
        <w:rPr>
          <w:color w:val="000000"/>
          <w:szCs w:val="22"/>
        </w:rPr>
      </w:pPr>
      <w:r w:rsidRPr="00263DB9">
        <w:rPr>
          <w:color w:val="000000"/>
          <w:szCs w:val="22"/>
        </w:rPr>
        <w:t>-</w:t>
      </w:r>
      <w:r w:rsidRPr="00263DB9">
        <w:rPr>
          <w:color w:val="000000"/>
          <w:szCs w:val="22"/>
        </w:rPr>
        <w:tab/>
      </w:r>
      <w:r w:rsidRPr="00263DB9">
        <w:rPr>
          <w:b/>
          <w:bCs/>
          <w:color w:val="000000"/>
          <w:szCs w:val="22"/>
        </w:rPr>
        <w:t>Leucemia mieloide crónica (LMC).</w:t>
      </w:r>
      <w:r w:rsidRPr="00263DB9">
        <w:rPr>
          <w:color w:val="000000"/>
          <w:szCs w:val="22"/>
        </w:rPr>
        <w:t xml:space="preserve"> A leucemia é um cancro dos glóbulos brancos do sangue. Normalmente, os glóbulos brancos ajudam o organismo a combater infeções. A leucemia mieloide crónica é uma forma de leucemia na qual certos glóbulos brancos anormais (denominados de células mielóides) começam a crescer sem controlo.</w:t>
      </w:r>
    </w:p>
    <w:p w14:paraId="375EBEC5" w14:textId="77777777" w:rsidR="000043B6" w:rsidRPr="00263DB9" w:rsidRDefault="000043B6" w:rsidP="00E51817">
      <w:pPr>
        <w:widowControl w:val="0"/>
        <w:numPr>
          <w:ilvl w:val="0"/>
          <w:numId w:val="26"/>
        </w:numPr>
        <w:suppressAutoHyphens/>
        <w:ind w:left="567" w:hanging="567"/>
        <w:rPr>
          <w:color w:val="000000"/>
          <w:szCs w:val="22"/>
        </w:rPr>
      </w:pPr>
      <w:r w:rsidRPr="00263DB9">
        <w:rPr>
          <w:b/>
          <w:color w:val="000000"/>
          <w:szCs w:val="22"/>
        </w:rPr>
        <w:t>Leucemia linfoblástica aguda positiva para o cromossoma filadélfia (LLA Ph-positiva).</w:t>
      </w:r>
      <w:r w:rsidRPr="00263DB9">
        <w:rPr>
          <w:color w:val="000000"/>
          <w:szCs w:val="22"/>
        </w:rPr>
        <w:t xml:space="preserve"> A leucemia é um cancro dos glóbulos brancos do sangue. Os glóbulos brancos normalmente ajudam o organismo a combater infeções. A leucemia linfoblástica aguda é uma forma de leucemia na qual certos glóbulos brancos anormais (denominados linfoblastos) começam a crescer sem controlo. Glivec inibe o crescimento destas células.</w:t>
      </w:r>
    </w:p>
    <w:p w14:paraId="375EBEC6" w14:textId="77777777" w:rsidR="00906898" w:rsidRPr="00263DB9" w:rsidRDefault="00906898" w:rsidP="00E51817">
      <w:pPr>
        <w:widowControl w:val="0"/>
        <w:numPr>
          <w:ilvl w:val="12"/>
          <w:numId w:val="0"/>
        </w:numPr>
        <w:suppressAutoHyphens/>
        <w:rPr>
          <w:color w:val="000000"/>
          <w:szCs w:val="22"/>
        </w:rPr>
      </w:pPr>
    </w:p>
    <w:p w14:paraId="375EBEC7" w14:textId="77777777" w:rsidR="00906898" w:rsidRPr="00263DB9" w:rsidRDefault="00906898" w:rsidP="00273B82">
      <w:pPr>
        <w:keepNext/>
        <w:widowControl w:val="0"/>
        <w:numPr>
          <w:ilvl w:val="12"/>
          <w:numId w:val="0"/>
        </w:numPr>
        <w:suppressAutoHyphens/>
        <w:rPr>
          <w:b/>
          <w:bCs/>
          <w:color w:val="000000"/>
          <w:szCs w:val="22"/>
        </w:rPr>
      </w:pPr>
      <w:r w:rsidRPr="00263DB9">
        <w:rPr>
          <w:b/>
          <w:bCs/>
          <w:color w:val="000000"/>
          <w:szCs w:val="22"/>
        </w:rPr>
        <w:t>Glivec é também um tratamento para os adultos para:</w:t>
      </w:r>
    </w:p>
    <w:p w14:paraId="375EBEC8" w14:textId="77777777" w:rsidR="00906898" w:rsidRPr="00263DB9" w:rsidRDefault="00906898" w:rsidP="00273B82">
      <w:pPr>
        <w:keepNext/>
        <w:widowControl w:val="0"/>
        <w:numPr>
          <w:ilvl w:val="12"/>
          <w:numId w:val="0"/>
        </w:numPr>
        <w:suppressAutoHyphens/>
        <w:rPr>
          <w:color w:val="000000"/>
          <w:szCs w:val="22"/>
        </w:rPr>
      </w:pPr>
    </w:p>
    <w:p w14:paraId="375EBEC9" w14:textId="77777777" w:rsidR="00906898" w:rsidRPr="00263DB9" w:rsidRDefault="00906898" w:rsidP="00E51817">
      <w:pPr>
        <w:widowControl w:val="0"/>
        <w:numPr>
          <w:ilvl w:val="12"/>
          <w:numId w:val="0"/>
        </w:numPr>
        <w:suppressAutoHyphens/>
        <w:ind w:left="567" w:hanging="567"/>
        <w:rPr>
          <w:color w:val="000000"/>
          <w:szCs w:val="22"/>
        </w:rPr>
      </w:pPr>
      <w:r w:rsidRPr="00263DB9">
        <w:rPr>
          <w:color w:val="000000"/>
          <w:szCs w:val="22"/>
        </w:rPr>
        <w:t>-</w:t>
      </w:r>
      <w:r w:rsidRPr="00263DB9">
        <w:rPr>
          <w:color w:val="000000"/>
          <w:szCs w:val="22"/>
        </w:rPr>
        <w:tab/>
      </w:r>
      <w:r w:rsidRPr="00263DB9">
        <w:rPr>
          <w:b/>
          <w:bCs/>
          <w:color w:val="000000"/>
          <w:szCs w:val="22"/>
        </w:rPr>
        <w:t>Síndrome mielodisplásica/ doenças mieloproliferativas.</w:t>
      </w:r>
      <w:r w:rsidRPr="00263DB9">
        <w:rPr>
          <w:color w:val="000000"/>
          <w:szCs w:val="22"/>
        </w:rPr>
        <w:t xml:space="preserve"> Estas são um grupo de doenças do sangue em que algumas células do sangue começam a crescer sem controlo. Glivec inibe o crescimento destas células num determinado subtipo destas doenças.</w:t>
      </w:r>
    </w:p>
    <w:p w14:paraId="375EBECA" w14:textId="77777777" w:rsidR="00906898" w:rsidRPr="00263DB9" w:rsidRDefault="00906898" w:rsidP="00E51817">
      <w:pPr>
        <w:widowControl w:val="0"/>
        <w:numPr>
          <w:ilvl w:val="12"/>
          <w:numId w:val="0"/>
        </w:numPr>
        <w:suppressAutoHyphens/>
        <w:ind w:left="567" w:hanging="567"/>
        <w:rPr>
          <w:color w:val="000000"/>
          <w:szCs w:val="22"/>
        </w:rPr>
      </w:pPr>
      <w:r w:rsidRPr="00263DB9">
        <w:rPr>
          <w:color w:val="000000"/>
          <w:szCs w:val="22"/>
        </w:rPr>
        <w:t>-</w:t>
      </w:r>
      <w:r w:rsidRPr="00263DB9">
        <w:rPr>
          <w:color w:val="000000"/>
          <w:szCs w:val="22"/>
        </w:rPr>
        <w:tab/>
      </w:r>
      <w:r w:rsidRPr="00263DB9">
        <w:rPr>
          <w:b/>
          <w:bCs/>
          <w:color w:val="000000"/>
          <w:szCs w:val="22"/>
        </w:rPr>
        <w:t>Síndrome hipereosinofílica e/ou leucemia eosinofílica crónica.</w:t>
      </w:r>
      <w:r w:rsidRPr="00263DB9">
        <w:rPr>
          <w:color w:val="000000"/>
          <w:szCs w:val="22"/>
        </w:rPr>
        <w:t xml:space="preserve"> Estas são doenças do sangue em que algumas células do sangue (denominadas eosinófilos) começam a crescer sem controlo. Glivec inibe o crescimento destas células num determinado subtipo destas doenças.</w:t>
      </w:r>
    </w:p>
    <w:p w14:paraId="375EBECB" w14:textId="77777777" w:rsidR="00906898" w:rsidRPr="00263DB9" w:rsidRDefault="00906898" w:rsidP="00E51817">
      <w:pPr>
        <w:widowControl w:val="0"/>
        <w:numPr>
          <w:ilvl w:val="12"/>
          <w:numId w:val="0"/>
        </w:numPr>
        <w:suppressAutoHyphens/>
        <w:ind w:left="567" w:hanging="567"/>
        <w:rPr>
          <w:color w:val="000000"/>
          <w:szCs w:val="22"/>
        </w:rPr>
      </w:pPr>
      <w:r w:rsidRPr="00263DB9">
        <w:rPr>
          <w:color w:val="000000"/>
          <w:szCs w:val="22"/>
        </w:rPr>
        <w:t>-</w:t>
      </w:r>
      <w:r w:rsidRPr="00263DB9">
        <w:rPr>
          <w:color w:val="000000"/>
          <w:szCs w:val="22"/>
        </w:rPr>
        <w:tab/>
      </w:r>
      <w:r w:rsidRPr="00263DB9">
        <w:rPr>
          <w:b/>
          <w:bCs/>
          <w:color w:val="000000"/>
          <w:szCs w:val="22"/>
        </w:rPr>
        <w:t xml:space="preserve">Tumores do estroma gastrintestinal (GIST). </w:t>
      </w:r>
      <w:r w:rsidRPr="00263DB9">
        <w:rPr>
          <w:color w:val="000000"/>
          <w:szCs w:val="22"/>
        </w:rPr>
        <w:t>O GIST é um cancro do estômago e intestino. Desenvolve-se devido ao crescimento celular não controlado dos tecidos suporte destes órgãos.</w:t>
      </w:r>
    </w:p>
    <w:p w14:paraId="375EBECC" w14:textId="77777777" w:rsidR="00906898" w:rsidRPr="00263DB9" w:rsidRDefault="00906898" w:rsidP="00E51817">
      <w:pPr>
        <w:widowControl w:val="0"/>
        <w:numPr>
          <w:ilvl w:val="12"/>
          <w:numId w:val="0"/>
        </w:numPr>
        <w:suppressAutoHyphens/>
        <w:ind w:left="567" w:hanging="567"/>
        <w:rPr>
          <w:color w:val="000000"/>
          <w:szCs w:val="22"/>
        </w:rPr>
      </w:pPr>
      <w:r w:rsidRPr="00263DB9">
        <w:rPr>
          <w:color w:val="000000"/>
          <w:szCs w:val="22"/>
        </w:rPr>
        <w:t>-</w:t>
      </w:r>
      <w:r w:rsidRPr="00263DB9">
        <w:rPr>
          <w:color w:val="000000"/>
          <w:szCs w:val="22"/>
        </w:rPr>
        <w:tab/>
      </w:r>
      <w:r w:rsidRPr="00263DB9">
        <w:rPr>
          <w:b/>
          <w:bCs/>
          <w:color w:val="000000"/>
          <w:szCs w:val="22"/>
        </w:rPr>
        <w:t>Dermatofibrosarcoma protuberans (DFSP).</w:t>
      </w:r>
      <w:r w:rsidRPr="00263DB9">
        <w:rPr>
          <w:color w:val="000000"/>
          <w:szCs w:val="22"/>
        </w:rPr>
        <w:t xml:space="preserve"> DSFP é um cancro do tecido localizado por </w:t>
      </w:r>
      <w:r w:rsidRPr="00263DB9">
        <w:rPr>
          <w:color w:val="000000"/>
          <w:szCs w:val="22"/>
        </w:rPr>
        <w:lastRenderedPageBreak/>
        <w:t>baixo da pele no qual algumas células começam a crescer sem controlo. Glivec inibe o crescimento destas células.</w:t>
      </w:r>
    </w:p>
    <w:p w14:paraId="375EBECD" w14:textId="77777777" w:rsidR="00906898" w:rsidRPr="00263DB9" w:rsidRDefault="00906898" w:rsidP="00E51817">
      <w:pPr>
        <w:widowControl w:val="0"/>
        <w:numPr>
          <w:ilvl w:val="12"/>
          <w:numId w:val="0"/>
        </w:numPr>
        <w:suppressAutoHyphens/>
        <w:rPr>
          <w:color w:val="000000"/>
          <w:szCs w:val="22"/>
        </w:rPr>
      </w:pPr>
      <w:r w:rsidRPr="00263DB9">
        <w:rPr>
          <w:color w:val="000000"/>
          <w:szCs w:val="22"/>
        </w:rPr>
        <w:t>No resto deste folheto, irão ser utilizadas as abreviaturas quando se falar sobre estas doenças.</w:t>
      </w:r>
    </w:p>
    <w:p w14:paraId="375EBECE" w14:textId="77777777" w:rsidR="00906898" w:rsidRPr="00263DB9" w:rsidRDefault="00906898" w:rsidP="00E51817">
      <w:pPr>
        <w:widowControl w:val="0"/>
        <w:numPr>
          <w:ilvl w:val="12"/>
          <w:numId w:val="0"/>
        </w:numPr>
        <w:suppressAutoHyphens/>
        <w:rPr>
          <w:color w:val="000000"/>
          <w:szCs w:val="22"/>
        </w:rPr>
      </w:pPr>
    </w:p>
    <w:p w14:paraId="375EBECF" w14:textId="77777777" w:rsidR="00906898" w:rsidRPr="00263DB9" w:rsidRDefault="00906898" w:rsidP="00E51817">
      <w:pPr>
        <w:widowControl w:val="0"/>
        <w:numPr>
          <w:ilvl w:val="12"/>
          <w:numId w:val="0"/>
        </w:numPr>
        <w:suppressAutoHyphens/>
        <w:rPr>
          <w:color w:val="000000"/>
          <w:szCs w:val="22"/>
        </w:rPr>
      </w:pPr>
      <w:r w:rsidRPr="00263DB9">
        <w:rPr>
          <w:color w:val="000000"/>
          <w:szCs w:val="22"/>
        </w:rPr>
        <w:t>Se tiver quaisquer dúvidas sobre o modo de ação de Glivec ou sobre as causas para prescrição deste medicamento, consulte o seu médico.</w:t>
      </w:r>
    </w:p>
    <w:p w14:paraId="375EBED0" w14:textId="77777777" w:rsidR="00906898" w:rsidRPr="00263DB9" w:rsidRDefault="00906898" w:rsidP="00E51817">
      <w:pPr>
        <w:widowControl w:val="0"/>
        <w:numPr>
          <w:ilvl w:val="12"/>
          <w:numId w:val="0"/>
        </w:numPr>
        <w:suppressAutoHyphens/>
        <w:rPr>
          <w:color w:val="000000"/>
          <w:szCs w:val="22"/>
        </w:rPr>
      </w:pPr>
    </w:p>
    <w:p w14:paraId="375EBED1" w14:textId="77777777" w:rsidR="00906898" w:rsidRPr="00263DB9" w:rsidRDefault="00906898" w:rsidP="00E51817">
      <w:pPr>
        <w:widowControl w:val="0"/>
        <w:numPr>
          <w:ilvl w:val="12"/>
          <w:numId w:val="0"/>
        </w:numPr>
        <w:suppressAutoHyphens/>
        <w:rPr>
          <w:color w:val="000000"/>
          <w:szCs w:val="22"/>
        </w:rPr>
      </w:pPr>
    </w:p>
    <w:p w14:paraId="375EBED2" w14:textId="77777777" w:rsidR="00906898" w:rsidRPr="00263DB9" w:rsidRDefault="00906898" w:rsidP="00273B82">
      <w:pPr>
        <w:keepNext/>
        <w:widowControl w:val="0"/>
        <w:numPr>
          <w:ilvl w:val="12"/>
          <w:numId w:val="0"/>
        </w:numPr>
        <w:suppressAutoHyphens/>
        <w:ind w:left="567" w:hanging="567"/>
        <w:rPr>
          <w:b/>
          <w:color w:val="000000"/>
          <w:szCs w:val="22"/>
        </w:rPr>
      </w:pPr>
      <w:r w:rsidRPr="00263DB9">
        <w:rPr>
          <w:b/>
          <w:color w:val="000000"/>
          <w:szCs w:val="22"/>
        </w:rPr>
        <w:t>2.</w:t>
      </w:r>
      <w:r w:rsidRPr="00263DB9">
        <w:rPr>
          <w:b/>
          <w:color w:val="000000"/>
          <w:szCs w:val="22"/>
        </w:rPr>
        <w:tab/>
      </w:r>
      <w:r w:rsidRPr="00263DB9">
        <w:rPr>
          <w:b/>
          <w:szCs w:val="24"/>
        </w:rPr>
        <w:t>O que precisa de saber antes de</w:t>
      </w:r>
      <w:r w:rsidRPr="00263DB9">
        <w:rPr>
          <w:b/>
          <w:color w:val="000000"/>
          <w:szCs w:val="22"/>
        </w:rPr>
        <w:t xml:space="preserve"> tomar Glivec</w:t>
      </w:r>
    </w:p>
    <w:p w14:paraId="375EBED3" w14:textId="77777777" w:rsidR="00906898" w:rsidRPr="00263DB9" w:rsidRDefault="00906898" w:rsidP="00273B82">
      <w:pPr>
        <w:keepNext/>
        <w:widowControl w:val="0"/>
        <w:numPr>
          <w:ilvl w:val="12"/>
          <w:numId w:val="0"/>
        </w:numPr>
        <w:suppressAutoHyphens/>
        <w:ind w:left="567" w:hanging="567"/>
        <w:rPr>
          <w:color w:val="000000"/>
          <w:szCs w:val="22"/>
        </w:rPr>
      </w:pPr>
    </w:p>
    <w:p w14:paraId="375EBED4" w14:textId="77777777" w:rsidR="00906898" w:rsidRPr="00263DB9" w:rsidRDefault="00906898" w:rsidP="00E51817">
      <w:pPr>
        <w:widowControl w:val="0"/>
        <w:numPr>
          <w:ilvl w:val="12"/>
          <w:numId w:val="0"/>
        </w:numPr>
        <w:suppressAutoHyphens/>
        <w:rPr>
          <w:color w:val="000000"/>
          <w:szCs w:val="22"/>
        </w:rPr>
      </w:pPr>
      <w:r w:rsidRPr="00263DB9">
        <w:rPr>
          <w:color w:val="000000"/>
          <w:szCs w:val="22"/>
        </w:rPr>
        <w:t>Glivec ser-lhe-á prescrito apenas por um médico com experiência em medicamentos para o tratamento de cancros do sangue ou tumores sólidos.</w:t>
      </w:r>
    </w:p>
    <w:p w14:paraId="375EBED5" w14:textId="77777777" w:rsidR="00906898" w:rsidRPr="00263DB9" w:rsidRDefault="00906898" w:rsidP="00E51817">
      <w:pPr>
        <w:widowControl w:val="0"/>
        <w:numPr>
          <w:ilvl w:val="12"/>
          <w:numId w:val="0"/>
        </w:numPr>
        <w:suppressAutoHyphens/>
        <w:ind w:left="567" w:hanging="567"/>
        <w:rPr>
          <w:color w:val="000000"/>
          <w:szCs w:val="22"/>
        </w:rPr>
      </w:pPr>
    </w:p>
    <w:p w14:paraId="375EBED6" w14:textId="77777777" w:rsidR="00906898" w:rsidRPr="00263DB9" w:rsidRDefault="00906898" w:rsidP="00E51817">
      <w:pPr>
        <w:widowControl w:val="0"/>
        <w:numPr>
          <w:ilvl w:val="12"/>
          <w:numId w:val="0"/>
        </w:numPr>
        <w:suppressAutoHyphens/>
        <w:rPr>
          <w:color w:val="000000"/>
          <w:szCs w:val="22"/>
        </w:rPr>
      </w:pPr>
      <w:r w:rsidRPr="00263DB9">
        <w:rPr>
          <w:color w:val="000000"/>
          <w:szCs w:val="22"/>
        </w:rPr>
        <w:t>Siga cuidadosamente todas as instruções que lhe foram dadas pelo seu médico, mesmo que sejam diferentes da informação geral contida neste folheto.</w:t>
      </w:r>
    </w:p>
    <w:p w14:paraId="375EBED7" w14:textId="77777777" w:rsidR="00906898" w:rsidRPr="00263DB9" w:rsidRDefault="00906898" w:rsidP="00E51817">
      <w:pPr>
        <w:widowControl w:val="0"/>
        <w:numPr>
          <w:ilvl w:val="12"/>
          <w:numId w:val="0"/>
        </w:numPr>
        <w:suppressAutoHyphens/>
        <w:rPr>
          <w:color w:val="000000"/>
          <w:szCs w:val="22"/>
        </w:rPr>
      </w:pPr>
    </w:p>
    <w:p w14:paraId="375EBED8" w14:textId="77777777" w:rsidR="00906898" w:rsidRPr="00263DB9" w:rsidRDefault="00906898" w:rsidP="00273B82">
      <w:pPr>
        <w:keepNext/>
        <w:widowControl w:val="0"/>
        <w:numPr>
          <w:ilvl w:val="12"/>
          <w:numId w:val="0"/>
        </w:numPr>
        <w:suppressAutoHyphens/>
        <w:rPr>
          <w:color w:val="000000"/>
          <w:szCs w:val="22"/>
        </w:rPr>
      </w:pPr>
      <w:r w:rsidRPr="00263DB9">
        <w:rPr>
          <w:b/>
          <w:color w:val="000000"/>
          <w:szCs w:val="22"/>
        </w:rPr>
        <w:t>Não tome Glivec:</w:t>
      </w:r>
    </w:p>
    <w:p w14:paraId="375EBED9" w14:textId="77777777" w:rsidR="00906898" w:rsidRPr="00263DB9" w:rsidRDefault="00906898" w:rsidP="00E51817">
      <w:pPr>
        <w:widowControl w:val="0"/>
        <w:numPr>
          <w:ilvl w:val="12"/>
          <w:numId w:val="0"/>
        </w:numPr>
        <w:suppressAutoHyphens/>
        <w:ind w:left="567" w:hanging="567"/>
        <w:rPr>
          <w:color w:val="000000"/>
          <w:szCs w:val="22"/>
        </w:rPr>
      </w:pPr>
      <w:r w:rsidRPr="00263DB9">
        <w:rPr>
          <w:color w:val="000000"/>
          <w:szCs w:val="22"/>
        </w:rPr>
        <w:t>-</w:t>
      </w:r>
      <w:r w:rsidRPr="00263DB9">
        <w:rPr>
          <w:color w:val="000000"/>
          <w:szCs w:val="22"/>
        </w:rPr>
        <w:tab/>
        <w:t>se tem alergia ao imatinib ou a qualquer outro componente de</w:t>
      </w:r>
      <w:r w:rsidRPr="00263DB9">
        <w:rPr>
          <w:szCs w:val="24"/>
        </w:rPr>
        <w:t>ste medicamento (indicados na secção 6)</w:t>
      </w:r>
      <w:r w:rsidRPr="00263DB9">
        <w:rPr>
          <w:color w:val="000000"/>
          <w:szCs w:val="22"/>
        </w:rPr>
        <w:t>.</w:t>
      </w:r>
    </w:p>
    <w:p w14:paraId="375EBEDA" w14:textId="77777777" w:rsidR="00906898" w:rsidRPr="00263DB9" w:rsidRDefault="00906898" w:rsidP="00E51817">
      <w:pPr>
        <w:widowControl w:val="0"/>
        <w:numPr>
          <w:ilvl w:val="12"/>
          <w:numId w:val="0"/>
        </w:numPr>
        <w:suppressAutoHyphens/>
        <w:ind w:left="567" w:hanging="567"/>
        <w:rPr>
          <w:color w:val="000000"/>
          <w:szCs w:val="22"/>
        </w:rPr>
      </w:pPr>
      <w:r w:rsidRPr="00263DB9">
        <w:rPr>
          <w:color w:val="000000"/>
          <w:szCs w:val="22"/>
        </w:rPr>
        <w:t xml:space="preserve">Se isto se aplica a si, </w:t>
      </w:r>
      <w:r w:rsidRPr="00263DB9">
        <w:rPr>
          <w:b/>
          <w:bCs/>
          <w:color w:val="000000"/>
          <w:szCs w:val="22"/>
        </w:rPr>
        <w:t>informe o seu médico antes de tomar Glivec.</w:t>
      </w:r>
    </w:p>
    <w:p w14:paraId="375EBEDB" w14:textId="77777777" w:rsidR="00906898" w:rsidRPr="00263DB9" w:rsidRDefault="00906898" w:rsidP="00E51817">
      <w:pPr>
        <w:widowControl w:val="0"/>
        <w:numPr>
          <w:ilvl w:val="12"/>
          <w:numId w:val="0"/>
        </w:numPr>
        <w:suppressAutoHyphens/>
        <w:rPr>
          <w:color w:val="000000"/>
          <w:szCs w:val="22"/>
        </w:rPr>
      </w:pPr>
    </w:p>
    <w:p w14:paraId="375EBEDC" w14:textId="77777777" w:rsidR="00906898" w:rsidRPr="00263DB9" w:rsidRDefault="00906898" w:rsidP="00E51817">
      <w:pPr>
        <w:widowControl w:val="0"/>
        <w:numPr>
          <w:ilvl w:val="12"/>
          <w:numId w:val="0"/>
        </w:numPr>
        <w:suppressAutoHyphens/>
        <w:rPr>
          <w:color w:val="000000"/>
          <w:szCs w:val="22"/>
        </w:rPr>
      </w:pPr>
      <w:r w:rsidRPr="00263DB9">
        <w:rPr>
          <w:color w:val="000000"/>
          <w:szCs w:val="22"/>
        </w:rPr>
        <w:t>Caso pense que poderá ser alérgico, mas não tem a certeza, consulte o seu médico para aconselhamento.</w:t>
      </w:r>
    </w:p>
    <w:p w14:paraId="375EBEDD" w14:textId="77777777" w:rsidR="00906898" w:rsidRPr="00263DB9" w:rsidRDefault="00906898" w:rsidP="00E51817">
      <w:pPr>
        <w:widowControl w:val="0"/>
        <w:numPr>
          <w:ilvl w:val="12"/>
          <w:numId w:val="0"/>
        </w:numPr>
        <w:suppressAutoHyphens/>
        <w:rPr>
          <w:color w:val="000000"/>
          <w:szCs w:val="22"/>
        </w:rPr>
      </w:pPr>
    </w:p>
    <w:p w14:paraId="375EBEDE" w14:textId="77777777" w:rsidR="00906898" w:rsidRPr="00263DB9" w:rsidRDefault="00906898" w:rsidP="00273B82">
      <w:pPr>
        <w:keepNext/>
        <w:widowControl w:val="0"/>
        <w:numPr>
          <w:ilvl w:val="12"/>
          <w:numId w:val="0"/>
        </w:numPr>
        <w:suppressAutoHyphens/>
        <w:rPr>
          <w:b/>
          <w:color w:val="000000"/>
          <w:szCs w:val="22"/>
        </w:rPr>
      </w:pPr>
      <w:r w:rsidRPr="00263DB9">
        <w:rPr>
          <w:b/>
          <w:szCs w:val="24"/>
        </w:rPr>
        <w:t>Advertências e precauções</w:t>
      </w:r>
    </w:p>
    <w:p w14:paraId="375EBEDF" w14:textId="77777777" w:rsidR="00906898" w:rsidRPr="00263DB9" w:rsidRDefault="00906898" w:rsidP="00273B82">
      <w:pPr>
        <w:keepNext/>
        <w:widowControl w:val="0"/>
        <w:numPr>
          <w:ilvl w:val="12"/>
          <w:numId w:val="0"/>
        </w:numPr>
        <w:suppressAutoHyphens/>
        <w:rPr>
          <w:bCs/>
          <w:color w:val="000000"/>
          <w:szCs w:val="22"/>
        </w:rPr>
      </w:pPr>
      <w:r w:rsidRPr="00263DB9">
        <w:rPr>
          <w:szCs w:val="24"/>
        </w:rPr>
        <w:t>Fale</w:t>
      </w:r>
      <w:r w:rsidRPr="00263DB9">
        <w:t xml:space="preserve"> com </w:t>
      </w:r>
      <w:r w:rsidRPr="00263DB9">
        <w:rPr>
          <w:szCs w:val="24"/>
        </w:rPr>
        <w:t>o seu médico</w:t>
      </w:r>
      <w:r w:rsidRPr="00263DB9">
        <w:rPr>
          <w:bCs/>
          <w:color w:val="000000"/>
          <w:szCs w:val="22"/>
        </w:rPr>
        <w:t xml:space="preserve"> antes de tomar Glivec:</w:t>
      </w:r>
    </w:p>
    <w:p w14:paraId="375EBEE0" w14:textId="77777777" w:rsidR="00906898" w:rsidRPr="00263DB9" w:rsidRDefault="00906898" w:rsidP="00E51817">
      <w:pPr>
        <w:widowControl w:val="0"/>
        <w:numPr>
          <w:ilvl w:val="0"/>
          <w:numId w:val="1"/>
        </w:numPr>
        <w:tabs>
          <w:tab w:val="clear" w:pos="927"/>
        </w:tabs>
        <w:suppressAutoHyphens/>
        <w:ind w:left="567" w:hanging="567"/>
        <w:rPr>
          <w:color w:val="000000"/>
          <w:szCs w:val="22"/>
        </w:rPr>
      </w:pPr>
      <w:r w:rsidRPr="00263DB9">
        <w:rPr>
          <w:color w:val="000000"/>
          <w:szCs w:val="22"/>
        </w:rPr>
        <w:t>Se tem ou alguma vez teve problemas de fígado, rim ou coração.</w:t>
      </w:r>
    </w:p>
    <w:p w14:paraId="375EBEE1" w14:textId="77777777" w:rsidR="00906898" w:rsidRPr="00263DB9" w:rsidRDefault="00906898" w:rsidP="00E51817">
      <w:pPr>
        <w:widowControl w:val="0"/>
        <w:numPr>
          <w:ilvl w:val="0"/>
          <w:numId w:val="1"/>
        </w:numPr>
        <w:tabs>
          <w:tab w:val="clear" w:pos="927"/>
        </w:tabs>
        <w:suppressAutoHyphens/>
        <w:ind w:left="567" w:hanging="567"/>
        <w:rPr>
          <w:color w:val="000000"/>
          <w:szCs w:val="22"/>
        </w:rPr>
      </w:pPr>
      <w:r w:rsidRPr="00263DB9">
        <w:rPr>
          <w:color w:val="000000"/>
          <w:szCs w:val="22"/>
        </w:rPr>
        <w:t>Se está a tomar levotiroxina devido à remoção da sua tiróide.</w:t>
      </w:r>
    </w:p>
    <w:p w14:paraId="375EBEE2" w14:textId="77777777" w:rsidR="009024ED" w:rsidRPr="00263DB9" w:rsidRDefault="005A7EA9" w:rsidP="00E51817">
      <w:pPr>
        <w:widowControl w:val="0"/>
        <w:numPr>
          <w:ilvl w:val="0"/>
          <w:numId w:val="1"/>
        </w:numPr>
        <w:tabs>
          <w:tab w:val="clear" w:pos="927"/>
        </w:tabs>
        <w:suppressAutoHyphens/>
        <w:ind w:left="567" w:hanging="567"/>
        <w:rPr>
          <w:color w:val="000000"/>
          <w:szCs w:val="22"/>
        </w:rPr>
      </w:pPr>
      <w:r w:rsidRPr="00263DB9">
        <w:rPr>
          <w:color w:val="000000"/>
          <w:szCs w:val="22"/>
        </w:rPr>
        <w:t>Se alguma vez teve ou possa ter uma infeção pelo vírus da Hepatite B. Glivec pode fazer com que a Hepatite B volte a ficar ativa, o que pode levar à morte em alguns casos. Os doentes devem ser avaliados cuidadosamente pelo médico para identificar sinais desta infeção antes de iniciarem o tratamento.</w:t>
      </w:r>
    </w:p>
    <w:p w14:paraId="375EBEE3" w14:textId="77777777" w:rsidR="005A7EA9" w:rsidRPr="00263DB9" w:rsidRDefault="009024ED" w:rsidP="00E51817">
      <w:pPr>
        <w:widowControl w:val="0"/>
        <w:numPr>
          <w:ilvl w:val="0"/>
          <w:numId w:val="1"/>
        </w:numPr>
        <w:tabs>
          <w:tab w:val="clear" w:pos="927"/>
        </w:tabs>
        <w:suppressAutoHyphens/>
        <w:ind w:left="567" w:hanging="567"/>
        <w:rPr>
          <w:color w:val="000000"/>
          <w:szCs w:val="22"/>
        </w:rPr>
      </w:pPr>
      <w:r w:rsidRPr="00263DB9">
        <w:rPr>
          <w:color w:val="000000"/>
          <w:spacing w:val="-2"/>
        </w:rPr>
        <w:t xml:space="preserve">Se tiver </w:t>
      </w:r>
      <w:r w:rsidR="00AE74D9" w:rsidRPr="00263DB9">
        <w:rPr>
          <w:color w:val="000000"/>
          <w:spacing w:val="-2"/>
        </w:rPr>
        <w:t>nódoas negras (</w:t>
      </w:r>
      <w:r w:rsidRPr="00263DB9">
        <w:rPr>
          <w:color w:val="000000"/>
          <w:spacing w:val="-2"/>
        </w:rPr>
        <w:t>hematomas</w:t>
      </w:r>
      <w:r w:rsidR="00AE74D9" w:rsidRPr="00263DB9">
        <w:rPr>
          <w:color w:val="000000"/>
          <w:spacing w:val="-2"/>
        </w:rPr>
        <w:t>)</w:t>
      </w:r>
      <w:r w:rsidRPr="00263DB9">
        <w:rPr>
          <w:color w:val="000000"/>
          <w:spacing w:val="-2"/>
        </w:rPr>
        <w:t xml:space="preserve">, </w:t>
      </w:r>
      <w:r w:rsidR="00AE74D9" w:rsidRPr="00263DB9">
        <w:rPr>
          <w:color w:val="000000"/>
          <w:spacing w:val="-2"/>
        </w:rPr>
        <w:t>sangramento (</w:t>
      </w:r>
      <w:r w:rsidRPr="00263DB9">
        <w:rPr>
          <w:color w:val="000000"/>
          <w:spacing w:val="-2"/>
        </w:rPr>
        <w:t>hemorragia</w:t>
      </w:r>
      <w:r w:rsidR="00AE74D9" w:rsidRPr="00263DB9">
        <w:rPr>
          <w:color w:val="000000"/>
          <w:spacing w:val="-2"/>
        </w:rPr>
        <w:t>)</w:t>
      </w:r>
      <w:r w:rsidRPr="00263DB9">
        <w:rPr>
          <w:color w:val="000000"/>
          <w:spacing w:val="-2"/>
        </w:rPr>
        <w:t>, febre, fadiga e confusão enquanto toma Glivec, contacte o seu médico. Isto pode ser sinal de danos aos vasos sanguíneos, conhecido como microangiopatia trombótica (MTA).</w:t>
      </w:r>
    </w:p>
    <w:p w14:paraId="375EBEE4" w14:textId="77777777" w:rsidR="00424A41" w:rsidRPr="00263DB9" w:rsidRDefault="00424A41" w:rsidP="00E51817">
      <w:pPr>
        <w:widowControl w:val="0"/>
        <w:suppressAutoHyphens/>
        <w:rPr>
          <w:color w:val="000000"/>
          <w:szCs w:val="22"/>
        </w:rPr>
      </w:pPr>
    </w:p>
    <w:p w14:paraId="375EBEE5" w14:textId="77777777" w:rsidR="00906898" w:rsidRPr="00263DB9" w:rsidRDefault="00906898" w:rsidP="00E51817">
      <w:pPr>
        <w:widowControl w:val="0"/>
        <w:suppressAutoHyphens/>
        <w:rPr>
          <w:color w:val="000000"/>
          <w:szCs w:val="22"/>
        </w:rPr>
      </w:pPr>
      <w:r w:rsidRPr="00263DB9">
        <w:rPr>
          <w:color w:val="000000"/>
          <w:szCs w:val="22"/>
        </w:rPr>
        <w:t xml:space="preserve">Caso ocorra qualquer das situações acima referidas, </w:t>
      </w:r>
      <w:r w:rsidRPr="00263DB9">
        <w:rPr>
          <w:b/>
          <w:color w:val="000000"/>
          <w:szCs w:val="22"/>
        </w:rPr>
        <w:t>fale com o seu médico antes de tomar Glivec.</w:t>
      </w:r>
    </w:p>
    <w:p w14:paraId="375EBEE6" w14:textId="77777777" w:rsidR="005145EC" w:rsidRPr="00263DB9" w:rsidRDefault="005145EC" w:rsidP="00E51817">
      <w:pPr>
        <w:pStyle w:val="EndnoteText"/>
        <w:tabs>
          <w:tab w:val="clear" w:pos="567"/>
        </w:tabs>
        <w:suppressAutoHyphens/>
        <w:rPr>
          <w:color w:val="000000"/>
          <w:szCs w:val="22"/>
        </w:rPr>
      </w:pPr>
    </w:p>
    <w:p w14:paraId="375EBEE7" w14:textId="77777777" w:rsidR="00906898" w:rsidRPr="00263DB9" w:rsidRDefault="005145EC" w:rsidP="00E51817">
      <w:pPr>
        <w:pStyle w:val="EndnoteText"/>
        <w:tabs>
          <w:tab w:val="clear" w:pos="567"/>
        </w:tabs>
        <w:suppressAutoHyphens/>
        <w:rPr>
          <w:color w:val="000000"/>
          <w:szCs w:val="22"/>
        </w:rPr>
      </w:pPr>
      <w:r w:rsidRPr="00263DB9">
        <w:rPr>
          <w:color w:val="000000"/>
          <w:szCs w:val="22"/>
        </w:rPr>
        <w:t xml:space="preserve">Enquanto estiver a tomar Glivec pode tornar-se mais sensível ao sol. É importante cobrir áreas de pele expostas ao sol e usar protetor solar com fator de proteção solar </w:t>
      </w:r>
      <w:r w:rsidR="00173E8E" w:rsidRPr="00263DB9">
        <w:rPr>
          <w:color w:val="000000"/>
          <w:szCs w:val="22"/>
        </w:rPr>
        <w:t xml:space="preserve">(FPS) </w:t>
      </w:r>
      <w:r w:rsidRPr="00263DB9">
        <w:rPr>
          <w:color w:val="000000"/>
          <w:szCs w:val="22"/>
        </w:rPr>
        <w:t>elevado. Estas precauções também são aplicáveis às crianças.</w:t>
      </w:r>
    </w:p>
    <w:p w14:paraId="375EBEE8" w14:textId="77777777" w:rsidR="005145EC" w:rsidRPr="00263DB9" w:rsidRDefault="005145EC" w:rsidP="00E51817">
      <w:pPr>
        <w:pStyle w:val="EndnoteText"/>
        <w:tabs>
          <w:tab w:val="clear" w:pos="567"/>
        </w:tabs>
        <w:suppressAutoHyphens/>
        <w:rPr>
          <w:color w:val="000000"/>
          <w:szCs w:val="22"/>
        </w:rPr>
      </w:pPr>
    </w:p>
    <w:p w14:paraId="375EBEE9" w14:textId="77777777" w:rsidR="00906898" w:rsidRPr="00263DB9" w:rsidRDefault="00906898" w:rsidP="00E51817">
      <w:pPr>
        <w:widowControl w:val="0"/>
        <w:suppressAutoHyphens/>
        <w:rPr>
          <w:color w:val="000000"/>
          <w:szCs w:val="22"/>
        </w:rPr>
      </w:pPr>
      <w:r w:rsidRPr="00263DB9">
        <w:rPr>
          <w:b/>
          <w:bCs/>
          <w:color w:val="000000"/>
          <w:szCs w:val="22"/>
        </w:rPr>
        <w:t>Durante o tratamento com Glivec, fale com o seu médico imediatamente</w:t>
      </w:r>
      <w:r w:rsidRPr="00263DB9">
        <w:rPr>
          <w:color w:val="000000"/>
          <w:szCs w:val="22"/>
        </w:rPr>
        <w:t xml:space="preserve"> caso tenha aumento de peso rápido. Glivec poderá provocar retenção de água (retenção de líquidos grave).</w:t>
      </w:r>
    </w:p>
    <w:p w14:paraId="375EBEEA" w14:textId="77777777" w:rsidR="00906898" w:rsidRPr="00263DB9" w:rsidRDefault="00906898" w:rsidP="00E51817">
      <w:pPr>
        <w:widowControl w:val="0"/>
        <w:suppressAutoHyphens/>
        <w:rPr>
          <w:color w:val="000000"/>
          <w:szCs w:val="22"/>
        </w:rPr>
      </w:pPr>
    </w:p>
    <w:p w14:paraId="375EBEEB" w14:textId="77777777" w:rsidR="00906898" w:rsidRPr="00263DB9" w:rsidRDefault="00906898" w:rsidP="00E51817">
      <w:pPr>
        <w:widowControl w:val="0"/>
        <w:suppressAutoHyphens/>
        <w:rPr>
          <w:color w:val="000000"/>
          <w:szCs w:val="22"/>
        </w:rPr>
      </w:pPr>
      <w:r w:rsidRPr="00263DB9">
        <w:rPr>
          <w:color w:val="000000"/>
          <w:szCs w:val="22"/>
        </w:rPr>
        <w:t>Enquanto tomar Glivec, o seu médico irá verificar regularmente se o medicamento está a ter o efeito desejado. Também fará análises sanguíneas e será pesado regularmente.</w:t>
      </w:r>
    </w:p>
    <w:p w14:paraId="375EBEEC" w14:textId="77777777" w:rsidR="00906898" w:rsidRPr="00263DB9" w:rsidRDefault="00906898" w:rsidP="00E51817">
      <w:pPr>
        <w:widowControl w:val="0"/>
        <w:suppressAutoHyphens/>
        <w:rPr>
          <w:color w:val="000000"/>
          <w:szCs w:val="22"/>
        </w:rPr>
      </w:pPr>
    </w:p>
    <w:p w14:paraId="375EBEED" w14:textId="77777777" w:rsidR="00906898" w:rsidRPr="00263DB9" w:rsidRDefault="00906898" w:rsidP="00273B82">
      <w:pPr>
        <w:keepNext/>
        <w:widowControl w:val="0"/>
        <w:suppressAutoHyphens/>
        <w:rPr>
          <w:color w:val="000000"/>
          <w:szCs w:val="22"/>
        </w:rPr>
      </w:pPr>
      <w:r w:rsidRPr="00263DB9">
        <w:rPr>
          <w:b/>
          <w:szCs w:val="24"/>
        </w:rPr>
        <w:t>Crianças e adolescentes</w:t>
      </w:r>
    </w:p>
    <w:p w14:paraId="375EBEEE" w14:textId="77777777" w:rsidR="00906898" w:rsidRPr="00263DB9" w:rsidRDefault="00906898" w:rsidP="00E51817">
      <w:pPr>
        <w:widowControl w:val="0"/>
        <w:suppressAutoHyphens/>
        <w:rPr>
          <w:color w:val="000000"/>
          <w:szCs w:val="22"/>
        </w:rPr>
      </w:pPr>
      <w:r w:rsidRPr="00263DB9">
        <w:rPr>
          <w:color w:val="000000"/>
          <w:szCs w:val="22"/>
        </w:rPr>
        <w:t>Glivec é também um tratamento para crianças com LMC. Não existe experiência em crianças com menos de 2 anos de idade com LMC. Existe experiência limitada em crianças com LLA Ph-positiva</w:t>
      </w:r>
      <w:r w:rsidR="00CE1C2F" w:rsidRPr="00263DB9">
        <w:rPr>
          <w:color w:val="000000"/>
          <w:szCs w:val="22"/>
        </w:rPr>
        <w:t xml:space="preserve"> e muito limitada em crianças com MDS/MPD, DFSP,</w:t>
      </w:r>
      <w:r w:rsidR="00AA4FA6" w:rsidRPr="00263DB9">
        <w:rPr>
          <w:color w:val="000000"/>
          <w:szCs w:val="22"/>
        </w:rPr>
        <w:t xml:space="preserve"> </w:t>
      </w:r>
      <w:r w:rsidR="00CE1C2F" w:rsidRPr="00263DB9">
        <w:rPr>
          <w:color w:val="000000"/>
          <w:szCs w:val="22"/>
        </w:rPr>
        <w:t>GIST e síndrome hipereosinofílica avançada/leucemia eosinofílica crónica</w:t>
      </w:r>
      <w:r w:rsidRPr="00263DB9">
        <w:rPr>
          <w:color w:val="000000"/>
          <w:szCs w:val="22"/>
        </w:rPr>
        <w:t>.</w:t>
      </w:r>
    </w:p>
    <w:p w14:paraId="375EBEEF" w14:textId="77777777" w:rsidR="00906898" w:rsidRPr="00263DB9" w:rsidRDefault="00906898" w:rsidP="00E51817">
      <w:pPr>
        <w:widowControl w:val="0"/>
        <w:suppressAutoHyphens/>
        <w:rPr>
          <w:color w:val="000000"/>
          <w:szCs w:val="22"/>
        </w:rPr>
      </w:pPr>
    </w:p>
    <w:p w14:paraId="375EBEF0" w14:textId="77777777" w:rsidR="00906898" w:rsidRPr="00263DB9" w:rsidRDefault="00906898" w:rsidP="00E51817">
      <w:pPr>
        <w:widowControl w:val="0"/>
        <w:suppressAutoHyphens/>
        <w:rPr>
          <w:color w:val="000000"/>
          <w:szCs w:val="22"/>
        </w:rPr>
      </w:pPr>
      <w:r w:rsidRPr="00263DB9">
        <w:rPr>
          <w:color w:val="000000"/>
          <w:szCs w:val="22"/>
        </w:rPr>
        <w:t>Algumas crianças e adolescentes a tomar Glivec podem ter um crescimento mais lento que o normal. O médico irá controlar o crescimento nas consultas regulares.</w:t>
      </w:r>
    </w:p>
    <w:p w14:paraId="375EBEF1" w14:textId="77777777" w:rsidR="00906898" w:rsidRPr="00263DB9" w:rsidRDefault="00906898" w:rsidP="00E51817">
      <w:pPr>
        <w:widowControl w:val="0"/>
        <w:suppressAutoHyphens/>
        <w:rPr>
          <w:color w:val="000000"/>
          <w:szCs w:val="22"/>
        </w:rPr>
      </w:pPr>
    </w:p>
    <w:p w14:paraId="375EBEF2" w14:textId="77777777" w:rsidR="00906898" w:rsidRPr="00263DB9" w:rsidRDefault="00906898" w:rsidP="00273B82">
      <w:pPr>
        <w:keepNext/>
        <w:widowControl w:val="0"/>
        <w:suppressAutoHyphens/>
        <w:rPr>
          <w:b/>
          <w:color w:val="000000"/>
          <w:szCs w:val="22"/>
        </w:rPr>
      </w:pPr>
      <w:r w:rsidRPr="00263DB9">
        <w:rPr>
          <w:b/>
          <w:color w:val="000000"/>
          <w:szCs w:val="22"/>
        </w:rPr>
        <w:lastRenderedPageBreak/>
        <w:t>Outros medicamentos e Glivec</w:t>
      </w:r>
    </w:p>
    <w:p w14:paraId="375EBEF3" w14:textId="77777777" w:rsidR="00906898" w:rsidRPr="00263DB9" w:rsidRDefault="00906898" w:rsidP="00E51817">
      <w:pPr>
        <w:widowControl w:val="0"/>
        <w:suppressAutoHyphens/>
        <w:rPr>
          <w:color w:val="000000"/>
          <w:szCs w:val="22"/>
        </w:rPr>
      </w:pPr>
      <w:r w:rsidRPr="00263DB9">
        <w:rPr>
          <w:color w:val="000000"/>
          <w:szCs w:val="22"/>
        </w:rPr>
        <w:t>Informe o seu médico ou farmacêutico se estiver a tomar, tiver tomado recentemente</w:t>
      </w:r>
      <w:r w:rsidR="00F14C0A" w:rsidRPr="00263DB9">
        <w:rPr>
          <w:color w:val="000000"/>
          <w:szCs w:val="22"/>
        </w:rPr>
        <w:t>,</w:t>
      </w:r>
      <w:r w:rsidRPr="00263DB9">
        <w:rPr>
          <w:color w:val="000000"/>
          <w:szCs w:val="22"/>
        </w:rPr>
        <w:t xml:space="preserve"> </w:t>
      </w:r>
      <w:r w:rsidRPr="00263DB9">
        <w:rPr>
          <w:szCs w:val="24"/>
        </w:rPr>
        <w:t>ou se vier a tomar</w:t>
      </w:r>
      <w:r w:rsidRPr="00263DB9">
        <w:rPr>
          <w:color w:val="000000"/>
          <w:szCs w:val="22"/>
        </w:rPr>
        <w:t xml:space="preserve"> outros medicamentos, incluindo medicamentos obtidos sem receita médica (como paracetamol) e incluindo medicamentos à base de plantas (como o hipericão). Alguns medicamentos podem interferir com o efeito de Glivec quando tomados simultaneamente. Esses medicamentos podem aumentar ou diminuir o efeito de Glivec, quer aumentando os efeitos secundários, quer tornando Glivec menos eficaz. Glivec pode fazer o mesmo a outros medicamentos.</w:t>
      </w:r>
    </w:p>
    <w:p w14:paraId="375EBEF4" w14:textId="77777777" w:rsidR="00906898" w:rsidRPr="00263DB9" w:rsidRDefault="00906898" w:rsidP="00E51817">
      <w:pPr>
        <w:widowControl w:val="0"/>
        <w:suppressAutoHyphens/>
        <w:rPr>
          <w:color w:val="000000"/>
          <w:szCs w:val="22"/>
        </w:rPr>
      </w:pPr>
    </w:p>
    <w:p w14:paraId="375EBEF5" w14:textId="77777777" w:rsidR="0090195B" w:rsidRPr="00263DB9" w:rsidRDefault="0090195B" w:rsidP="00E51817">
      <w:pPr>
        <w:widowControl w:val="0"/>
        <w:suppressAutoHyphens/>
        <w:rPr>
          <w:color w:val="000000"/>
          <w:szCs w:val="22"/>
        </w:rPr>
      </w:pPr>
      <w:r w:rsidRPr="00263DB9">
        <w:rPr>
          <w:color w:val="000000"/>
          <w:szCs w:val="22"/>
        </w:rPr>
        <w:t>Informe o seu médico se está a tomar medicamentos que previnem a formação de coágulos sanguíneos.</w:t>
      </w:r>
    </w:p>
    <w:p w14:paraId="375EBEF6" w14:textId="77777777" w:rsidR="0090195B" w:rsidRPr="00263DB9" w:rsidRDefault="0090195B" w:rsidP="00E51817">
      <w:pPr>
        <w:widowControl w:val="0"/>
        <w:suppressAutoHyphens/>
        <w:rPr>
          <w:color w:val="000000"/>
          <w:szCs w:val="22"/>
        </w:rPr>
      </w:pPr>
    </w:p>
    <w:p w14:paraId="375EBEF7" w14:textId="77777777" w:rsidR="00906898" w:rsidRPr="00263DB9" w:rsidRDefault="00906898" w:rsidP="00273B82">
      <w:pPr>
        <w:keepNext/>
        <w:widowControl w:val="0"/>
        <w:suppressAutoHyphens/>
        <w:rPr>
          <w:color w:val="000000"/>
          <w:szCs w:val="22"/>
        </w:rPr>
      </w:pPr>
      <w:r w:rsidRPr="00263DB9">
        <w:rPr>
          <w:b/>
          <w:color w:val="000000"/>
          <w:szCs w:val="22"/>
        </w:rPr>
        <w:t>Gravidez</w:t>
      </w:r>
      <w:r w:rsidRPr="00263DB9">
        <w:rPr>
          <w:b/>
          <w:szCs w:val="24"/>
        </w:rPr>
        <w:t>, amamentação e fertilidade</w:t>
      </w:r>
    </w:p>
    <w:p w14:paraId="375EBEF8" w14:textId="77777777" w:rsidR="00906898" w:rsidRPr="00263DB9" w:rsidRDefault="00906898" w:rsidP="00E51817">
      <w:pPr>
        <w:widowControl w:val="0"/>
        <w:numPr>
          <w:ilvl w:val="0"/>
          <w:numId w:val="18"/>
        </w:numPr>
        <w:tabs>
          <w:tab w:val="clear" w:pos="927"/>
        </w:tabs>
        <w:suppressAutoHyphens/>
        <w:ind w:left="567" w:hanging="567"/>
        <w:rPr>
          <w:color w:val="000000"/>
          <w:szCs w:val="22"/>
        </w:rPr>
      </w:pPr>
      <w:r w:rsidRPr="00263DB9">
        <w:rPr>
          <w:szCs w:val="24"/>
        </w:rPr>
        <w:t>Se está grávida ou a amamentar, se pensa estar grávida ou planeia engravidar, consulte o seu médico antes de tomar este medicamento</w:t>
      </w:r>
      <w:r w:rsidRPr="00263DB9">
        <w:rPr>
          <w:color w:val="000000"/>
          <w:szCs w:val="22"/>
        </w:rPr>
        <w:t>.</w:t>
      </w:r>
    </w:p>
    <w:p w14:paraId="375EBEF9" w14:textId="77777777" w:rsidR="00906898" w:rsidRPr="00263DB9" w:rsidRDefault="00906898" w:rsidP="00E51817">
      <w:pPr>
        <w:widowControl w:val="0"/>
        <w:suppressAutoHyphens/>
        <w:ind w:left="567" w:hanging="567"/>
        <w:rPr>
          <w:color w:val="000000"/>
          <w:szCs w:val="22"/>
        </w:rPr>
      </w:pPr>
      <w:r w:rsidRPr="00263DB9">
        <w:rPr>
          <w:color w:val="000000"/>
          <w:szCs w:val="22"/>
        </w:rPr>
        <w:t>-</w:t>
      </w:r>
      <w:r w:rsidRPr="00263DB9">
        <w:rPr>
          <w:color w:val="000000"/>
          <w:szCs w:val="22"/>
        </w:rPr>
        <w:tab/>
        <w:t>Glivec não é recomendado durante a gravidez a não ser que seja claramente necessário, pode prejudicar o seu bebé. O seu médico analisará consigo os possíveis riscos de tomar Glivec durante a gravidez.</w:t>
      </w:r>
    </w:p>
    <w:p w14:paraId="375EBEFA" w14:textId="77777777" w:rsidR="00906898" w:rsidRPr="00263DB9" w:rsidRDefault="00906898" w:rsidP="00E51817">
      <w:pPr>
        <w:widowControl w:val="0"/>
        <w:suppressAutoHyphens/>
        <w:ind w:left="567" w:hanging="567"/>
        <w:rPr>
          <w:color w:val="000000"/>
          <w:szCs w:val="22"/>
        </w:rPr>
      </w:pPr>
      <w:r w:rsidRPr="00263DB9">
        <w:rPr>
          <w:color w:val="000000"/>
          <w:szCs w:val="22"/>
        </w:rPr>
        <w:t>-</w:t>
      </w:r>
      <w:r w:rsidRPr="00263DB9">
        <w:rPr>
          <w:color w:val="000000"/>
          <w:szCs w:val="22"/>
        </w:rPr>
        <w:tab/>
        <w:t>As mulheres que poderão engravidar deverão utilizar um método contracetivo eficaz durante o tratamento</w:t>
      </w:r>
      <w:r w:rsidR="00503571" w:rsidRPr="00263DB9">
        <w:rPr>
          <w:color w:val="000000"/>
          <w:szCs w:val="22"/>
        </w:rPr>
        <w:t xml:space="preserve"> e durante 15 dias após parar o tratamento</w:t>
      </w:r>
      <w:r w:rsidRPr="00263DB9">
        <w:rPr>
          <w:color w:val="000000"/>
          <w:szCs w:val="22"/>
        </w:rPr>
        <w:t>.</w:t>
      </w:r>
    </w:p>
    <w:p w14:paraId="375EBEFB" w14:textId="77777777" w:rsidR="00906898" w:rsidRPr="00263DB9" w:rsidRDefault="00906898" w:rsidP="00E51817">
      <w:pPr>
        <w:widowControl w:val="0"/>
        <w:numPr>
          <w:ilvl w:val="0"/>
          <w:numId w:val="18"/>
        </w:numPr>
        <w:tabs>
          <w:tab w:val="clear" w:pos="927"/>
        </w:tabs>
        <w:suppressAutoHyphens/>
        <w:ind w:left="567" w:hanging="567"/>
        <w:rPr>
          <w:color w:val="000000"/>
          <w:szCs w:val="22"/>
        </w:rPr>
      </w:pPr>
      <w:r w:rsidRPr="00263DB9">
        <w:rPr>
          <w:bCs/>
          <w:color w:val="000000"/>
          <w:szCs w:val="22"/>
        </w:rPr>
        <w:t>Não amamente</w:t>
      </w:r>
      <w:r w:rsidRPr="00263DB9">
        <w:rPr>
          <w:color w:val="000000"/>
          <w:szCs w:val="22"/>
        </w:rPr>
        <w:t xml:space="preserve"> durante o tratamento com Glivec</w:t>
      </w:r>
      <w:r w:rsidR="00503571" w:rsidRPr="00263DB9">
        <w:rPr>
          <w:color w:val="000000"/>
          <w:szCs w:val="22"/>
        </w:rPr>
        <w:t xml:space="preserve"> e durante 15 dias após parar o tratamento, dado que pode prejudicar o seu bebé</w:t>
      </w:r>
      <w:r w:rsidRPr="00263DB9">
        <w:rPr>
          <w:color w:val="000000"/>
          <w:szCs w:val="22"/>
        </w:rPr>
        <w:t>.</w:t>
      </w:r>
    </w:p>
    <w:p w14:paraId="375EBEFC" w14:textId="77777777" w:rsidR="00906898" w:rsidRPr="00263DB9" w:rsidRDefault="00906898" w:rsidP="00E51817">
      <w:pPr>
        <w:widowControl w:val="0"/>
        <w:numPr>
          <w:ilvl w:val="0"/>
          <w:numId w:val="18"/>
        </w:numPr>
        <w:tabs>
          <w:tab w:val="clear" w:pos="927"/>
        </w:tabs>
        <w:suppressAutoHyphens/>
        <w:ind w:left="567" w:hanging="567"/>
        <w:rPr>
          <w:color w:val="000000"/>
          <w:szCs w:val="22"/>
        </w:rPr>
      </w:pPr>
      <w:r w:rsidRPr="00263DB9">
        <w:t>Durante o tratamento com Glivec, os doentes preocupados com a sua fertilidade devem consultar o seu médico.</w:t>
      </w:r>
    </w:p>
    <w:p w14:paraId="375EBEFD" w14:textId="77777777" w:rsidR="00906898" w:rsidRPr="00263DB9" w:rsidRDefault="00906898" w:rsidP="00E51817">
      <w:pPr>
        <w:pStyle w:val="EndnoteText"/>
        <w:tabs>
          <w:tab w:val="clear" w:pos="567"/>
        </w:tabs>
        <w:suppressAutoHyphens/>
        <w:rPr>
          <w:color w:val="000000"/>
          <w:szCs w:val="22"/>
        </w:rPr>
      </w:pPr>
    </w:p>
    <w:p w14:paraId="375EBEFE" w14:textId="77777777" w:rsidR="00906898" w:rsidRPr="00263DB9" w:rsidRDefault="00906898" w:rsidP="00273B82">
      <w:pPr>
        <w:keepNext/>
        <w:widowControl w:val="0"/>
        <w:suppressAutoHyphens/>
        <w:rPr>
          <w:color w:val="000000"/>
          <w:szCs w:val="22"/>
        </w:rPr>
      </w:pPr>
      <w:r w:rsidRPr="00263DB9">
        <w:rPr>
          <w:b/>
          <w:color w:val="000000"/>
          <w:szCs w:val="22"/>
        </w:rPr>
        <w:t>Condução de veículos e utilização de máquinas</w:t>
      </w:r>
    </w:p>
    <w:p w14:paraId="375EBEFF" w14:textId="77777777" w:rsidR="00906898" w:rsidRPr="00263DB9" w:rsidRDefault="00906898" w:rsidP="00E51817">
      <w:pPr>
        <w:widowControl w:val="0"/>
        <w:suppressAutoHyphens/>
        <w:rPr>
          <w:color w:val="000000"/>
          <w:szCs w:val="22"/>
        </w:rPr>
      </w:pPr>
      <w:r w:rsidRPr="00263DB9">
        <w:rPr>
          <w:color w:val="000000"/>
          <w:szCs w:val="22"/>
        </w:rPr>
        <w:t>Poderá sentir tonturas ou sonolência ou ficar com a visão turva enquanto toma este medicamento. Se isto acontecer, não conduza ou utilize quaisquer ferramentas ou máquinas até se sentir bem.</w:t>
      </w:r>
    </w:p>
    <w:p w14:paraId="375EBF00" w14:textId="77777777" w:rsidR="00906898" w:rsidRPr="00263DB9" w:rsidRDefault="00906898" w:rsidP="00E51817">
      <w:pPr>
        <w:widowControl w:val="0"/>
        <w:suppressAutoHyphens/>
        <w:rPr>
          <w:color w:val="000000"/>
          <w:szCs w:val="22"/>
        </w:rPr>
      </w:pPr>
    </w:p>
    <w:p w14:paraId="375EBF01" w14:textId="77777777" w:rsidR="00906898" w:rsidRPr="00263DB9" w:rsidRDefault="00906898" w:rsidP="00E51817">
      <w:pPr>
        <w:widowControl w:val="0"/>
        <w:suppressAutoHyphens/>
        <w:rPr>
          <w:color w:val="000000"/>
          <w:szCs w:val="22"/>
        </w:rPr>
      </w:pPr>
    </w:p>
    <w:p w14:paraId="375EBF02" w14:textId="77777777" w:rsidR="00906898" w:rsidRPr="00263DB9" w:rsidRDefault="00906898" w:rsidP="00273B82">
      <w:pPr>
        <w:keepNext/>
        <w:widowControl w:val="0"/>
        <w:suppressAutoHyphens/>
        <w:ind w:left="567" w:hanging="567"/>
        <w:rPr>
          <w:color w:val="000000"/>
          <w:szCs w:val="22"/>
        </w:rPr>
      </w:pPr>
      <w:r w:rsidRPr="00263DB9">
        <w:rPr>
          <w:b/>
          <w:color w:val="000000"/>
          <w:szCs w:val="22"/>
        </w:rPr>
        <w:t>3.</w:t>
      </w:r>
      <w:r w:rsidRPr="00263DB9">
        <w:rPr>
          <w:b/>
          <w:color w:val="000000"/>
          <w:szCs w:val="22"/>
        </w:rPr>
        <w:tab/>
        <w:t>Como tomar Glivec</w:t>
      </w:r>
    </w:p>
    <w:p w14:paraId="375EBF03" w14:textId="77777777" w:rsidR="00906898" w:rsidRPr="00263DB9" w:rsidRDefault="00906898" w:rsidP="00273B82">
      <w:pPr>
        <w:keepNext/>
        <w:widowControl w:val="0"/>
        <w:suppressAutoHyphens/>
        <w:rPr>
          <w:color w:val="000000"/>
          <w:szCs w:val="22"/>
        </w:rPr>
      </w:pPr>
    </w:p>
    <w:p w14:paraId="375EBF04" w14:textId="77777777" w:rsidR="00906898" w:rsidRPr="00263DB9" w:rsidRDefault="00906898" w:rsidP="00E51817">
      <w:pPr>
        <w:widowControl w:val="0"/>
        <w:suppressAutoHyphens/>
        <w:rPr>
          <w:color w:val="000000"/>
          <w:szCs w:val="22"/>
        </w:rPr>
      </w:pPr>
      <w:r w:rsidRPr="00263DB9">
        <w:rPr>
          <w:color w:val="000000"/>
          <w:szCs w:val="22"/>
        </w:rPr>
        <w:t>O seu médico prescreveu-lhe Glivec porque sofre de uma doença grave. Glivec pode ajudá-lo a combater esta doença.</w:t>
      </w:r>
    </w:p>
    <w:p w14:paraId="375EBF05" w14:textId="77777777" w:rsidR="00906898" w:rsidRPr="00263DB9" w:rsidRDefault="00906898" w:rsidP="00E51817">
      <w:pPr>
        <w:widowControl w:val="0"/>
        <w:suppressAutoHyphens/>
        <w:rPr>
          <w:color w:val="000000"/>
          <w:szCs w:val="22"/>
        </w:rPr>
      </w:pPr>
    </w:p>
    <w:p w14:paraId="375EBF06" w14:textId="77777777" w:rsidR="00906898" w:rsidRPr="00263DB9" w:rsidRDefault="00906898" w:rsidP="00E51817">
      <w:pPr>
        <w:widowControl w:val="0"/>
        <w:suppressAutoHyphens/>
        <w:rPr>
          <w:color w:val="000000"/>
          <w:szCs w:val="22"/>
        </w:rPr>
      </w:pPr>
      <w:r w:rsidRPr="00263DB9">
        <w:rPr>
          <w:color w:val="000000"/>
          <w:szCs w:val="22"/>
        </w:rPr>
        <w:t xml:space="preserve">No entanto, tome este medicamento </w:t>
      </w:r>
      <w:r w:rsidRPr="00263DB9">
        <w:rPr>
          <w:szCs w:val="24"/>
        </w:rPr>
        <w:t xml:space="preserve">exatamente como indicado pelo seu </w:t>
      </w:r>
      <w:r w:rsidRPr="00263DB9">
        <w:rPr>
          <w:color w:val="000000"/>
          <w:szCs w:val="22"/>
        </w:rPr>
        <w:t>médico ou farmacêutico. É importante que o faça enquanto o seu médico ou farmacêutico o disser. Fale com o seu médico ou farmacêutico se tiver dúvidas.</w:t>
      </w:r>
    </w:p>
    <w:p w14:paraId="375EBF07" w14:textId="77777777" w:rsidR="00906898" w:rsidRPr="00263DB9" w:rsidRDefault="00906898" w:rsidP="00E51817">
      <w:pPr>
        <w:widowControl w:val="0"/>
        <w:suppressAutoHyphens/>
        <w:rPr>
          <w:color w:val="000000"/>
          <w:szCs w:val="22"/>
        </w:rPr>
      </w:pPr>
    </w:p>
    <w:p w14:paraId="375EBF08" w14:textId="77777777" w:rsidR="00906898" w:rsidRPr="00263DB9" w:rsidRDefault="00906898" w:rsidP="00E51817">
      <w:pPr>
        <w:widowControl w:val="0"/>
        <w:suppressAutoHyphens/>
        <w:rPr>
          <w:color w:val="000000"/>
          <w:szCs w:val="22"/>
        </w:rPr>
      </w:pPr>
      <w:r w:rsidRPr="00263DB9">
        <w:rPr>
          <w:color w:val="000000"/>
          <w:szCs w:val="22"/>
        </w:rPr>
        <w:t>Não pare de tomar Glivec até que o seu médico o diga. Se não conseguir tomar o medicamento como o seu médico prescreveu ou sente que já não precisa, fale imediatamente com o seu médico.</w:t>
      </w:r>
    </w:p>
    <w:p w14:paraId="375EBF09" w14:textId="77777777" w:rsidR="00906898" w:rsidRPr="00263DB9" w:rsidRDefault="00906898" w:rsidP="00E51817">
      <w:pPr>
        <w:pStyle w:val="BodyText2"/>
        <w:widowControl w:val="0"/>
        <w:suppressAutoHyphens w:val="0"/>
        <w:rPr>
          <w:color w:val="000000"/>
          <w:szCs w:val="22"/>
        </w:rPr>
      </w:pPr>
    </w:p>
    <w:p w14:paraId="375EBF0A" w14:textId="77777777" w:rsidR="00906898" w:rsidRPr="00263DB9" w:rsidRDefault="00906898" w:rsidP="00273B82">
      <w:pPr>
        <w:pStyle w:val="BodyText2"/>
        <w:keepNext/>
        <w:widowControl w:val="0"/>
        <w:suppressAutoHyphens w:val="0"/>
        <w:rPr>
          <w:b/>
          <w:color w:val="000000"/>
          <w:szCs w:val="22"/>
        </w:rPr>
      </w:pPr>
      <w:r w:rsidRPr="00263DB9">
        <w:rPr>
          <w:b/>
          <w:color w:val="000000"/>
          <w:szCs w:val="22"/>
        </w:rPr>
        <w:t>Que quantidade de Glivec tomar</w:t>
      </w:r>
    </w:p>
    <w:p w14:paraId="375EBF0B" w14:textId="77777777" w:rsidR="00906898" w:rsidRPr="00263DB9" w:rsidRDefault="00906898" w:rsidP="00273B82">
      <w:pPr>
        <w:pStyle w:val="BodyText2"/>
        <w:keepNext/>
        <w:widowControl w:val="0"/>
        <w:suppressAutoHyphens w:val="0"/>
        <w:rPr>
          <w:color w:val="000000"/>
          <w:szCs w:val="22"/>
        </w:rPr>
      </w:pPr>
    </w:p>
    <w:p w14:paraId="375EBF0C" w14:textId="77777777" w:rsidR="00906898" w:rsidRPr="00263DB9" w:rsidRDefault="00906898" w:rsidP="00273B82">
      <w:pPr>
        <w:pStyle w:val="BodyText2"/>
        <w:keepNext/>
        <w:widowControl w:val="0"/>
        <w:suppressAutoHyphens w:val="0"/>
        <w:rPr>
          <w:b/>
          <w:bCs/>
          <w:color w:val="000000"/>
          <w:szCs w:val="22"/>
        </w:rPr>
      </w:pPr>
      <w:r w:rsidRPr="00263DB9">
        <w:rPr>
          <w:b/>
          <w:bCs/>
          <w:color w:val="000000"/>
          <w:szCs w:val="22"/>
        </w:rPr>
        <w:t>Utilização em adultos</w:t>
      </w:r>
    </w:p>
    <w:p w14:paraId="375EBF0D" w14:textId="77777777" w:rsidR="00906898" w:rsidRPr="00263DB9" w:rsidRDefault="00906898" w:rsidP="00273B82">
      <w:pPr>
        <w:pStyle w:val="BodyText2"/>
        <w:keepNext/>
        <w:widowControl w:val="0"/>
        <w:suppressAutoHyphens w:val="0"/>
        <w:rPr>
          <w:color w:val="000000"/>
          <w:szCs w:val="22"/>
        </w:rPr>
      </w:pPr>
      <w:r w:rsidRPr="00263DB9">
        <w:rPr>
          <w:color w:val="000000"/>
          <w:szCs w:val="22"/>
        </w:rPr>
        <w:t>O seu médico dir-lhe-á exatamente quantas cápsulas de Glivec deve tomar.</w:t>
      </w:r>
    </w:p>
    <w:p w14:paraId="375EBF0E" w14:textId="77777777" w:rsidR="00906898" w:rsidRPr="00263DB9" w:rsidRDefault="00906898" w:rsidP="00273B82">
      <w:pPr>
        <w:pStyle w:val="BodyText2"/>
        <w:keepNext/>
        <w:widowControl w:val="0"/>
        <w:suppressAutoHyphens w:val="0"/>
        <w:rPr>
          <w:color w:val="000000"/>
          <w:szCs w:val="22"/>
        </w:rPr>
      </w:pPr>
    </w:p>
    <w:p w14:paraId="375EBF0F" w14:textId="77777777" w:rsidR="00906898" w:rsidRPr="00263DB9" w:rsidRDefault="00906898" w:rsidP="00273B82">
      <w:pPr>
        <w:pStyle w:val="BodyText2"/>
        <w:keepNext/>
        <w:widowControl w:val="0"/>
        <w:numPr>
          <w:ilvl w:val="0"/>
          <w:numId w:val="19"/>
        </w:numPr>
        <w:tabs>
          <w:tab w:val="clear" w:pos="927"/>
        </w:tabs>
        <w:suppressAutoHyphens w:val="0"/>
        <w:ind w:left="567" w:hanging="567"/>
        <w:rPr>
          <w:color w:val="000000"/>
          <w:szCs w:val="22"/>
        </w:rPr>
      </w:pPr>
      <w:r w:rsidRPr="00263DB9">
        <w:rPr>
          <w:b/>
          <w:bCs/>
          <w:color w:val="000000"/>
          <w:szCs w:val="22"/>
        </w:rPr>
        <w:t>Caso faça tratamento para a LMC:</w:t>
      </w:r>
    </w:p>
    <w:p w14:paraId="375EBF10" w14:textId="77777777" w:rsidR="00906898" w:rsidRPr="00263DB9" w:rsidRDefault="00906898" w:rsidP="00273B82">
      <w:pPr>
        <w:pStyle w:val="BodyText2"/>
        <w:keepNext/>
        <w:widowControl w:val="0"/>
        <w:suppressAutoHyphens w:val="0"/>
        <w:ind w:left="567"/>
        <w:rPr>
          <w:color w:val="000000"/>
          <w:szCs w:val="22"/>
        </w:rPr>
      </w:pPr>
      <w:r w:rsidRPr="00263DB9">
        <w:rPr>
          <w:color w:val="000000"/>
          <w:szCs w:val="22"/>
        </w:rPr>
        <w:t>Dependendo do seu estado a dose inicial habitual é 400 mg ou 600 mg:</w:t>
      </w:r>
    </w:p>
    <w:p w14:paraId="375EBF11" w14:textId="77777777" w:rsidR="00906898" w:rsidRPr="00263DB9" w:rsidRDefault="00906898" w:rsidP="00273B82">
      <w:pPr>
        <w:pStyle w:val="BodyText2"/>
        <w:keepNext/>
        <w:widowControl w:val="0"/>
        <w:suppressAutoHyphens w:val="0"/>
        <w:ind w:left="567"/>
        <w:rPr>
          <w:color w:val="000000"/>
          <w:szCs w:val="22"/>
        </w:rPr>
      </w:pPr>
      <w:r w:rsidRPr="00263DB9">
        <w:rPr>
          <w:color w:val="000000"/>
          <w:szCs w:val="22"/>
        </w:rPr>
        <w:t>-</w:t>
      </w:r>
      <w:r w:rsidRPr="00263DB9">
        <w:rPr>
          <w:color w:val="000000"/>
          <w:szCs w:val="22"/>
        </w:rPr>
        <w:tab/>
      </w:r>
      <w:r w:rsidRPr="00263DB9">
        <w:rPr>
          <w:b/>
          <w:bCs/>
          <w:color w:val="000000"/>
          <w:szCs w:val="22"/>
        </w:rPr>
        <w:t>400 mg</w:t>
      </w:r>
      <w:r w:rsidRPr="00263DB9">
        <w:rPr>
          <w:color w:val="000000"/>
          <w:szCs w:val="22"/>
        </w:rPr>
        <w:t xml:space="preserve"> a serem tomados em 4 cápsulas </w:t>
      </w:r>
      <w:r w:rsidRPr="00263DB9">
        <w:rPr>
          <w:b/>
          <w:bCs/>
          <w:color w:val="000000"/>
          <w:szCs w:val="22"/>
        </w:rPr>
        <w:t>uma vez</w:t>
      </w:r>
      <w:r w:rsidRPr="00263DB9">
        <w:rPr>
          <w:color w:val="000000"/>
          <w:szCs w:val="22"/>
        </w:rPr>
        <w:t xml:space="preserve"> por dia.</w:t>
      </w:r>
    </w:p>
    <w:p w14:paraId="375EBF12" w14:textId="77777777" w:rsidR="00906898" w:rsidRPr="00263DB9" w:rsidRDefault="00906898" w:rsidP="00E51817">
      <w:pPr>
        <w:pStyle w:val="BodyText2"/>
        <w:widowControl w:val="0"/>
        <w:suppressAutoHyphens w:val="0"/>
        <w:ind w:left="567"/>
        <w:rPr>
          <w:color w:val="000000"/>
          <w:szCs w:val="22"/>
        </w:rPr>
      </w:pPr>
      <w:r w:rsidRPr="00263DB9">
        <w:rPr>
          <w:color w:val="000000"/>
          <w:szCs w:val="22"/>
        </w:rPr>
        <w:t>-</w:t>
      </w:r>
      <w:r w:rsidRPr="00263DB9">
        <w:rPr>
          <w:color w:val="000000"/>
          <w:szCs w:val="22"/>
        </w:rPr>
        <w:tab/>
      </w:r>
      <w:r w:rsidRPr="00263DB9">
        <w:rPr>
          <w:b/>
          <w:bCs/>
          <w:color w:val="000000"/>
          <w:szCs w:val="22"/>
        </w:rPr>
        <w:t>600 mg</w:t>
      </w:r>
      <w:r w:rsidRPr="00263DB9">
        <w:rPr>
          <w:color w:val="000000"/>
          <w:szCs w:val="22"/>
        </w:rPr>
        <w:t xml:space="preserve"> a serem tomados em 6 cápsulas </w:t>
      </w:r>
      <w:r w:rsidRPr="00263DB9">
        <w:rPr>
          <w:b/>
          <w:bCs/>
          <w:color w:val="000000"/>
          <w:szCs w:val="22"/>
        </w:rPr>
        <w:t>uma vez</w:t>
      </w:r>
      <w:r w:rsidRPr="00263DB9">
        <w:rPr>
          <w:color w:val="000000"/>
          <w:szCs w:val="22"/>
        </w:rPr>
        <w:t xml:space="preserve"> por dia.</w:t>
      </w:r>
    </w:p>
    <w:p w14:paraId="375EBF13" w14:textId="77777777" w:rsidR="00906898" w:rsidRPr="00263DB9" w:rsidRDefault="00906898" w:rsidP="00E51817">
      <w:pPr>
        <w:pStyle w:val="BodyText2"/>
        <w:widowControl w:val="0"/>
        <w:suppressAutoHyphens w:val="0"/>
        <w:rPr>
          <w:color w:val="000000"/>
          <w:szCs w:val="22"/>
        </w:rPr>
      </w:pPr>
    </w:p>
    <w:p w14:paraId="375EBF14" w14:textId="77777777" w:rsidR="00906898" w:rsidRPr="00263DB9" w:rsidRDefault="00906898" w:rsidP="00273B82">
      <w:pPr>
        <w:pStyle w:val="BodyText2"/>
        <w:keepNext/>
        <w:widowControl w:val="0"/>
        <w:numPr>
          <w:ilvl w:val="0"/>
          <w:numId w:val="19"/>
        </w:numPr>
        <w:tabs>
          <w:tab w:val="clear" w:pos="927"/>
        </w:tabs>
        <w:suppressAutoHyphens w:val="0"/>
        <w:ind w:left="567" w:hanging="567"/>
        <w:rPr>
          <w:b/>
          <w:bCs/>
          <w:color w:val="000000"/>
          <w:szCs w:val="22"/>
        </w:rPr>
      </w:pPr>
      <w:r w:rsidRPr="00263DB9">
        <w:rPr>
          <w:b/>
          <w:bCs/>
          <w:color w:val="000000"/>
          <w:szCs w:val="22"/>
        </w:rPr>
        <w:t>Caso faça tratamento para os GIST:</w:t>
      </w:r>
    </w:p>
    <w:p w14:paraId="375EBF15" w14:textId="77777777" w:rsidR="00906898" w:rsidRPr="00263DB9" w:rsidRDefault="00906898" w:rsidP="00E51817">
      <w:pPr>
        <w:pStyle w:val="BodyText2"/>
        <w:widowControl w:val="0"/>
        <w:suppressAutoHyphens w:val="0"/>
        <w:ind w:firstLine="567"/>
        <w:rPr>
          <w:color w:val="000000"/>
          <w:szCs w:val="22"/>
        </w:rPr>
      </w:pPr>
      <w:r w:rsidRPr="00263DB9">
        <w:rPr>
          <w:color w:val="000000"/>
          <w:szCs w:val="22"/>
        </w:rPr>
        <w:t xml:space="preserve">A dose inicial é 400 mg, a serem tomados em 4 cápsulas de </w:t>
      </w:r>
      <w:r w:rsidRPr="00263DB9">
        <w:rPr>
          <w:b/>
          <w:bCs/>
          <w:color w:val="000000"/>
          <w:szCs w:val="22"/>
        </w:rPr>
        <w:t>uma vez</w:t>
      </w:r>
      <w:r w:rsidRPr="00263DB9">
        <w:rPr>
          <w:color w:val="000000"/>
          <w:szCs w:val="22"/>
        </w:rPr>
        <w:t xml:space="preserve"> por dia.</w:t>
      </w:r>
    </w:p>
    <w:p w14:paraId="375EBF16" w14:textId="77777777" w:rsidR="00906898" w:rsidRPr="00263DB9" w:rsidRDefault="00906898" w:rsidP="00E51817">
      <w:pPr>
        <w:pStyle w:val="BodyText2"/>
        <w:widowControl w:val="0"/>
        <w:suppressAutoHyphens w:val="0"/>
        <w:rPr>
          <w:color w:val="000000"/>
          <w:szCs w:val="22"/>
        </w:rPr>
      </w:pPr>
    </w:p>
    <w:p w14:paraId="375EBF17" w14:textId="77777777" w:rsidR="00906898" w:rsidRPr="00263DB9" w:rsidRDefault="00906898" w:rsidP="00E51817">
      <w:pPr>
        <w:pStyle w:val="BodyText2"/>
        <w:widowControl w:val="0"/>
        <w:suppressAutoHyphens w:val="0"/>
        <w:rPr>
          <w:color w:val="000000"/>
          <w:szCs w:val="22"/>
        </w:rPr>
      </w:pPr>
      <w:r w:rsidRPr="00263DB9">
        <w:rPr>
          <w:color w:val="000000"/>
          <w:szCs w:val="22"/>
        </w:rPr>
        <w:t>Para o LMC e GIST, o seu médico poderá receitar uma dose superior ou inferior dependendo da resposta ao tratamento. Se a sua dose diária é de 800 mg (8 cápsulas), deve tomar 4 cápsulas de manhã e 4 cápsulas à noite.</w:t>
      </w:r>
    </w:p>
    <w:p w14:paraId="375EBF18" w14:textId="77777777" w:rsidR="00906898" w:rsidRPr="00263DB9" w:rsidRDefault="00906898" w:rsidP="00E51817">
      <w:pPr>
        <w:pStyle w:val="BodyText2"/>
        <w:widowControl w:val="0"/>
        <w:suppressAutoHyphens w:val="0"/>
        <w:rPr>
          <w:color w:val="000000"/>
          <w:szCs w:val="22"/>
        </w:rPr>
      </w:pPr>
    </w:p>
    <w:p w14:paraId="375EBF19" w14:textId="77777777" w:rsidR="00906898" w:rsidRPr="00263DB9" w:rsidRDefault="00906898" w:rsidP="00273B82">
      <w:pPr>
        <w:pStyle w:val="BodyText2"/>
        <w:keepNext/>
        <w:widowControl w:val="0"/>
        <w:numPr>
          <w:ilvl w:val="0"/>
          <w:numId w:val="19"/>
        </w:numPr>
        <w:tabs>
          <w:tab w:val="clear" w:pos="927"/>
        </w:tabs>
        <w:suppressAutoHyphens w:val="0"/>
        <w:ind w:left="567" w:hanging="567"/>
        <w:rPr>
          <w:b/>
          <w:bCs/>
          <w:color w:val="000000"/>
          <w:szCs w:val="22"/>
        </w:rPr>
      </w:pPr>
      <w:r w:rsidRPr="00263DB9">
        <w:rPr>
          <w:b/>
          <w:bCs/>
          <w:color w:val="000000"/>
          <w:szCs w:val="22"/>
        </w:rPr>
        <w:t>Caso faça tratamento para LLA Ph-positiva:</w:t>
      </w:r>
    </w:p>
    <w:p w14:paraId="375EBF1A" w14:textId="77777777" w:rsidR="00906898" w:rsidRPr="00263DB9" w:rsidRDefault="00906898" w:rsidP="00E51817">
      <w:pPr>
        <w:pStyle w:val="BodyText2"/>
        <w:widowControl w:val="0"/>
        <w:suppressAutoHyphens w:val="0"/>
        <w:ind w:left="567"/>
        <w:rPr>
          <w:color w:val="000000"/>
          <w:szCs w:val="22"/>
        </w:rPr>
      </w:pPr>
      <w:r w:rsidRPr="00263DB9">
        <w:rPr>
          <w:color w:val="000000"/>
          <w:szCs w:val="22"/>
        </w:rPr>
        <w:t xml:space="preserve">A dose inicial é de 600 mg, a serem tomados em 6 cápsulas </w:t>
      </w:r>
      <w:r w:rsidRPr="00263DB9">
        <w:rPr>
          <w:b/>
          <w:bCs/>
          <w:color w:val="000000"/>
          <w:szCs w:val="22"/>
        </w:rPr>
        <w:t>uma vez</w:t>
      </w:r>
      <w:r w:rsidRPr="00263DB9">
        <w:rPr>
          <w:color w:val="000000"/>
          <w:szCs w:val="22"/>
        </w:rPr>
        <w:t xml:space="preserve"> por dia.</w:t>
      </w:r>
    </w:p>
    <w:p w14:paraId="375EBF1B" w14:textId="77777777" w:rsidR="00906898" w:rsidRPr="00263DB9" w:rsidRDefault="00906898" w:rsidP="00E51817">
      <w:pPr>
        <w:pStyle w:val="BodyText2"/>
        <w:widowControl w:val="0"/>
        <w:suppressAutoHyphens w:val="0"/>
        <w:rPr>
          <w:color w:val="000000"/>
          <w:szCs w:val="22"/>
        </w:rPr>
      </w:pPr>
    </w:p>
    <w:p w14:paraId="375EBF1C" w14:textId="77777777" w:rsidR="00906898" w:rsidRPr="00263DB9" w:rsidRDefault="00906898" w:rsidP="00273B82">
      <w:pPr>
        <w:pStyle w:val="BodyText2"/>
        <w:keepNext/>
        <w:widowControl w:val="0"/>
        <w:numPr>
          <w:ilvl w:val="0"/>
          <w:numId w:val="19"/>
        </w:numPr>
        <w:tabs>
          <w:tab w:val="clear" w:pos="927"/>
        </w:tabs>
        <w:suppressAutoHyphens w:val="0"/>
        <w:ind w:left="567" w:hanging="567"/>
        <w:rPr>
          <w:b/>
          <w:bCs/>
          <w:color w:val="000000"/>
          <w:szCs w:val="22"/>
        </w:rPr>
      </w:pPr>
      <w:r w:rsidRPr="00263DB9">
        <w:rPr>
          <w:b/>
          <w:bCs/>
          <w:color w:val="000000"/>
          <w:szCs w:val="22"/>
        </w:rPr>
        <w:t>Caso faça tratamento para a síndrome mielodisplásica/doenças mieloproliferativas:</w:t>
      </w:r>
    </w:p>
    <w:p w14:paraId="375EBF1D" w14:textId="77777777" w:rsidR="00906898" w:rsidRPr="00263DB9" w:rsidRDefault="00906898" w:rsidP="00E51817">
      <w:pPr>
        <w:pStyle w:val="BodyText2"/>
        <w:widowControl w:val="0"/>
        <w:suppressAutoHyphens w:val="0"/>
        <w:ind w:left="567"/>
        <w:rPr>
          <w:color w:val="000000"/>
          <w:szCs w:val="22"/>
        </w:rPr>
      </w:pPr>
      <w:r w:rsidRPr="00263DB9">
        <w:rPr>
          <w:color w:val="000000"/>
          <w:szCs w:val="22"/>
        </w:rPr>
        <w:t xml:space="preserve">A dose inicial é 400 mg, a serem tomados em 4 cápsulas </w:t>
      </w:r>
      <w:r w:rsidRPr="00263DB9">
        <w:rPr>
          <w:b/>
          <w:bCs/>
          <w:color w:val="000000"/>
          <w:szCs w:val="22"/>
        </w:rPr>
        <w:t>uma vez</w:t>
      </w:r>
      <w:r w:rsidRPr="00263DB9">
        <w:rPr>
          <w:color w:val="000000"/>
          <w:szCs w:val="22"/>
        </w:rPr>
        <w:t xml:space="preserve"> por dia.</w:t>
      </w:r>
    </w:p>
    <w:p w14:paraId="375EBF1E" w14:textId="77777777" w:rsidR="00906898" w:rsidRPr="00263DB9" w:rsidRDefault="00906898" w:rsidP="00E51817">
      <w:pPr>
        <w:pStyle w:val="BodyText2"/>
        <w:widowControl w:val="0"/>
        <w:suppressAutoHyphens w:val="0"/>
        <w:rPr>
          <w:color w:val="000000"/>
          <w:szCs w:val="22"/>
        </w:rPr>
      </w:pPr>
    </w:p>
    <w:p w14:paraId="375EBF1F" w14:textId="77777777" w:rsidR="00906898" w:rsidRPr="00263DB9" w:rsidRDefault="00906898" w:rsidP="00273B82">
      <w:pPr>
        <w:pStyle w:val="Listlevel2"/>
        <w:keepNext/>
        <w:widowControl w:val="0"/>
        <w:numPr>
          <w:ilvl w:val="0"/>
          <w:numId w:val="19"/>
        </w:numPr>
        <w:tabs>
          <w:tab w:val="clear" w:pos="927"/>
        </w:tabs>
        <w:spacing w:before="0" w:after="0"/>
        <w:ind w:left="567" w:hanging="567"/>
        <w:rPr>
          <w:b/>
          <w:color w:val="000000"/>
          <w:sz w:val="22"/>
          <w:szCs w:val="22"/>
          <w:lang w:val="pt-PT"/>
        </w:rPr>
      </w:pPr>
      <w:r w:rsidRPr="00263DB9">
        <w:rPr>
          <w:b/>
          <w:color w:val="000000"/>
          <w:sz w:val="22"/>
          <w:szCs w:val="22"/>
          <w:lang w:val="pt-PT"/>
        </w:rPr>
        <w:t>Caso faça tratamento para a síndrome hipereosinofílica/leucemia eosinofílica crónica:</w:t>
      </w:r>
    </w:p>
    <w:p w14:paraId="375EBF20" w14:textId="77777777" w:rsidR="00906898" w:rsidRPr="00263DB9" w:rsidRDefault="00906898" w:rsidP="00E51817">
      <w:pPr>
        <w:pStyle w:val="Listlevel2"/>
        <w:widowControl w:val="0"/>
        <w:spacing w:before="0" w:after="0"/>
        <w:ind w:left="567" w:firstLine="0"/>
        <w:rPr>
          <w:color w:val="000000"/>
          <w:sz w:val="22"/>
          <w:szCs w:val="22"/>
          <w:lang w:val="pt-PT"/>
        </w:rPr>
      </w:pPr>
      <w:r w:rsidRPr="00263DB9">
        <w:rPr>
          <w:color w:val="000000"/>
          <w:sz w:val="22"/>
          <w:szCs w:val="22"/>
          <w:lang w:val="pt-PT"/>
        </w:rPr>
        <w:t xml:space="preserve">A dose inicial é de 100 mg, a ser tomada como uma cápsula </w:t>
      </w:r>
      <w:r w:rsidRPr="00263DB9">
        <w:rPr>
          <w:b/>
          <w:bCs/>
          <w:color w:val="000000"/>
          <w:sz w:val="22"/>
          <w:szCs w:val="22"/>
          <w:lang w:val="pt-PT"/>
        </w:rPr>
        <w:t>uma vez</w:t>
      </w:r>
      <w:r w:rsidRPr="00263DB9">
        <w:rPr>
          <w:color w:val="000000"/>
          <w:sz w:val="22"/>
          <w:szCs w:val="22"/>
          <w:lang w:val="pt-PT"/>
        </w:rPr>
        <w:t xml:space="preserve"> por dia. O seu médico pode decidir aumentar a dose para 400 mg, a serem tomados em 4 cápsulas </w:t>
      </w:r>
      <w:r w:rsidRPr="00263DB9">
        <w:rPr>
          <w:b/>
          <w:bCs/>
          <w:color w:val="000000"/>
          <w:sz w:val="22"/>
          <w:szCs w:val="22"/>
          <w:lang w:val="pt-PT"/>
        </w:rPr>
        <w:t>uma vez</w:t>
      </w:r>
      <w:r w:rsidRPr="00263DB9">
        <w:rPr>
          <w:color w:val="000000"/>
          <w:sz w:val="22"/>
          <w:szCs w:val="22"/>
          <w:lang w:val="pt-PT"/>
        </w:rPr>
        <w:t xml:space="preserve"> por dia, dependendo da forma como responde ao tratamento.</w:t>
      </w:r>
    </w:p>
    <w:p w14:paraId="375EBF21" w14:textId="77777777" w:rsidR="00906898" w:rsidRPr="00263DB9" w:rsidRDefault="00906898" w:rsidP="00E51817">
      <w:pPr>
        <w:pStyle w:val="BodyText2"/>
        <w:widowControl w:val="0"/>
        <w:suppressAutoHyphens w:val="0"/>
        <w:rPr>
          <w:color w:val="000000"/>
          <w:szCs w:val="22"/>
        </w:rPr>
      </w:pPr>
    </w:p>
    <w:p w14:paraId="375EBF22" w14:textId="77777777" w:rsidR="00906898" w:rsidRPr="00263DB9" w:rsidRDefault="00906898" w:rsidP="00273B82">
      <w:pPr>
        <w:pStyle w:val="BodyText2"/>
        <w:keepNext/>
        <w:widowControl w:val="0"/>
        <w:numPr>
          <w:ilvl w:val="0"/>
          <w:numId w:val="19"/>
        </w:numPr>
        <w:tabs>
          <w:tab w:val="clear" w:pos="927"/>
        </w:tabs>
        <w:suppressAutoHyphens w:val="0"/>
        <w:ind w:left="567" w:hanging="567"/>
        <w:rPr>
          <w:b/>
          <w:bCs/>
          <w:color w:val="000000"/>
          <w:szCs w:val="22"/>
        </w:rPr>
      </w:pPr>
      <w:r w:rsidRPr="00263DB9">
        <w:rPr>
          <w:b/>
          <w:bCs/>
          <w:color w:val="000000"/>
          <w:szCs w:val="22"/>
        </w:rPr>
        <w:t>Caso faça tratamento para DSFP:</w:t>
      </w:r>
    </w:p>
    <w:p w14:paraId="375EBF23" w14:textId="77777777" w:rsidR="00906898" w:rsidRPr="00263DB9" w:rsidRDefault="00906898" w:rsidP="00E51817">
      <w:pPr>
        <w:pStyle w:val="BodyText2"/>
        <w:widowControl w:val="0"/>
        <w:suppressAutoHyphens w:val="0"/>
        <w:ind w:left="567"/>
        <w:rPr>
          <w:color w:val="000000"/>
          <w:szCs w:val="22"/>
        </w:rPr>
      </w:pPr>
      <w:r w:rsidRPr="00263DB9">
        <w:rPr>
          <w:color w:val="000000"/>
          <w:szCs w:val="22"/>
        </w:rPr>
        <w:t>A dose é de 800 mg por dia (8 cápsulas), a serem tomados em 4 cápsulas de manhã e 4 cápsulas à noite.</w:t>
      </w:r>
    </w:p>
    <w:p w14:paraId="375EBF24" w14:textId="77777777" w:rsidR="00906898" w:rsidRPr="00263DB9" w:rsidRDefault="00906898" w:rsidP="00E51817">
      <w:pPr>
        <w:pStyle w:val="BodyText2"/>
        <w:widowControl w:val="0"/>
        <w:suppressAutoHyphens w:val="0"/>
        <w:rPr>
          <w:color w:val="000000"/>
          <w:szCs w:val="22"/>
        </w:rPr>
      </w:pPr>
    </w:p>
    <w:p w14:paraId="375EBF25" w14:textId="77777777" w:rsidR="00906898" w:rsidRPr="00263DB9" w:rsidRDefault="00906898" w:rsidP="00273B82">
      <w:pPr>
        <w:pStyle w:val="BodyText2"/>
        <w:keepNext/>
        <w:widowControl w:val="0"/>
        <w:suppressAutoHyphens w:val="0"/>
        <w:rPr>
          <w:b/>
          <w:bCs/>
          <w:color w:val="000000"/>
          <w:szCs w:val="22"/>
        </w:rPr>
      </w:pPr>
      <w:r w:rsidRPr="00263DB9">
        <w:rPr>
          <w:b/>
          <w:bCs/>
          <w:color w:val="000000"/>
          <w:szCs w:val="22"/>
        </w:rPr>
        <w:t>Utilização em crianças e adolescentes</w:t>
      </w:r>
    </w:p>
    <w:p w14:paraId="375EBF26" w14:textId="77777777" w:rsidR="00906898" w:rsidRPr="00263DB9" w:rsidRDefault="00906898" w:rsidP="00E51817">
      <w:pPr>
        <w:pStyle w:val="BodyText2"/>
        <w:widowControl w:val="0"/>
        <w:suppressAutoHyphens w:val="0"/>
        <w:rPr>
          <w:color w:val="000000"/>
          <w:szCs w:val="22"/>
        </w:rPr>
      </w:pPr>
      <w:r w:rsidRPr="00263DB9">
        <w:rPr>
          <w:color w:val="000000"/>
          <w:szCs w:val="22"/>
        </w:rPr>
        <w:t>O seu médico dir-lhe-á quantas cápsulas de Glivec a administrar à criança. A quantidade de Glivec administrada dependerá do estado da criança, do seu peso e altura. A dose diária total em crianças não deverá exceder 800 mg</w:t>
      </w:r>
      <w:r w:rsidR="00046A86" w:rsidRPr="00263DB9">
        <w:rPr>
          <w:color w:val="000000"/>
          <w:szCs w:val="22"/>
        </w:rPr>
        <w:t xml:space="preserve"> </w:t>
      </w:r>
      <w:r w:rsidR="00397626" w:rsidRPr="00263DB9">
        <w:rPr>
          <w:color w:val="000000"/>
          <w:szCs w:val="22"/>
        </w:rPr>
        <w:t>no caso de LMC e 600 mg no caso de LLA Ph-positiva</w:t>
      </w:r>
      <w:r w:rsidRPr="00263DB9">
        <w:rPr>
          <w:color w:val="000000"/>
          <w:szCs w:val="22"/>
        </w:rPr>
        <w:t>. O tratamento pode ser administrado à criança numa única dose diária ou, alternativamente, a dose diária poderá ser dividida em duas administrações (metade de manhã e metade à noite).</w:t>
      </w:r>
    </w:p>
    <w:p w14:paraId="375EBF27" w14:textId="77777777" w:rsidR="00906898" w:rsidRPr="00263DB9" w:rsidRDefault="00906898" w:rsidP="00E51817">
      <w:pPr>
        <w:pStyle w:val="BodyText2"/>
        <w:widowControl w:val="0"/>
        <w:suppressAutoHyphens w:val="0"/>
        <w:rPr>
          <w:color w:val="000000"/>
          <w:szCs w:val="22"/>
        </w:rPr>
      </w:pPr>
    </w:p>
    <w:p w14:paraId="375EBF28" w14:textId="77777777" w:rsidR="00906898" w:rsidRPr="00263DB9" w:rsidRDefault="00906898" w:rsidP="00273B82">
      <w:pPr>
        <w:pStyle w:val="BodyText2"/>
        <w:keepNext/>
        <w:widowControl w:val="0"/>
        <w:suppressAutoHyphens w:val="0"/>
        <w:rPr>
          <w:color w:val="000000"/>
          <w:szCs w:val="22"/>
        </w:rPr>
      </w:pPr>
      <w:r w:rsidRPr="00263DB9">
        <w:rPr>
          <w:b/>
          <w:color w:val="000000"/>
          <w:szCs w:val="22"/>
        </w:rPr>
        <w:t>Quando e como tomar Glivec</w:t>
      </w:r>
    </w:p>
    <w:p w14:paraId="375EBF29" w14:textId="77777777" w:rsidR="00906898" w:rsidRPr="00263DB9" w:rsidRDefault="00906898" w:rsidP="00E51817">
      <w:pPr>
        <w:pStyle w:val="EndnoteText"/>
        <w:tabs>
          <w:tab w:val="clear" w:pos="567"/>
        </w:tabs>
        <w:ind w:left="567" w:hanging="567"/>
        <w:rPr>
          <w:bCs/>
          <w:color w:val="000000"/>
          <w:szCs w:val="22"/>
        </w:rPr>
      </w:pPr>
      <w:r w:rsidRPr="00263DB9">
        <w:rPr>
          <w:b/>
          <w:color w:val="000000"/>
          <w:szCs w:val="22"/>
        </w:rPr>
        <w:t>-</w:t>
      </w:r>
      <w:r w:rsidRPr="00263DB9">
        <w:rPr>
          <w:b/>
          <w:color w:val="000000"/>
          <w:szCs w:val="22"/>
        </w:rPr>
        <w:tab/>
        <w:t>Tome Glivec com uma refeição.</w:t>
      </w:r>
      <w:r w:rsidRPr="00263DB9">
        <w:rPr>
          <w:bCs/>
          <w:color w:val="000000"/>
          <w:szCs w:val="22"/>
        </w:rPr>
        <w:t xml:space="preserve"> Isto ajuda-lo-á a proteger o seu estômago de problemas quando tomar Glivec.</w:t>
      </w:r>
    </w:p>
    <w:p w14:paraId="375EBF2A" w14:textId="77777777" w:rsidR="00906898" w:rsidRPr="00263DB9" w:rsidRDefault="00906898" w:rsidP="00E51817">
      <w:pPr>
        <w:pStyle w:val="EndnoteText"/>
        <w:tabs>
          <w:tab w:val="clear" w:pos="567"/>
        </w:tabs>
        <w:ind w:left="567" w:hanging="567"/>
        <w:rPr>
          <w:color w:val="000000"/>
          <w:szCs w:val="22"/>
        </w:rPr>
      </w:pPr>
      <w:r w:rsidRPr="00263DB9">
        <w:rPr>
          <w:b/>
          <w:color w:val="000000"/>
          <w:szCs w:val="22"/>
        </w:rPr>
        <w:t>-</w:t>
      </w:r>
      <w:r w:rsidRPr="00263DB9">
        <w:rPr>
          <w:b/>
          <w:color w:val="000000"/>
          <w:szCs w:val="22"/>
        </w:rPr>
        <w:tab/>
        <w:t xml:space="preserve">Engula as cápsulas inteiras com um copo grande de água. </w:t>
      </w:r>
      <w:r w:rsidRPr="00263DB9">
        <w:rPr>
          <w:color w:val="000000"/>
          <w:szCs w:val="22"/>
        </w:rPr>
        <w:t>Não abra ou esmague as cápsulas, a menos que tenha dificuldade em engolir (por ex. crianças).</w:t>
      </w:r>
    </w:p>
    <w:p w14:paraId="375EBF2B" w14:textId="77777777" w:rsidR="00906898" w:rsidRPr="00263DB9" w:rsidRDefault="00906898" w:rsidP="00E51817">
      <w:pPr>
        <w:pStyle w:val="EndnoteText"/>
        <w:tabs>
          <w:tab w:val="clear" w:pos="567"/>
        </w:tabs>
        <w:ind w:left="567" w:hanging="567"/>
        <w:rPr>
          <w:color w:val="000000"/>
          <w:szCs w:val="22"/>
        </w:rPr>
      </w:pPr>
      <w:r w:rsidRPr="00263DB9">
        <w:rPr>
          <w:b/>
          <w:color w:val="000000"/>
          <w:szCs w:val="22"/>
        </w:rPr>
        <w:t>-</w:t>
      </w:r>
      <w:r w:rsidRPr="00263DB9">
        <w:rPr>
          <w:color w:val="000000"/>
          <w:szCs w:val="22"/>
        </w:rPr>
        <w:tab/>
        <w:t>Se não conseguir engolir as cápsulas pode abri-las e colocar o pó num copo de água sem gás ou sumo de maçã.</w:t>
      </w:r>
    </w:p>
    <w:p w14:paraId="375EBF2C" w14:textId="77777777" w:rsidR="00906898" w:rsidRPr="00263DB9" w:rsidRDefault="00906898" w:rsidP="00E51817">
      <w:pPr>
        <w:pStyle w:val="EndnoteText"/>
        <w:tabs>
          <w:tab w:val="clear" w:pos="567"/>
        </w:tabs>
        <w:ind w:left="567" w:hanging="567"/>
        <w:rPr>
          <w:color w:val="000000"/>
          <w:szCs w:val="22"/>
        </w:rPr>
      </w:pPr>
      <w:r w:rsidRPr="00263DB9">
        <w:rPr>
          <w:b/>
          <w:color w:val="000000"/>
          <w:szCs w:val="22"/>
        </w:rPr>
        <w:t>-</w:t>
      </w:r>
      <w:r w:rsidRPr="00263DB9">
        <w:rPr>
          <w:color w:val="000000"/>
          <w:szCs w:val="22"/>
        </w:rPr>
        <w:tab/>
        <w:t>Caso esteja grávida ou em risco de engravidar e necessitar abrir as cápsulas, deverá manusear o seu conteúdo com precaução, a fim de evitar o contacto com a pele ou olhos ou a inalação do pó. Deverá lavar as mãos imediatamente após a abertura das cápsulas.</w:t>
      </w:r>
    </w:p>
    <w:p w14:paraId="375EBF2D" w14:textId="77777777" w:rsidR="00906898" w:rsidRPr="00263DB9" w:rsidRDefault="00906898" w:rsidP="00E51817">
      <w:pPr>
        <w:pStyle w:val="EndnoteText"/>
        <w:tabs>
          <w:tab w:val="clear" w:pos="567"/>
        </w:tabs>
        <w:rPr>
          <w:color w:val="000000"/>
          <w:szCs w:val="22"/>
        </w:rPr>
      </w:pPr>
    </w:p>
    <w:p w14:paraId="375EBF2E" w14:textId="77777777" w:rsidR="00906898" w:rsidRPr="00263DB9" w:rsidRDefault="00906898" w:rsidP="00273B82">
      <w:pPr>
        <w:pStyle w:val="EndnoteText"/>
        <w:keepNext/>
        <w:tabs>
          <w:tab w:val="clear" w:pos="567"/>
        </w:tabs>
        <w:rPr>
          <w:b/>
          <w:color w:val="000000"/>
          <w:szCs w:val="22"/>
        </w:rPr>
      </w:pPr>
      <w:r w:rsidRPr="00263DB9">
        <w:rPr>
          <w:b/>
          <w:color w:val="000000"/>
          <w:szCs w:val="22"/>
        </w:rPr>
        <w:t>Durante quanto tempo tomar Glivec</w:t>
      </w:r>
    </w:p>
    <w:p w14:paraId="375EBF2F" w14:textId="77777777" w:rsidR="00906898" w:rsidRPr="00263DB9" w:rsidRDefault="00906898" w:rsidP="00E51817">
      <w:pPr>
        <w:pStyle w:val="EndnoteText"/>
        <w:tabs>
          <w:tab w:val="clear" w:pos="567"/>
        </w:tabs>
        <w:rPr>
          <w:color w:val="000000"/>
          <w:szCs w:val="22"/>
        </w:rPr>
      </w:pPr>
      <w:r w:rsidRPr="00263DB9">
        <w:rPr>
          <w:color w:val="000000"/>
          <w:szCs w:val="22"/>
        </w:rPr>
        <w:t>Continue a tomar Glivec diariamente durante o período recomendado pelo seu médico.</w:t>
      </w:r>
    </w:p>
    <w:p w14:paraId="375EBF30" w14:textId="77777777" w:rsidR="00906898" w:rsidRPr="00263DB9" w:rsidRDefault="00906898" w:rsidP="00E51817">
      <w:pPr>
        <w:pStyle w:val="EndnoteText"/>
        <w:tabs>
          <w:tab w:val="clear" w:pos="567"/>
        </w:tabs>
        <w:rPr>
          <w:color w:val="000000"/>
          <w:szCs w:val="22"/>
        </w:rPr>
      </w:pPr>
    </w:p>
    <w:p w14:paraId="375EBF31" w14:textId="77777777" w:rsidR="00906898" w:rsidRPr="00263DB9" w:rsidRDefault="00906898" w:rsidP="00273B82">
      <w:pPr>
        <w:keepNext/>
        <w:widowControl w:val="0"/>
        <w:suppressAutoHyphens/>
        <w:rPr>
          <w:b/>
          <w:color w:val="000000"/>
          <w:szCs w:val="22"/>
        </w:rPr>
      </w:pPr>
      <w:r w:rsidRPr="00263DB9">
        <w:rPr>
          <w:b/>
          <w:color w:val="000000"/>
          <w:szCs w:val="22"/>
        </w:rPr>
        <w:t>Se tomar mais Glivec do que deveria</w:t>
      </w:r>
    </w:p>
    <w:p w14:paraId="375EBF32"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 xml:space="preserve">Caso acidentalmente tenha tomado demasiadas cápsulas, fale com o seu médico </w:t>
      </w:r>
      <w:r w:rsidRPr="00263DB9">
        <w:rPr>
          <w:b/>
          <w:color w:val="000000"/>
          <w:szCs w:val="22"/>
        </w:rPr>
        <w:t>imediatamente</w:t>
      </w:r>
      <w:r w:rsidRPr="00263DB9">
        <w:rPr>
          <w:color w:val="000000"/>
          <w:szCs w:val="22"/>
        </w:rPr>
        <w:t>. Poderá precisar de cuidados médicos. Leve a embalagem do medicamento consigo.</w:t>
      </w:r>
    </w:p>
    <w:p w14:paraId="375EBF33" w14:textId="77777777" w:rsidR="00906898" w:rsidRPr="00263DB9" w:rsidRDefault="00906898" w:rsidP="00E51817">
      <w:pPr>
        <w:pStyle w:val="EndnoteText"/>
        <w:tabs>
          <w:tab w:val="clear" w:pos="567"/>
        </w:tabs>
        <w:suppressAutoHyphens/>
        <w:rPr>
          <w:color w:val="000000"/>
          <w:szCs w:val="22"/>
        </w:rPr>
      </w:pPr>
    </w:p>
    <w:p w14:paraId="375EBF34" w14:textId="77777777" w:rsidR="00906898" w:rsidRPr="00263DB9" w:rsidRDefault="00906898" w:rsidP="00273B82">
      <w:pPr>
        <w:pStyle w:val="EndnoteText"/>
        <w:keepNext/>
        <w:tabs>
          <w:tab w:val="clear" w:pos="567"/>
        </w:tabs>
        <w:suppressAutoHyphens/>
        <w:rPr>
          <w:b/>
          <w:color w:val="000000"/>
          <w:szCs w:val="22"/>
        </w:rPr>
      </w:pPr>
      <w:r w:rsidRPr="00263DB9">
        <w:rPr>
          <w:b/>
          <w:color w:val="000000"/>
          <w:szCs w:val="22"/>
        </w:rPr>
        <w:t>Caso se tenha esquecido de tomar Glivec</w:t>
      </w:r>
    </w:p>
    <w:p w14:paraId="375EBF35" w14:textId="77777777" w:rsidR="00906898" w:rsidRPr="00263DB9" w:rsidRDefault="00906898" w:rsidP="00E51817">
      <w:pPr>
        <w:pStyle w:val="EndnoteText"/>
        <w:tabs>
          <w:tab w:val="clear" w:pos="567"/>
        </w:tabs>
        <w:suppressAutoHyphens/>
        <w:ind w:left="567" w:hanging="567"/>
        <w:rPr>
          <w:color w:val="000000"/>
          <w:szCs w:val="22"/>
        </w:rPr>
      </w:pPr>
      <w:r w:rsidRPr="00263DB9">
        <w:rPr>
          <w:color w:val="000000"/>
          <w:szCs w:val="22"/>
        </w:rPr>
        <w:t>-</w:t>
      </w:r>
      <w:r w:rsidRPr="00263DB9">
        <w:rPr>
          <w:color w:val="000000"/>
          <w:szCs w:val="22"/>
        </w:rPr>
        <w:tab/>
        <w:t>Se se esqueceu de tomar uma dose, tome-a assim que se lembrar. No entanto se estiver quase na hora da próxima dose, salte a dose esquecida.</w:t>
      </w:r>
    </w:p>
    <w:p w14:paraId="375EBF36"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w:t>
      </w:r>
      <w:r w:rsidRPr="00263DB9">
        <w:rPr>
          <w:color w:val="000000"/>
          <w:szCs w:val="22"/>
        </w:rPr>
        <w:tab/>
        <w:t>De seguida, continue com o horário de administração normal.</w:t>
      </w:r>
    </w:p>
    <w:p w14:paraId="375EBF37"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w:t>
      </w:r>
      <w:r w:rsidRPr="00263DB9">
        <w:rPr>
          <w:color w:val="000000"/>
          <w:szCs w:val="22"/>
        </w:rPr>
        <w:tab/>
        <w:t>Não tome uma dose a dobrar para compensar uma dose que se esqueceu de tomar.</w:t>
      </w:r>
    </w:p>
    <w:p w14:paraId="375EBF38" w14:textId="77777777" w:rsidR="00906898" w:rsidRPr="00263DB9" w:rsidRDefault="00906898" w:rsidP="00E51817">
      <w:pPr>
        <w:pStyle w:val="EndnoteText"/>
        <w:tabs>
          <w:tab w:val="clear" w:pos="567"/>
        </w:tabs>
        <w:suppressAutoHyphens/>
        <w:rPr>
          <w:color w:val="000000"/>
          <w:szCs w:val="22"/>
        </w:rPr>
      </w:pPr>
    </w:p>
    <w:p w14:paraId="375EBF39"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Caso ainda tenha dúvidas sobre a utilização deste medicamento, fale com o seu médico, farmacêutico ou enfermeiro.</w:t>
      </w:r>
    </w:p>
    <w:p w14:paraId="375EBF3A" w14:textId="77777777" w:rsidR="00906898" w:rsidRPr="00263DB9" w:rsidRDefault="00906898" w:rsidP="00E51817">
      <w:pPr>
        <w:pStyle w:val="EndnoteText"/>
        <w:tabs>
          <w:tab w:val="clear" w:pos="567"/>
        </w:tabs>
        <w:suppressAutoHyphens/>
        <w:rPr>
          <w:color w:val="000000"/>
          <w:szCs w:val="22"/>
        </w:rPr>
      </w:pPr>
    </w:p>
    <w:p w14:paraId="375EBF3B" w14:textId="77777777" w:rsidR="00906898" w:rsidRPr="00263DB9" w:rsidRDefault="00906898" w:rsidP="00E51817">
      <w:pPr>
        <w:widowControl w:val="0"/>
        <w:suppressAutoHyphens/>
        <w:rPr>
          <w:color w:val="000000"/>
          <w:szCs w:val="22"/>
        </w:rPr>
      </w:pPr>
    </w:p>
    <w:p w14:paraId="375EBF3C" w14:textId="77777777" w:rsidR="00C91F25" w:rsidRPr="00263DB9" w:rsidRDefault="00C91F25" w:rsidP="00273B82">
      <w:pPr>
        <w:keepNext/>
        <w:widowControl w:val="0"/>
        <w:suppressAutoHyphens/>
        <w:ind w:left="567" w:hanging="567"/>
        <w:rPr>
          <w:b/>
          <w:color w:val="000000"/>
          <w:szCs w:val="22"/>
        </w:rPr>
      </w:pPr>
      <w:r w:rsidRPr="00263DB9">
        <w:rPr>
          <w:b/>
          <w:color w:val="000000"/>
          <w:szCs w:val="22"/>
        </w:rPr>
        <w:t>4.</w:t>
      </w:r>
      <w:r w:rsidRPr="00263DB9">
        <w:rPr>
          <w:b/>
          <w:color w:val="000000"/>
          <w:szCs w:val="22"/>
        </w:rPr>
        <w:tab/>
        <w:t>Efeitos secundários poss</w:t>
      </w:r>
      <w:r w:rsidR="00F14C0A" w:rsidRPr="00263DB9">
        <w:rPr>
          <w:b/>
          <w:color w:val="000000"/>
          <w:szCs w:val="22"/>
        </w:rPr>
        <w:t>í</w:t>
      </w:r>
      <w:r w:rsidRPr="00263DB9">
        <w:rPr>
          <w:b/>
          <w:color w:val="000000"/>
          <w:szCs w:val="22"/>
        </w:rPr>
        <w:t>veis</w:t>
      </w:r>
    </w:p>
    <w:p w14:paraId="375EBF3D" w14:textId="77777777" w:rsidR="00C91F25" w:rsidRPr="00263DB9" w:rsidRDefault="00C91F25" w:rsidP="00273B82">
      <w:pPr>
        <w:keepNext/>
        <w:widowControl w:val="0"/>
        <w:suppressAutoHyphens/>
        <w:rPr>
          <w:color w:val="000000"/>
          <w:szCs w:val="22"/>
        </w:rPr>
      </w:pPr>
    </w:p>
    <w:p w14:paraId="375EBF3E" w14:textId="77777777" w:rsidR="00C91F25" w:rsidRPr="00263DB9" w:rsidRDefault="00C91F25" w:rsidP="00E51817">
      <w:pPr>
        <w:widowControl w:val="0"/>
        <w:suppressAutoHyphens/>
        <w:rPr>
          <w:color w:val="000000"/>
          <w:szCs w:val="22"/>
        </w:rPr>
      </w:pPr>
      <w:r w:rsidRPr="00263DB9">
        <w:rPr>
          <w:color w:val="000000"/>
          <w:szCs w:val="22"/>
        </w:rPr>
        <w:t xml:space="preserve">Como todos os medicamentos, este medicamento pode causar efeitos secundários, </w:t>
      </w:r>
      <w:r w:rsidRPr="00263DB9">
        <w:rPr>
          <w:noProof/>
          <w:color w:val="000000"/>
          <w:szCs w:val="22"/>
        </w:rPr>
        <w:t>embora estes não se manifestem em todas as pessoas</w:t>
      </w:r>
      <w:r w:rsidRPr="00263DB9">
        <w:rPr>
          <w:color w:val="000000"/>
          <w:szCs w:val="22"/>
        </w:rPr>
        <w:t>. Estes efeitos secundários são, geralmente, ligeiros a moderados.</w:t>
      </w:r>
    </w:p>
    <w:p w14:paraId="375EBF3F" w14:textId="77777777" w:rsidR="00C91F25" w:rsidRPr="00263DB9" w:rsidRDefault="00C91F25" w:rsidP="00E51817">
      <w:pPr>
        <w:widowControl w:val="0"/>
        <w:suppressAutoHyphens/>
        <w:rPr>
          <w:color w:val="000000"/>
          <w:szCs w:val="22"/>
        </w:rPr>
      </w:pPr>
    </w:p>
    <w:p w14:paraId="375EBF40" w14:textId="77777777" w:rsidR="00C91F25" w:rsidRPr="00263DB9" w:rsidRDefault="00C91F25" w:rsidP="00273B82">
      <w:pPr>
        <w:keepNext/>
        <w:widowControl w:val="0"/>
        <w:suppressAutoHyphens/>
        <w:rPr>
          <w:b/>
          <w:bCs/>
          <w:color w:val="000000"/>
          <w:szCs w:val="22"/>
        </w:rPr>
      </w:pPr>
      <w:r w:rsidRPr="00263DB9">
        <w:rPr>
          <w:b/>
          <w:bCs/>
          <w:color w:val="000000"/>
          <w:szCs w:val="22"/>
        </w:rPr>
        <w:t xml:space="preserve">Alguns efeitos secundários poderão ser graves. Diga imediatamente ao seu médico se tiver algum </w:t>
      </w:r>
      <w:r w:rsidRPr="00263DB9">
        <w:rPr>
          <w:b/>
          <w:bCs/>
          <w:color w:val="000000"/>
          <w:szCs w:val="22"/>
        </w:rPr>
        <w:lastRenderedPageBreak/>
        <w:t>dos seguintes:</w:t>
      </w:r>
    </w:p>
    <w:p w14:paraId="375EBF41" w14:textId="77777777" w:rsidR="00C91F25" w:rsidRPr="00263DB9" w:rsidRDefault="00C91F25" w:rsidP="00273B82">
      <w:pPr>
        <w:keepNext/>
        <w:widowControl w:val="0"/>
        <w:suppressAutoHyphens/>
        <w:rPr>
          <w:color w:val="000000"/>
          <w:szCs w:val="22"/>
        </w:rPr>
      </w:pPr>
    </w:p>
    <w:p w14:paraId="375EBF42" w14:textId="77777777" w:rsidR="00C91F25" w:rsidRPr="00263DB9" w:rsidRDefault="00C91F25" w:rsidP="00273B82">
      <w:pPr>
        <w:keepNext/>
        <w:widowControl w:val="0"/>
        <w:suppressAutoHyphens/>
        <w:rPr>
          <w:color w:val="000000"/>
          <w:szCs w:val="22"/>
        </w:rPr>
      </w:pPr>
      <w:r w:rsidRPr="00263DB9">
        <w:rPr>
          <w:b/>
          <w:color w:val="000000"/>
          <w:szCs w:val="22"/>
        </w:rPr>
        <w:t>Muito frequentes</w:t>
      </w:r>
      <w:r w:rsidRPr="00263DB9">
        <w:rPr>
          <w:color w:val="000000"/>
          <w:szCs w:val="22"/>
        </w:rPr>
        <w:t xml:space="preserve"> (podem afetar mais de 1 em 10 pessoas) </w:t>
      </w:r>
      <w:r w:rsidRPr="00263DB9">
        <w:rPr>
          <w:b/>
          <w:color w:val="000000"/>
          <w:szCs w:val="22"/>
        </w:rPr>
        <w:t>ou frequentes</w:t>
      </w:r>
      <w:r w:rsidRPr="00263DB9">
        <w:rPr>
          <w:color w:val="000000"/>
          <w:szCs w:val="22"/>
        </w:rPr>
        <w:t xml:space="preserve"> (podem afetar até 1 em 10 pessoas):</w:t>
      </w:r>
    </w:p>
    <w:p w14:paraId="375EBF43"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Rápido aumento de peso. Glivec pode causar que o seu organismo retenha água (retenção grave de líquidos).</w:t>
      </w:r>
    </w:p>
    <w:p w14:paraId="375EBF44"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Sinais de infeção tais como febre, arrepios graves, dor de garganta ou úlceras na boca. Glivec pode reduzir o número de glóbulos brancos, logo poderá apanhar infeções mais facilmente.</w:t>
      </w:r>
    </w:p>
    <w:p w14:paraId="375EBF45"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Hemorragias inesperadas ou formação de nódoas negras (sem que se tenha magoado).</w:t>
      </w:r>
    </w:p>
    <w:p w14:paraId="375EBF46" w14:textId="77777777" w:rsidR="00C91F25" w:rsidRPr="00263DB9" w:rsidRDefault="00C91F25" w:rsidP="00E51817">
      <w:pPr>
        <w:widowControl w:val="0"/>
        <w:suppressAutoHyphens/>
        <w:rPr>
          <w:color w:val="000000"/>
          <w:szCs w:val="22"/>
        </w:rPr>
      </w:pPr>
    </w:p>
    <w:p w14:paraId="375EBF47" w14:textId="77777777" w:rsidR="00C91F25" w:rsidRPr="00263DB9" w:rsidRDefault="00C91F25" w:rsidP="00273B82">
      <w:pPr>
        <w:keepNext/>
        <w:widowControl w:val="0"/>
        <w:suppressAutoHyphens/>
        <w:rPr>
          <w:bCs/>
          <w:color w:val="000000"/>
          <w:szCs w:val="22"/>
        </w:rPr>
      </w:pPr>
      <w:r w:rsidRPr="00263DB9">
        <w:rPr>
          <w:b/>
          <w:bCs/>
          <w:color w:val="000000"/>
          <w:szCs w:val="22"/>
        </w:rPr>
        <w:t>Pouco frequentes</w:t>
      </w:r>
      <w:r w:rsidRPr="00263DB9">
        <w:rPr>
          <w:bCs/>
          <w:color w:val="000000"/>
          <w:szCs w:val="22"/>
        </w:rPr>
        <w:t xml:space="preserve"> (</w:t>
      </w:r>
      <w:r w:rsidRPr="00263DB9">
        <w:rPr>
          <w:color w:val="000000"/>
          <w:szCs w:val="22"/>
        </w:rPr>
        <w:t>podem afetar até1 em 100 pessoas</w:t>
      </w:r>
      <w:r w:rsidRPr="00263DB9">
        <w:rPr>
          <w:bCs/>
          <w:color w:val="000000"/>
          <w:szCs w:val="22"/>
        </w:rPr>
        <w:t xml:space="preserve">) </w:t>
      </w:r>
      <w:r w:rsidRPr="00263DB9">
        <w:rPr>
          <w:b/>
          <w:bCs/>
          <w:color w:val="000000"/>
          <w:szCs w:val="22"/>
        </w:rPr>
        <w:t>ou raros</w:t>
      </w:r>
      <w:r w:rsidRPr="00263DB9">
        <w:rPr>
          <w:bCs/>
          <w:color w:val="000000"/>
          <w:szCs w:val="22"/>
        </w:rPr>
        <w:t xml:space="preserve"> (</w:t>
      </w:r>
      <w:r w:rsidRPr="00263DB9">
        <w:rPr>
          <w:color w:val="000000"/>
          <w:szCs w:val="22"/>
        </w:rPr>
        <w:t>podem afetar até 1 em 1.000 pessoas)</w:t>
      </w:r>
      <w:r w:rsidRPr="00263DB9">
        <w:rPr>
          <w:bCs/>
          <w:color w:val="000000"/>
          <w:szCs w:val="22"/>
        </w:rPr>
        <w:t>:</w:t>
      </w:r>
    </w:p>
    <w:p w14:paraId="375EBF48"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 no peito, ritmo cardíaco irregular (sinais de problema cardíaco).</w:t>
      </w:r>
    </w:p>
    <w:p w14:paraId="375EBF49"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Tosse, ter dificuldade em respirar ou respiração dolorosa (sinais de problemas respiratórios).</w:t>
      </w:r>
    </w:p>
    <w:p w14:paraId="375EBF4A"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Sensação de “cabeça oca”, tontura ou desmaio (sinais de tensão arterial baixa).</w:t>
      </w:r>
    </w:p>
    <w:p w14:paraId="375EBF4B"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Sentir-se mal (náuseas), com perda de apetite, urina de cor escura, amarelecimento da pele ou olhos (sinais de problemas no fígado).</w:t>
      </w:r>
    </w:p>
    <w:p w14:paraId="375EBF4C"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Erupção cutânea, vermelhidão da pele, com bolhas nos lábios, olhos, pele ou boca, descamação da pele, febre, aumento de manchas vermelhas ou púrpuras na pele, comichão, sensação de queimadura, erupção com pústulas (sinais de problemas na pele).</w:t>
      </w:r>
    </w:p>
    <w:p w14:paraId="375EBF4D"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 abdominal grave, sangue no vomitado, nas fezes ou na urina, escurecimento das fezes (sinais de problemas gastrointestinais).</w:t>
      </w:r>
    </w:p>
    <w:p w14:paraId="375EBF4E"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Diminuição grave do volume de urina, sensação de sede (sinais de problemas nos rins).</w:t>
      </w:r>
    </w:p>
    <w:p w14:paraId="375EBF4F"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Sentir-se mal (náuseas) com diarreia e vómitos, dor abdominal ou febre (sinais de problemas intestinais).</w:t>
      </w:r>
    </w:p>
    <w:p w14:paraId="375EBF50"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 de cabeça grave, fraqueza ou paralisia dos membros ou da face, dificuldade em falar, perda súbita de consciência (sinais de problemas do sistema nervoso tais como hemorragia ou inchaço do crânio/cérebro).</w:t>
      </w:r>
    </w:p>
    <w:p w14:paraId="375EBF51"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Palidez, sensação de cansaço e dificuldade em respirar e urina escura (sinais de baixos níveis sanguíneos de glóbulos vermelhos).</w:t>
      </w:r>
    </w:p>
    <w:p w14:paraId="375EBF52"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Dores nos olhos ou deterioração da visão, derrames nos olhos.</w:t>
      </w:r>
    </w:p>
    <w:p w14:paraId="375EBF53"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 nas ancas ou dificuldade em andar.</w:t>
      </w:r>
    </w:p>
    <w:p w14:paraId="375EBF54"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Dormência ou arrefecimento dos dedos dos pés e das mãos (sinais de síndrome de Raynaud).</w:t>
      </w:r>
    </w:p>
    <w:p w14:paraId="375EBF55"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Inchaço e vermelhidão repentina da pele (sinais de uma infeção da pele chamada de celulite).</w:t>
      </w:r>
    </w:p>
    <w:p w14:paraId="375EBF56"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Dificuldades de audição.</w:t>
      </w:r>
    </w:p>
    <w:p w14:paraId="375EBF57"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Fraqueza muscular e espasmos, alteração do ritmo cardíaco (sinais de alteração da quantidade de potássio no sangue).</w:t>
      </w:r>
    </w:p>
    <w:p w14:paraId="375EBF58"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Nódoas negras.</w:t>
      </w:r>
    </w:p>
    <w:p w14:paraId="375EBF59"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 no estômago com mal-estar (náuseas).</w:t>
      </w:r>
    </w:p>
    <w:p w14:paraId="375EBF5A"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Espasmos musculares com febre, urina vermelho-acastanhada, dor ou fraqueza nos músculos (sinais de problemas musculares).</w:t>
      </w:r>
    </w:p>
    <w:p w14:paraId="375EBF5B"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 pélvica por vezes acompanhada de náuseas e vómitos, com hemorragia vaginal inesperada, tonturas e desmaios devido à diminuição da pressão sanguínea (sinais de problemas nos óvarios ou no útero).</w:t>
      </w:r>
    </w:p>
    <w:p w14:paraId="375EBF5C" w14:textId="77777777" w:rsidR="009024ED"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4"/>
          <w:lang w:eastAsia="ja-JP"/>
        </w:rPr>
        <w:t xml:space="preserve">Náuseas, falta de ar, batimento cardíaco irregular, urina turva, cansaço e/ou desconforto nas articulações associado a alterações de exames laboratoriais (ex. níveis elevados de potássio, ácido úrico e </w:t>
      </w:r>
      <w:r w:rsidR="00484DC9" w:rsidRPr="00263DB9">
        <w:rPr>
          <w:color w:val="000000"/>
          <w:szCs w:val="24"/>
          <w:lang w:eastAsia="ja-JP"/>
        </w:rPr>
        <w:t xml:space="preserve">de cálcio </w:t>
      </w:r>
      <w:r w:rsidRPr="00263DB9">
        <w:rPr>
          <w:color w:val="000000"/>
          <w:szCs w:val="24"/>
          <w:lang w:eastAsia="ja-JP"/>
        </w:rPr>
        <w:t xml:space="preserve">e baixos níveis </w:t>
      </w:r>
      <w:r w:rsidR="00484DC9" w:rsidRPr="00263DB9">
        <w:rPr>
          <w:color w:val="000000"/>
          <w:szCs w:val="24"/>
          <w:lang w:eastAsia="ja-JP"/>
        </w:rPr>
        <w:t xml:space="preserve">de fósforo </w:t>
      </w:r>
      <w:r w:rsidRPr="00263DB9">
        <w:rPr>
          <w:color w:val="000000"/>
          <w:szCs w:val="24"/>
          <w:lang w:eastAsia="ja-JP"/>
        </w:rPr>
        <w:t>no sangue).</w:t>
      </w:r>
    </w:p>
    <w:p w14:paraId="375EBF5D" w14:textId="77777777" w:rsidR="00C91F25" w:rsidRPr="00263DB9" w:rsidRDefault="009024ED" w:rsidP="00E51817">
      <w:pPr>
        <w:widowControl w:val="0"/>
        <w:numPr>
          <w:ilvl w:val="0"/>
          <w:numId w:val="6"/>
        </w:numPr>
        <w:tabs>
          <w:tab w:val="clear" w:pos="360"/>
        </w:tabs>
        <w:suppressAutoHyphens/>
        <w:ind w:left="567" w:hanging="567"/>
        <w:rPr>
          <w:color w:val="000000"/>
          <w:szCs w:val="22"/>
        </w:rPr>
      </w:pPr>
      <w:r w:rsidRPr="00263DB9">
        <w:rPr>
          <w:color w:val="000000"/>
          <w:szCs w:val="22"/>
          <w:lang w:bidi="th-TH"/>
        </w:rPr>
        <w:t>Coágulos em vasos sanguíneos pequenos (microangiopatia trombótica).</w:t>
      </w:r>
    </w:p>
    <w:p w14:paraId="375EBF5E" w14:textId="77777777" w:rsidR="00046A86" w:rsidRPr="00263DB9" w:rsidRDefault="00046A86" w:rsidP="00E51817">
      <w:pPr>
        <w:widowControl w:val="0"/>
        <w:suppressAutoHyphens/>
        <w:rPr>
          <w:color w:val="000000"/>
          <w:szCs w:val="22"/>
        </w:rPr>
      </w:pPr>
    </w:p>
    <w:p w14:paraId="375EBF5F" w14:textId="77777777" w:rsidR="00046A86" w:rsidRPr="00263DB9" w:rsidRDefault="00046A86" w:rsidP="00E51817">
      <w:pPr>
        <w:keepNext/>
        <w:widowControl w:val="0"/>
        <w:suppressAutoHyphens/>
        <w:rPr>
          <w:color w:val="000000"/>
          <w:szCs w:val="24"/>
          <w:lang w:eastAsia="ja-JP"/>
        </w:rPr>
      </w:pPr>
      <w:r w:rsidRPr="00263DB9">
        <w:rPr>
          <w:b/>
          <w:color w:val="000000"/>
          <w:szCs w:val="24"/>
          <w:lang w:eastAsia="ja-JP"/>
        </w:rPr>
        <w:t>Desconhecido</w:t>
      </w:r>
      <w:r w:rsidR="001B6E83" w:rsidRPr="00263DB9">
        <w:rPr>
          <w:b/>
          <w:color w:val="000000"/>
          <w:szCs w:val="24"/>
          <w:lang w:eastAsia="ja-JP"/>
        </w:rPr>
        <w:t>s</w:t>
      </w:r>
      <w:r w:rsidR="00484DC9" w:rsidRPr="00263DB9">
        <w:rPr>
          <w:b/>
          <w:color w:val="000000"/>
          <w:szCs w:val="24"/>
          <w:lang w:eastAsia="ja-JP"/>
        </w:rPr>
        <w:t xml:space="preserve"> </w:t>
      </w:r>
      <w:r w:rsidR="00484DC9" w:rsidRPr="00263DB9">
        <w:rPr>
          <w:bCs/>
          <w:color w:val="000000"/>
          <w:szCs w:val="22"/>
        </w:rPr>
        <w:t>(</w:t>
      </w:r>
      <w:r w:rsidR="00484DC9" w:rsidRPr="00263DB9">
        <w:rPr>
          <w:color w:val="000000"/>
          <w:szCs w:val="22"/>
        </w:rPr>
        <w:t>não podem ser calculados a partir dos dados disponíveis)</w:t>
      </w:r>
      <w:r w:rsidRPr="00263DB9">
        <w:rPr>
          <w:color w:val="000000"/>
          <w:szCs w:val="24"/>
          <w:lang w:eastAsia="ja-JP"/>
        </w:rPr>
        <w:t>:</w:t>
      </w:r>
    </w:p>
    <w:p w14:paraId="375EBF60" w14:textId="77777777" w:rsidR="00046A86" w:rsidRPr="00263DB9" w:rsidRDefault="00046A86" w:rsidP="00E51817">
      <w:pPr>
        <w:widowControl w:val="0"/>
        <w:numPr>
          <w:ilvl w:val="0"/>
          <w:numId w:val="31"/>
        </w:numPr>
        <w:suppressAutoHyphens/>
        <w:ind w:left="567" w:hanging="567"/>
        <w:rPr>
          <w:color w:val="000000"/>
          <w:szCs w:val="22"/>
        </w:rPr>
      </w:pPr>
      <w:r w:rsidRPr="00263DB9">
        <w:rPr>
          <w:color w:val="000000"/>
          <w:szCs w:val="22"/>
        </w:rPr>
        <w:t>Combinação de erupção cutânea grave generalizada, sensação de mal-estar, febre, nível alto de certos glóbulos brancos ou pele ou olhos amarelos (sinais de ictrícia) com falta de ar, dor no peito/desconforto, redução grave do volume de urina e sensação de sede, etc. (sinais de reação alérgica relacionada com o tratamento).</w:t>
      </w:r>
    </w:p>
    <w:p w14:paraId="375EBF61" w14:textId="77777777" w:rsidR="00A008A5" w:rsidRPr="00263DB9" w:rsidRDefault="00A008A5" w:rsidP="00E51817">
      <w:pPr>
        <w:widowControl w:val="0"/>
        <w:numPr>
          <w:ilvl w:val="0"/>
          <w:numId w:val="31"/>
        </w:numPr>
        <w:suppressAutoHyphens/>
        <w:ind w:left="567" w:hanging="567"/>
        <w:rPr>
          <w:color w:val="000000"/>
          <w:szCs w:val="22"/>
        </w:rPr>
      </w:pPr>
      <w:r w:rsidRPr="00263DB9">
        <w:rPr>
          <w:color w:val="000000"/>
          <w:szCs w:val="22"/>
        </w:rPr>
        <w:t>Insuficiência renal aguda</w:t>
      </w:r>
      <w:r w:rsidR="005E4202" w:rsidRPr="00263DB9">
        <w:rPr>
          <w:color w:val="000000"/>
          <w:szCs w:val="22"/>
        </w:rPr>
        <w:t>.</w:t>
      </w:r>
    </w:p>
    <w:p w14:paraId="375EBF62" w14:textId="77777777" w:rsidR="00BF4055" w:rsidRPr="00263DB9" w:rsidRDefault="00BF4055" w:rsidP="00E51817">
      <w:pPr>
        <w:pStyle w:val="Default"/>
        <w:widowControl w:val="0"/>
        <w:numPr>
          <w:ilvl w:val="0"/>
          <w:numId w:val="31"/>
        </w:numPr>
        <w:suppressAutoHyphens/>
        <w:ind w:left="567" w:hanging="567"/>
        <w:rPr>
          <w:rFonts w:ascii="Times New Roman" w:hAnsi="Times New Roman" w:cs="Times New Roman"/>
          <w:sz w:val="22"/>
          <w:szCs w:val="22"/>
          <w:lang w:val="pt-PT"/>
        </w:rPr>
      </w:pPr>
      <w:r w:rsidRPr="00263DB9">
        <w:rPr>
          <w:rFonts w:ascii="Times New Roman" w:hAnsi="Times New Roman" w:cs="Times New Roman"/>
          <w:sz w:val="22"/>
          <w:szCs w:val="22"/>
          <w:lang w:val="pt-PT"/>
        </w:rPr>
        <w:lastRenderedPageBreak/>
        <w:t>Recorrência (reativação) da infeção pelo vírus da Hepatite B caso tenha tido Hepatite B no passado (uma infeção do fígado).</w:t>
      </w:r>
    </w:p>
    <w:p w14:paraId="375EBF63" w14:textId="77777777" w:rsidR="004824F7" w:rsidRPr="00263DB9" w:rsidRDefault="004824F7" w:rsidP="00E51817">
      <w:pPr>
        <w:pStyle w:val="Default"/>
        <w:widowControl w:val="0"/>
        <w:suppressAutoHyphens/>
        <w:rPr>
          <w:rFonts w:ascii="Times New Roman" w:hAnsi="Times New Roman" w:cs="Times New Roman"/>
          <w:sz w:val="22"/>
          <w:szCs w:val="22"/>
          <w:lang w:val="pt-PT"/>
        </w:rPr>
      </w:pPr>
    </w:p>
    <w:p w14:paraId="375EBF64" w14:textId="77777777" w:rsidR="00C91F25" w:rsidRPr="00263DB9" w:rsidRDefault="00C91F25" w:rsidP="00E51817">
      <w:pPr>
        <w:widowControl w:val="0"/>
        <w:suppressAutoHyphens/>
        <w:rPr>
          <w:b/>
          <w:bCs/>
          <w:color w:val="000000"/>
          <w:szCs w:val="22"/>
        </w:rPr>
      </w:pPr>
      <w:r w:rsidRPr="00263DB9">
        <w:rPr>
          <w:color w:val="000000"/>
          <w:szCs w:val="22"/>
        </w:rPr>
        <w:t xml:space="preserve">Se tiver algum dos efeitos secundários acima descritos, </w:t>
      </w:r>
      <w:r w:rsidRPr="00263DB9">
        <w:rPr>
          <w:b/>
          <w:bCs/>
          <w:color w:val="000000"/>
          <w:szCs w:val="22"/>
        </w:rPr>
        <w:t>informe o seu médico imediatamente.</w:t>
      </w:r>
    </w:p>
    <w:p w14:paraId="375EBF65" w14:textId="77777777" w:rsidR="00C91F25" w:rsidRPr="00263DB9" w:rsidRDefault="00C91F25" w:rsidP="00E51817">
      <w:pPr>
        <w:widowControl w:val="0"/>
        <w:suppressAutoHyphens/>
        <w:rPr>
          <w:color w:val="000000"/>
          <w:szCs w:val="22"/>
        </w:rPr>
      </w:pPr>
    </w:p>
    <w:p w14:paraId="375EBF66" w14:textId="77777777" w:rsidR="00C91F25" w:rsidRPr="00263DB9" w:rsidRDefault="00C91F25" w:rsidP="00273B82">
      <w:pPr>
        <w:keepNext/>
        <w:widowControl w:val="0"/>
        <w:suppressAutoHyphens/>
        <w:rPr>
          <w:b/>
          <w:bCs/>
          <w:color w:val="000000"/>
          <w:szCs w:val="22"/>
        </w:rPr>
      </w:pPr>
      <w:r w:rsidRPr="00263DB9">
        <w:rPr>
          <w:b/>
          <w:bCs/>
          <w:color w:val="000000"/>
          <w:szCs w:val="22"/>
        </w:rPr>
        <w:t>Outros efeitos secundários podem incluir:</w:t>
      </w:r>
    </w:p>
    <w:p w14:paraId="375EBF67" w14:textId="77777777" w:rsidR="00C91F25" w:rsidRPr="00263DB9" w:rsidRDefault="00C91F25" w:rsidP="00273B82">
      <w:pPr>
        <w:keepNext/>
        <w:widowControl w:val="0"/>
        <w:suppressAutoHyphens/>
        <w:rPr>
          <w:color w:val="000000"/>
          <w:szCs w:val="22"/>
        </w:rPr>
      </w:pPr>
    </w:p>
    <w:p w14:paraId="375EBF68" w14:textId="77777777" w:rsidR="00C91F25" w:rsidRPr="00263DB9" w:rsidRDefault="00C91F25" w:rsidP="00273B82">
      <w:pPr>
        <w:keepNext/>
        <w:widowControl w:val="0"/>
        <w:suppressAutoHyphens/>
        <w:rPr>
          <w:bCs/>
          <w:color w:val="000000"/>
          <w:szCs w:val="22"/>
        </w:rPr>
      </w:pPr>
      <w:r w:rsidRPr="00263DB9">
        <w:rPr>
          <w:b/>
          <w:bCs/>
          <w:color w:val="000000"/>
          <w:szCs w:val="22"/>
        </w:rPr>
        <w:t>Muito frequentes</w:t>
      </w:r>
      <w:r w:rsidRPr="00263DB9">
        <w:rPr>
          <w:bCs/>
          <w:color w:val="000000"/>
          <w:szCs w:val="22"/>
        </w:rPr>
        <w:t xml:space="preserve"> </w:t>
      </w:r>
      <w:r w:rsidRPr="00263DB9">
        <w:rPr>
          <w:color w:val="000000"/>
          <w:szCs w:val="22"/>
        </w:rPr>
        <w:t>(podem afetar mais de 1 em 10 pessoas)</w:t>
      </w:r>
      <w:r w:rsidRPr="00263DB9">
        <w:rPr>
          <w:bCs/>
          <w:color w:val="000000"/>
          <w:szCs w:val="22"/>
        </w:rPr>
        <w:t>:</w:t>
      </w:r>
    </w:p>
    <w:p w14:paraId="375EBF69" w14:textId="77777777" w:rsidR="00C91F25" w:rsidRPr="00263DB9" w:rsidRDefault="00C91F25" w:rsidP="00E51817">
      <w:pPr>
        <w:widowControl w:val="0"/>
        <w:numPr>
          <w:ilvl w:val="0"/>
          <w:numId w:val="15"/>
        </w:numPr>
        <w:tabs>
          <w:tab w:val="clear" w:pos="720"/>
        </w:tabs>
        <w:suppressAutoHyphens/>
        <w:ind w:left="567" w:hanging="567"/>
        <w:rPr>
          <w:color w:val="000000"/>
          <w:szCs w:val="22"/>
        </w:rPr>
      </w:pPr>
      <w:r w:rsidRPr="00263DB9">
        <w:rPr>
          <w:color w:val="000000"/>
          <w:szCs w:val="22"/>
        </w:rPr>
        <w:t>Dor de cabeça ou cansaço.</w:t>
      </w:r>
    </w:p>
    <w:p w14:paraId="375EBF6A" w14:textId="77777777" w:rsidR="00C91F25" w:rsidRPr="00263DB9" w:rsidRDefault="00C91F25" w:rsidP="00E51817">
      <w:pPr>
        <w:widowControl w:val="0"/>
        <w:numPr>
          <w:ilvl w:val="0"/>
          <w:numId w:val="15"/>
        </w:numPr>
        <w:tabs>
          <w:tab w:val="clear" w:pos="720"/>
        </w:tabs>
        <w:suppressAutoHyphens/>
        <w:ind w:left="567" w:hanging="567"/>
        <w:rPr>
          <w:color w:val="000000"/>
          <w:szCs w:val="22"/>
        </w:rPr>
      </w:pPr>
      <w:r w:rsidRPr="00263DB9">
        <w:rPr>
          <w:color w:val="000000"/>
          <w:szCs w:val="22"/>
        </w:rPr>
        <w:t>Mal-estar (naúseas), mal-estar (vómitos), diarreia ou indigestão.</w:t>
      </w:r>
    </w:p>
    <w:p w14:paraId="375EBF6B" w14:textId="77777777" w:rsidR="00C91F25" w:rsidRPr="00263DB9" w:rsidRDefault="00C91F25" w:rsidP="00E51817">
      <w:pPr>
        <w:widowControl w:val="0"/>
        <w:numPr>
          <w:ilvl w:val="0"/>
          <w:numId w:val="15"/>
        </w:numPr>
        <w:tabs>
          <w:tab w:val="clear" w:pos="720"/>
        </w:tabs>
        <w:suppressAutoHyphens/>
        <w:ind w:left="567" w:hanging="567"/>
        <w:rPr>
          <w:color w:val="000000"/>
          <w:szCs w:val="22"/>
        </w:rPr>
      </w:pPr>
      <w:r w:rsidRPr="00263DB9">
        <w:rPr>
          <w:color w:val="000000"/>
          <w:szCs w:val="22"/>
        </w:rPr>
        <w:t>Erupção cutânea.</w:t>
      </w:r>
    </w:p>
    <w:p w14:paraId="375EBF6C" w14:textId="77777777" w:rsidR="00C91F25" w:rsidRPr="00263DB9" w:rsidRDefault="00C91F25" w:rsidP="00E51817">
      <w:pPr>
        <w:widowControl w:val="0"/>
        <w:numPr>
          <w:ilvl w:val="0"/>
          <w:numId w:val="15"/>
        </w:numPr>
        <w:tabs>
          <w:tab w:val="clear" w:pos="720"/>
        </w:tabs>
        <w:suppressAutoHyphens/>
        <w:ind w:left="567" w:hanging="567"/>
        <w:rPr>
          <w:color w:val="000000"/>
          <w:szCs w:val="22"/>
        </w:rPr>
      </w:pPr>
      <w:r w:rsidRPr="00263DB9">
        <w:rPr>
          <w:color w:val="000000"/>
          <w:szCs w:val="22"/>
        </w:rPr>
        <w:t>Cãibras musculares ou dor nas articulações, nos músculos ou nos ossos</w:t>
      </w:r>
      <w:r w:rsidR="00D44247" w:rsidRPr="00263DB9">
        <w:rPr>
          <w:color w:val="000000"/>
          <w:szCs w:val="22"/>
        </w:rPr>
        <w:t>, durante o tratamento com Glivec ou após ter parado de tomar Glivec</w:t>
      </w:r>
      <w:r w:rsidRPr="00263DB9">
        <w:rPr>
          <w:color w:val="000000"/>
          <w:szCs w:val="22"/>
        </w:rPr>
        <w:t>.</w:t>
      </w:r>
    </w:p>
    <w:p w14:paraId="375EBF6D" w14:textId="77777777" w:rsidR="00C91F25" w:rsidRPr="00263DB9" w:rsidRDefault="00C91F25" w:rsidP="00E51817">
      <w:pPr>
        <w:widowControl w:val="0"/>
        <w:numPr>
          <w:ilvl w:val="0"/>
          <w:numId w:val="15"/>
        </w:numPr>
        <w:tabs>
          <w:tab w:val="clear" w:pos="720"/>
        </w:tabs>
        <w:suppressAutoHyphens/>
        <w:ind w:left="567" w:hanging="567"/>
        <w:rPr>
          <w:color w:val="000000"/>
          <w:szCs w:val="22"/>
        </w:rPr>
      </w:pPr>
      <w:r w:rsidRPr="00263DB9">
        <w:rPr>
          <w:color w:val="000000"/>
          <w:szCs w:val="22"/>
        </w:rPr>
        <w:t>Inchaço dos tornozelos ou dos olhos.</w:t>
      </w:r>
    </w:p>
    <w:p w14:paraId="375EBF6E" w14:textId="77777777" w:rsidR="00C91F25" w:rsidRPr="00263DB9" w:rsidRDefault="00C91F25" w:rsidP="00E51817">
      <w:pPr>
        <w:widowControl w:val="0"/>
        <w:numPr>
          <w:ilvl w:val="0"/>
          <w:numId w:val="15"/>
        </w:numPr>
        <w:tabs>
          <w:tab w:val="clear" w:pos="720"/>
        </w:tabs>
        <w:suppressAutoHyphens/>
        <w:ind w:left="567" w:hanging="567"/>
        <w:rPr>
          <w:color w:val="000000"/>
          <w:szCs w:val="22"/>
        </w:rPr>
      </w:pPr>
      <w:r w:rsidRPr="00263DB9">
        <w:rPr>
          <w:color w:val="000000"/>
          <w:szCs w:val="22"/>
        </w:rPr>
        <w:t>Aumento de peso.</w:t>
      </w:r>
    </w:p>
    <w:p w14:paraId="375EBF6F" w14:textId="77777777" w:rsidR="00C91F25" w:rsidRPr="00263DB9" w:rsidRDefault="00C91F25" w:rsidP="00E51817">
      <w:pPr>
        <w:widowControl w:val="0"/>
        <w:suppressAutoHyphens/>
        <w:rPr>
          <w:color w:val="000000"/>
          <w:szCs w:val="22"/>
        </w:rPr>
      </w:pPr>
      <w:r w:rsidRPr="00263DB9">
        <w:rPr>
          <w:color w:val="000000"/>
          <w:szCs w:val="22"/>
        </w:rPr>
        <w:t xml:space="preserve">Caso algum destes efeitos o afete gravemente, </w:t>
      </w:r>
      <w:r w:rsidRPr="00263DB9">
        <w:rPr>
          <w:b/>
          <w:color w:val="000000"/>
          <w:szCs w:val="22"/>
        </w:rPr>
        <w:t>avise o seu médico</w:t>
      </w:r>
      <w:r w:rsidRPr="00263DB9">
        <w:rPr>
          <w:color w:val="000000"/>
          <w:szCs w:val="22"/>
        </w:rPr>
        <w:t>.</w:t>
      </w:r>
    </w:p>
    <w:p w14:paraId="375EBF70" w14:textId="77777777" w:rsidR="00C91F25" w:rsidRPr="00263DB9" w:rsidRDefault="00C91F25" w:rsidP="00E51817">
      <w:pPr>
        <w:widowControl w:val="0"/>
        <w:suppressAutoHyphens/>
        <w:rPr>
          <w:color w:val="000000"/>
          <w:szCs w:val="22"/>
        </w:rPr>
      </w:pPr>
    </w:p>
    <w:p w14:paraId="375EBF71" w14:textId="77777777" w:rsidR="00C91F25" w:rsidRPr="00263DB9" w:rsidRDefault="00C91F25" w:rsidP="00273B82">
      <w:pPr>
        <w:keepNext/>
        <w:widowControl w:val="0"/>
        <w:suppressAutoHyphens/>
        <w:rPr>
          <w:bCs/>
          <w:color w:val="000000"/>
          <w:szCs w:val="22"/>
        </w:rPr>
      </w:pPr>
      <w:r w:rsidRPr="00263DB9">
        <w:rPr>
          <w:b/>
          <w:bCs/>
          <w:color w:val="000000"/>
          <w:szCs w:val="22"/>
        </w:rPr>
        <w:t>Frequentes</w:t>
      </w:r>
      <w:r w:rsidRPr="00263DB9">
        <w:rPr>
          <w:bCs/>
          <w:color w:val="000000"/>
          <w:szCs w:val="22"/>
        </w:rPr>
        <w:t xml:space="preserve"> </w:t>
      </w:r>
      <w:r w:rsidRPr="00263DB9">
        <w:rPr>
          <w:color w:val="000000"/>
          <w:szCs w:val="22"/>
        </w:rPr>
        <w:t>(podem afetar até 1 em 10 pessoas)</w:t>
      </w:r>
      <w:r w:rsidRPr="00263DB9">
        <w:rPr>
          <w:bCs/>
          <w:color w:val="000000"/>
          <w:szCs w:val="22"/>
        </w:rPr>
        <w:t>:</w:t>
      </w:r>
    </w:p>
    <w:p w14:paraId="375EBF72"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Perda de apetite, perda de peso ou alterações do paladar.</w:t>
      </w:r>
    </w:p>
    <w:p w14:paraId="375EBF73"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Sensação de tontura ou fraqueza.</w:t>
      </w:r>
    </w:p>
    <w:p w14:paraId="375EBF74"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Dificuldade em dormir (insónia).</w:t>
      </w:r>
    </w:p>
    <w:p w14:paraId="375EBF75"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Lacrimejo com comichão nos olhos, vermelhidão ou inchaço (conjuntivite), olhos lacrimejantes ou visão turva.</w:t>
      </w:r>
    </w:p>
    <w:p w14:paraId="375EBF76"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Hemorragias nasais.</w:t>
      </w:r>
    </w:p>
    <w:p w14:paraId="375EBF77"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Dor ou inchaço no abdómen, flatulência (gases), azia ou prisão de ventre.</w:t>
      </w:r>
    </w:p>
    <w:p w14:paraId="375EBF78"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Comichão.</w:t>
      </w:r>
    </w:p>
    <w:p w14:paraId="375EBF79"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Perda de cabelo anormal ou enfraquecimento.</w:t>
      </w:r>
    </w:p>
    <w:p w14:paraId="375EBF7A"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Dormência das mãos ou dos pés.</w:t>
      </w:r>
    </w:p>
    <w:p w14:paraId="375EBF7B"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Úlceras na boca.</w:t>
      </w:r>
    </w:p>
    <w:p w14:paraId="375EBF7C"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Dor e inchaço das articulações.</w:t>
      </w:r>
    </w:p>
    <w:p w14:paraId="375EBF7D"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Boca seca, pele seca ou olho seco.</w:t>
      </w:r>
    </w:p>
    <w:p w14:paraId="375EBF7E"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Diminuição ou aumento da sensibilidade cutânea.</w:t>
      </w:r>
    </w:p>
    <w:p w14:paraId="375EBF7F"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Afrontamentos, arrepios ou suores nocturnos.</w:t>
      </w:r>
    </w:p>
    <w:p w14:paraId="375EBF80" w14:textId="77777777" w:rsidR="00C91F25" w:rsidRPr="00263DB9" w:rsidRDefault="00C91F25" w:rsidP="00E51817">
      <w:pPr>
        <w:widowControl w:val="0"/>
        <w:suppressAutoHyphens/>
        <w:rPr>
          <w:color w:val="000000"/>
          <w:szCs w:val="22"/>
        </w:rPr>
      </w:pPr>
      <w:r w:rsidRPr="00263DB9">
        <w:rPr>
          <w:color w:val="000000"/>
          <w:szCs w:val="22"/>
        </w:rPr>
        <w:t>Caso algum destes efeitos seja grave,</w:t>
      </w:r>
      <w:r w:rsidRPr="00263DB9">
        <w:rPr>
          <w:b/>
          <w:color w:val="000000"/>
          <w:szCs w:val="22"/>
        </w:rPr>
        <w:t xml:space="preserve"> avise o seu médico.</w:t>
      </w:r>
    </w:p>
    <w:p w14:paraId="375EBF81" w14:textId="77777777" w:rsidR="00C91F25" w:rsidRPr="00263DB9" w:rsidRDefault="00C91F25" w:rsidP="00E51817">
      <w:pPr>
        <w:pStyle w:val="EndnoteText"/>
        <w:tabs>
          <w:tab w:val="clear" w:pos="567"/>
        </w:tabs>
        <w:suppressAutoHyphens/>
        <w:rPr>
          <w:color w:val="000000"/>
          <w:szCs w:val="22"/>
        </w:rPr>
      </w:pPr>
    </w:p>
    <w:p w14:paraId="375EBF82" w14:textId="77777777" w:rsidR="00C91F25" w:rsidRPr="00263DB9" w:rsidRDefault="00C91F25" w:rsidP="00273B82">
      <w:pPr>
        <w:pStyle w:val="EndnoteText"/>
        <w:keepNext/>
        <w:tabs>
          <w:tab w:val="clear" w:pos="567"/>
        </w:tabs>
        <w:suppressAutoHyphens/>
        <w:rPr>
          <w:bCs/>
          <w:color w:val="000000"/>
          <w:szCs w:val="22"/>
        </w:rPr>
      </w:pPr>
      <w:r w:rsidRPr="00263DB9">
        <w:rPr>
          <w:b/>
          <w:bCs/>
          <w:color w:val="000000"/>
          <w:szCs w:val="22"/>
        </w:rPr>
        <w:t>Desconhecidos</w:t>
      </w:r>
      <w:r w:rsidRPr="00263DB9">
        <w:rPr>
          <w:bCs/>
          <w:color w:val="000000"/>
          <w:szCs w:val="22"/>
        </w:rPr>
        <w:t xml:space="preserve"> (</w:t>
      </w:r>
      <w:r w:rsidRPr="00263DB9">
        <w:rPr>
          <w:color w:val="000000"/>
          <w:szCs w:val="22"/>
        </w:rPr>
        <w:t>não podem ser calculados a partir dos dados disponíveis)</w:t>
      </w:r>
      <w:r w:rsidRPr="00263DB9">
        <w:rPr>
          <w:bCs/>
          <w:color w:val="000000"/>
          <w:szCs w:val="22"/>
        </w:rPr>
        <w:t>:</w:t>
      </w:r>
    </w:p>
    <w:p w14:paraId="375EBF83" w14:textId="77777777" w:rsidR="00C91F25" w:rsidRPr="00263DB9" w:rsidRDefault="00C91F25" w:rsidP="00E51817">
      <w:pPr>
        <w:pStyle w:val="EndnoteText"/>
        <w:numPr>
          <w:ilvl w:val="0"/>
          <w:numId w:val="17"/>
        </w:numPr>
        <w:tabs>
          <w:tab w:val="clear" w:pos="567"/>
          <w:tab w:val="clear" w:pos="720"/>
        </w:tabs>
        <w:suppressAutoHyphens/>
        <w:ind w:left="567" w:hanging="567"/>
        <w:rPr>
          <w:color w:val="000000"/>
          <w:szCs w:val="22"/>
        </w:rPr>
      </w:pPr>
      <w:r w:rsidRPr="00263DB9">
        <w:rPr>
          <w:color w:val="000000"/>
          <w:szCs w:val="22"/>
        </w:rPr>
        <w:t>Vermelhidão e/ou inchaço das palmas das mãos e solas dos pés podendo ser acompanhadas de sensação de formigueiro e queimadura.</w:t>
      </w:r>
    </w:p>
    <w:p w14:paraId="375EBF84" w14:textId="77777777" w:rsidR="009207F7" w:rsidRPr="00263DB9" w:rsidRDefault="009207F7" w:rsidP="00E51817">
      <w:pPr>
        <w:pStyle w:val="EndnoteText"/>
        <w:numPr>
          <w:ilvl w:val="0"/>
          <w:numId w:val="17"/>
        </w:numPr>
        <w:tabs>
          <w:tab w:val="clear" w:pos="567"/>
          <w:tab w:val="clear" w:pos="720"/>
        </w:tabs>
        <w:suppressAutoHyphens/>
        <w:ind w:left="567" w:hanging="567"/>
        <w:rPr>
          <w:color w:val="000000"/>
          <w:szCs w:val="22"/>
        </w:rPr>
      </w:pPr>
      <w:r w:rsidRPr="00263DB9">
        <w:rPr>
          <w:color w:val="000000"/>
          <w:szCs w:val="22"/>
        </w:rPr>
        <w:t>Lesões na pele dolorosas e/ou com bolhas</w:t>
      </w:r>
      <w:r w:rsidR="001C03FE" w:rsidRPr="00263DB9">
        <w:rPr>
          <w:color w:val="000000"/>
          <w:szCs w:val="22"/>
        </w:rPr>
        <w:t>.</w:t>
      </w:r>
    </w:p>
    <w:p w14:paraId="375EBF85" w14:textId="77777777" w:rsidR="00C91F25" w:rsidRPr="00263DB9" w:rsidRDefault="00C91F25" w:rsidP="00E51817">
      <w:pPr>
        <w:pStyle w:val="EndnoteText"/>
        <w:numPr>
          <w:ilvl w:val="0"/>
          <w:numId w:val="17"/>
        </w:numPr>
        <w:tabs>
          <w:tab w:val="clear" w:pos="567"/>
          <w:tab w:val="clear" w:pos="720"/>
        </w:tabs>
        <w:suppressAutoHyphens/>
        <w:ind w:left="567" w:hanging="567"/>
        <w:rPr>
          <w:color w:val="000000"/>
          <w:szCs w:val="22"/>
        </w:rPr>
      </w:pPr>
      <w:r w:rsidRPr="00263DB9">
        <w:rPr>
          <w:color w:val="000000"/>
          <w:szCs w:val="22"/>
        </w:rPr>
        <w:t>Atraso no crescimento em crianças e adolescentes.</w:t>
      </w:r>
    </w:p>
    <w:p w14:paraId="375EBF86" w14:textId="77777777" w:rsidR="00C91F25" w:rsidRPr="00263DB9" w:rsidRDefault="00C91F25" w:rsidP="00E51817">
      <w:pPr>
        <w:pStyle w:val="EndnoteText"/>
      </w:pPr>
      <w:r w:rsidRPr="00263DB9">
        <w:t>Caso algum destes efeitos seja grave,</w:t>
      </w:r>
      <w:r w:rsidRPr="00263DB9">
        <w:rPr>
          <w:b/>
        </w:rPr>
        <w:t xml:space="preserve"> avise o seu médico.</w:t>
      </w:r>
    </w:p>
    <w:p w14:paraId="375EBF87" w14:textId="77777777" w:rsidR="00C91F25" w:rsidRPr="00263DB9" w:rsidRDefault="00C91F25" w:rsidP="00E51817">
      <w:pPr>
        <w:pStyle w:val="EndnoteText"/>
        <w:tabs>
          <w:tab w:val="clear" w:pos="567"/>
        </w:tabs>
        <w:suppressAutoHyphens/>
        <w:rPr>
          <w:color w:val="000000"/>
          <w:szCs w:val="22"/>
        </w:rPr>
      </w:pPr>
    </w:p>
    <w:p w14:paraId="375EBF88" w14:textId="77777777" w:rsidR="00C91F25" w:rsidRPr="00263DB9" w:rsidRDefault="00C91F25" w:rsidP="00273B82">
      <w:pPr>
        <w:keepNext/>
        <w:widowControl w:val="0"/>
        <w:suppressAutoHyphens/>
        <w:rPr>
          <w:b/>
          <w:color w:val="000000"/>
          <w:szCs w:val="22"/>
        </w:rPr>
      </w:pPr>
      <w:r w:rsidRPr="00263DB9">
        <w:rPr>
          <w:b/>
          <w:noProof/>
          <w:szCs w:val="22"/>
        </w:rPr>
        <w:t>Comunicação de efeitos secundários</w:t>
      </w:r>
    </w:p>
    <w:p w14:paraId="375EBF89" w14:textId="77777777" w:rsidR="00C91F25" w:rsidRPr="00263DB9" w:rsidRDefault="00C91F25" w:rsidP="00E51817">
      <w:pPr>
        <w:widowControl w:val="0"/>
        <w:suppressAutoHyphens/>
        <w:rPr>
          <w:b/>
          <w:color w:val="000000"/>
          <w:szCs w:val="22"/>
        </w:rPr>
      </w:pPr>
      <w:r w:rsidRPr="00263DB9">
        <w:rPr>
          <w:color w:val="000000"/>
          <w:szCs w:val="22"/>
        </w:rPr>
        <w:t>Se tiver quaisquer efeitos secundários</w:t>
      </w:r>
      <w:r w:rsidR="00F14C0A" w:rsidRPr="00263DB9">
        <w:rPr>
          <w:color w:val="000000"/>
          <w:szCs w:val="22"/>
        </w:rPr>
        <w:t>,</w:t>
      </w:r>
      <w:r w:rsidRPr="00263DB9">
        <w:rPr>
          <w:color w:val="000000"/>
          <w:szCs w:val="22"/>
        </w:rPr>
        <w:t xml:space="preserve"> incluindo possíveis efeitos secundários não indicados neste folheto, fale com o seu médico, farmacêutico ou enfermeiro</w:t>
      </w:r>
      <w:r w:rsidRPr="00263DB9">
        <w:rPr>
          <w:b/>
          <w:color w:val="000000"/>
          <w:szCs w:val="22"/>
        </w:rPr>
        <w:t xml:space="preserve">. </w:t>
      </w:r>
      <w:r w:rsidRPr="00263DB9">
        <w:rPr>
          <w:szCs w:val="22"/>
        </w:rPr>
        <w:t xml:space="preserve">Também poderá comunicar efeitos secundários diretamente através </w:t>
      </w:r>
      <w:r w:rsidRPr="00263DB9">
        <w:rPr>
          <w:szCs w:val="22"/>
          <w:shd w:val="clear" w:color="auto" w:fill="D9D9D9"/>
        </w:rPr>
        <w:t xml:space="preserve">do sistema nacional de notificação mencionado no </w:t>
      </w:r>
      <w:hyperlink r:id="rId16" w:history="1">
        <w:r w:rsidRPr="00263DB9">
          <w:rPr>
            <w:rStyle w:val="Hyperlink"/>
            <w:shd w:val="clear" w:color="auto" w:fill="D9D9D9"/>
          </w:rPr>
          <w:t>Apêndice V</w:t>
        </w:r>
      </w:hyperlink>
      <w:r w:rsidRPr="00263DB9">
        <w:rPr>
          <w:szCs w:val="22"/>
        </w:rPr>
        <w:t>. Ao comunicar efeitos secundários, estará a ajudar a fornecer mais informações sobre a segurança deste medicamento.</w:t>
      </w:r>
    </w:p>
    <w:p w14:paraId="375EBF8A" w14:textId="77777777" w:rsidR="00C91F25" w:rsidRPr="00263DB9" w:rsidRDefault="00C91F25" w:rsidP="00E51817">
      <w:pPr>
        <w:pStyle w:val="EndnoteText"/>
        <w:tabs>
          <w:tab w:val="clear" w:pos="567"/>
        </w:tabs>
        <w:suppressAutoHyphens/>
        <w:rPr>
          <w:color w:val="000000"/>
          <w:szCs w:val="22"/>
        </w:rPr>
      </w:pPr>
    </w:p>
    <w:p w14:paraId="375EBF8B" w14:textId="77777777" w:rsidR="00C91F25" w:rsidRPr="00263DB9" w:rsidRDefault="00C91F25" w:rsidP="00E51817">
      <w:pPr>
        <w:pStyle w:val="EndnoteText"/>
        <w:tabs>
          <w:tab w:val="clear" w:pos="567"/>
        </w:tabs>
        <w:suppressAutoHyphens/>
        <w:rPr>
          <w:color w:val="000000"/>
          <w:szCs w:val="22"/>
        </w:rPr>
      </w:pPr>
    </w:p>
    <w:p w14:paraId="375EBF8C" w14:textId="77777777" w:rsidR="00906898" w:rsidRPr="00263DB9" w:rsidRDefault="00906898" w:rsidP="00273B82">
      <w:pPr>
        <w:keepNext/>
        <w:widowControl w:val="0"/>
        <w:suppressAutoHyphens/>
        <w:ind w:left="567" w:hanging="567"/>
        <w:rPr>
          <w:color w:val="000000"/>
          <w:szCs w:val="22"/>
        </w:rPr>
      </w:pPr>
      <w:r w:rsidRPr="00263DB9">
        <w:rPr>
          <w:b/>
          <w:color w:val="000000"/>
          <w:szCs w:val="22"/>
        </w:rPr>
        <w:t>5.</w:t>
      </w:r>
      <w:r w:rsidRPr="00263DB9">
        <w:rPr>
          <w:b/>
          <w:color w:val="000000"/>
          <w:szCs w:val="22"/>
        </w:rPr>
        <w:tab/>
        <w:t>Como conservar Glivec</w:t>
      </w:r>
    </w:p>
    <w:p w14:paraId="375EBF8D" w14:textId="77777777" w:rsidR="00906898" w:rsidRPr="00263DB9" w:rsidRDefault="00906898" w:rsidP="00273B82">
      <w:pPr>
        <w:keepNext/>
        <w:widowControl w:val="0"/>
        <w:suppressAutoHyphens/>
        <w:rPr>
          <w:color w:val="000000"/>
          <w:szCs w:val="22"/>
        </w:rPr>
      </w:pPr>
    </w:p>
    <w:p w14:paraId="375EBF8E" w14:textId="77777777" w:rsidR="00906898" w:rsidRPr="00263DB9" w:rsidRDefault="00906898" w:rsidP="00E51817">
      <w:pPr>
        <w:widowControl w:val="0"/>
        <w:numPr>
          <w:ilvl w:val="0"/>
          <w:numId w:val="2"/>
        </w:numPr>
        <w:tabs>
          <w:tab w:val="clear" w:pos="1069"/>
        </w:tabs>
        <w:suppressAutoHyphens/>
        <w:ind w:left="567" w:hanging="567"/>
        <w:rPr>
          <w:color w:val="000000"/>
          <w:szCs w:val="22"/>
        </w:rPr>
      </w:pPr>
      <w:r w:rsidRPr="00263DB9">
        <w:rPr>
          <w:color w:val="000000"/>
          <w:szCs w:val="22"/>
        </w:rPr>
        <w:t>Manter este medicamento fora da vista e do alcance das crianças.</w:t>
      </w:r>
    </w:p>
    <w:p w14:paraId="375EBF8F" w14:textId="77777777" w:rsidR="00906898" w:rsidRPr="00263DB9" w:rsidRDefault="00906898" w:rsidP="00E51817">
      <w:pPr>
        <w:widowControl w:val="0"/>
        <w:numPr>
          <w:ilvl w:val="0"/>
          <w:numId w:val="2"/>
        </w:numPr>
        <w:tabs>
          <w:tab w:val="clear" w:pos="1069"/>
        </w:tabs>
        <w:suppressAutoHyphens/>
        <w:ind w:left="567" w:hanging="567"/>
        <w:rPr>
          <w:color w:val="000000"/>
          <w:szCs w:val="22"/>
        </w:rPr>
      </w:pPr>
      <w:r w:rsidRPr="00263DB9">
        <w:rPr>
          <w:color w:val="000000"/>
          <w:szCs w:val="22"/>
        </w:rPr>
        <w:t>Não utilize este medicamento após o prazo de validade impresso na embalagem exterior</w:t>
      </w:r>
      <w:r w:rsidR="009207F7" w:rsidRPr="00263DB9">
        <w:rPr>
          <w:color w:val="000000"/>
          <w:szCs w:val="22"/>
        </w:rPr>
        <w:t>, após EXP</w:t>
      </w:r>
      <w:r w:rsidRPr="00263DB9">
        <w:rPr>
          <w:color w:val="000000"/>
          <w:szCs w:val="22"/>
        </w:rPr>
        <w:t>.</w:t>
      </w:r>
    </w:p>
    <w:p w14:paraId="375EBF90" w14:textId="77777777" w:rsidR="00906898" w:rsidRPr="00263DB9" w:rsidRDefault="00906898" w:rsidP="00E51817">
      <w:pPr>
        <w:widowControl w:val="0"/>
        <w:numPr>
          <w:ilvl w:val="0"/>
          <w:numId w:val="2"/>
        </w:numPr>
        <w:tabs>
          <w:tab w:val="clear" w:pos="1069"/>
        </w:tabs>
        <w:suppressAutoHyphens/>
        <w:ind w:left="567" w:hanging="567"/>
        <w:rPr>
          <w:color w:val="000000"/>
          <w:szCs w:val="22"/>
        </w:rPr>
      </w:pPr>
      <w:r w:rsidRPr="00263DB9">
        <w:rPr>
          <w:color w:val="000000"/>
          <w:szCs w:val="22"/>
        </w:rPr>
        <w:lastRenderedPageBreak/>
        <w:t>Não conservar acima de 30°C.</w:t>
      </w:r>
    </w:p>
    <w:p w14:paraId="375EBF91" w14:textId="77777777" w:rsidR="00906898" w:rsidRPr="00263DB9" w:rsidRDefault="00906898" w:rsidP="00E51817">
      <w:pPr>
        <w:widowControl w:val="0"/>
        <w:numPr>
          <w:ilvl w:val="0"/>
          <w:numId w:val="2"/>
        </w:numPr>
        <w:tabs>
          <w:tab w:val="clear" w:pos="1069"/>
        </w:tabs>
        <w:suppressAutoHyphens/>
        <w:ind w:left="567" w:hanging="567"/>
        <w:rPr>
          <w:color w:val="000000"/>
          <w:szCs w:val="22"/>
        </w:rPr>
      </w:pPr>
      <w:r w:rsidRPr="00263DB9">
        <w:rPr>
          <w:color w:val="000000"/>
          <w:szCs w:val="22"/>
        </w:rPr>
        <w:t>Conservar na embalagem de origem para proteger da humidade.</w:t>
      </w:r>
    </w:p>
    <w:p w14:paraId="375EBF92" w14:textId="77777777" w:rsidR="00906898" w:rsidRPr="00263DB9" w:rsidRDefault="00906898" w:rsidP="00E51817">
      <w:pPr>
        <w:widowControl w:val="0"/>
        <w:numPr>
          <w:ilvl w:val="0"/>
          <w:numId w:val="2"/>
        </w:numPr>
        <w:tabs>
          <w:tab w:val="clear" w:pos="1069"/>
        </w:tabs>
        <w:suppressAutoHyphens/>
        <w:ind w:left="567" w:hanging="567"/>
        <w:rPr>
          <w:color w:val="000000"/>
          <w:szCs w:val="22"/>
        </w:rPr>
      </w:pPr>
      <w:r w:rsidRPr="00263DB9">
        <w:rPr>
          <w:color w:val="000000"/>
          <w:szCs w:val="22"/>
        </w:rPr>
        <w:t>Não utilize se verificar que a embalagem está danificada ou mostre sinais de adulteração.</w:t>
      </w:r>
    </w:p>
    <w:p w14:paraId="375EBF93" w14:textId="77777777" w:rsidR="00974390" w:rsidRPr="00263DB9" w:rsidRDefault="00974390" w:rsidP="00E51817">
      <w:pPr>
        <w:widowControl w:val="0"/>
        <w:numPr>
          <w:ilvl w:val="0"/>
          <w:numId w:val="2"/>
        </w:numPr>
        <w:tabs>
          <w:tab w:val="clear" w:pos="1069"/>
        </w:tabs>
        <w:suppressAutoHyphens/>
        <w:ind w:left="567" w:hanging="567"/>
        <w:rPr>
          <w:color w:val="000000"/>
          <w:szCs w:val="22"/>
        </w:rPr>
      </w:pPr>
      <w:r w:rsidRPr="00263DB9">
        <w:rPr>
          <w:szCs w:val="24"/>
        </w:rPr>
        <w:t>Não deite fora quaisquer medicamentos na canalização ou no lixo doméstico. Pergunte ao seu farmacêutico como deitar fora os medicamentos que já não utiliza. Estas medidas ajudarão a proteger o ambiente.</w:t>
      </w:r>
    </w:p>
    <w:p w14:paraId="375EBF94" w14:textId="77777777" w:rsidR="00906898" w:rsidRPr="00263DB9" w:rsidRDefault="00906898" w:rsidP="00E51817">
      <w:pPr>
        <w:widowControl w:val="0"/>
        <w:suppressAutoHyphens/>
        <w:ind w:left="426" w:hanging="426"/>
        <w:rPr>
          <w:color w:val="000000"/>
          <w:szCs w:val="22"/>
        </w:rPr>
      </w:pPr>
    </w:p>
    <w:p w14:paraId="375EBF95" w14:textId="77777777" w:rsidR="00906898" w:rsidRPr="00263DB9" w:rsidRDefault="00906898" w:rsidP="00E51817">
      <w:pPr>
        <w:widowControl w:val="0"/>
        <w:suppressAutoHyphens/>
        <w:rPr>
          <w:color w:val="000000"/>
          <w:szCs w:val="22"/>
        </w:rPr>
      </w:pPr>
    </w:p>
    <w:p w14:paraId="375EBF96" w14:textId="77777777" w:rsidR="00906898" w:rsidRPr="00263DB9" w:rsidRDefault="00906898" w:rsidP="00273B82">
      <w:pPr>
        <w:keepNext/>
        <w:widowControl w:val="0"/>
        <w:suppressAutoHyphens/>
        <w:rPr>
          <w:b/>
          <w:caps/>
          <w:color w:val="000000"/>
          <w:szCs w:val="22"/>
        </w:rPr>
      </w:pPr>
      <w:r w:rsidRPr="00263DB9">
        <w:rPr>
          <w:b/>
          <w:caps/>
          <w:color w:val="000000"/>
          <w:szCs w:val="22"/>
        </w:rPr>
        <w:t>6.</w:t>
      </w:r>
      <w:r w:rsidRPr="00263DB9">
        <w:rPr>
          <w:b/>
          <w:caps/>
          <w:color w:val="000000"/>
          <w:szCs w:val="22"/>
        </w:rPr>
        <w:tab/>
      </w:r>
      <w:r w:rsidRPr="00263DB9">
        <w:rPr>
          <w:b/>
          <w:szCs w:val="24"/>
        </w:rPr>
        <w:t>Conteúdo da embalagem e outras informações</w:t>
      </w:r>
    </w:p>
    <w:p w14:paraId="375EBF97" w14:textId="77777777" w:rsidR="00906898" w:rsidRPr="00263DB9" w:rsidRDefault="00906898" w:rsidP="00273B82">
      <w:pPr>
        <w:keepNext/>
        <w:widowControl w:val="0"/>
        <w:suppressAutoHyphens/>
        <w:rPr>
          <w:color w:val="000000"/>
          <w:szCs w:val="22"/>
        </w:rPr>
      </w:pPr>
    </w:p>
    <w:p w14:paraId="375EBF98" w14:textId="77777777" w:rsidR="00906898" w:rsidRPr="00263DB9" w:rsidRDefault="00906898" w:rsidP="00273B82">
      <w:pPr>
        <w:keepNext/>
        <w:widowControl w:val="0"/>
        <w:suppressAutoHyphens/>
        <w:rPr>
          <w:b/>
          <w:color w:val="000000"/>
          <w:szCs w:val="22"/>
        </w:rPr>
      </w:pPr>
      <w:r w:rsidRPr="00263DB9">
        <w:rPr>
          <w:b/>
          <w:color w:val="000000"/>
          <w:szCs w:val="22"/>
        </w:rPr>
        <w:t>Qual a composição de Glivec</w:t>
      </w:r>
    </w:p>
    <w:p w14:paraId="375EBF99" w14:textId="77777777" w:rsidR="00906898" w:rsidRPr="00263DB9" w:rsidRDefault="00906898" w:rsidP="00E51817">
      <w:pPr>
        <w:widowControl w:val="0"/>
        <w:numPr>
          <w:ilvl w:val="0"/>
          <w:numId w:val="1"/>
        </w:numPr>
        <w:tabs>
          <w:tab w:val="clear" w:pos="927"/>
        </w:tabs>
        <w:ind w:left="567" w:right="-2" w:hanging="567"/>
        <w:rPr>
          <w:color w:val="000000"/>
          <w:szCs w:val="22"/>
        </w:rPr>
      </w:pPr>
      <w:r w:rsidRPr="00263DB9">
        <w:rPr>
          <w:color w:val="000000"/>
          <w:szCs w:val="22"/>
          <w:lang w:val="es-ES"/>
        </w:rPr>
        <w:t xml:space="preserve">A substância ativa é o mesilato de imatinib. </w:t>
      </w:r>
      <w:r w:rsidRPr="00263DB9">
        <w:rPr>
          <w:color w:val="000000"/>
          <w:szCs w:val="22"/>
        </w:rPr>
        <w:t>Cada cápsula de Glivec contém 100 mg de imatinib (na forma de mesilato).</w:t>
      </w:r>
    </w:p>
    <w:p w14:paraId="375EBF9A" w14:textId="77777777" w:rsidR="00906898" w:rsidRPr="00263DB9" w:rsidRDefault="00906898" w:rsidP="00E51817">
      <w:pPr>
        <w:widowControl w:val="0"/>
        <w:numPr>
          <w:ilvl w:val="0"/>
          <w:numId w:val="1"/>
        </w:numPr>
        <w:tabs>
          <w:tab w:val="clear" w:pos="927"/>
        </w:tabs>
        <w:ind w:left="567" w:right="-2" w:hanging="567"/>
        <w:rPr>
          <w:color w:val="000000"/>
          <w:szCs w:val="22"/>
        </w:rPr>
      </w:pPr>
      <w:r w:rsidRPr="00263DB9">
        <w:rPr>
          <w:color w:val="000000"/>
          <w:szCs w:val="22"/>
        </w:rPr>
        <w:t xml:space="preserve">Os outros componentes são a celulose microcristalina, a crospovidona, o estearato de magnésio e a sílica coloidal anidra. O invólucro da cápsula é composto por gelatina, óxido de ferro vermelho (E172), óxido de ferro amarelo (E172) e dióxido de titânio (E171). A tinta da </w:t>
      </w:r>
      <w:r w:rsidR="00BB5187" w:rsidRPr="00263DB9">
        <w:rPr>
          <w:color w:val="000000"/>
          <w:szCs w:val="22"/>
        </w:rPr>
        <w:t>impressão é composta por óxido de ferro vermelho (E172) e shellac.</w:t>
      </w:r>
    </w:p>
    <w:p w14:paraId="375EBF9B" w14:textId="77777777" w:rsidR="00906898" w:rsidRPr="00263DB9" w:rsidRDefault="00906898" w:rsidP="00E51817">
      <w:pPr>
        <w:widowControl w:val="0"/>
        <w:numPr>
          <w:ilvl w:val="12"/>
          <w:numId w:val="0"/>
        </w:numPr>
        <w:suppressAutoHyphens/>
        <w:rPr>
          <w:color w:val="000000"/>
          <w:szCs w:val="22"/>
        </w:rPr>
      </w:pPr>
    </w:p>
    <w:p w14:paraId="375EBF9C" w14:textId="77777777" w:rsidR="00906898" w:rsidRPr="00263DB9" w:rsidRDefault="00906898" w:rsidP="00273B82">
      <w:pPr>
        <w:keepNext/>
        <w:widowControl w:val="0"/>
        <w:numPr>
          <w:ilvl w:val="12"/>
          <w:numId w:val="0"/>
        </w:numPr>
        <w:suppressAutoHyphens/>
        <w:rPr>
          <w:b/>
          <w:color w:val="000000"/>
          <w:szCs w:val="22"/>
        </w:rPr>
      </w:pPr>
      <w:r w:rsidRPr="00263DB9">
        <w:rPr>
          <w:b/>
          <w:color w:val="000000"/>
          <w:szCs w:val="22"/>
        </w:rPr>
        <w:t>Qual o aspeto de Glivec e conteúdo da embalagem</w:t>
      </w:r>
    </w:p>
    <w:p w14:paraId="375EBF9D" w14:textId="77777777" w:rsidR="00906898" w:rsidRPr="00263DB9" w:rsidRDefault="00906898" w:rsidP="00E51817">
      <w:pPr>
        <w:widowControl w:val="0"/>
        <w:rPr>
          <w:color w:val="000000"/>
          <w:szCs w:val="22"/>
        </w:rPr>
      </w:pPr>
      <w:r w:rsidRPr="00263DB9">
        <w:rPr>
          <w:color w:val="000000"/>
          <w:szCs w:val="22"/>
        </w:rPr>
        <w:t>Glivec 100 mg cápsulas são de cor opaca laranja a laranja-acinzetada, com a marca “NVR SI”. Estas contém um pó branco a amarelo.</w:t>
      </w:r>
    </w:p>
    <w:p w14:paraId="375EBF9E" w14:textId="77777777" w:rsidR="00906898" w:rsidRPr="00263DB9" w:rsidRDefault="00906898" w:rsidP="00E51817">
      <w:pPr>
        <w:pStyle w:val="Text"/>
        <w:widowControl w:val="0"/>
        <w:spacing w:before="0"/>
        <w:jc w:val="left"/>
        <w:rPr>
          <w:color w:val="000000"/>
          <w:sz w:val="22"/>
          <w:szCs w:val="22"/>
          <w:lang w:val="pt-PT"/>
        </w:rPr>
      </w:pPr>
    </w:p>
    <w:p w14:paraId="375EBF9F" w14:textId="77777777" w:rsidR="00906898" w:rsidRPr="00263DB9" w:rsidRDefault="00906898" w:rsidP="00E51817">
      <w:pPr>
        <w:widowControl w:val="0"/>
        <w:rPr>
          <w:noProof/>
          <w:color w:val="000000"/>
          <w:szCs w:val="22"/>
        </w:rPr>
      </w:pPr>
      <w:r w:rsidRPr="00263DB9">
        <w:rPr>
          <w:color w:val="000000"/>
          <w:szCs w:val="22"/>
        </w:rPr>
        <w:t>Estas são comercializadas em embalagens contendo 24, 48, 96, 120 ou 180 cápsulas, mas podem não estar comercializadas no seu país.</w:t>
      </w:r>
    </w:p>
    <w:p w14:paraId="375EBFA0" w14:textId="77777777" w:rsidR="00906898" w:rsidRPr="00263DB9" w:rsidRDefault="00906898" w:rsidP="00E51817">
      <w:pPr>
        <w:widowControl w:val="0"/>
        <w:numPr>
          <w:ilvl w:val="12"/>
          <w:numId w:val="0"/>
        </w:numPr>
        <w:suppressAutoHyphens/>
        <w:rPr>
          <w:color w:val="000000"/>
          <w:szCs w:val="22"/>
        </w:rPr>
      </w:pPr>
    </w:p>
    <w:p w14:paraId="375EBFA1" w14:textId="77777777" w:rsidR="00906898" w:rsidRPr="00263DB9" w:rsidRDefault="00906898" w:rsidP="00273B82">
      <w:pPr>
        <w:pStyle w:val="Heading5"/>
        <w:widowControl w:val="0"/>
        <w:numPr>
          <w:ilvl w:val="12"/>
          <w:numId w:val="0"/>
        </w:numPr>
        <w:rPr>
          <w:color w:val="000000"/>
          <w:szCs w:val="22"/>
        </w:rPr>
      </w:pPr>
      <w:r w:rsidRPr="00263DB9">
        <w:rPr>
          <w:color w:val="000000"/>
          <w:szCs w:val="22"/>
        </w:rPr>
        <w:t>Titular da Autorização de Introdução no Mercado</w:t>
      </w:r>
    </w:p>
    <w:p w14:paraId="375EBFA2" w14:textId="77777777" w:rsidR="00906898" w:rsidRPr="00263DB9" w:rsidRDefault="00906898" w:rsidP="00273B82">
      <w:pPr>
        <w:pStyle w:val="EndnoteText"/>
        <w:keepNext/>
        <w:numPr>
          <w:ilvl w:val="12"/>
          <w:numId w:val="0"/>
        </w:numPr>
        <w:tabs>
          <w:tab w:val="clear" w:pos="567"/>
        </w:tabs>
        <w:suppressAutoHyphens/>
        <w:rPr>
          <w:color w:val="000000"/>
          <w:szCs w:val="22"/>
          <w:lang w:val="en-US"/>
        </w:rPr>
      </w:pPr>
      <w:r w:rsidRPr="00263DB9">
        <w:rPr>
          <w:color w:val="000000"/>
          <w:szCs w:val="22"/>
          <w:lang w:val="en-US"/>
        </w:rPr>
        <w:t>Novartis Europharm Limited</w:t>
      </w:r>
    </w:p>
    <w:p w14:paraId="375EBFA3" w14:textId="77777777" w:rsidR="009C587B" w:rsidRPr="00263DB9" w:rsidRDefault="009C587B" w:rsidP="00E51817">
      <w:pPr>
        <w:keepNext/>
        <w:widowControl w:val="0"/>
        <w:rPr>
          <w:color w:val="000000"/>
          <w:lang w:val="en-US"/>
        </w:rPr>
      </w:pPr>
      <w:r w:rsidRPr="00263DB9">
        <w:rPr>
          <w:color w:val="000000"/>
          <w:lang w:val="en-US"/>
        </w:rPr>
        <w:t>Vista Building</w:t>
      </w:r>
    </w:p>
    <w:p w14:paraId="375EBFA4" w14:textId="77777777" w:rsidR="009C587B" w:rsidRPr="00263DB9" w:rsidRDefault="009C587B" w:rsidP="00E51817">
      <w:pPr>
        <w:keepNext/>
        <w:widowControl w:val="0"/>
        <w:rPr>
          <w:color w:val="000000"/>
          <w:lang w:val="en-US"/>
        </w:rPr>
      </w:pPr>
      <w:r w:rsidRPr="00263DB9">
        <w:rPr>
          <w:color w:val="000000"/>
          <w:lang w:val="en-US"/>
        </w:rPr>
        <w:t>Elm Park, Merrion Road</w:t>
      </w:r>
    </w:p>
    <w:p w14:paraId="375EBFA5" w14:textId="77777777" w:rsidR="009C587B" w:rsidRPr="00263DB9" w:rsidRDefault="009C587B" w:rsidP="00E51817">
      <w:pPr>
        <w:keepNext/>
        <w:widowControl w:val="0"/>
        <w:rPr>
          <w:color w:val="000000"/>
        </w:rPr>
      </w:pPr>
      <w:r w:rsidRPr="00263DB9">
        <w:rPr>
          <w:color w:val="000000"/>
        </w:rPr>
        <w:t>Dublin 4</w:t>
      </w:r>
    </w:p>
    <w:p w14:paraId="375EBFA6" w14:textId="77777777" w:rsidR="009C587B" w:rsidRPr="00263DB9" w:rsidRDefault="009C587B" w:rsidP="00E51817">
      <w:pPr>
        <w:widowControl w:val="0"/>
        <w:rPr>
          <w:color w:val="000000"/>
        </w:rPr>
      </w:pPr>
      <w:r w:rsidRPr="00263DB9">
        <w:rPr>
          <w:color w:val="000000"/>
        </w:rPr>
        <w:t>Irlanda</w:t>
      </w:r>
    </w:p>
    <w:p w14:paraId="375EBFA7" w14:textId="77777777" w:rsidR="00906898" w:rsidRPr="00263DB9" w:rsidRDefault="00906898" w:rsidP="00E51817">
      <w:pPr>
        <w:widowControl w:val="0"/>
        <w:numPr>
          <w:ilvl w:val="12"/>
          <w:numId w:val="0"/>
        </w:numPr>
        <w:suppressAutoHyphens/>
        <w:rPr>
          <w:color w:val="000000"/>
          <w:szCs w:val="22"/>
        </w:rPr>
      </w:pPr>
    </w:p>
    <w:p w14:paraId="375EBFA8" w14:textId="77777777" w:rsidR="00906898" w:rsidRPr="00263DB9" w:rsidRDefault="00906898" w:rsidP="00273B82">
      <w:pPr>
        <w:pStyle w:val="Heading5"/>
        <w:widowControl w:val="0"/>
        <w:numPr>
          <w:ilvl w:val="12"/>
          <w:numId w:val="0"/>
        </w:numPr>
        <w:rPr>
          <w:color w:val="000000"/>
          <w:szCs w:val="22"/>
        </w:rPr>
      </w:pPr>
      <w:r w:rsidRPr="00263DB9">
        <w:rPr>
          <w:color w:val="000000"/>
          <w:szCs w:val="22"/>
        </w:rPr>
        <w:t>Fabricante</w:t>
      </w:r>
    </w:p>
    <w:p w14:paraId="375EBFA9" w14:textId="77777777" w:rsidR="00906898" w:rsidRPr="00263DB9" w:rsidRDefault="00906898" w:rsidP="00273B82">
      <w:pPr>
        <w:keepNext/>
        <w:widowControl w:val="0"/>
        <w:numPr>
          <w:ilvl w:val="12"/>
          <w:numId w:val="0"/>
        </w:numPr>
        <w:suppressAutoHyphens/>
        <w:rPr>
          <w:color w:val="000000"/>
          <w:szCs w:val="22"/>
        </w:rPr>
      </w:pPr>
      <w:r w:rsidRPr="00263DB9">
        <w:rPr>
          <w:color w:val="000000"/>
          <w:szCs w:val="22"/>
        </w:rPr>
        <w:t>Novartis Pharma GmbH</w:t>
      </w:r>
    </w:p>
    <w:p w14:paraId="375EBFAA" w14:textId="77777777" w:rsidR="00906898" w:rsidRPr="00263DB9" w:rsidRDefault="00906898" w:rsidP="00273B82">
      <w:pPr>
        <w:keepNext/>
        <w:widowControl w:val="0"/>
        <w:numPr>
          <w:ilvl w:val="12"/>
          <w:numId w:val="0"/>
        </w:numPr>
        <w:suppressAutoHyphens/>
        <w:rPr>
          <w:color w:val="000000"/>
          <w:szCs w:val="22"/>
        </w:rPr>
      </w:pPr>
      <w:r w:rsidRPr="00263DB9">
        <w:rPr>
          <w:color w:val="000000"/>
          <w:szCs w:val="22"/>
        </w:rPr>
        <w:t>Roonstrasse 25</w:t>
      </w:r>
    </w:p>
    <w:p w14:paraId="375EBFAB" w14:textId="77777777" w:rsidR="00906898" w:rsidRPr="00263DB9" w:rsidRDefault="00906898" w:rsidP="00273B82">
      <w:pPr>
        <w:keepNext/>
        <w:widowControl w:val="0"/>
        <w:numPr>
          <w:ilvl w:val="12"/>
          <w:numId w:val="0"/>
        </w:numPr>
        <w:suppressAutoHyphens/>
        <w:rPr>
          <w:color w:val="000000"/>
          <w:szCs w:val="22"/>
        </w:rPr>
      </w:pPr>
      <w:r w:rsidRPr="00263DB9">
        <w:rPr>
          <w:color w:val="000000"/>
          <w:szCs w:val="22"/>
        </w:rPr>
        <w:t>D-90429 Nuremberga</w:t>
      </w:r>
    </w:p>
    <w:p w14:paraId="375EBFAC" w14:textId="77777777" w:rsidR="00906898" w:rsidRPr="00263DB9" w:rsidRDefault="00906898" w:rsidP="00E51817">
      <w:pPr>
        <w:widowControl w:val="0"/>
        <w:numPr>
          <w:ilvl w:val="12"/>
          <w:numId w:val="0"/>
        </w:numPr>
        <w:suppressAutoHyphens/>
        <w:rPr>
          <w:color w:val="000000"/>
          <w:szCs w:val="22"/>
        </w:rPr>
      </w:pPr>
      <w:r w:rsidRPr="00263DB9">
        <w:rPr>
          <w:color w:val="000000"/>
          <w:szCs w:val="22"/>
        </w:rPr>
        <w:t>Alemanha</w:t>
      </w:r>
    </w:p>
    <w:p w14:paraId="375EBFAD" w14:textId="13CC16E8" w:rsidR="00906898" w:rsidRDefault="00906898" w:rsidP="00E51817">
      <w:pPr>
        <w:widowControl w:val="0"/>
        <w:suppressAutoHyphens/>
        <w:rPr>
          <w:color w:val="000000"/>
          <w:szCs w:val="22"/>
        </w:rPr>
      </w:pPr>
    </w:p>
    <w:p w14:paraId="6F87B878" w14:textId="77777777" w:rsidR="00CF3881" w:rsidRPr="00CF3881" w:rsidRDefault="00CF3881" w:rsidP="00CF3881">
      <w:pPr>
        <w:keepNext/>
        <w:widowControl w:val="0"/>
        <w:numPr>
          <w:ilvl w:val="12"/>
          <w:numId w:val="0"/>
        </w:numPr>
        <w:rPr>
          <w:szCs w:val="22"/>
          <w:shd w:val="pct15" w:color="auto" w:fill="auto"/>
        </w:rPr>
      </w:pPr>
      <w:r w:rsidRPr="00CF3881">
        <w:rPr>
          <w:szCs w:val="22"/>
          <w:shd w:val="pct15" w:color="auto" w:fill="auto"/>
        </w:rPr>
        <w:t>Sandoz S.R.L.</w:t>
      </w:r>
    </w:p>
    <w:p w14:paraId="44BCD8F7" w14:textId="77777777" w:rsidR="00CF3881" w:rsidRPr="00CF3881" w:rsidRDefault="00CF3881" w:rsidP="00CF3881">
      <w:pPr>
        <w:keepNext/>
        <w:widowControl w:val="0"/>
        <w:numPr>
          <w:ilvl w:val="12"/>
          <w:numId w:val="0"/>
        </w:numPr>
        <w:rPr>
          <w:szCs w:val="22"/>
          <w:shd w:val="pct15" w:color="auto" w:fill="auto"/>
        </w:rPr>
      </w:pPr>
      <w:r w:rsidRPr="00CF3881">
        <w:rPr>
          <w:szCs w:val="22"/>
          <w:shd w:val="pct15" w:color="auto" w:fill="auto"/>
        </w:rPr>
        <w:t>Str. Livezeni nr. 7A</w:t>
      </w:r>
    </w:p>
    <w:p w14:paraId="1BDC61DC" w14:textId="77777777" w:rsidR="00CF3881" w:rsidRPr="00CF3881" w:rsidRDefault="00CF3881" w:rsidP="00CF3881">
      <w:pPr>
        <w:keepNext/>
        <w:widowControl w:val="0"/>
        <w:numPr>
          <w:ilvl w:val="12"/>
          <w:numId w:val="0"/>
        </w:numPr>
        <w:rPr>
          <w:szCs w:val="22"/>
          <w:shd w:val="pct15" w:color="auto" w:fill="auto"/>
        </w:rPr>
      </w:pPr>
      <w:r w:rsidRPr="00CF3881">
        <w:rPr>
          <w:szCs w:val="22"/>
          <w:shd w:val="pct15" w:color="auto" w:fill="auto"/>
        </w:rPr>
        <w:t>540472, Targu Mures</w:t>
      </w:r>
    </w:p>
    <w:p w14:paraId="179774DC" w14:textId="753E9D1F" w:rsidR="00CF3881" w:rsidRPr="00CF3881" w:rsidRDefault="00CF3881" w:rsidP="00CF3881">
      <w:pPr>
        <w:widowControl w:val="0"/>
        <w:suppressAutoHyphens/>
        <w:rPr>
          <w:szCs w:val="22"/>
          <w:shd w:val="pct15" w:color="auto" w:fill="auto"/>
        </w:rPr>
      </w:pPr>
      <w:r w:rsidRPr="00CF3881">
        <w:rPr>
          <w:szCs w:val="22"/>
          <w:shd w:val="pct15" w:color="auto" w:fill="auto"/>
        </w:rPr>
        <w:t>Roménia</w:t>
      </w:r>
    </w:p>
    <w:p w14:paraId="7E1E9941" w14:textId="77777777" w:rsidR="00CF3881" w:rsidRPr="00263DB9" w:rsidRDefault="00CF3881" w:rsidP="00CF3881">
      <w:pPr>
        <w:widowControl w:val="0"/>
        <w:suppressAutoHyphens/>
        <w:rPr>
          <w:color w:val="000000"/>
          <w:szCs w:val="22"/>
        </w:rPr>
      </w:pPr>
    </w:p>
    <w:p w14:paraId="375EBFAE" w14:textId="77777777" w:rsidR="00906898" w:rsidRPr="00263DB9" w:rsidRDefault="00906898" w:rsidP="00273B82">
      <w:pPr>
        <w:keepNext/>
        <w:keepLines/>
        <w:widowControl w:val="0"/>
        <w:suppressAutoHyphens/>
        <w:ind w:right="14"/>
        <w:rPr>
          <w:color w:val="000000"/>
          <w:szCs w:val="22"/>
        </w:rPr>
      </w:pPr>
      <w:r w:rsidRPr="00263DB9">
        <w:rPr>
          <w:color w:val="000000"/>
          <w:szCs w:val="22"/>
        </w:rPr>
        <w:t>Para quaisquer informações sobre este medicamento, queira contactar o representante local do Titular da Autorização de Introdução no Mercado.</w:t>
      </w:r>
    </w:p>
    <w:p w14:paraId="375EBFAF" w14:textId="77777777" w:rsidR="00C25DD8" w:rsidRPr="00263DB9" w:rsidRDefault="00C25DD8" w:rsidP="00273B82">
      <w:pPr>
        <w:keepNext/>
        <w:keepLines/>
        <w:widowControl w:val="0"/>
        <w:ind w:right="-449"/>
        <w:rPr>
          <w:color w:val="000000"/>
          <w:szCs w:val="22"/>
        </w:rPr>
      </w:pPr>
    </w:p>
    <w:tbl>
      <w:tblPr>
        <w:tblW w:w="9300" w:type="dxa"/>
        <w:tblLayout w:type="fixed"/>
        <w:tblLook w:val="0000" w:firstRow="0" w:lastRow="0" w:firstColumn="0" w:lastColumn="0" w:noHBand="0" w:noVBand="0"/>
      </w:tblPr>
      <w:tblGrid>
        <w:gridCol w:w="4650"/>
        <w:gridCol w:w="4650"/>
      </w:tblGrid>
      <w:tr w:rsidR="00C25DD8" w:rsidRPr="00263DB9" w14:paraId="375EBFB8" w14:textId="77777777" w:rsidTr="009C587B">
        <w:trPr>
          <w:cantSplit/>
        </w:trPr>
        <w:tc>
          <w:tcPr>
            <w:tcW w:w="4650" w:type="dxa"/>
          </w:tcPr>
          <w:p w14:paraId="375EBFB0" w14:textId="77777777" w:rsidR="00C25DD8" w:rsidRPr="00263DB9" w:rsidRDefault="00C25DD8" w:rsidP="00E51817">
            <w:pPr>
              <w:widowControl w:val="0"/>
              <w:rPr>
                <w:b/>
                <w:color w:val="000000"/>
                <w:szCs w:val="22"/>
                <w:lang w:val="fr-FR"/>
              </w:rPr>
            </w:pPr>
            <w:r w:rsidRPr="00263DB9">
              <w:rPr>
                <w:b/>
                <w:color w:val="000000"/>
                <w:szCs w:val="22"/>
                <w:lang w:val="fr-FR"/>
              </w:rPr>
              <w:t>België/Belgique/Belgien</w:t>
            </w:r>
          </w:p>
          <w:p w14:paraId="375EBFB1" w14:textId="77777777" w:rsidR="00C25DD8" w:rsidRPr="00263DB9" w:rsidRDefault="00C25DD8" w:rsidP="00E51817">
            <w:pPr>
              <w:widowControl w:val="0"/>
              <w:rPr>
                <w:color w:val="000000"/>
                <w:szCs w:val="22"/>
                <w:lang w:val="fr-FR"/>
              </w:rPr>
            </w:pPr>
            <w:r w:rsidRPr="00263DB9">
              <w:rPr>
                <w:color w:val="000000"/>
                <w:szCs w:val="22"/>
                <w:lang w:val="fr-FR"/>
              </w:rPr>
              <w:t>Novartis Pharma N.V.</w:t>
            </w:r>
          </w:p>
          <w:p w14:paraId="375EBFB2" w14:textId="77777777" w:rsidR="00C25DD8" w:rsidRPr="00263DB9" w:rsidRDefault="00C25DD8" w:rsidP="00E51817">
            <w:pPr>
              <w:widowControl w:val="0"/>
              <w:rPr>
                <w:color w:val="000000"/>
                <w:szCs w:val="22"/>
              </w:rPr>
            </w:pPr>
            <w:r w:rsidRPr="00263DB9">
              <w:rPr>
                <w:color w:val="000000"/>
                <w:szCs w:val="22"/>
              </w:rPr>
              <w:t>Tél/Tel: +32 2 246 16 11</w:t>
            </w:r>
          </w:p>
          <w:p w14:paraId="375EBFB3" w14:textId="77777777" w:rsidR="00C25DD8" w:rsidRPr="00263DB9" w:rsidRDefault="00C25DD8" w:rsidP="00E51817">
            <w:pPr>
              <w:widowControl w:val="0"/>
              <w:rPr>
                <w:b/>
                <w:color w:val="000000"/>
                <w:szCs w:val="22"/>
              </w:rPr>
            </w:pPr>
          </w:p>
        </w:tc>
        <w:tc>
          <w:tcPr>
            <w:tcW w:w="4650" w:type="dxa"/>
          </w:tcPr>
          <w:p w14:paraId="375EBFB4" w14:textId="77777777" w:rsidR="00C25DD8" w:rsidRPr="001D39C1" w:rsidRDefault="00C25DD8" w:rsidP="00E51817">
            <w:pPr>
              <w:widowControl w:val="0"/>
              <w:rPr>
                <w:b/>
                <w:color w:val="000000"/>
                <w:szCs w:val="22"/>
                <w:lang w:val="es-ES"/>
              </w:rPr>
            </w:pPr>
            <w:r w:rsidRPr="001D39C1">
              <w:rPr>
                <w:b/>
                <w:color w:val="000000"/>
                <w:szCs w:val="22"/>
                <w:lang w:val="es-ES"/>
              </w:rPr>
              <w:t>Lietuva</w:t>
            </w:r>
          </w:p>
          <w:p w14:paraId="375EBFB5" w14:textId="625AD5DB" w:rsidR="00C25DD8" w:rsidRPr="001D39C1" w:rsidRDefault="00F26150" w:rsidP="00E51817">
            <w:pPr>
              <w:widowControl w:val="0"/>
              <w:rPr>
                <w:color w:val="000000"/>
                <w:szCs w:val="22"/>
                <w:lang w:val="es-ES"/>
              </w:rPr>
            </w:pPr>
            <w:r w:rsidRPr="00263DB9">
              <w:rPr>
                <w:color w:val="000000"/>
                <w:szCs w:val="22"/>
                <w:lang w:val="es-ES"/>
              </w:rPr>
              <w:t>SIA Novartis Baltics Lietuvos filialas</w:t>
            </w:r>
          </w:p>
          <w:p w14:paraId="375EBFB6" w14:textId="77777777" w:rsidR="00C25DD8" w:rsidRPr="00263DB9" w:rsidRDefault="00C25DD8" w:rsidP="00E51817">
            <w:pPr>
              <w:widowControl w:val="0"/>
              <w:rPr>
                <w:color w:val="000000"/>
                <w:szCs w:val="22"/>
              </w:rPr>
            </w:pPr>
            <w:r w:rsidRPr="00263DB9">
              <w:rPr>
                <w:color w:val="000000"/>
                <w:szCs w:val="22"/>
              </w:rPr>
              <w:t>Tel: +370 5 269 16 50</w:t>
            </w:r>
          </w:p>
          <w:p w14:paraId="375EBFB7" w14:textId="77777777" w:rsidR="00C25DD8" w:rsidRPr="001D39C1" w:rsidRDefault="00C25DD8" w:rsidP="00E51817">
            <w:pPr>
              <w:widowControl w:val="0"/>
              <w:rPr>
                <w:color w:val="000000"/>
                <w:szCs w:val="22"/>
                <w:lang w:val="es-ES"/>
              </w:rPr>
            </w:pPr>
          </w:p>
        </w:tc>
      </w:tr>
      <w:tr w:rsidR="00C25DD8" w:rsidRPr="00263DB9" w14:paraId="375EBFC1" w14:textId="77777777" w:rsidTr="009C587B">
        <w:trPr>
          <w:cantSplit/>
        </w:trPr>
        <w:tc>
          <w:tcPr>
            <w:tcW w:w="4650" w:type="dxa"/>
          </w:tcPr>
          <w:p w14:paraId="375EBFB9" w14:textId="77777777" w:rsidR="00C25DD8" w:rsidRPr="001D39C1" w:rsidRDefault="00C25DD8" w:rsidP="00E51817">
            <w:pPr>
              <w:widowControl w:val="0"/>
              <w:rPr>
                <w:b/>
                <w:noProof/>
                <w:color w:val="000000"/>
                <w:szCs w:val="22"/>
                <w:lang w:val="es-ES"/>
              </w:rPr>
            </w:pPr>
            <w:r w:rsidRPr="00263DB9">
              <w:rPr>
                <w:b/>
                <w:noProof/>
                <w:color w:val="000000"/>
                <w:szCs w:val="22"/>
              </w:rPr>
              <w:t>България</w:t>
            </w:r>
          </w:p>
          <w:p w14:paraId="375EBFBA" w14:textId="77777777" w:rsidR="00C25DD8" w:rsidRPr="001D39C1" w:rsidRDefault="009207F7" w:rsidP="00E51817">
            <w:pPr>
              <w:widowControl w:val="0"/>
              <w:rPr>
                <w:noProof/>
                <w:color w:val="000000"/>
                <w:szCs w:val="22"/>
                <w:lang w:val="es-ES"/>
              </w:rPr>
            </w:pPr>
            <w:r w:rsidRPr="001D39C1">
              <w:rPr>
                <w:szCs w:val="22"/>
                <w:lang w:val="es-ES"/>
              </w:rPr>
              <w:t>Novartis Bulgaria EOOD</w:t>
            </w:r>
          </w:p>
          <w:p w14:paraId="375EBFBB" w14:textId="77777777" w:rsidR="00C25DD8" w:rsidRPr="00263DB9" w:rsidRDefault="00C25DD8" w:rsidP="00E51817">
            <w:pPr>
              <w:widowControl w:val="0"/>
              <w:rPr>
                <w:noProof/>
                <w:color w:val="000000"/>
                <w:szCs w:val="22"/>
              </w:rPr>
            </w:pPr>
            <w:r w:rsidRPr="00263DB9">
              <w:rPr>
                <w:noProof/>
                <w:color w:val="000000"/>
                <w:szCs w:val="22"/>
              </w:rPr>
              <w:t>Тел.: +359 2 489 98 28</w:t>
            </w:r>
          </w:p>
          <w:p w14:paraId="375EBFBC" w14:textId="77777777" w:rsidR="00C25DD8" w:rsidRPr="00263DB9" w:rsidRDefault="00C25DD8" w:rsidP="00E51817">
            <w:pPr>
              <w:widowControl w:val="0"/>
              <w:rPr>
                <w:b/>
                <w:color w:val="000000"/>
                <w:szCs w:val="22"/>
                <w:lang w:val="pt-BR"/>
              </w:rPr>
            </w:pPr>
          </w:p>
        </w:tc>
        <w:tc>
          <w:tcPr>
            <w:tcW w:w="4650" w:type="dxa"/>
          </w:tcPr>
          <w:p w14:paraId="375EBFBD" w14:textId="77777777" w:rsidR="00C25DD8" w:rsidRPr="00263DB9" w:rsidRDefault="00C25DD8" w:rsidP="00E51817">
            <w:pPr>
              <w:widowControl w:val="0"/>
              <w:rPr>
                <w:b/>
                <w:color w:val="000000"/>
                <w:szCs w:val="22"/>
                <w:lang w:val="de-CH"/>
              </w:rPr>
            </w:pPr>
            <w:r w:rsidRPr="00263DB9">
              <w:rPr>
                <w:b/>
                <w:color w:val="000000"/>
                <w:szCs w:val="22"/>
                <w:lang w:val="de-CH"/>
              </w:rPr>
              <w:t>Luxembourg/Luxemburg</w:t>
            </w:r>
          </w:p>
          <w:p w14:paraId="375EBFBE" w14:textId="77777777" w:rsidR="00C25DD8" w:rsidRPr="00263DB9" w:rsidRDefault="00C25DD8" w:rsidP="00E51817">
            <w:pPr>
              <w:widowControl w:val="0"/>
              <w:rPr>
                <w:color w:val="000000"/>
                <w:szCs w:val="22"/>
                <w:lang w:val="de-CH"/>
              </w:rPr>
            </w:pPr>
            <w:r w:rsidRPr="00263DB9">
              <w:rPr>
                <w:color w:val="000000"/>
                <w:szCs w:val="22"/>
                <w:lang w:val="de-CH"/>
              </w:rPr>
              <w:t>Novartis Pharma N.V.</w:t>
            </w:r>
          </w:p>
          <w:p w14:paraId="375EBFBF" w14:textId="77777777" w:rsidR="00C25DD8" w:rsidRPr="00263DB9" w:rsidRDefault="00C25DD8" w:rsidP="00E51817">
            <w:pPr>
              <w:widowControl w:val="0"/>
              <w:rPr>
                <w:color w:val="000000"/>
                <w:szCs w:val="22"/>
                <w:lang w:val="de-CH"/>
              </w:rPr>
            </w:pPr>
            <w:r w:rsidRPr="00263DB9">
              <w:rPr>
                <w:color w:val="000000"/>
                <w:szCs w:val="22"/>
                <w:lang w:val="de-CH"/>
              </w:rPr>
              <w:t>Tél/Tel: +32 2 246 16 11</w:t>
            </w:r>
          </w:p>
          <w:p w14:paraId="375EBFC0" w14:textId="77777777" w:rsidR="00C25DD8" w:rsidRPr="00263DB9" w:rsidRDefault="00C25DD8" w:rsidP="00E51817">
            <w:pPr>
              <w:widowControl w:val="0"/>
              <w:rPr>
                <w:color w:val="000000"/>
                <w:szCs w:val="22"/>
                <w:lang w:val="de-CH"/>
              </w:rPr>
            </w:pPr>
          </w:p>
        </w:tc>
      </w:tr>
      <w:tr w:rsidR="00C25DD8" w:rsidRPr="00263DB9" w14:paraId="375EBFC9" w14:textId="77777777" w:rsidTr="009C587B">
        <w:trPr>
          <w:cantSplit/>
        </w:trPr>
        <w:tc>
          <w:tcPr>
            <w:tcW w:w="4650" w:type="dxa"/>
          </w:tcPr>
          <w:p w14:paraId="375EBFC2" w14:textId="77777777" w:rsidR="00C25DD8" w:rsidRPr="00263DB9" w:rsidRDefault="00C25DD8" w:rsidP="00E51817">
            <w:pPr>
              <w:widowControl w:val="0"/>
              <w:rPr>
                <w:b/>
                <w:color w:val="000000"/>
                <w:szCs w:val="22"/>
                <w:lang w:val="pt-BR"/>
              </w:rPr>
            </w:pPr>
            <w:r w:rsidRPr="00263DB9">
              <w:rPr>
                <w:b/>
                <w:color w:val="000000"/>
                <w:szCs w:val="22"/>
                <w:lang w:val="pt-BR"/>
              </w:rPr>
              <w:lastRenderedPageBreak/>
              <w:t>Česká republika</w:t>
            </w:r>
          </w:p>
          <w:p w14:paraId="375EBFC3" w14:textId="77777777" w:rsidR="00C25DD8" w:rsidRPr="00263DB9" w:rsidRDefault="00C25DD8" w:rsidP="00E51817">
            <w:pPr>
              <w:widowControl w:val="0"/>
              <w:rPr>
                <w:color w:val="000000"/>
                <w:szCs w:val="22"/>
                <w:lang w:val="pt-BR"/>
              </w:rPr>
            </w:pPr>
            <w:r w:rsidRPr="00263DB9">
              <w:rPr>
                <w:color w:val="000000"/>
                <w:szCs w:val="22"/>
                <w:lang w:val="pt-BR"/>
              </w:rPr>
              <w:t>Novartis s.r.o.</w:t>
            </w:r>
          </w:p>
          <w:p w14:paraId="375EBFC4" w14:textId="77777777" w:rsidR="00C25DD8" w:rsidRPr="00263DB9" w:rsidRDefault="00C25DD8" w:rsidP="00E51817">
            <w:pPr>
              <w:widowControl w:val="0"/>
              <w:rPr>
                <w:color w:val="000000"/>
                <w:szCs w:val="22"/>
              </w:rPr>
            </w:pPr>
            <w:r w:rsidRPr="00263DB9">
              <w:rPr>
                <w:color w:val="000000"/>
                <w:szCs w:val="22"/>
              </w:rPr>
              <w:t>Tel: +420 225 775 111</w:t>
            </w:r>
          </w:p>
          <w:p w14:paraId="375EBFC5" w14:textId="77777777" w:rsidR="00C25DD8" w:rsidRPr="00263DB9" w:rsidRDefault="00C25DD8" w:rsidP="00E51817">
            <w:pPr>
              <w:widowControl w:val="0"/>
              <w:rPr>
                <w:b/>
                <w:color w:val="000000"/>
                <w:szCs w:val="22"/>
              </w:rPr>
            </w:pPr>
          </w:p>
        </w:tc>
        <w:tc>
          <w:tcPr>
            <w:tcW w:w="4650" w:type="dxa"/>
          </w:tcPr>
          <w:p w14:paraId="375EBFC6" w14:textId="77777777" w:rsidR="00C25DD8" w:rsidRPr="00263DB9" w:rsidRDefault="00C25DD8" w:rsidP="00E51817">
            <w:pPr>
              <w:widowControl w:val="0"/>
              <w:rPr>
                <w:b/>
                <w:color w:val="000000"/>
                <w:szCs w:val="22"/>
                <w:lang w:val="pt-BR"/>
              </w:rPr>
            </w:pPr>
            <w:r w:rsidRPr="00263DB9">
              <w:rPr>
                <w:b/>
                <w:color w:val="000000"/>
                <w:szCs w:val="22"/>
                <w:lang w:val="pt-BR"/>
              </w:rPr>
              <w:t>Magyarország</w:t>
            </w:r>
          </w:p>
          <w:p w14:paraId="375EBFC7" w14:textId="77777777" w:rsidR="00C25DD8" w:rsidRPr="00263DB9" w:rsidRDefault="00C25DD8" w:rsidP="00E51817">
            <w:pPr>
              <w:widowControl w:val="0"/>
              <w:rPr>
                <w:color w:val="000000"/>
                <w:szCs w:val="22"/>
                <w:lang w:val="pt-BR"/>
              </w:rPr>
            </w:pPr>
            <w:r w:rsidRPr="00263DB9">
              <w:rPr>
                <w:color w:val="000000"/>
                <w:szCs w:val="22"/>
                <w:lang w:val="pt-BR"/>
              </w:rPr>
              <w:t>Novartis Hungária Kft.</w:t>
            </w:r>
          </w:p>
          <w:p w14:paraId="375EBFC8" w14:textId="77777777" w:rsidR="00C25DD8" w:rsidRPr="00263DB9" w:rsidRDefault="00C25DD8" w:rsidP="00E51817">
            <w:pPr>
              <w:widowControl w:val="0"/>
              <w:rPr>
                <w:color w:val="000000"/>
                <w:szCs w:val="22"/>
                <w:lang w:val="pt-BR"/>
              </w:rPr>
            </w:pPr>
            <w:r w:rsidRPr="00263DB9">
              <w:rPr>
                <w:color w:val="000000"/>
                <w:szCs w:val="22"/>
                <w:lang w:val="pt-BR"/>
              </w:rPr>
              <w:t>Tel.: +36 1 457 65 00</w:t>
            </w:r>
          </w:p>
        </w:tc>
      </w:tr>
      <w:tr w:rsidR="00C25DD8" w:rsidRPr="00263DB9" w14:paraId="375EBFD1" w14:textId="77777777" w:rsidTr="009C587B">
        <w:trPr>
          <w:cantSplit/>
        </w:trPr>
        <w:tc>
          <w:tcPr>
            <w:tcW w:w="4650" w:type="dxa"/>
          </w:tcPr>
          <w:p w14:paraId="375EBFCA" w14:textId="77777777" w:rsidR="00C25DD8" w:rsidRPr="00263DB9" w:rsidRDefault="00C25DD8" w:rsidP="00E51817">
            <w:pPr>
              <w:widowControl w:val="0"/>
              <w:rPr>
                <w:b/>
                <w:color w:val="000000"/>
                <w:szCs w:val="22"/>
                <w:lang w:val="en-US"/>
              </w:rPr>
            </w:pPr>
            <w:r w:rsidRPr="00263DB9">
              <w:rPr>
                <w:b/>
                <w:color w:val="000000"/>
                <w:szCs w:val="22"/>
                <w:lang w:val="en-US"/>
              </w:rPr>
              <w:t>Danmark</w:t>
            </w:r>
          </w:p>
          <w:p w14:paraId="375EBFCB" w14:textId="77777777" w:rsidR="00C25DD8" w:rsidRPr="00263DB9" w:rsidRDefault="00C25DD8" w:rsidP="00E51817">
            <w:pPr>
              <w:widowControl w:val="0"/>
              <w:rPr>
                <w:color w:val="000000"/>
                <w:szCs w:val="22"/>
                <w:lang w:val="en-US"/>
              </w:rPr>
            </w:pPr>
            <w:r w:rsidRPr="00263DB9">
              <w:rPr>
                <w:color w:val="000000"/>
                <w:szCs w:val="22"/>
                <w:lang w:val="en-US"/>
              </w:rPr>
              <w:t>Novartis Healthcare A/S</w:t>
            </w:r>
          </w:p>
          <w:p w14:paraId="375EBFCC" w14:textId="77777777" w:rsidR="00C25DD8" w:rsidRPr="00263DB9" w:rsidRDefault="00C25DD8" w:rsidP="00E51817">
            <w:pPr>
              <w:widowControl w:val="0"/>
              <w:rPr>
                <w:color w:val="000000"/>
                <w:szCs w:val="22"/>
                <w:lang w:val="en-US"/>
              </w:rPr>
            </w:pPr>
            <w:r w:rsidRPr="00263DB9">
              <w:rPr>
                <w:color w:val="000000"/>
                <w:szCs w:val="22"/>
                <w:lang w:val="en-US"/>
              </w:rPr>
              <w:t>Tlf: +45 39 16 84 00</w:t>
            </w:r>
          </w:p>
          <w:p w14:paraId="375EBFCD" w14:textId="77777777" w:rsidR="00C25DD8" w:rsidRPr="00263DB9" w:rsidRDefault="00C25DD8" w:rsidP="00E51817">
            <w:pPr>
              <w:widowControl w:val="0"/>
              <w:rPr>
                <w:b/>
                <w:color w:val="000000"/>
                <w:szCs w:val="22"/>
                <w:lang w:val="en-US"/>
              </w:rPr>
            </w:pPr>
          </w:p>
        </w:tc>
        <w:tc>
          <w:tcPr>
            <w:tcW w:w="4650" w:type="dxa"/>
          </w:tcPr>
          <w:p w14:paraId="375EBFCE" w14:textId="77777777" w:rsidR="00C25DD8" w:rsidRPr="00263DB9" w:rsidRDefault="00C25DD8" w:rsidP="00E51817">
            <w:pPr>
              <w:widowControl w:val="0"/>
              <w:rPr>
                <w:b/>
                <w:color w:val="000000"/>
                <w:szCs w:val="22"/>
                <w:lang w:val="pt-BR"/>
              </w:rPr>
            </w:pPr>
            <w:r w:rsidRPr="00263DB9">
              <w:rPr>
                <w:b/>
                <w:color w:val="000000"/>
                <w:szCs w:val="22"/>
                <w:lang w:val="pt-BR"/>
              </w:rPr>
              <w:t>Malta</w:t>
            </w:r>
          </w:p>
          <w:p w14:paraId="375EBFCF" w14:textId="77777777" w:rsidR="00C25DD8" w:rsidRPr="00263DB9" w:rsidRDefault="00C25DD8" w:rsidP="00E51817">
            <w:pPr>
              <w:widowControl w:val="0"/>
              <w:rPr>
                <w:color w:val="000000"/>
                <w:szCs w:val="22"/>
                <w:lang w:val="pt-BR"/>
              </w:rPr>
            </w:pPr>
            <w:r w:rsidRPr="00263DB9">
              <w:rPr>
                <w:color w:val="000000"/>
                <w:szCs w:val="22"/>
                <w:lang w:val="pt-BR"/>
              </w:rPr>
              <w:t>Novartis Pharma Services Inc.</w:t>
            </w:r>
          </w:p>
          <w:p w14:paraId="375EBFD0" w14:textId="77777777" w:rsidR="00C25DD8" w:rsidRPr="00263DB9" w:rsidRDefault="00C25DD8" w:rsidP="00E51817">
            <w:pPr>
              <w:widowControl w:val="0"/>
              <w:rPr>
                <w:color w:val="000000"/>
                <w:szCs w:val="22"/>
              </w:rPr>
            </w:pPr>
            <w:r w:rsidRPr="00263DB9">
              <w:rPr>
                <w:color w:val="000000"/>
                <w:szCs w:val="22"/>
              </w:rPr>
              <w:t>Tel: +356 2122 2872</w:t>
            </w:r>
          </w:p>
        </w:tc>
      </w:tr>
      <w:tr w:rsidR="00C25DD8" w:rsidRPr="00263DB9" w14:paraId="375EBFD9" w14:textId="77777777" w:rsidTr="009C587B">
        <w:trPr>
          <w:cantSplit/>
        </w:trPr>
        <w:tc>
          <w:tcPr>
            <w:tcW w:w="4650" w:type="dxa"/>
          </w:tcPr>
          <w:p w14:paraId="375EBFD2" w14:textId="77777777" w:rsidR="00C25DD8" w:rsidRPr="00263DB9" w:rsidRDefault="00C25DD8" w:rsidP="00E51817">
            <w:pPr>
              <w:widowControl w:val="0"/>
              <w:rPr>
                <w:b/>
                <w:color w:val="000000"/>
                <w:szCs w:val="22"/>
                <w:lang w:val="de-CH"/>
              </w:rPr>
            </w:pPr>
            <w:r w:rsidRPr="00263DB9">
              <w:rPr>
                <w:b/>
                <w:color w:val="000000"/>
                <w:szCs w:val="22"/>
                <w:lang w:val="de-CH"/>
              </w:rPr>
              <w:t>Deutschland</w:t>
            </w:r>
          </w:p>
          <w:p w14:paraId="375EBFD3" w14:textId="77777777" w:rsidR="00C25DD8" w:rsidRPr="00263DB9" w:rsidRDefault="00C25DD8" w:rsidP="00E51817">
            <w:pPr>
              <w:widowControl w:val="0"/>
              <w:rPr>
                <w:color w:val="000000"/>
                <w:szCs w:val="22"/>
                <w:lang w:val="de-CH"/>
              </w:rPr>
            </w:pPr>
            <w:r w:rsidRPr="00263DB9">
              <w:rPr>
                <w:color w:val="000000"/>
                <w:szCs w:val="22"/>
                <w:lang w:val="de-CH"/>
              </w:rPr>
              <w:t>Novartis Pharma GmbH</w:t>
            </w:r>
          </w:p>
          <w:p w14:paraId="375EBFD4" w14:textId="77777777" w:rsidR="00C25DD8" w:rsidRPr="00263DB9" w:rsidRDefault="00C25DD8" w:rsidP="00E51817">
            <w:pPr>
              <w:widowControl w:val="0"/>
              <w:rPr>
                <w:color w:val="000000"/>
                <w:szCs w:val="22"/>
                <w:lang w:val="de-CH"/>
              </w:rPr>
            </w:pPr>
            <w:r w:rsidRPr="00263DB9">
              <w:rPr>
                <w:color w:val="000000"/>
                <w:szCs w:val="22"/>
                <w:lang w:val="de-CH"/>
              </w:rPr>
              <w:t>Tel: +49 911 273 0</w:t>
            </w:r>
          </w:p>
          <w:p w14:paraId="375EBFD5" w14:textId="77777777" w:rsidR="00C25DD8" w:rsidRPr="00263DB9" w:rsidRDefault="00C25DD8" w:rsidP="00E51817">
            <w:pPr>
              <w:widowControl w:val="0"/>
              <w:rPr>
                <w:b/>
                <w:color w:val="000000"/>
                <w:szCs w:val="22"/>
                <w:lang w:val="de-CH"/>
              </w:rPr>
            </w:pPr>
          </w:p>
        </w:tc>
        <w:tc>
          <w:tcPr>
            <w:tcW w:w="4650" w:type="dxa"/>
          </w:tcPr>
          <w:p w14:paraId="375EBFD6" w14:textId="77777777" w:rsidR="00C25DD8" w:rsidRPr="00263DB9" w:rsidRDefault="00C25DD8" w:rsidP="00E51817">
            <w:pPr>
              <w:widowControl w:val="0"/>
              <w:rPr>
                <w:b/>
                <w:color w:val="000000"/>
                <w:szCs w:val="22"/>
                <w:lang w:val="de-CH"/>
              </w:rPr>
            </w:pPr>
            <w:r w:rsidRPr="00263DB9">
              <w:rPr>
                <w:b/>
                <w:color w:val="000000"/>
                <w:szCs w:val="22"/>
                <w:lang w:val="de-CH"/>
              </w:rPr>
              <w:t>Nederland</w:t>
            </w:r>
          </w:p>
          <w:p w14:paraId="375EBFD7" w14:textId="77777777" w:rsidR="00C25DD8" w:rsidRPr="00263DB9" w:rsidRDefault="00C25DD8" w:rsidP="00E51817">
            <w:pPr>
              <w:widowControl w:val="0"/>
              <w:rPr>
                <w:color w:val="000000"/>
                <w:szCs w:val="22"/>
                <w:lang w:val="de-CH"/>
              </w:rPr>
            </w:pPr>
            <w:r w:rsidRPr="00263DB9">
              <w:rPr>
                <w:color w:val="000000"/>
                <w:szCs w:val="22"/>
                <w:lang w:val="de-CH"/>
              </w:rPr>
              <w:t>Novartis Pharma B.V.</w:t>
            </w:r>
          </w:p>
          <w:p w14:paraId="375EBFD8" w14:textId="51CB1BD5" w:rsidR="00C25DD8" w:rsidRPr="00263DB9" w:rsidRDefault="00C25DD8" w:rsidP="00E51817">
            <w:pPr>
              <w:widowControl w:val="0"/>
              <w:rPr>
                <w:color w:val="000000"/>
                <w:szCs w:val="22"/>
              </w:rPr>
            </w:pPr>
            <w:r w:rsidRPr="00263DB9">
              <w:rPr>
                <w:color w:val="000000"/>
                <w:szCs w:val="22"/>
              </w:rPr>
              <w:t xml:space="preserve">Tel: +31 </w:t>
            </w:r>
            <w:r w:rsidR="008E00D0">
              <w:rPr>
                <w:color w:val="000000"/>
                <w:szCs w:val="22"/>
              </w:rPr>
              <w:t>88 04 52</w:t>
            </w:r>
            <w:r w:rsidRPr="00263DB9">
              <w:rPr>
                <w:color w:val="000000"/>
                <w:szCs w:val="22"/>
              </w:rPr>
              <w:t xml:space="preserve"> </w:t>
            </w:r>
            <w:r w:rsidR="002C2D01" w:rsidRPr="00263DB9">
              <w:rPr>
                <w:color w:val="000000"/>
                <w:szCs w:val="22"/>
              </w:rPr>
              <w:t>555</w:t>
            </w:r>
          </w:p>
        </w:tc>
      </w:tr>
      <w:tr w:rsidR="00C25DD8" w:rsidRPr="00263DB9" w14:paraId="375EBFE1" w14:textId="77777777" w:rsidTr="009C587B">
        <w:trPr>
          <w:cantSplit/>
        </w:trPr>
        <w:tc>
          <w:tcPr>
            <w:tcW w:w="4650" w:type="dxa"/>
          </w:tcPr>
          <w:p w14:paraId="375EBFDA" w14:textId="77777777" w:rsidR="00C25DD8" w:rsidRPr="00263DB9" w:rsidRDefault="00C25DD8" w:rsidP="00E51817">
            <w:pPr>
              <w:widowControl w:val="0"/>
              <w:rPr>
                <w:b/>
                <w:color w:val="000000"/>
                <w:szCs w:val="22"/>
                <w:lang w:val="fr-FR"/>
              </w:rPr>
            </w:pPr>
            <w:r w:rsidRPr="00263DB9">
              <w:rPr>
                <w:b/>
                <w:color w:val="000000"/>
                <w:szCs w:val="22"/>
                <w:lang w:val="fr-FR"/>
              </w:rPr>
              <w:t>Eesti</w:t>
            </w:r>
          </w:p>
          <w:p w14:paraId="375EBFDB" w14:textId="77777777" w:rsidR="00C25DD8" w:rsidRPr="00263DB9" w:rsidRDefault="00F26150" w:rsidP="00E51817">
            <w:pPr>
              <w:widowControl w:val="0"/>
              <w:rPr>
                <w:color w:val="000000"/>
                <w:szCs w:val="22"/>
                <w:lang w:val="fr-FR"/>
              </w:rPr>
            </w:pPr>
            <w:r w:rsidRPr="00263DB9">
              <w:rPr>
                <w:color w:val="000000"/>
                <w:szCs w:val="22"/>
                <w:lang w:val="it-IT"/>
              </w:rPr>
              <w:t>SIA Novartis Baltics Eesti filiaal</w:t>
            </w:r>
          </w:p>
          <w:p w14:paraId="375EBFDC" w14:textId="77777777" w:rsidR="00C25DD8" w:rsidRPr="00263DB9" w:rsidRDefault="00C25DD8" w:rsidP="00E51817">
            <w:pPr>
              <w:widowControl w:val="0"/>
              <w:rPr>
                <w:color w:val="000000"/>
                <w:szCs w:val="22"/>
              </w:rPr>
            </w:pPr>
            <w:r w:rsidRPr="00263DB9">
              <w:rPr>
                <w:color w:val="000000"/>
                <w:szCs w:val="22"/>
              </w:rPr>
              <w:t>Tel: +372 66 30 810</w:t>
            </w:r>
          </w:p>
          <w:p w14:paraId="375EBFDD" w14:textId="77777777" w:rsidR="00C25DD8" w:rsidRPr="00263DB9" w:rsidRDefault="00C25DD8" w:rsidP="00E51817">
            <w:pPr>
              <w:widowControl w:val="0"/>
              <w:rPr>
                <w:b/>
                <w:color w:val="000000"/>
                <w:szCs w:val="22"/>
              </w:rPr>
            </w:pPr>
          </w:p>
        </w:tc>
        <w:tc>
          <w:tcPr>
            <w:tcW w:w="4650" w:type="dxa"/>
          </w:tcPr>
          <w:p w14:paraId="375EBFDE" w14:textId="77777777" w:rsidR="00C25DD8" w:rsidRPr="00263DB9" w:rsidRDefault="00C25DD8" w:rsidP="00E51817">
            <w:pPr>
              <w:widowControl w:val="0"/>
              <w:rPr>
                <w:b/>
                <w:color w:val="000000"/>
                <w:szCs w:val="22"/>
                <w:lang w:val="pt-BR"/>
              </w:rPr>
            </w:pPr>
            <w:r w:rsidRPr="00263DB9">
              <w:rPr>
                <w:b/>
                <w:color w:val="000000"/>
                <w:szCs w:val="22"/>
                <w:lang w:val="pt-BR"/>
              </w:rPr>
              <w:t>Norge</w:t>
            </w:r>
          </w:p>
          <w:p w14:paraId="375EBFDF" w14:textId="77777777" w:rsidR="00C25DD8" w:rsidRPr="00263DB9" w:rsidRDefault="00C25DD8" w:rsidP="00E51817">
            <w:pPr>
              <w:widowControl w:val="0"/>
              <w:rPr>
                <w:color w:val="000000"/>
                <w:szCs w:val="22"/>
                <w:lang w:val="pt-BR"/>
              </w:rPr>
            </w:pPr>
            <w:r w:rsidRPr="00263DB9">
              <w:rPr>
                <w:color w:val="000000"/>
                <w:szCs w:val="22"/>
                <w:lang w:val="pt-BR"/>
              </w:rPr>
              <w:t>Novartis Norge AS</w:t>
            </w:r>
          </w:p>
          <w:p w14:paraId="375EBFE0" w14:textId="77777777" w:rsidR="00C25DD8" w:rsidRPr="00263DB9" w:rsidRDefault="00C25DD8" w:rsidP="00E51817">
            <w:pPr>
              <w:widowControl w:val="0"/>
              <w:rPr>
                <w:color w:val="000000"/>
                <w:szCs w:val="22"/>
                <w:lang w:val="pt-BR"/>
              </w:rPr>
            </w:pPr>
            <w:r w:rsidRPr="00263DB9">
              <w:rPr>
                <w:color w:val="000000"/>
                <w:szCs w:val="22"/>
                <w:lang w:val="pt-BR"/>
              </w:rPr>
              <w:t>Tlf: +47 23 05 20 00</w:t>
            </w:r>
          </w:p>
        </w:tc>
      </w:tr>
      <w:tr w:rsidR="00C25DD8" w:rsidRPr="00263DB9" w14:paraId="375EBFE9" w14:textId="77777777" w:rsidTr="009C587B">
        <w:trPr>
          <w:cantSplit/>
        </w:trPr>
        <w:tc>
          <w:tcPr>
            <w:tcW w:w="4650" w:type="dxa"/>
          </w:tcPr>
          <w:p w14:paraId="375EBFE2" w14:textId="77777777" w:rsidR="00C25DD8" w:rsidRPr="00263DB9" w:rsidRDefault="00C25DD8" w:rsidP="00E51817">
            <w:pPr>
              <w:widowControl w:val="0"/>
              <w:rPr>
                <w:b/>
                <w:color w:val="000000"/>
                <w:szCs w:val="22"/>
                <w:lang w:val="pt-BR"/>
              </w:rPr>
            </w:pPr>
            <w:r w:rsidRPr="00263DB9">
              <w:rPr>
                <w:b/>
                <w:color w:val="000000"/>
                <w:szCs w:val="22"/>
              </w:rPr>
              <w:t>Ελλάδα</w:t>
            </w:r>
          </w:p>
          <w:p w14:paraId="375EBFE3" w14:textId="77777777" w:rsidR="00C25DD8" w:rsidRPr="00263DB9" w:rsidRDefault="00C25DD8" w:rsidP="00E51817">
            <w:pPr>
              <w:widowControl w:val="0"/>
              <w:rPr>
                <w:color w:val="000000"/>
                <w:szCs w:val="22"/>
                <w:lang w:val="pt-BR"/>
              </w:rPr>
            </w:pPr>
            <w:r w:rsidRPr="00263DB9">
              <w:rPr>
                <w:color w:val="000000"/>
                <w:szCs w:val="22"/>
                <w:lang w:val="pt-BR"/>
              </w:rPr>
              <w:t>Novartis (Hellas) A.E.B.E.</w:t>
            </w:r>
          </w:p>
          <w:p w14:paraId="375EBFE4" w14:textId="77777777" w:rsidR="00C25DD8" w:rsidRPr="00263DB9" w:rsidRDefault="00C25DD8" w:rsidP="00E51817">
            <w:pPr>
              <w:widowControl w:val="0"/>
              <w:rPr>
                <w:color w:val="000000"/>
                <w:szCs w:val="22"/>
                <w:lang w:val="pt-BR"/>
              </w:rPr>
            </w:pPr>
            <w:r w:rsidRPr="00263DB9">
              <w:rPr>
                <w:color w:val="000000"/>
                <w:szCs w:val="22"/>
              </w:rPr>
              <w:t>Τηλ</w:t>
            </w:r>
            <w:r w:rsidRPr="00263DB9">
              <w:rPr>
                <w:color w:val="000000"/>
                <w:szCs w:val="22"/>
                <w:lang w:val="pt-BR"/>
              </w:rPr>
              <w:t>: +30 210 281 17 12</w:t>
            </w:r>
          </w:p>
          <w:p w14:paraId="375EBFE5" w14:textId="77777777" w:rsidR="00C25DD8" w:rsidRPr="00263DB9" w:rsidRDefault="00C25DD8" w:rsidP="00E51817">
            <w:pPr>
              <w:widowControl w:val="0"/>
              <w:rPr>
                <w:b/>
                <w:color w:val="000000"/>
                <w:szCs w:val="22"/>
                <w:lang w:val="pt-BR"/>
              </w:rPr>
            </w:pPr>
          </w:p>
        </w:tc>
        <w:tc>
          <w:tcPr>
            <w:tcW w:w="4650" w:type="dxa"/>
          </w:tcPr>
          <w:p w14:paraId="375EBFE6" w14:textId="77777777" w:rsidR="00C25DD8" w:rsidRPr="00263DB9" w:rsidRDefault="00C25DD8" w:rsidP="00E51817">
            <w:pPr>
              <w:widowControl w:val="0"/>
              <w:rPr>
                <w:b/>
                <w:color w:val="000000"/>
                <w:szCs w:val="22"/>
                <w:lang w:val="de-CH"/>
              </w:rPr>
            </w:pPr>
            <w:r w:rsidRPr="00263DB9">
              <w:rPr>
                <w:b/>
                <w:color w:val="000000"/>
                <w:szCs w:val="22"/>
                <w:lang w:val="de-CH"/>
              </w:rPr>
              <w:t>Österreich</w:t>
            </w:r>
          </w:p>
          <w:p w14:paraId="375EBFE7" w14:textId="77777777" w:rsidR="00C25DD8" w:rsidRPr="00263DB9" w:rsidRDefault="00C25DD8" w:rsidP="00E51817">
            <w:pPr>
              <w:widowControl w:val="0"/>
              <w:rPr>
                <w:color w:val="000000"/>
                <w:szCs w:val="22"/>
                <w:lang w:val="de-CH"/>
              </w:rPr>
            </w:pPr>
            <w:r w:rsidRPr="00263DB9">
              <w:rPr>
                <w:color w:val="000000"/>
                <w:szCs w:val="22"/>
                <w:lang w:val="de-CH"/>
              </w:rPr>
              <w:t>Novartis Pharma GmbH</w:t>
            </w:r>
          </w:p>
          <w:p w14:paraId="375EBFE8" w14:textId="77777777" w:rsidR="00C25DD8" w:rsidRPr="00263DB9" w:rsidRDefault="00C25DD8" w:rsidP="00E51817">
            <w:pPr>
              <w:widowControl w:val="0"/>
              <w:rPr>
                <w:color w:val="000000"/>
                <w:szCs w:val="22"/>
                <w:lang w:val="de-CH"/>
              </w:rPr>
            </w:pPr>
            <w:r w:rsidRPr="00263DB9">
              <w:rPr>
                <w:color w:val="000000"/>
                <w:szCs w:val="22"/>
                <w:lang w:val="de-CH"/>
              </w:rPr>
              <w:t>Tel: +43 1 86 6570</w:t>
            </w:r>
          </w:p>
        </w:tc>
      </w:tr>
      <w:tr w:rsidR="00C25DD8" w:rsidRPr="00263DB9" w14:paraId="375EBFF1" w14:textId="77777777" w:rsidTr="009C587B">
        <w:trPr>
          <w:cantSplit/>
        </w:trPr>
        <w:tc>
          <w:tcPr>
            <w:tcW w:w="4650" w:type="dxa"/>
          </w:tcPr>
          <w:p w14:paraId="375EBFEA" w14:textId="77777777" w:rsidR="00C25DD8" w:rsidRPr="00263DB9" w:rsidRDefault="00C25DD8" w:rsidP="00E51817">
            <w:pPr>
              <w:widowControl w:val="0"/>
              <w:rPr>
                <w:b/>
                <w:color w:val="000000"/>
                <w:szCs w:val="22"/>
                <w:lang w:val="pt-BR"/>
              </w:rPr>
            </w:pPr>
            <w:r w:rsidRPr="00263DB9">
              <w:rPr>
                <w:b/>
                <w:color w:val="000000"/>
                <w:szCs w:val="22"/>
                <w:lang w:val="pt-BR"/>
              </w:rPr>
              <w:t>España</w:t>
            </w:r>
          </w:p>
          <w:p w14:paraId="375EBFEB" w14:textId="77777777" w:rsidR="00C25DD8" w:rsidRPr="00263DB9" w:rsidRDefault="00C25DD8" w:rsidP="00E51817">
            <w:pPr>
              <w:widowControl w:val="0"/>
              <w:rPr>
                <w:color w:val="000000"/>
                <w:szCs w:val="22"/>
                <w:lang w:val="pt-BR"/>
              </w:rPr>
            </w:pPr>
            <w:r w:rsidRPr="00263DB9">
              <w:rPr>
                <w:color w:val="000000"/>
                <w:szCs w:val="22"/>
                <w:lang w:val="pt-BR"/>
              </w:rPr>
              <w:t>Novartis Farmacéutica, S.A.</w:t>
            </w:r>
          </w:p>
          <w:p w14:paraId="375EBFEC" w14:textId="77777777" w:rsidR="00C25DD8" w:rsidRPr="00263DB9" w:rsidRDefault="00C25DD8" w:rsidP="00E51817">
            <w:pPr>
              <w:widowControl w:val="0"/>
              <w:rPr>
                <w:color w:val="000000"/>
                <w:szCs w:val="22"/>
              </w:rPr>
            </w:pPr>
            <w:r w:rsidRPr="00263DB9">
              <w:rPr>
                <w:color w:val="000000"/>
                <w:szCs w:val="22"/>
              </w:rPr>
              <w:t>Tel: +34 93 306 42 00</w:t>
            </w:r>
          </w:p>
          <w:p w14:paraId="375EBFED" w14:textId="77777777" w:rsidR="00C25DD8" w:rsidRPr="00263DB9" w:rsidRDefault="00C25DD8" w:rsidP="00E51817">
            <w:pPr>
              <w:widowControl w:val="0"/>
              <w:rPr>
                <w:b/>
                <w:color w:val="000000"/>
                <w:szCs w:val="22"/>
              </w:rPr>
            </w:pPr>
          </w:p>
        </w:tc>
        <w:tc>
          <w:tcPr>
            <w:tcW w:w="4650" w:type="dxa"/>
          </w:tcPr>
          <w:p w14:paraId="375EBFEE" w14:textId="77777777" w:rsidR="00C25DD8" w:rsidRPr="00263DB9" w:rsidRDefault="00C25DD8" w:rsidP="00E51817">
            <w:pPr>
              <w:widowControl w:val="0"/>
              <w:rPr>
                <w:b/>
                <w:color w:val="000000"/>
                <w:szCs w:val="22"/>
                <w:lang w:val="pt-BR"/>
              </w:rPr>
            </w:pPr>
            <w:r w:rsidRPr="00263DB9">
              <w:rPr>
                <w:b/>
                <w:color w:val="000000"/>
                <w:szCs w:val="22"/>
                <w:lang w:val="pt-BR"/>
              </w:rPr>
              <w:t>Polska</w:t>
            </w:r>
          </w:p>
          <w:p w14:paraId="375EBFEF" w14:textId="77777777" w:rsidR="00C25DD8" w:rsidRPr="00263DB9" w:rsidRDefault="00C25DD8" w:rsidP="00E51817">
            <w:pPr>
              <w:widowControl w:val="0"/>
              <w:rPr>
                <w:color w:val="000000"/>
                <w:szCs w:val="22"/>
                <w:lang w:val="pt-BR"/>
              </w:rPr>
            </w:pPr>
            <w:r w:rsidRPr="00263DB9">
              <w:rPr>
                <w:color w:val="000000"/>
                <w:szCs w:val="22"/>
                <w:lang w:val="pt-BR"/>
              </w:rPr>
              <w:t>Novartis Poland Sp. z o.o.</w:t>
            </w:r>
          </w:p>
          <w:p w14:paraId="375EBFF0" w14:textId="77777777" w:rsidR="00C25DD8" w:rsidRPr="00263DB9" w:rsidRDefault="00C25DD8" w:rsidP="00E51817">
            <w:pPr>
              <w:widowControl w:val="0"/>
              <w:rPr>
                <w:color w:val="000000"/>
                <w:szCs w:val="22"/>
                <w:lang w:val="pt-BR"/>
              </w:rPr>
            </w:pPr>
            <w:r w:rsidRPr="00263DB9">
              <w:rPr>
                <w:color w:val="000000"/>
                <w:szCs w:val="22"/>
                <w:lang w:val="pt-BR"/>
              </w:rPr>
              <w:t xml:space="preserve">Tel.: +48 22 </w:t>
            </w:r>
            <w:r w:rsidRPr="00263DB9">
              <w:rPr>
                <w:szCs w:val="22"/>
              </w:rPr>
              <w:t>375 4888</w:t>
            </w:r>
          </w:p>
        </w:tc>
      </w:tr>
      <w:tr w:rsidR="00C25DD8" w:rsidRPr="00263DB9" w14:paraId="375EBFF9" w14:textId="77777777" w:rsidTr="009C587B">
        <w:trPr>
          <w:cantSplit/>
        </w:trPr>
        <w:tc>
          <w:tcPr>
            <w:tcW w:w="4650" w:type="dxa"/>
          </w:tcPr>
          <w:p w14:paraId="375EBFF2" w14:textId="77777777" w:rsidR="00C25DD8" w:rsidRPr="00263DB9" w:rsidRDefault="00C25DD8" w:rsidP="00E51817">
            <w:pPr>
              <w:widowControl w:val="0"/>
              <w:rPr>
                <w:b/>
                <w:color w:val="000000"/>
                <w:szCs w:val="22"/>
                <w:lang w:val="fr-FR"/>
              </w:rPr>
            </w:pPr>
            <w:r w:rsidRPr="00263DB9">
              <w:rPr>
                <w:b/>
                <w:color w:val="000000"/>
                <w:szCs w:val="22"/>
                <w:lang w:val="fr-FR"/>
              </w:rPr>
              <w:t>France</w:t>
            </w:r>
          </w:p>
          <w:p w14:paraId="375EBFF3" w14:textId="77777777" w:rsidR="00C25DD8" w:rsidRPr="00263DB9" w:rsidRDefault="00C25DD8" w:rsidP="00E51817">
            <w:pPr>
              <w:widowControl w:val="0"/>
              <w:rPr>
                <w:color w:val="000000"/>
                <w:szCs w:val="22"/>
                <w:lang w:val="fr-FR"/>
              </w:rPr>
            </w:pPr>
            <w:r w:rsidRPr="00263DB9">
              <w:rPr>
                <w:color w:val="000000"/>
                <w:szCs w:val="22"/>
                <w:lang w:val="fr-FR"/>
              </w:rPr>
              <w:t>Novartis Pharma S.A.S.</w:t>
            </w:r>
          </w:p>
          <w:p w14:paraId="375EBFF4" w14:textId="77777777" w:rsidR="00C25DD8" w:rsidRPr="00263DB9" w:rsidRDefault="00C25DD8" w:rsidP="00E51817">
            <w:pPr>
              <w:widowControl w:val="0"/>
              <w:rPr>
                <w:color w:val="000000"/>
                <w:szCs w:val="22"/>
                <w:lang w:val="fr-FR"/>
              </w:rPr>
            </w:pPr>
            <w:r w:rsidRPr="00263DB9">
              <w:rPr>
                <w:color w:val="000000"/>
                <w:szCs w:val="22"/>
                <w:lang w:val="fr-FR"/>
              </w:rPr>
              <w:t>Tél: +33 1 55 47 66 00</w:t>
            </w:r>
          </w:p>
          <w:p w14:paraId="375EBFF5" w14:textId="77777777" w:rsidR="00C25DD8" w:rsidRPr="00263DB9" w:rsidRDefault="00C25DD8" w:rsidP="00E51817">
            <w:pPr>
              <w:widowControl w:val="0"/>
              <w:rPr>
                <w:b/>
                <w:color w:val="000000"/>
                <w:szCs w:val="22"/>
                <w:lang w:val="fr-FR"/>
              </w:rPr>
            </w:pPr>
          </w:p>
        </w:tc>
        <w:tc>
          <w:tcPr>
            <w:tcW w:w="4650" w:type="dxa"/>
          </w:tcPr>
          <w:p w14:paraId="375EBFF6" w14:textId="77777777" w:rsidR="00C25DD8" w:rsidRPr="00263DB9" w:rsidRDefault="00C25DD8" w:rsidP="00E51817">
            <w:pPr>
              <w:widowControl w:val="0"/>
              <w:rPr>
                <w:b/>
                <w:color w:val="000000"/>
                <w:szCs w:val="22"/>
                <w:lang w:val="pt-BR"/>
              </w:rPr>
            </w:pPr>
            <w:r w:rsidRPr="00263DB9">
              <w:rPr>
                <w:b/>
                <w:color w:val="000000"/>
                <w:szCs w:val="22"/>
                <w:lang w:val="pt-BR"/>
              </w:rPr>
              <w:t>Portugal</w:t>
            </w:r>
          </w:p>
          <w:p w14:paraId="375EBFF7" w14:textId="77777777" w:rsidR="00C25DD8" w:rsidRPr="00263DB9" w:rsidRDefault="00C25DD8" w:rsidP="00E51817">
            <w:pPr>
              <w:widowControl w:val="0"/>
              <w:rPr>
                <w:color w:val="000000"/>
                <w:szCs w:val="22"/>
                <w:lang w:val="pt-BR"/>
              </w:rPr>
            </w:pPr>
            <w:r w:rsidRPr="00263DB9">
              <w:rPr>
                <w:color w:val="000000"/>
                <w:szCs w:val="22"/>
                <w:lang w:val="pt-BR"/>
              </w:rPr>
              <w:t>Novartis Farma - Produtos Farmacêuticos, S.A.</w:t>
            </w:r>
          </w:p>
          <w:p w14:paraId="375EBFF8" w14:textId="77777777" w:rsidR="00C25DD8" w:rsidRPr="00263DB9" w:rsidRDefault="00C25DD8" w:rsidP="00E51817">
            <w:pPr>
              <w:widowControl w:val="0"/>
              <w:rPr>
                <w:color w:val="000000"/>
                <w:szCs w:val="22"/>
              </w:rPr>
            </w:pPr>
            <w:r w:rsidRPr="00263DB9">
              <w:rPr>
                <w:color w:val="000000"/>
                <w:szCs w:val="22"/>
              </w:rPr>
              <w:t>Tel: +351 21 000 8600</w:t>
            </w:r>
          </w:p>
        </w:tc>
      </w:tr>
      <w:tr w:rsidR="00C25DD8" w:rsidRPr="00263DB9" w14:paraId="375EC001" w14:textId="77777777" w:rsidTr="009C587B">
        <w:trPr>
          <w:cantSplit/>
        </w:trPr>
        <w:tc>
          <w:tcPr>
            <w:tcW w:w="4650" w:type="dxa"/>
          </w:tcPr>
          <w:p w14:paraId="375EBFFA" w14:textId="77777777" w:rsidR="00C25DD8" w:rsidRPr="003C4FF5" w:rsidRDefault="00C25DD8" w:rsidP="00E51817">
            <w:pPr>
              <w:widowControl w:val="0"/>
              <w:rPr>
                <w:rFonts w:eastAsia="PMingLiU"/>
                <w:b/>
                <w:szCs w:val="22"/>
                <w:lang w:val="en-US"/>
              </w:rPr>
            </w:pPr>
            <w:r w:rsidRPr="003C4FF5">
              <w:rPr>
                <w:rFonts w:eastAsia="PMingLiU"/>
                <w:b/>
                <w:szCs w:val="22"/>
                <w:lang w:val="en-US"/>
              </w:rPr>
              <w:t>Hrvatska</w:t>
            </w:r>
          </w:p>
          <w:p w14:paraId="375EBFFB" w14:textId="77777777" w:rsidR="00C25DD8" w:rsidRPr="003C4FF5" w:rsidRDefault="00C25DD8" w:rsidP="00E51817">
            <w:pPr>
              <w:widowControl w:val="0"/>
              <w:rPr>
                <w:szCs w:val="22"/>
                <w:lang w:val="en-US"/>
              </w:rPr>
            </w:pPr>
            <w:r w:rsidRPr="003C4FF5">
              <w:rPr>
                <w:szCs w:val="22"/>
                <w:lang w:val="en-US"/>
              </w:rPr>
              <w:t>Novartis Hrvatska d.o.o.</w:t>
            </w:r>
          </w:p>
          <w:p w14:paraId="375EBFFC" w14:textId="77777777" w:rsidR="00C25DD8" w:rsidRPr="00263DB9" w:rsidRDefault="00C25DD8" w:rsidP="00E51817">
            <w:pPr>
              <w:widowControl w:val="0"/>
              <w:rPr>
                <w:szCs w:val="22"/>
              </w:rPr>
            </w:pPr>
            <w:r w:rsidRPr="00263DB9">
              <w:rPr>
                <w:szCs w:val="22"/>
              </w:rPr>
              <w:t>Tel. +385 1 6274 220</w:t>
            </w:r>
          </w:p>
          <w:p w14:paraId="375EBFFD" w14:textId="77777777" w:rsidR="00C25DD8" w:rsidRPr="00263DB9" w:rsidRDefault="00C25DD8" w:rsidP="00E51817">
            <w:pPr>
              <w:widowControl w:val="0"/>
              <w:rPr>
                <w:b/>
                <w:color w:val="000000"/>
                <w:szCs w:val="22"/>
                <w:lang w:val="fr-FR"/>
              </w:rPr>
            </w:pPr>
          </w:p>
        </w:tc>
        <w:tc>
          <w:tcPr>
            <w:tcW w:w="4650" w:type="dxa"/>
          </w:tcPr>
          <w:p w14:paraId="375EBFFE" w14:textId="77777777" w:rsidR="00C25DD8" w:rsidRPr="00263DB9" w:rsidRDefault="00C25DD8" w:rsidP="00E51817">
            <w:pPr>
              <w:widowControl w:val="0"/>
              <w:rPr>
                <w:b/>
                <w:noProof/>
                <w:color w:val="000000"/>
                <w:szCs w:val="22"/>
                <w:lang w:val="it-IT"/>
              </w:rPr>
            </w:pPr>
            <w:r w:rsidRPr="00263DB9">
              <w:rPr>
                <w:b/>
                <w:noProof/>
                <w:color w:val="000000"/>
                <w:szCs w:val="22"/>
                <w:lang w:val="it-IT"/>
              </w:rPr>
              <w:t>România</w:t>
            </w:r>
          </w:p>
          <w:p w14:paraId="375EBFFF" w14:textId="77777777" w:rsidR="00C25DD8" w:rsidRPr="00263DB9" w:rsidRDefault="00C25DD8" w:rsidP="00E51817">
            <w:pPr>
              <w:widowControl w:val="0"/>
              <w:rPr>
                <w:noProof/>
                <w:color w:val="000000"/>
                <w:szCs w:val="22"/>
                <w:lang w:val="it-IT"/>
              </w:rPr>
            </w:pPr>
            <w:r w:rsidRPr="00263DB9">
              <w:rPr>
                <w:noProof/>
                <w:color w:val="000000"/>
                <w:szCs w:val="22"/>
                <w:lang w:val="it-IT"/>
              </w:rPr>
              <w:t xml:space="preserve">Novartis Pharma Services </w:t>
            </w:r>
            <w:r w:rsidRPr="00263DB9">
              <w:rPr>
                <w:color w:val="2F2F2F"/>
                <w:szCs w:val="22"/>
              </w:rPr>
              <w:t>Romania SRL</w:t>
            </w:r>
          </w:p>
          <w:p w14:paraId="375EC000" w14:textId="77777777" w:rsidR="00C25DD8" w:rsidRPr="00263DB9" w:rsidRDefault="00C25DD8" w:rsidP="00E51817">
            <w:pPr>
              <w:widowControl w:val="0"/>
              <w:rPr>
                <w:color w:val="000000"/>
                <w:szCs w:val="22"/>
              </w:rPr>
            </w:pPr>
            <w:r w:rsidRPr="00263DB9">
              <w:rPr>
                <w:noProof/>
                <w:color w:val="000000"/>
                <w:szCs w:val="22"/>
                <w:lang w:val="it-IT"/>
              </w:rPr>
              <w:t>Tel: +40 21 31299 01</w:t>
            </w:r>
          </w:p>
        </w:tc>
      </w:tr>
      <w:tr w:rsidR="00C25DD8" w:rsidRPr="00263DB9" w14:paraId="375EC009" w14:textId="77777777" w:rsidTr="009C587B">
        <w:trPr>
          <w:cantSplit/>
        </w:trPr>
        <w:tc>
          <w:tcPr>
            <w:tcW w:w="4650" w:type="dxa"/>
          </w:tcPr>
          <w:p w14:paraId="375EC002" w14:textId="77777777" w:rsidR="00C25DD8" w:rsidRPr="00263DB9" w:rsidRDefault="00C25DD8" w:rsidP="00E51817">
            <w:pPr>
              <w:widowControl w:val="0"/>
              <w:rPr>
                <w:b/>
                <w:color w:val="000000"/>
                <w:szCs w:val="22"/>
                <w:lang w:val="en-US"/>
              </w:rPr>
            </w:pPr>
            <w:r w:rsidRPr="00263DB9">
              <w:rPr>
                <w:b/>
                <w:color w:val="000000"/>
                <w:szCs w:val="22"/>
                <w:lang w:val="en-US"/>
              </w:rPr>
              <w:t>Ireland</w:t>
            </w:r>
          </w:p>
          <w:p w14:paraId="375EC003" w14:textId="77777777" w:rsidR="00C25DD8" w:rsidRPr="00263DB9" w:rsidRDefault="00C25DD8" w:rsidP="00E51817">
            <w:pPr>
              <w:widowControl w:val="0"/>
              <w:rPr>
                <w:color w:val="000000"/>
                <w:szCs w:val="22"/>
                <w:lang w:val="en-US"/>
              </w:rPr>
            </w:pPr>
            <w:r w:rsidRPr="00263DB9">
              <w:rPr>
                <w:color w:val="000000"/>
                <w:szCs w:val="22"/>
                <w:lang w:val="en-US"/>
              </w:rPr>
              <w:t>Novartis Ireland Limited</w:t>
            </w:r>
          </w:p>
          <w:p w14:paraId="375EC004" w14:textId="77777777" w:rsidR="00C25DD8" w:rsidRPr="00263DB9" w:rsidRDefault="00C25DD8" w:rsidP="00E51817">
            <w:pPr>
              <w:widowControl w:val="0"/>
              <w:rPr>
                <w:color w:val="000000"/>
                <w:szCs w:val="22"/>
                <w:lang w:val="en-US"/>
              </w:rPr>
            </w:pPr>
            <w:r w:rsidRPr="00263DB9">
              <w:rPr>
                <w:color w:val="000000"/>
                <w:szCs w:val="22"/>
                <w:lang w:val="en-US"/>
              </w:rPr>
              <w:t>Tel: +353 1 260 12 55</w:t>
            </w:r>
          </w:p>
          <w:p w14:paraId="375EC005" w14:textId="77777777" w:rsidR="00C25DD8" w:rsidRPr="00263DB9" w:rsidRDefault="00C25DD8" w:rsidP="00E51817">
            <w:pPr>
              <w:widowControl w:val="0"/>
              <w:rPr>
                <w:b/>
                <w:color w:val="000000"/>
                <w:szCs w:val="22"/>
                <w:lang w:val="en-US"/>
              </w:rPr>
            </w:pPr>
          </w:p>
        </w:tc>
        <w:tc>
          <w:tcPr>
            <w:tcW w:w="4650" w:type="dxa"/>
          </w:tcPr>
          <w:p w14:paraId="375EC006" w14:textId="77777777" w:rsidR="00C25DD8" w:rsidRPr="00263DB9" w:rsidRDefault="00C25DD8" w:rsidP="00E51817">
            <w:pPr>
              <w:widowControl w:val="0"/>
              <w:rPr>
                <w:b/>
                <w:color w:val="000000"/>
                <w:szCs w:val="22"/>
                <w:lang w:val="fr-FR"/>
              </w:rPr>
            </w:pPr>
            <w:r w:rsidRPr="00263DB9">
              <w:rPr>
                <w:b/>
                <w:color w:val="000000"/>
                <w:szCs w:val="22"/>
                <w:lang w:val="fr-FR"/>
              </w:rPr>
              <w:t>Slovenija</w:t>
            </w:r>
          </w:p>
          <w:p w14:paraId="375EC007" w14:textId="77777777" w:rsidR="00C25DD8" w:rsidRPr="00263DB9" w:rsidRDefault="00C25DD8" w:rsidP="00E51817">
            <w:pPr>
              <w:widowControl w:val="0"/>
              <w:rPr>
                <w:color w:val="000000"/>
                <w:szCs w:val="22"/>
                <w:lang w:val="fr-FR"/>
              </w:rPr>
            </w:pPr>
            <w:r w:rsidRPr="00263DB9">
              <w:rPr>
                <w:color w:val="000000"/>
                <w:szCs w:val="22"/>
                <w:lang w:val="fr-FR"/>
              </w:rPr>
              <w:t>Novartis Pharma Services Inc.</w:t>
            </w:r>
          </w:p>
          <w:p w14:paraId="375EC008" w14:textId="77777777" w:rsidR="00C25DD8" w:rsidRPr="00263DB9" w:rsidRDefault="00C25DD8" w:rsidP="00E51817">
            <w:pPr>
              <w:widowControl w:val="0"/>
              <w:rPr>
                <w:color w:val="000000"/>
                <w:szCs w:val="22"/>
                <w:lang w:val="fr-FR"/>
              </w:rPr>
            </w:pPr>
            <w:r w:rsidRPr="00263DB9">
              <w:rPr>
                <w:color w:val="000000"/>
                <w:szCs w:val="22"/>
                <w:lang w:val="fr-FR"/>
              </w:rPr>
              <w:t>Tel: +386 1 300 75 50</w:t>
            </w:r>
          </w:p>
        </w:tc>
      </w:tr>
      <w:tr w:rsidR="00C25DD8" w:rsidRPr="00263DB9" w14:paraId="375EC012" w14:textId="77777777" w:rsidTr="009C587B">
        <w:trPr>
          <w:cantSplit/>
        </w:trPr>
        <w:tc>
          <w:tcPr>
            <w:tcW w:w="4650" w:type="dxa"/>
          </w:tcPr>
          <w:p w14:paraId="375EC00A" w14:textId="77777777" w:rsidR="00C25DD8" w:rsidRPr="00263DB9" w:rsidRDefault="00C25DD8" w:rsidP="00E51817">
            <w:pPr>
              <w:widowControl w:val="0"/>
              <w:rPr>
                <w:b/>
                <w:color w:val="000000"/>
                <w:szCs w:val="22"/>
              </w:rPr>
            </w:pPr>
            <w:r w:rsidRPr="00263DB9">
              <w:rPr>
                <w:b/>
                <w:color w:val="000000"/>
                <w:szCs w:val="22"/>
              </w:rPr>
              <w:t>Ísland</w:t>
            </w:r>
          </w:p>
          <w:p w14:paraId="375EC00B" w14:textId="77777777" w:rsidR="00C25DD8" w:rsidRPr="00263DB9" w:rsidRDefault="00C25DD8" w:rsidP="00E51817">
            <w:pPr>
              <w:widowControl w:val="0"/>
              <w:rPr>
                <w:color w:val="000000"/>
                <w:szCs w:val="22"/>
              </w:rPr>
            </w:pPr>
            <w:r w:rsidRPr="00263DB9">
              <w:rPr>
                <w:color w:val="000000"/>
                <w:szCs w:val="22"/>
              </w:rPr>
              <w:t>Vistor hf.</w:t>
            </w:r>
          </w:p>
          <w:p w14:paraId="375EC00C" w14:textId="77777777" w:rsidR="00C25DD8" w:rsidRPr="00263DB9" w:rsidRDefault="00C25DD8" w:rsidP="00E51817">
            <w:pPr>
              <w:widowControl w:val="0"/>
              <w:rPr>
                <w:color w:val="000000"/>
                <w:szCs w:val="22"/>
              </w:rPr>
            </w:pPr>
            <w:r w:rsidRPr="00263DB9">
              <w:rPr>
                <w:noProof/>
                <w:color w:val="000000"/>
                <w:szCs w:val="22"/>
                <w:lang w:val="it-IT"/>
              </w:rPr>
              <w:t>S</w:t>
            </w:r>
            <w:r w:rsidRPr="00263DB9">
              <w:rPr>
                <w:noProof/>
                <w:color w:val="000000"/>
                <w:szCs w:val="22"/>
                <w:lang w:val="cs-CZ"/>
              </w:rPr>
              <w:t>í</w:t>
            </w:r>
            <w:r w:rsidRPr="00263DB9">
              <w:rPr>
                <w:noProof/>
                <w:color w:val="000000"/>
                <w:szCs w:val="22"/>
                <w:lang w:val="it-IT"/>
              </w:rPr>
              <w:t>mi</w:t>
            </w:r>
            <w:r w:rsidRPr="00263DB9">
              <w:rPr>
                <w:color w:val="000000"/>
                <w:szCs w:val="22"/>
              </w:rPr>
              <w:t>: +354 535 7000</w:t>
            </w:r>
          </w:p>
          <w:p w14:paraId="375EC00D" w14:textId="77777777" w:rsidR="00C25DD8" w:rsidRPr="00263DB9" w:rsidRDefault="00C25DD8" w:rsidP="00E51817">
            <w:pPr>
              <w:widowControl w:val="0"/>
              <w:rPr>
                <w:b/>
                <w:color w:val="000000"/>
                <w:szCs w:val="22"/>
              </w:rPr>
            </w:pPr>
          </w:p>
        </w:tc>
        <w:tc>
          <w:tcPr>
            <w:tcW w:w="4650" w:type="dxa"/>
          </w:tcPr>
          <w:p w14:paraId="375EC00E" w14:textId="77777777" w:rsidR="00C25DD8" w:rsidRPr="00263DB9" w:rsidRDefault="00C25DD8" w:rsidP="00E51817">
            <w:pPr>
              <w:widowControl w:val="0"/>
              <w:rPr>
                <w:b/>
                <w:color w:val="000000"/>
                <w:szCs w:val="22"/>
                <w:lang w:val="pt-BR"/>
              </w:rPr>
            </w:pPr>
            <w:r w:rsidRPr="00263DB9">
              <w:rPr>
                <w:b/>
                <w:color w:val="000000"/>
                <w:szCs w:val="22"/>
                <w:lang w:val="pt-BR"/>
              </w:rPr>
              <w:t>Slovenská republika</w:t>
            </w:r>
          </w:p>
          <w:p w14:paraId="375EC00F" w14:textId="77777777" w:rsidR="00C25DD8" w:rsidRPr="00263DB9" w:rsidRDefault="00C25DD8" w:rsidP="00E51817">
            <w:pPr>
              <w:widowControl w:val="0"/>
              <w:rPr>
                <w:color w:val="000000"/>
                <w:szCs w:val="22"/>
                <w:lang w:val="pt-BR"/>
              </w:rPr>
            </w:pPr>
            <w:r w:rsidRPr="00263DB9">
              <w:rPr>
                <w:color w:val="000000"/>
                <w:szCs w:val="22"/>
                <w:lang w:val="pt-BR"/>
              </w:rPr>
              <w:t>Novartis Slovakia s.r.o.</w:t>
            </w:r>
          </w:p>
          <w:p w14:paraId="375EC010" w14:textId="77777777" w:rsidR="00C25DD8" w:rsidRPr="00263DB9" w:rsidRDefault="00C25DD8" w:rsidP="00E51817">
            <w:pPr>
              <w:widowControl w:val="0"/>
              <w:rPr>
                <w:color w:val="000000"/>
                <w:szCs w:val="22"/>
              </w:rPr>
            </w:pPr>
            <w:r w:rsidRPr="00263DB9">
              <w:rPr>
                <w:color w:val="000000"/>
                <w:szCs w:val="22"/>
              </w:rPr>
              <w:t>Tel: +421 2 5542 5439</w:t>
            </w:r>
          </w:p>
          <w:p w14:paraId="375EC011" w14:textId="77777777" w:rsidR="00C25DD8" w:rsidRPr="00263DB9" w:rsidRDefault="00C25DD8" w:rsidP="00E51817">
            <w:pPr>
              <w:widowControl w:val="0"/>
              <w:rPr>
                <w:color w:val="000000"/>
                <w:szCs w:val="22"/>
              </w:rPr>
            </w:pPr>
          </w:p>
        </w:tc>
      </w:tr>
      <w:tr w:rsidR="00C25DD8" w:rsidRPr="003C4FF5" w14:paraId="375EC01A" w14:textId="77777777" w:rsidTr="009C587B">
        <w:trPr>
          <w:cantSplit/>
        </w:trPr>
        <w:tc>
          <w:tcPr>
            <w:tcW w:w="4650" w:type="dxa"/>
          </w:tcPr>
          <w:p w14:paraId="375EC013" w14:textId="77777777" w:rsidR="00C25DD8" w:rsidRPr="00263DB9" w:rsidRDefault="00C25DD8" w:rsidP="00E51817">
            <w:pPr>
              <w:widowControl w:val="0"/>
              <w:rPr>
                <w:b/>
                <w:color w:val="000000"/>
                <w:szCs w:val="22"/>
                <w:lang w:val="pt-BR"/>
              </w:rPr>
            </w:pPr>
            <w:r w:rsidRPr="00263DB9">
              <w:rPr>
                <w:b/>
                <w:color w:val="000000"/>
                <w:szCs w:val="22"/>
                <w:lang w:val="pt-BR"/>
              </w:rPr>
              <w:t>Italia</w:t>
            </w:r>
          </w:p>
          <w:p w14:paraId="375EC014" w14:textId="77777777" w:rsidR="00C25DD8" w:rsidRPr="00263DB9" w:rsidRDefault="00C25DD8" w:rsidP="00E51817">
            <w:pPr>
              <w:widowControl w:val="0"/>
              <w:rPr>
                <w:color w:val="000000"/>
                <w:szCs w:val="22"/>
                <w:lang w:val="pt-BR"/>
              </w:rPr>
            </w:pPr>
            <w:r w:rsidRPr="00263DB9">
              <w:rPr>
                <w:color w:val="000000"/>
                <w:szCs w:val="22"/>
                <w:lang w:val="pt-BR"/>
              </w:rPr>
              <w:t>Novartis Farma S.p.A.</w:t>
            </w:r>
          </w:p>
          <w:p w14:paraId="375EC015" w14:textId="77777777" w:rsidR="00C25DD8" w:rsidRPr="00263DB9" w:rsidRDefault="00C25DD8" w:rsidP="00E51817">
            <w:pPr>
              <w:widowControl w:val="0"/>
              <w:rPr>
                <w:b/>
                <w:color w:val="000000"/>
                <w:szCs w:val="22"/>
              </w:rPr>
            </w:pPr>
            <w:r w:rsidRPr="00263DB9">
              <w:rPr>
                <w:color w:val="000000"/>
                <w:szCs w:val="22"/>
              </w:rPr>
              <w:t>Tel: +39 02 96 54 1</w:t>
            </w:r>
          </w:p>
        </w:tc>
        <w:tc>
          <w:tcPr>
            <w:tcW w:w="4650" w:type="dxa"/>
          </w:tcPr>
          <w:p w14:paraId="375EC016" w14:textId="77777777" w:rsidR="00C25DD8" w:rsidRPr="00263DB9" w:rsidRDefault="00C25DD8" w:rsidP="00E51817">
            <w:pPr>
              <w:widowControl w:val="0"/>
              <w:rPr>
                <w:b/>
                <w:color w:val="000000"/>
                <w:szCs w:val="22"/>
                <w:lang w:val="fr-FR"/>
              </w:rPr>
            </w:pPr>
            <w:r w:rsidRPr="00263DB9">
              <w:rPr>
                <w:b/>
                <w:color w:val="000000"/>
                <w:szCs w:val="22"/>
                <w:lang w:val="fr-FR"/>
              </w:rPr>
              <w:t>Suomi/Finland</w:t>
            </w:r>
          </w:p>
          <w:p w14:paraId="375EC017" w14:textId="77777777" w:rsidR="00C25DD8" w:rsidRPr="00263DB9" w:rsidRDefault="00C25DD8" w:rsidP="00E51817">
            <w:pPr>
              <w:widowControl w:val="0"/>
              <w:rPr>
                <w:color w:val="000000"/>
                <w:szCs w:val="22"/>
                <w:lang w:val="fr-FR"/>
              </w:rPr>
            </w:pPr>
            <w:r w:rsidRPr="00263DB9">
              <w:rPr>
                <w:color w:val="000000"/>
                <w:szCs w:val="22"/>
                <w:lang w:val="fr-FR"/>
              </w:rPr>
              <w:t>Novartis Finland Oy</w:t>
            </w:r>
          </w:p>
          <w:p w14:paraId="375EC018" w14:textId="77777777" w:rsidR="00C25DD8" w:rsidRPr="00263DB9" w:rsidRDefault="00C25DD8" w:rsidP="00E51817">
            <w:pPr>
              <w:widowControl w:val="0"/>
              <w:rPr>
                <w:color w:val="000000"/>
                <w:szCs w:val="22"/>
                <w:lang w:val="fr-FR"/>
              </w:rPr>
            </w:pPr>
            <w:r w:rsidRPr="00263DB9">
              <w:rPr>
                <w:color w:val="000000"/>
                <w:szCs w:val="22"/>
                <w:lang w:val="fr-FR"/>
              </w:rPr>
              <w:t xml:space="preserve">Puh/Tel: </w:t>
            </w:r>
            <w:r w:rsidRPr="00263DB9">
              <w:rPr>
                <w:color w:val="000000"/>
                <w:szCs w:val="22"/>
                <w:lang w:val="de-CH" w:bidi="he-IL"/>
              </w:rPr>
              <w:t>+358 (0)10 6133 200</w:t>
            </w:r>
          </w:p>
          <w:p w14:paraId="375EC019" w14:textId="77777777" w:rsidR="00C25DD8" w:rsidRPr="00263DB9" w:rsidRDefault="00C25DD8" w:rsidP="00E51817">
            <w:pPr>
              <w:widowControl w:val="0"/>
              <w:rPr>
                <w:color w:val="000000"/>
                <w:szCs w:val="22"/>
                <w:lang w:val="fr-FR"/>
              </w:rPr>
            </w:pPr>
          </w:p>
        </w:tc>
      </w:tr>
      <w:tr w:rsidR="00C25DD8" w:rsidRPr="00263DB9" w14:paraId="375EC023" w14:textId="77777777" w:rsidTr="009C587B">
        <w:trPr>
          <w:cantSplit/>
        </w:trPr>
        <w:tc>
          <w:tcPr>
            <w:tcW w:w="4650" w:type="dxa"/>
          </w:tcPr>
          <w:p w14:paraId="375EC01B" w14:textId="77777777" w:rsidR="00C25DD8" w:rsidRPr="00263DB9" w:rsidRDefault="00C25DD8" w:rsidP="00E51817">
            <w:pPr>
              <w:widowControl w:val="0"/>
              <w:rPr>
                <w:b/>
                <w:color w:val="000000"/>
                <w:szCs w:val="22"/>
                <w:lang w:val="fr-FR"/>
              </w:rPr>
            </w:pPr>
            <w:r w:rsidRPr="00263DB9">
              <w:rPr>
                <w:b/>
                <w:color w:val="000000"/>
                <w:szCs w:val="22"/>
              </w:rPr>
              <w:t>Κύπρος</w:t>
            </w:r>
          </w:p>
          <w:p w14:paraId="375EC01C" w14:textId="77777777" w:rsidR="00C25DD8" w:rsidRPr="00263DB9" w:rsidRDefault="00C25DD8" w:rsidP="00E51817">
            <w:pPr>
              <w:widowControl w:val="0"/>
              <w:rPr>
                <w:color w:val="000000"/>
                <w:szCs w:val="22"/>
                <w:lang w:val="fr-FR"/>
              </w:rPr>
            </w:pPr>
            <w:r w:rsidRPr="00263DB9">
              <w:rPr>
                <w:color w:val="000000"/>
                <w:szCs w:val="22"/>
                <w:lang w:val="fr-FR" w:bidi="he-IL"/>
              </w:rPr>
              <w:t>Novartis Pharma Services Inc.</w:t>
            </w:r>
          </w:p>
          <w:p w14:paraId="375EC01D" w14:textId="77777777" w:rsidR="00C25DD8" w:rsidRPr="00263DB9" w:rsidRDefault="00C25DD8" w:rsidP="00E51817">
            <w:pPr>
              <w:widowControl w:val="0"/>
              <w:rPr>
                <w:color w:val="000000"/>
                <w:szCs w:val="22"/>
                <w:lang w:val="fr-FR"/>
              </w:rPr>
            </w:pPr>
            <w:r w:rsidRPr="00263DB9">
              <w:rPr>
                <w:color w:val="000000"/>
                <w:szCs w:val="22"/>
              </w:rPr>
              <w:t>Τηλ</w:t>
            </w:r>
            <w:r w:rsidRPr="00263DB9">
              <w:rPr>
                <w:color w:val="000000"/>
                <w:szCs w:val="22"/>
                <w:lang w:val="fr-FR"/>
              </w:rPr>
              <w:t>: +357 22 690 690</w:t>
            </w:r>
          </w:p>
          <w:p w14:paraId="375EC01E" w14:textId="77777777" w:rsidR="00C25DD8" w:rsidRPr="00263DB9" w:rsidRDefault="00C25DD8" w:rsidP="00E51817">
            <w:pPr>
              <w:widowControl w:val="0"/>
              <w:rPr>
                <w:b/>
                <w:color w:val="000000"/>
                <w:szCs w:val="22"/>
                <w:lang w:val="fr-FR"/>
              </w:rPr>
            </w:pPr>
          </w:p>
        </w:tc>
        <w:tc>
          <w:tcPr>
            <w:tcW w:w="4650" w:type="dxa"/>
          </w:tcPr>
          <w:p w14:paraId="375EC01F" w14:textId="77777777" w:rsidR="00C25DD8" w:rsidRPr="00263DB9" w:rsidRDefault="00C25DD8" w:rsidP="00E51817">
            <w:pPr>
              <w:widowControl w:val="0"/>
              <w:rPr>
                <w:b/>
                <w:color w:val="000000"/>
                <w:szCs w:val="22"/>
                <w:lang w:val="de-CH"/>
              </w:rPr>
            </w:pPr>
            <w:r w:rsidRPr="00263DB9">
              <w:rPr>
                <w:b/>
                <w:color w:val="000000"/>
                <w:szCs w:val="22"/>
                <w:lang w:val="de-CH"/>
              </w:rPr>
              <w:t>Sverige</w:t>
            </w:r>
          </w:p>
          <w:p w14:paraId="375EC020" w14:textId="77777777" w:rsidR="00C25DD8" w:rsidRPr="00263DB9" w:rsidRDefault="00C25DD8" w:rsidP="00E51817">
            <w:pPr>
              <w:widowControl w:val="0"/>
              <w:rPr>
                <w:color w:val="000000"/>
                <w:szCs w:val="22"/>
                <w:lang w:val="de-CH"/>
              </w:rPr>
            </w:pPr>
            <w:r w:rsidRPr="00263DB9">
              <w:rPr>
                <w:color w:val="000000"/>
                <w:szCs w:val="22"/>
                <w:lang w:val="de-CH"/>
              </w:rPr>
              <w:t>Novartis Sverige AB</w:t>
            </w:r>
          </w:p>
          <w:p w14:paraId="375EC021" w14:textId="77777777" w:rsidR="00C25DD8" w:rsidRPr="00263DB9" w:rsidRDefault="00C25DD8" w:rsidP="00E51817">
            <w:pPr>
              <w:widowControl w:val="0"/>
              <w:rPr>
                <w:color w:val="000000"/>
                <w:szCs w:val="22"/>
                <w:lang w:val="de-CH"/>
              </w:rPr>
            </w:pPr>
            <w:r w:rsidRPr="00263DB9">
              <w:rPr>
                <w:color w:val="000000"/>
                <w:szCs w:val="22"/>
                <w:lang w:val="de-CH"/>
              </w:rPr>
              <w:t>Tel: +46 8 732 32 00</w:t>
            </w:r>
          </w:p>
          <w:p w14:paraId="375EC022" w14:textId="77777777" w:rsidR="00C25DD8" w:rsidRPr="00263DB9" w:rsidRDefault="00C25DD8" w:rsidP="00E51817">
            <w:pPr>
              <w:widowControl w:val="0"/>
              <w:rPr>
                <w:color w:val="000000"/>
                <w:szCs w:val="22"/>
                <w:lang w:val="de-CH"/>
              </w:rPr>
            </w:pPr>
          </w:p>
        </w:tc>
      </w:tr>
      <w:tr w:rsidR="00C25DD8" w:rsidRPr="00263DB9" w14:paraId="375EC02C" w14:textId="77777777" w:rsidTr="009C587B">
        <w:trPr>
          <w:cantSplit/>
        </w:trPr>
        <w:tc>
          <w:tcPr>
            <w:tcW w:w="4650" w:type="dxa"/>
          </w:tcPr>
          <w:p w14:paraId="375EC024" w14:textId="77777777" w:rsidR="00C25DD8" w:rsidRPr="001D39C1" w:rsidRDefault="00C25DD8" w:rsidP="00E51817">
            <w:pPr>
              <w:widowControl w:val="0"/>
              <w:rPr>
                <w:b/>
                <w:color w:val="000000"/>
                <w:szCs w:val="22"/>
                <w:lang w:val="es-ES"/>
              </w:rPr>
            </w:pPr>
            <w:r w:rsidRPr="001D39C1">
              <w:rPr>
                <w:b/>
                <w:color w:val="000000"/>
                <w:szCs w:val="22"/>
                <w:lang w:val="es-ES"/>
              </w:rPr>
              <w:t>Latvija</w:t>
            </w:r>
          </w:p>
          <w:p w14:paraId="375EC025" w14:textId="712BCC6F" w:rsidR="00C25DD8" w:rsidRPr="001D39C1" w:rsidRDefault="009207F7" w:rsidP="00E51817">
            <w:pPr>
              <w:widowControl w:val="0"/>
              <w:rPr>
                <w:color w:val="000000"/>
                <w:szCs w:val="22"/>
                <w:lang w:val="es-ES"/>
              </w:rPr>
            </w:pPr>
            <w:r w:rsidRPr="00263DB9">
              <w:rPr>
                <w:szCs w:val="22"/>
                <w:lang w:val="it-IT"/>
              </w:rPr>
              <w:t>SIA Novartis Baltics</w:t>
            </w:r>
          </w:p>
          <w:p w14:paraId="375EC026" w14:textId="77777777" w:rsidR="00C25DD8" w:rsidRPr="00263DB9" w:rsidRDefault="00C25DD8" w:rsidP="00E51817">
            <w:pPr>
              <w:widowControl w:val="0"/>
              <w:rPr>
                <w:color w:val="000000"/>
                <w:szCs w:val="22"/>
              </w:rPr>
            </w:pPr>
            <w:r w:rsidRPr="00263DB9">
              <w:rPr>
                <w:color w:val="000000"/>
                <w:szCs w:val="22"/>
              </w:rPr>
              <w:t>Tel: +371 67 887 070</w:t>
            </w:r>
          </w:p>
          <w:p w14:paraId="375EC027" w14:textId="77777777" w:rsidR="00C25DD8" w:rsidRPr="00263DB9" w:rsidRDefault="00C25DD8" w:rsidP="00E51817">
            <w:pPr>
              <w:widowControl w:val="0"/>
              <w:rPr>
                <w:b/>
                <w:color w:val="000000"/>
                <w:szCs w:val="22"/>
              </w:rPr>
            </w:pPr>
          </w:p>
        </w:tc>
        <w:tc>
          <w:tcPr>
            <w:tcW w:w="4650" w:type="dxa"/>
          </w:tcPr>
          <w:p w14:paraId="375EC028" w14:textId="77777777" w:rsidR="00C25DD8" w:rsidRPr="00263DB9" w:rsidRDefault="00C25DD8" w:rsidP="00E51817">
            <w:pPr>
              <w:widowControl w:val="0"/>
              <w:rPr>
                <w:b/>
                <w:color w:val="000000"/>
                <w:szCs w:val="22"/>
                <w:lang w:val="en-US"/>
              </w:rPr>
            </w:pPr>
            <w:r w:rsidRPr="00263DB9">
              <w:rPr>
                <w:b/>
                <w:color w:val="000000"/>
                <w:szCs w:val="22"/>
                <w:lang w:val="en-US"/>
              </w:rPr>
              <w:t>United Kingdom</w:t>
            </w:r>
          </w:p>
          <w:p w14:paraId="375EC029" w14:textId="77777777" w:rsidR="00C25DD8" w:rsidRPr="00263DB9" w:rsidRDefault="00C25DD8" w:rsidP="00E51817">
            <w:pPr>
              <w:widowControl w:val="0"/>
              <w:rPr>
                <w:color w:val="000000"/>
                <w:szCs w:val="22"/>
                <w:lang w:val="en-US"/>
              </w:rPr>
            </w:pPr>
            <w:r w:rsidRPr="00263DB9">
              <w:rPr>
                <w:color w:val="000000"/>
                <w:szCs w:val="22"/>
                <w:lang w:val="en-US"/>
              </w:rPr>
              <w:t>Novartis Pharmaceuticals UK Ltd.</w:t>
            </w:r>
          </w:p>
          <w:p w14:paraId="375EC02A" w14:textId="77777777" w:rsidR="00C25DD8" w:rsidRPr="00263DB9" w:rsidRDefault="00C25DD8" w:rsidP="00E51817">
            <w:pPr>
              <w:widowControl w:val="0"/>
              <w:rPr>
                <w:color w:val="000000"/>
                <w:szCs w:val="22"/>
              </w:rPr>
            </w:pPr>
            <w:r w:rsidRPr="00263DB9">
              <w:rPr>
                <w:color w:val="000000"/>
                <w:szCs w:val="22"/>
              </w:rPr>
              <w:t>Tel: +44 1276 698370</w:t>
            </w:r>
          </w:p>
          <w:p w14:paraId="375EC02B" w14:textId="77777777" w:rsidR="00C25DD8" w:rsidRPr="00263DB9" w:rsidRDefault="00C25DD8" w:rsidP="00E51817">
            <w:pPr>
              <w:widowControl w:val="0"/>
              <w:rPr>
                <w:color w:val="000000"/>
                <w:szCs w:val="22"/>
              </w:rPr>
            </w:pPr>
          </w:p>
        </w:tc>
      </w:tr>
    </w:tbl>
    <w:p w14:paraId="375EC02D" w14:textId="77777777" w:rsidR="00C25DD8" w:rsidRPr="00263DB9" w:rsidRDefault="00C25DD8" w:rsidP="00E51817">
      <w:pPr>
        <w:widowControl w:val="0"/>
        <w:ind w:right="-449"/>
        <w:rPr>
          <w:color w:val="000000"/>
          <w:szCs w:val="22"/>
        </w:rPr>
      </w:pPr>
    </w:p>
    <w:p w14:paraId="375EC02E" w14:textId="77777777" w:rsidR="00906898" w:rsidRPr="00263DB9" w:rsidRDefault="00906898" w:rsidP="00E51817">
      <w:pPr>
        <w:widowControl w:val="0"/>
        <w:suppressAutoHyphens/>
        <w:ind w:right="14"/>
        <w:rPr>
          <w:b/>
          <w:color w:val="000000"/>
          <w:szCs w:val="22"/>
        </w:rPr>
      </w:pPr>
      <w:r w:rsidRPr="00263DB9">
        <w:rPr>
          <w:b/>
          <w:color w:val="000000"/>
          <w:szCs w:val="22"/>
        </w:rPr>
        <w:t>Este folheto foi revisto pela última vez em</w:t>
      </w:r>
    </w:p>
    <w:p w14:paraId="375EC02F" w14:textId="77777777" w:rsidR="00906898" w:rsidRPr="00263DB9" w:rsidRDefault="00906898" w:rsidP="00E51817">
      <w:pPr>
        <w:widowControl w:val="0"/>
        <w:suppressAutoHyphens/>
        <w:ind w:right="14"/>
        <w:rPr>
          <w:bCs/>
          <w:color w:val="000000"/>
          <w:szCs w:val="22"/>
        </w:rPr>
      </w:pPr>
    </w:p>
    <w:p w14:paraId="375EC030" w14:textId="77777777" w:rsidR="00906898" w:rsidRPr="00263DB9" w:rsidRDefault="00906898" w:rsidP="00273B82">
      <w:pPr>
        <w:keepNext/>
        <w:widowControl w:val="0"/>
        <w:suppressAutoHyphens/>
        <w:ind w:right="11"/>
        <w:rPr>
          <w:bCs/>
          <w:color w:val="000000"/>
          <w:szCs w:val="22"/>
        </w:rPr>
      </w:pPr>
      <w:r w:rsidRPr="00263DB9">
        <w:rPr>
          <w:b/>
          <w:szCs w:val="24"/>
        </w:rPr>
        <w:lastRenderedPageBreak/>
        <w:t>Outras fontes de informação</w:t>
      </w:r>
    </w:p>
    <w:p w14:paraId="375EC031" w14:textId="77777777" w:rsidR="00906898" w:rsidRPr="00263DB9" w:rsidRDefault="00906898" w:rsidP="00273B82">
      <w:pPr>
        <w:keepLines/>
        <w:widowControl w:val="0"/>
        <w:suppressAutoHyphens/>
        <w:ind w:right="11"/>
        <w:rPr>
          <w:color w:val="000000"/>
          <w:szCs w:val="22"/>
        </w:rPr>
      </w:pPr>
      <w:r w:rsidRPr="00263DB9">
        <w:rPr>
          <w:szCs w:val="24"/>
        </w:rPr>
        <w:t>Está disponível informação</w:t>
      </w:r>
      <w:r w:rsidRPr="00263DB9">
        <w:rPr>
          <w:noProof/>
          <w:color w:val="000000"/>
        </w:rPr>
        <w:t xml:space="preserve"> pormenorizada sobre este medicamento no </w:t>
      </w:r>
      <w:r w:rsidRPr="00263DB9">
        <w:rPr>
          <w:szCs w:val="24"/>
        </w:rPr>
        <w:t xml:space="preserve">sítio da internet </w:t>
      </w:r>
      <w:r w:rsidRPr="00263DB9">
        <w:rPr>
          <w:noProof/>
          <w:color w:val="000000"/>
        </w:rPr>
        <w:t>da Agência Europeia de Medicamentos: http://www.ema.europa.eu</w:t>
      </w:r>
    </w:p>
    <w:p w14:paraId="375EC032" w14:textId="77777777" w:rsidR="00906898" w:rsidRPr="00263DB9" w:rsidRDefault="00906898" w:rsidP="00E51817">
      <w:pPr>
        <w:widowControl w:val="0"/>
        <w:suppressAutoHyphens/>
        <w:ind w:left="567" w:hanging="567"/>
        <w:jc w:val="center"/>
        <w:rPr>
          <w:color w:val="000000"/>
          <w:szCs w:val="22"/>
        </w:rPr>
      </w:pPr>
      <w:r w:rsidRPr="00263DB9">
        <w:rPr>
          <w:color w:val="000000"/>
          <w:szCs w:val="22"/>
        </w:rPr>
        <w:br w:type="page"/>
      </w:r>
      <w:r w:rsidRPr="00263DB9">
        <w:rPr>
          <w:b/>
          <w:szCs w:val="24"/>
        </w:rPr>
        <w:lastRenderedPageBreak/>
        <w:t>Folheto informativo: Informação para o doente</w:t>
      </w:r>
    </w:p>
    <w:p w14:paraId="375EC033" w14:textId="77777777" w:rsidR="00906898" w:rsidRPr="00263DB9" w:rsidRDefault="00906898" w:rsidP="00E51817">
      <w:pPr>
        <w:widowControl w:val="0"/>
        <w:jc w:val="center"/>
        <w:rPr>
          <w:color w:val="000000"/>
          <w:szCs w:val="22"/>
        </w:rPr>
      </w:pPr>
    </w:p>
    <w:p w14:paraId="375EC034" w14:textId="135CA685" w:rsidR="00906898" w:rsidRDefault="00906898" w:rsidP="00E51817">
      <w:pPr>
        <w:widowControl w:val="0"/>
        <w:jc w:val="center"/>
        <w:rPr>
          <w:b/>
          <w:color w:val="000000"/>
          <w:szCs w:val="22"/>
        </w:rPr>
      </w:pPr>
      <w:r w:rsidRPr="00263DB9">
        <w:rPr>
          <w:b/>
          <w:color w:val="000000"/>
          <w:szCs w:val="22"/>
        </w:rPr>
        <w:t>Glivec 100 mg comprimidos revestidos por película</w:t>
      </w:r>
    </w:p>
    <w:p w14:paraId="646D0A04" w14:textId="73262CC3" w:rsidR="008E00D0" w:rsidRPr="00263DB9" w:rsidRDefault="008E00D0" w:rsidP="00E51817">
      <w:pPr>
        <w:widowControl w:val="0"/>
        <w:jc w:val="center"/>
        <w:rPr>
          <w:color w:val="000000"/>
          <w:szCs w:val="22"/>
        </w:rPr>
      </w:pPr>
      <w:r w:rsidRPr="00263DB9">
        <w:rPr>
          <w:b/>
          <w:color w:val="000000"/>
          <w:szCs w:val="22"/>
        </w:rPr>
        <w:t>Glivec 400 mg comprimidos revestidos por película</w:t>
      </w:r>
    </w:p>
    <w:p w14:paraId="375EC035" w14:textId="77777777" w:rsidR="00906898" w:rsidRPr="00263DB9" w:rsidRDefault="001104DD" w:rsidP="00E51817">
      <w:pPr>
        <w:widowControl w:val="0"/>
        <w:suppressAutoHyphens/>
        <w:ind w:left="567" w:hanging="567"/>
        <w:jc w:val="center"/>
        <w:rPr>
          <w:color w:val="000000"/>
          <w:szCs w:val="22"/>
        </w:rPr>
      </w:pPr>
      <w:r w:rsidRPr="00263DB9">
        <w:rPr>
          <w:color w:val="000000"/>
          <w:szCs w:val="22"/>
        </w:rPr>
        <w:t>i</w:t>
      </w:r>
      <w:r w:rsidR="00906898" w:rsidRPr="00263DB9">
        <w:rPr>
          <w:color w:val="000000"/>
          <w:szCs w:val="22"/>
        </w:rPr>
        <w:t>matinib</w:t>
      </w:r>
    </w:p>
    <w:p w14:paraId="375EC036" w14:textId="77777777" w:rsidR="00906898" w:rsidRPr="00263DB9" w:rsidRDefault="00906898" w:rsidP="00E51817">
      <w:pPr>
        <w:widowControl w:val="0"/>
        <w:suppressAutoHyphens/>
        <w:ind w:left="567" w:hanging="567"/>
        <w:rPr>
          <w:color w:val="000000"/>
          <w:szCs w:val="22"/>
        </w:rPr>
      </w:pPr>
    </w:p>
    <w:p w14:paraId="375EC037" w14:textId="77777777" w:rsidR="00C96F0A" w:rsidRPr="00263DB9" w:rsidRDefault="006B5399" w:rsidP="00E51817">
      <w:pPr>
        <w:widowControl w:val="0"/>
        <w:ind w:right="-2"/>
        <w:rPr>
          <w:noProof/>
          <w:szCs w:val="22"/>
        </w:rPr>
      </w:pPr>
      <w:r w:rsidRPr="00263DB9">
        <w:rPr>
          <w:noProof/>
          <w:lang w:val="en-GB" w:eastAsia="en-GB"/>
        </w:rPr>
        <w:drawing>
          <wp:inline distT="0" distB="0" distL="0" distR="0" wp14:anchorId="375EC383" wp14:editId="375EC384">
            <wp:extent cx="201295" cy="173990"/>
            <wp:effectExtent l="0" t="0" r="0" b="0"/>
            <wp:docPr id="9" name="Picture 9"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T_1000x858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C96F0A" w:rsidRPr="00263DB9">
        <w:rPr>
          <w:noProof/>
          <w:szCs w:val="22"/>
        </w:rPr>
        <w:t>Este medicamento está sujeito a monitorização adicional. Isto irá permitir a rápida identificação de nova informação de segurança.</w:t>
      </w:r>
      <w:r w:rsidR="00C96F0A" w:rsidRPr="00263DB9">
        <w:rPr>
          <w:szCs w:val="22"/>
        </w:rPr>
        <w:t xml:space="preserve"> </w:t>
      </w:r>
      <w:r w:rsidR="00C96F0A" w:rsidRPr="00263DB9">
        <w:rPr>
          <w:noProof/>
          <w:szCs w:val="22"/>
        </w:rPr>
        <w:t>Poderá ajudar, comunicando quaisquer efeitos secundários que tenha.</w:t>
      </w:r>
      <w:r w:rsidR="00C96F0A" w:rsidRPr="00263DB9">
        <w:rPr>
          <w:szCs w:val="22"/>
        </w:rPr>
        <w:t xml:space="preserve"> Para saber como comunicar efeitos secundários, veja o final da secção 4.</w:t>
      </w:r>
    </w:p>
    <w:p w14:paraId="375EC038" w14:textId="77777777" w:rsidR="00906898" w:rsidRPr="00263DB9" w:rsidRDefault="00906898" w:rsidP="00E51817">
      <w:pPr>
        <w:widowControl w:val="0"/>
        <w:suppressAutoHyphens/>
        <w:ind w:left="567" w:hanging="567"/>
        <w:rPr>
          <w:color w:val="000000"/>
          <w:szCs w:val="22"/>
        </w:rPr>
      </w:pPr>
    </w:p>
    <w:p w14:paraId="375EC039" w14:textId="77777777" w:rsidR="00906898" w:rsidRPr="00263DB9" w:rsidRDefault="00906898" w:rsidP="00E51817">
      <w:pPr>
        <w:widowControl w:val="0"/>
        <w:ind w:right="-2"/>
        <w:rPr>
          <w:color w:val="000000"/>
          <w:szCs w:val="22"/>
        </w:rPr>
      </w:pPr>
      <w:r w:rsidRPr="00263DB9">
        <w:rPr>
          <w:b/>
          <w:color w:val="000000"/>
          <w:szCs w:val="22"/>
        </w:rPr>
        <w:t xml:space="preserve">Leia </w:t>
      </w:r>
      <w:r w:rsidRPr="00263DB9">
        <w:rPr>
          <w:b/>
          <w:szCs w:val="24"/>
        </w:rPr>
        <w:t>com atenção todo</w:t>
      </w:r>
      <w:r w:rsidRPr="00263DB9">
        <w:rPr>
          <w:b/>
          <w:color w:val="000000"/>
          <w:szCs w:val="22"/>
        </w:rPr>
        <w:t xml:space="preserve"> este folheto antes de começar a tomar este medicamento, </w:t>
      </w:r>
      <w:r w:rsidRPr="00263DB9">
        <w:rPr>
          <w:b/>
          <w:szCs w:val="24"/>
        </w:rPr>
        <w:t>pois contém informação importante para si</w:t>
      </w:r>
      <w:r w:rsidRPr="00263DB9">
        <w:rPr>
          <w:b/>
          <w:color w:val="000000"/>
          <w:szCs w:val="22"/>
        </w:rPr>
        <w:t>.</w:t>
      </w:r>
    </w:p>
    <w:p w14:paraId="375EC03A" w14:textId="77777777" w:rsidR="00906898" w:rsidRPr="00263DB9" w:rsidRDefault="00906898" w:rsidP="00E51817">
      <w:pPr>
        <w:widowControl w:val="0"/>
        <w:numPr>
          <w:ilvl w:val="0"/>
          <w:numId w:val="9"/>
        </w:numPr>
        <w:ind w:left="567" w:right="-2" w:hanging="567"/>
        <w:rPr>
          <w:color w:val="000000"/>
          <w:szCs w:val="22"/>
        </w:rPr>
      </w:pPr>
      <w:r w:rsidRPr="00263DB9">
        <w:rPr>
          <w:color w:val="000000"/>
          <w:szCs w:val="22"/>
        </w:rPr>
        <w:t xml:space="preserve">Conserve este folheto. Pode ter necessidade de o </w:t>
      </w:r>
      <w:r w:rsidRPr="00263DB9">
        <w:rPr>
          <w:szCs w:val="24"/>
        </w:rPr>
        <w:t>ler novamente</w:t>
      </w:r>
      <w:r w:rsidRPr="00263DB9">
        <w:rPr>
          <w:color w:val="000000"/>
          <w:szCs w:val="22"/>
        </w:rPr>
        <w:t>.</w:t>
      </w:r>
    </w:p>
    <w:p w14:paraId="375EC03B" w14:textId="77777777" w:rsidR="00906898" w:rsidRPr="00263DB9" w:rsidRDefault="00906898" w:rsidP="00E51817">
      <w:pPr>
        <w:widowControl w:val="0"/>
        <w:numPr>
          <w:ilvl w:val="0"/>
          <w:numId w:val="9"/>
        </w:numPr>
        <w:ind w:left="567" w:right="-2" w:hanging="567"/>
        <w:rPr>
          <w:color w:val="000000"/>
          <w:szCs w:val="22"/>
        </w:rPr>
      </w:pPr>
      <w:r w:rsidRPr="00263DB9">
        <w:rPr>
          <w:color w:val="000000"/>
          <w:szCs w:val="22"/>
        </w:rPr>
        <w:t>Caso ainda tenha dúvidas, fale com o seu médico, farmacêutico ou enfermeiro.</w:t>
      </w:r>
    </w:p>
    <w:p w14:paraId="375EC03C" w14:textId="77777777" w:rsidR="00906898" w:rsidRPr="00263DB9" w:rsidRDefault="00906898" w:rsidP="00E51817">
      <w:pPr>
        <w:widowControl w:val="0"/>
        <w:numPr>
          <w:ilvl w:val="0"/>
          <w:numId w:val="9"/>
        </w:numPr>
        <w:ind w:left="567" w:right="-2" w:hanging="567"/>
        <w:rPr>
          <w:color w:val="000000"/>
          <w:szCs w:val="22"/>
        </w:rPr>
      </w:pPr>
      <w:r w:rsidRPr="00263DB9">
        <w:rPr>
          <w:color w:val="000000"/>
          <w:szCs w:val="22"/>
        </w:rPr>
        <w:t>Este medicamento foi receitado apenas para si. Não deve dá-lo a outros. O medicamento pode ser-lhes prejudicial mesmo que apresentem os mesmos sinais de doença.</w:t>
      </w:r>
    </w:p>
    <w:p w14:paraId="375EC03D" w14:textId="77777777" w:rsidR="00906898" w:rsidRPr="00263DB9" w:rsidRDefault="00906898" w:rsidP="00E51817">
      <w:pPr>
        <w:widowControl w:val="0"/>
        <w:numPr>
          <w:ilvl w:val="0"/>
          <w:numId w:val="9"/>
        </w:numPr>
        <w:ind w:left="567" w:right="-2" w:hanging="567"/>
        <w:rPr>
          <w:color w:val="000000"/>
          <w:szCs w:val="22"/>
        </w:rPr>
      </w:pPr>
      <w:r w:rsidRPr="00263DB9">
        <w:rPr>
          <w:color w:val="000000"/>
          <w:szCs w:val="22"/>
        </w:rPr>
        <w:t>Se tiver quaisquer efeitos secundários</w:t>
      </w:r>
      <w:r w:rsidRPr="00263DB9">
        <w:rPr>
          <w:szCs w:val="24"/>
        </w:rPr>
        <w:t>, incluindo possíveis efeitos secundários</w:t>
      </w:r>
      <w:r w:rsidRPr="00263DB9">
        <w:rPr>
          <w:color w:val="000000"/>
          <w:szCs w:val="22"/>
        </w:rPr>
        <w:t xml:space="preserve"> não indicados neste folheto, fale com o seu médico, farmacêutico ou enfermeiro.</w:t>
      </w:r>
      <w:r w:rsidR="002C2D01" w:rsidRPr="00263DB9">
        <w:rPr>
          <w:noProof/>
          <w:szCs w:val="22"/>
        </w:rPr>
        <w:t xml:space="preserve"> Ver secção 4.</w:t>
      </w:r>
    </w:p>
    <w:p w14:paraId="375EC03E" w14:textId="77777777" w:rsidR="00906898" w:rsidRPr="00263DB9" w:rsidRDefault="00906898" w:rsidP="00E51817">
      <w:pPr>
        <w:widowControl w:val="0"/>
        <w:numPr>
          <w:ilvl w:val="12"/>
          <w:numId w:val="0"/>
        </w:numPr>
        <w:ind w:right="-2"/>
        <w:rPr>
          <w:color w:val="000000"/>
          <w:szCs w:val="22"/>
        </w:rPr>
      </w:pPr>
    </w:p>
    <w:p w14:paraId="375EC03F" w14:textId="77777777" w:rsidR="00906898" w:rsidRPr="00263DB9" w:rsidRDefault="00906898" w:rsidP="00E51817">
      <w:pPr>
        <w:widowControl w:val="0"/>
        <w:ind w:right="-2"/>
        <w:rPr>
          <w:color w:val="000000"/>
          <w:szCs w:val="22"/>
        </w:rPr>
      </w:pPr>
    </w:p>
    <w:p w14:paraId="375EC040" w14:textId="77777777" w:rsidR="00906898" w:rsidRPr="00263DB9" w:rsidRDefault="00906898" w:rsidP="00273B82">
      <w:pPr>
        <w:keepNext/>
        <w:widowControl w:val="0"/>
        <w:suppressAutoHyphens/>
        <w:ind w:left="567" w:hanging="567"/>
        <w:rPr>
          <w:color w:val="000000"/>
          <w:szCs w:val="22"/>
        </w:rPr>
      </w:pPr>
      <w:r w:rsidRPr="00263DB9">
        <w:rPr>
          <w:b/>
          <w:szCs w:val="24"/>
        </w:rPr>
        <w:t xml:space="preserve">O que contém este </w:t>
      </w:r>
      <w:r w:rsidRPr="00263DB9">
        <w:rPr>
          <w:b/>
          <w:color w:val="000000"/>
          <w:szCs w:val="22"/>
        </w:rPr>
        <w:t>folheto</w:t>
      </w:r>
    </w:p>
    <w:p w14:paraId="375EC041" w14:textId="77777777" w:rsidR="00906898" w:rsidRPr="00263DB9" w:rsidRDefault="00906898" w:rsidP="00273B82">
      <w:pPr>
        <w:pStyle w:val="EndnoteText"/>
        <w:keepNext/>
        <w:tabs>
          <w:tab w:val="clear" w:pos="567"/>
        </w:tabs>
        <w:suppressAutoHyphens/>
        <w:rPr>
          <w:color w:val="000000"/>
          <w:szCs w:val="22"/>
        </w:rPr>
      </w:pPr>
      <w:r w:rsidRPr="00263DB9">
        <w:rPr>
          <w:color w:val="000000"/>
          <w:szCs w:val="22"/>
        </w:rPr>
        <w:t>1.</w:t>
      </w:r>
      <w:r w:rsidRPr="00263DB9">
        <w:rPr>
          <w:color w:val="000000"/>
          <w:szCs w:val="22"/>
        </w:rPr>
        <w:tab/>
        <w:t>O que é Glivec e para que é utilizado</w:t>
      </w:r>
    </w:p>
    <w:p w14:paraId="375EC042" w14:textId="77777777" w:rsidR="00906898" w:rsidRPr="00263DB9" w:rsidRDefault="00906898" w:rsidP="00273B82">
      <w:pPr>
        <w:keepNext/>
        <w:widowControl w:val="0"/>
        <w:suppressAutoHyphens/>
        <w:rPr>
          <w:color w:val="000000"/>
          <w:szCs w:val="22"/>
        </w:rPr>
      </w:pPr>
      <w:r w:rsidRPr="00263DB9">
        <w:rPr>
          <w:color w:val="000000"/>
          <w:szCs w:val="22"/>
        </w:rPr>
        <w:t>2.</w:t>
      </w:r>
      <w:r w:rsidRPr="00263DB9">
        <w:rPr>
          <w:color w:val="000000"/>
          <w:szCs w:val="22"/>
        </w:rPr>
        <w:tab/>
      </w:r>
      <w:r w:rsidRPr="00263DB9">
        <w:rPr>
          <w:szCs w:val="24"/>
        </w:rPr>
        <w:t>O que precisa</w:t>
      </w:r>
      <w:r w:rsidRPr="00263DB9">
        <w:rPr>
          <w:color w:val="000000"/>
          <w:szCs w:val="22"/>
        </w:rPr>
        <w:t xml:space="preserve"> de </w:t>
      </w:r>
      <w:r w:rsidRPr="00263DB9">
        <w:rPr>
          <w:szCs w:val="24"/>
        </w:rPr>
        <w:t>saber antes de</w:t>
      </w:r>
      <w:r w:rsidRPr="00263DB9">
        <w:rPr>
          <w:color w:val="000000"/>
          <w:szCs w:val="22"/>
        </w:rPr>
        <w:t xml:space="preserve"> tomar Glivec</w:t>
      </w:r>
    </w:p>
    <w:p w14:paraId="375EC043" w14:textId="77777777" w:rsidR="00906898" w:rsidRPr="00263DB9" w:rsidRDefault="00906898" w:rsidP="00273B82">
      <w:pPr>
        <w:keepNext/>
        <w:widowControl w:val="0"/>
        <w:suppressAutoHyphens/>
        <w:rPr>
          <w:color w:val="000000"/>
          <w:szCs w:val="22"/>
        </w:rPr>
      </w:pPr>
      <w:r w:rsidRPr="00263DB9">
        <w:rPr>
          <w:color w:val="000000"/>
          <w:szCs w:val="22"/>
        </w:rPr>
        <w:t>3.</w:t>
      </w:r>
      <w:r w:rsidRPr="00263DB9">
        <w:rPr>
          <w:color w:val="000000"/>
          <w:szCs w:val="22"/>
        </w:rPr>
        <w:tab/>
        <w:t>Como tomar Glivec</w:t>
      </w:r>
    </w:p>
    <w:p w14:paraId="375EC044" w14:textId="77777777" w:rsidR="00906898" w:rsidRPr="00263DB9" w:rsidRDefault="00906898" w:rsidP="00273B82">
      <w:pPr>
        <w:keepNext/>
        <w:widowControl w:val="0"/>
        <w:suppressAutoHyphens/>
        <w:rPr>
          <w:color w:val="000000"/>
          <w:szCs w:val="22"/>
        </w:rPr>
      </w:pPr>
      <w:r w:rsidRPr="00263DB9">
        <w:rPr>
          <w:color w:val="000000"/>
          <w:szCs w:val="22"/>
        </w:rPr>
        <w:t>4.</w:t>
      </w:r>
      <w:r w:rsidRPr="00263DB9">
        <w:rPr>
          <w:color w:val="000000"/>
          <w:szCs w:val="22"/>
        </w:rPr>
        <w:tab/>
        <w:t>Efeitos secundários possíveis</w:t>
      </w:r>
    </w:p>
    <w:p w14:paraId="375EC045" w14:textId="77777777" w:rsidR="00906898" w:rsidRPr="00263DB9" w:rsidRDefault="00906898" w:rsidP="00273B82">
      <w:pPr>
        <w:keepNext/>
        <w:widowControl w:val="0"/>
        <w:suppressAutoHyphens/>
        <w:rPr>
          <w:color w:val="000000"/>
          <w:szCs w:val="22"/>
        </w:rPr>
      </w:pPr>
      <w:r w:rsidRPr="00263DB9">
        <w:rPr>
          <w:color w:val="000000"/>
          <w:szCs w:val="22"/>
        </w:rPr>
        <w:t>5.</w:t>
      </w:r>
      <w:r w:rsidRPr="00263DB9">
        <w:rPr>
          <w:color w:val="000000"/>
          <w:szCs w:val="22"/>
        </w:rPr>
        <w:tab/>
        <w:t>Como conservar Glivec</w:t>
      </w:r>
    </w:p>
    <w:p w14:paraId="375EC046" w14:textId="77777777" w:rsidR="00906898" w:rsidRPr="00263DB9" w:rsidRDefault="00906898" w:rsidP="00E51817">
      <w:pPr>
        <w:widowControl w:val="0"/>
        <w:suppressAutoHyphens/>
        <w:rPr>
          <w:color w:val="000000"/>
          <w:szCs w:val="22"/>
        </w:rPr>
      </w:pPr>
      <w:r w:rsidRPr="00263DB9">
        <w:rPr>
          <w:color w:val="000000"/>
          <w:szCs w:val="22"/>
        </w:rPr>
        <w:t>6.</w:t>
      </w:r>
      <w:r w:rsidRPr="00263DB9">
        <w:rPr>
          <w:color w:val="000000"/>
          <w:szCs w:val="22"/>
        </w:rPr>
        <w:tab/>
      </w:r>
      <w:r w:rsidRPr="00263DB9">
        <w:rPr>
          <w:szCs w:val="24"/>
        </w:rPr>
        <w:t>Conteúdo da embalagem e outras</w:t>
      </w:r>
      <w:r w:rsidRPr="00263DB9">
        <w:rPr>
          <w:color w:val="000000"/>
          <w:szCs w:val="22"/>
        </w:rPr>
        <w:t xml:space="preserve"> informações</w:t>
      </w:r>
    </w:p>
    <w:p w14:paraId="375EC047" w14:textId="77777777" w:rsidR="00906898" w:rsidRPr="00263DB9" w:rsidRDefault="00906898" w:rsidP="00E51817">
      <w:pPr>
        <w:widowControl w:val="0"/>
        <w:suppressAutoHyphens/>
        <w:rPr>
          <w:color w:val="000000"/>
          <w:szCs w:val="22"/>
        </w:rPr>
      </w:pPr>
    </w:p>
    <w:p w14:paraId="375EC048" w14:textId="77777777" w:rsidR="00906898" w:rsidRPr="00263DB9" w:rsidRDefault="00906898" w:rsidP="00E51817">
      <w:pPr>
        <w:widowControl w:val="0"/>
        <w:numPr>
          <w:ilvl w:val="12"/>
          <w:numId w:val="0"/>
        </w:numPr>
        <w:suppressAutoHyphens/>
        <w:rPr>
          <w:color w:val="000000"/>
          <w:szCs w:val="22"/>
        </w:rPr>
      </w:pPr>
    </w:p>
    <w:p w14:paraId="375EC049" w14:textId="77777777" w:rsidR="00906898" w:rsidRPr="00263DB9" w:rsidRDefault="00906898" w:rsidP="00273B82">
      <w:pPr>
        <w:keepNext/>
        <w:widowControl w:val="0"/>
        <w:numPr>
          <w:ilvl w:val="12"/>
          <w:numId w:val="0"/>
        </w:numPr>
        <w:suppressAutoHyphens/>
        <w:ind w:left="567" w:hanging="567"/>
        <w:rPr>
          <w:b/>
          <w:color w:val="000000"/>
          <w:szCs w:val="22"/>
        </w:rPr>
      </w:pPr>
      <w:r w:rsidRPr="00263DB9">
        <w:rPr>
          <w:b/>
          <w:color w:val="000000"/>
          <w:szCs w:val="22"/>
        </w:rPr>
        <w:t>1.</w:t>
      </w:r>
      <w:r w:rsidRPr="00263DB9">
        <w:rPr>
          <w:b/>
          <w:color w:val="000000"/>
          <w:szCs w:val="22"/>
        </w:rPr>
        <w:tab/>
      </w:r>
      <w:r w:rsidRPr="00263DB9">
        <w:rPr>
          <w:b/>
          <w:szCs w:val="24"/>
        </w:rPr>
        <w:t>O que é Glivec e para que é utilizado</w:t>
      </w:r>
    </w:p>
    <w:p w14:paraId="375EC04A" w14:textId="77777777" w:rsidR="00906898" w:rsidRPr="00263DB9" w:rsidRDefault="00906898" w:rsidP="00273B82">
      <w:pPr>
        <w:keepNext/>
        <w:widowControl w:val="0"/>
        <w:numPr>
          <w:ilvl w:val="12"/>
          <w:numId w:val="0"/>
        </w:numPr>
        <w:suppressAutoHyphens/>
        <w:ind w:left="567" w:hanging="567"/>
        <w:rPr>
          <w:color w:val="000000"/>
          <w:szCs w:val="22"/>
        </w:rPr>
      </w:pPr>
    </w:p>
    <w:p w14:paraId="375EC04B" w14:textId="77777777" w:rsidR="00906898" w:rsidRPr="00263DB9" w:rsidRDefault="00906898" w:rsidP="00E51817">
      <w:pPr>
        <w:widowControl w:val="0"/>
        <w:numPr>
          <w:ilvl w:val="12"/>
          <w:numId w:val="0"/>
        </w:numPr>
        <w:tabs>
          <w:tab w:val="left" w:pos="1843"/>
        </w:tabs>
        <w:suppressAutoHyphens/>
        <w:rPr>
          <w:color w:val="000000"/>
          <w:szCs w:val="22"/>
        </w:rPr>
      </w:pPr>
      <w:r w:rsidRPr="00263DB9">
        <w:rPr>
          <w:color w:val="000000"/>
          <w:szCs w:val="22"/>
        </w:rPr>
        <w:t>Glivec é um medicamento que contem uma substância ativa chamada imatinib. Este medicamento atua através da inibição do crescimento de células anormais nas doenças abaixo listadas. Estas incluem alguns tipos de cancro.</w:t>
      </w:r>
    </w:p>
    <w:p w14:paraId="375EC04C" w14:textId="77777777" w:rsidR="00906898" w:rsidRPr="00263DB9" w:rsidRDefault="00906898" w:rsidP="00E51817">
      <w:pPr>
        <w:widowControl w:val="0"/>
        <w:numPr>
          <w:ilvl w:val="12"/>
          <w:numId w:val="0"/>
        </w:numPr>
        <w:suppressAutoHyphens/>
        <w:rPr>
          <w:color w:val="000000"/>
          <w:szCs w:val="22"/>
        </w:rPr>
      </w:pPr>
    </w:p>
    <w:p w14:paraId="375EC04D" w14:textId="77777777" w:rsidR="00906898" w:rsidRPr="00263DB9" w:rsidRDefault="00906898" w:rsidP="00273B82">
      <w:pPr>
        <w:keepNext/>
        <w:widowControl w:val="0"/>
        <w:numPr>
          <w:ilvl w:val="12"/>
          <w:numId w:val="0"/>
        </w:numPr>
        <w:suppressAutoHyphens/>
        <w:rPr>
          <w:b/>
          <w:bCs/>
          <w:color w:val="000000"/>
          <w:szCs w:val="22"/>
        </w:rPr>
      </w:pPr>
      <w:r w:rsidRPr="00263DB9">
        <w:rPr>
          <w:b/>
          <w:bCs/>
          <w:color w:val="000000"/>
          <w:szCs w:val="22"/>
        </w:rPr>
        <w:t>Glivec é um tratamento para os adultos e crianças para:</w:t>
      </w:r>
    </w:p>
    <w:p w14:paraId="375EC04E" w14:textId="77777777" w:rsidR="00906898" w:rsidRPr="00263DB9" w:rsidRDefault="00906898" w:rsidP="00273B82">
      <w:pPr>
        <w:keepNext/>
        <w:widowControl w:val="0"/>
        <w:numPr>
          <w:ilvl w:val="12"/>
          <w:numId w:val="0"/>
        </w:numPr>
        <w:suppressAutoHyphens/>
        <w:rPr>
          <w:color w:val="000000"/>
          <w:szCs w:val="22"/>
        </w:rPr>
      </w:pPr>
    </w:p>
    <w:p w14:paraId="375EC04F" w14:textId="77777777" w:rsidR="00906898" w:rsidRPr="00263DB9" w:rsidRDefault="00906898" w:rsidP="00E51817">
      <w:pPr>
        <w:widowControl w:val="0"/>
        <w:numPr>
          <w:ilvl w:val="12"/>
          <w:numId w:val="0"/>
        </w:numPr>
        <w:suppressAutoHyphens/>
        <w:ind w:left="567" w:hanging="567"/>
        <w:rPr>
          <w:color w:val="000000"/>
          <w:szCs w:val="22"/>
        </w:rPr>
      </w:pPr>
      <w:r w:rsidRPr="00263DB9">
        <w:rPr>
          <w:color w:val="000000"/>
          <w:szCs w:val="22"/>
        </w:rPr>
        <w:t>-</w:t>
      </w:r>
      <w:r w:rsidRPr="00263DB9">
        <w:rPr>
          <w:color w:val="000000"/>
          <w:szCs w:val="22"/>
        </w:rPr>
        <w:tab/>
      </w:r>
      <w:r w:rsidRPr="00263DB9">
        <w:rPr>
          <w:b/>
          <w:bCs/>
          <w:color w:val="000000"/>
          <w:szCs w:val="22"/>
        </w:rPr>
        <w:t>Leucemia mieloide crónica (LMC).</w:t>
      </w:r>
      <w:r w:rsidRPr="00263DB9">
        <w:rPr>
          <w:color w:val="000000"/>
          <w:szCs w:val="22"/>
        </w:rPr>
        <w:t xml:space="preserve"> A leucemia é um cancro dos glóbulos brancos do sangue. Normalmente, os glóbulos brancos ajudam o organismo a combater infeções. A leucemia mieloide crónica é uma forma de leucemia na qual certos glóbulos brancos anormais (denominados de células mielóides) começam a crescer sem controlo.</w:t>
      </w:r>
    </w:p>
    <w:p w14:paraId="375EC050" w14:textId="77777777" w:rsidR="00974390" w:rsidRPr="00263DB9" w:rsidRDefault="00974390" w:rsidP="00E51817">
      <w:pPr>
        <w:widowControl w:val="0"/>
        <w:numPr>
          <w:ilvl w:val="0"/>
          <w:numId w:val="27"/>
        </w:numPr>
        <w:suppressAutoHyphens/>
        <w:ind w:left="567" w:hanging="567"/>
        <w:rPr>
          <w:color w:val="000000"/>
          <w:szCs w:val="22"/>
        </w:rPr>
      </w:pPr>
      <w:r w:rsidRPr="00263DB9">
        <w:rPr>
          <w:b/>
          <w:color w:val="000000"/>
          <w:szCs w:val="22"/>
        </w:rPr>
        <w:t>Leucemia linfoblástica aguda positiva para o cromossoma filadélfia (LLA Ph-positiva).</w:t>
      </w:r>
      <w:r w:rsidRPr="00263DB9">
        <w:rPr>
          <w:color w:val="000000"/>
          <w:szCs w:val="22"/>
        </w:rPr>
        <w:t xml:space="preserve"> A leucemia é um cancro dos glóbulos brancos do sangue. Os glóbulos brancos normalmente ajudam o organismo a combater infeções. A leucemia linfoblástica aguda é uma forma de leucemia na qual certos glóbulos brancos anormais (denominados linfoblastos) começam a crescer sem controlo. Glivec inibe o crescimento destas células.</w:t>
      </w:r>
    </w:p>
    <w:p w14:paraId="375EC051" w14:textId="77777777" w:rsidR="00906898" w:rsidRPr="00263DB9" w:rsidRDefault="00906898" w:rsidP="00E51817">
      <w:pPr>
        <w:widowControl w:val="0"/>
        <w:numPr>
          <w:ilvl w:val="12"/>
          <w:numId w:val="0"/>
        </w:numPr>
        <w:suppressAutoHyphens/>
        <w:rPr>
          <w:color w:val="000000"/>
          <w:szCs w:val="22"/>
        </w:rPr>
      </w:pPr>
    </w:p>
    <w:p w14:paraId="375EC052" w14:textId="77777777" w:rsidR="00906898" w:rsidRPr="00263DB9" w:rsidRDefault="00906898" w:rsidP="00273B82">
      <w:pPr>
        <w:keepNext/>
        <w:widowControl w:val="0"/>
        <w:numPr>
          <w:ilvl w:val="12"/>
          <w:numId w:val="0"/>
        </w:numPr>
        <w:suppressAutoHyphens/>
        <w:rPr>
          <w:b/>
          <w:bCs/>
          <w:color w:val="000000"/>
          <w:szCs w:val="22"/>
        </w:rPr>
      </w:pPr>
      <w:r w:rsidRPr="00263DB9">
        <w:rPr>
          <w:b/>
          <w:bCs/>
          <w:color w:val="000000"/>
          <w:szCs w:val="22"/>
        </w:rPr>
        <w:t>Glivec é também um tratamento para os adultos para:</w:t>
      </w:r>
    </w:p>
    <w:p w14:paraId="375EC053" w14:textId="77777777" w:rsidR="00906898" w:rsidRPr="00263DB9" w:rsidRDefault="00906898" w:rsidP="00273B82">
      <w:pPr>
        <w:keepNext/>
        <w:widowControl w:val="0"/>
        <w:numPr>
          <w:ilvl w:val="12"/>
          <w:numId w:val="0"/>
        </w:numPr>
        <w:suppressAutoHyphens/>
        <w:rPr>
          <w:color w:val="000000"/>
          <w:szCs w:val="22"/>
        </w:rPr>
      </w:pPr>
    </w:p>
    <w:p w14:paraId="375EC054" w14:textId="77777777" w:rsidR="00906898" w:rsidRPr="00263DB9" w:rsidRDefault="00906898" w:rsidP="00E51817">
      <w:pPr>
        <w:widowControl w:val="0"/>
        <w:numPr>
          <w:ilvl w:val="12"/>
          <w:numId w:val="0"/>
        </w:numPr>
        <w:suppressAutoHyphens/>
        <w:ind w:left="567" w:hanging="567"/>
        <w:rPr>
          <w:color w:val="000000"/>
          <w:szCs w:val="22"/>
        </w:rPr>
      </w:pPr>
      <w:r w:rsidRPr="00263DB9">
        <w:rPr>
          <w:color w:val="000000"/>
          <w:szCs w:val="22"/>
        </w:rPr>
        <w:t>-</w:t>
      </w:r>
      <w:r w:rsidRPr="00263DB9">
        <w:rPr>
          <w:color w:val="000000"/>
          <w:szCs w:val="22"/>
        </w:rPr>
        <w:tab/>
      </w:r>
      <w:r w:rsidRPr="00263DB9">
        <w:rPr>
          <w:b/>
          <w:bCs/>
          <w:color w:val="000000"/>
          <w:szCs w:val="22"/>
        </w:rPr>
        <w:t>Síndrome mielodisplásica/ doenças mieloproliferativas.</w:t>
      </w:r>
      <w:r w:rsidRPr="00263DB9">
        <w:rPr>
          <w:color w:val="000000"/>
          <w:szCs w:val="22"/>
        </w:rPr>
        <w:t xml:space="preserve"> Estas são um grupo de doenças do sangue em que algumas células do sangue começam a crescer sem controlo. Glivec inibe o crescimento destas células num determinado subtipo destas doenças.</w:t>
      </w:r>
    </w:p>
    <w:p w14:paraId="375EC055" w14:textId="77777777" w:rsidR="00906898" w:rsidRPr="00263DB9" w:rsidRDefault="00906898" w:rsidP="00E51817">
      <w:pPr>
        <w:widowControl w:val="0"/>
        <w:numPr>
          <w:ilvl w:val="12"/>
          <w:numId w:val="0"/>
        </w:numPr>
        <w:suppressAutoHyphens/>
        <w:ind w:left="567" w:hanging="567"/>
        <w:rPr>
          <w:color w:val="000000"/>
          <w:szCs w:val="22"/>
        </w:rPr>
      </w:pPr>
      <w:r w:rsidRPr="00263DB9">
        <w:rPr>
          <w:color w:val="000000"/>
          <w:szCs w:val="22"/>
        </w:rPr>
        <w:t>-</w:t>
      </w:r>
      <w:r w:rsidRPr="00263DB9">
        <w:rPr>
          <w:color w:val="000000"/>
          <w:szCs w:val="22"/>
        </w:rPr>
        <w:tab/>
      </w:r>
      <w:r w:rsidRPr="00263DB9">
        <w:rPr>
          <w:b/>
          <w:bCs/>
          <w:color w:val="000000"/>
          <w:szCs w:val="22"/>
        </w:rPr>
        <w:t>Síndrome hipereosinofílica e/ou leucemia eosinofílica crónica.</w:t>
      </w:r>
      <w:r w:rsidRPr="00263DB9">
        <w:rPr>
          <w:color w:val="000000"/>
          <w:szCs w:val="22"/>
        </w:rPr>
        <w:t xml:space="preserve"> Estas são doenças do sangue em que algumas células do sangue (denominadas eosinófilos) começam a crescer sem controlo. Glivec inibe o crescimento destas células num determinado subtipo destas doenças.</w:t>
      </w:r>
    </w:p>
    <w:p w14:paraId="375EC056" w14:textId="77777777" w:rsidR="00906898" w:rsidRPr="00263DB9" w:rsidRDefault="00906898" w:rsidP="00E51817">
      <w:pPr>
        <w:widowControl w:val="0"/>
        <w:numPr>
          <w:ilvl w:val="12"/>
          <w:numId w:val="0"/>
        </w:numPr>
        <w:suppressAutoHyphens/>
        <w:ind w:left="567" w:hanging="567"/>
        <w:rPr>
          <w:color w:val="000000"/>
          <w:szCs w:val="22"/>
        </w:rPr>
      </w:pPr>
      <w:r w:rsidRPr="00263DB9">
        <w:rPr>
          <w:color w:val="000000"/>
          <w:szCs w:val="22"/>
        </w:rPr>
        <w:t>-</w:t>
      </w:r>
      <w:r w:rsidRPr="00263DB9">
        <w:rPr>
          <w:color w:val="000000"/>
          <w:szCs w:val="22"/>
        </w:rPr>
        <w:tab/>
      </w:r>
      <w:r w:rsidRPr="00263DB9">
        <w:rPr>
          <w:b/>
          <w:bCs/>
          <w:color w:val="000000"/>
          <w:szCs w:val="22"/>
        </w:rPr>
        <w:t xml:space="preserve">Tumores do estroma gastrintestinal (GIST). </w:t>
      </w:r>
      <w:r w:rsidRPr="00263DB9">
        <w:rPr>
          <w:color w:val="000000"/>
          <w:szCs w:val="22"/>
        </w:rPr>
        <w:t>O GIST é um cancro do estômago e intestino. Desenvolve-se devido ao crescimento celular não controlado dos tecidos suporte destes órgãos.</w:t>
      </w:r>
    </w:p>
    <w:p w14:paraId="375EC057" w14:textId="77777777" w:rsidR="00906898" w:rsidRPr="00263DB9" w:rsidRDefault="00906898" w:rsidP="00E51817">
      <w:pPr>
        <w:widowControl w:val="0"/>
        <w:numPr>
          <w:ilvl w:val="12"/>
          <w:numId w:val="0"/>
        </w:numPr>
        <w:suppressAutoHyphens/>
        <w:ind w:left="567" w:hanging="567"/>
        <w:rPr>
          <w:color w:val="000000"/>
          <w:szCs w:val="22"/>
        </w:rPr>
      </w:pPr>
      <w:r w:rsidRPr="00263DB9">
        <w:rPr>
          <w:color w:val="000000"/>
          <w:szCs w:val="22"/>
        </w:rPr>
        <w:lastRenderedPageBreak/>
        <w:t>-</w:t>
      </w:r>
      <w:r w:rsidRPr="00263DB9">
        <w:rPr>
          <w:color w:val="000000"/>
          <w:szCs w:val="22"/>
        </w:rPr>
        <w:tab/>
      </w:r>
      <w:r w:rsidRPr="00263DB9">
        <w:rPr>
          <w:b/>
          <w:bCs/>
          <w:color w:val="000000"/>
          <w:szCs w:val="22"/>
        </w:rPr>
        <w:t>Dermatofibrosarcoma protuberans (DFSP).</w:t>
      </w:r>
      <w:r w:rsidRPr="00263DB9">
        <w:rPr>
          <w:color w:val="000000"/>
          <w:szCs w:val="22"/>
        </w:rPr>
        <w:t xml:space="preserve"> DSFP é um cancro do tecido localizado por baixo da pele no qual algumas células começam a crescer sem controlo. Glivec inibe o crescimento destas células.</w:t>
      </w:r>
    </w:p>
    <w:p w14:paraId="375EC058" w14:textId="77777777" w:rsidR="00906898" w:rsidRPr="00263DB9" w:rsidRDefault="00906898" w:rsidP="00E51817">
      <w:pPr>
        <w:widowControl w:val="0"/>
        <w:numPr>
          <w:ilvl w:val="12"/>
          <w:numId w:val="0"/>
        </w:numPr>
        <w:suppressAutoHyphens/>
        <w:rPr>
          <w:color w:val="000000"/>
          <w:szCs w:val="22"/>
        </w:rPr>
      </w:pPr>
      <w:r w:rsidRPr="00263DB9">
        <w:rPr>
          <w:color w:val="000000"/>
          <w:szCs w:val="22"/>
        </w:rPr>
        <w:t>No resto deste folheto, irão ser utilizadas as abreviaturas quando se falar sobre estas doenças.</w:t>
      </w:r>
    </w:p>
    <w:p w14:paraId="375EC059" w14:textId="77777777" w:rsidR="00906898" w:rsidRPr="00263DB9" w:rsidRDefault="00906898" w:rsidP="00E51817">
      <w:pPr>
        <w:widowControl w:val="0"/>
        <w:numPr>
          <w:ilvl w:val="12"/>
          <w:numId w:val="0"/>
        </w:numPr>
        <w:suppressAutoHyphens/>
        <w:rPr>
          <w:color w:val="000000"/>
          <w:szCs w:val="22"/>
        </w:rPr>
      </w:pPr>
    </w:p>
    <w:p w14:paraId="375EC05A" w14:textId="77777777" w:rsidR="00906898" w:rsidRPr="00263DB9" w:rsidRDefault="00906898" w:rsidP="00E51817">
      <w:pPr>
        <w:widowControl w:val="0"/>
        <w:numPr>
          <w:ilvl w:val="12"/>
          <w:numId w:val="0"/>
        </w:numPr>
        <w:suppressAutoHyphens/>
        <w:rPr>
          <w:color w:val="000000"/>
          <w:szCs w:val="22"/>
        </w:rPr>
      </w:pPr>
      <w:r w:rsidRPr="00263DB9">
        <w:rPr>
          <w:color w:val="000000"/>
          <w:szCs w:val="22"/>
        </w:rPr>
        <w:t>Se tiver quaisquer dúvidas sobre o modo de ação de Glivec ou sobre as causas para prescrição deste medicamento, consulte o seu médico.</w:t>
      </w:r>
    </w:p>
    <w:p w14:paraId="375EC05B" w14:textId="77777777" w:rsidR="00906898" w:rsidRPr="00263DB9" w:rsidRDefault="00906898" w:rsidP="00E51817">
      <w:pPr>
        <w:widowControl w:val="0"/>
        <w:numPr>
          <w:ilvl w:val="12"/>
          <w:numId w:val="0"/>
        </w:numPr>
        <w:suppressAutoHyphens/>
        <w:rPr>
          <w:color w:val="000000"/>
          <w:szCs w:val="22"/>
        </w:rPr>
      </w:pPr>
    </w:p>
    <w:p w14:paraId="375EC05C" w14:textId="77777777" w:rsidR="00906898" w:rsidRPr="00263DB9" w:rsidRDefault="00906898" w:rsidP="00E51817">
      <w:pPr>
        <w:widowControl w:val="0"/>
        <w:numPr>
          <w:ilvl w:val="12"/>
          <w:numId w:val="0"/>
        </w:numPr>
        <w:suppressAutoHyphens/>
        <w:rPr>
          <w:color w:val="000000"/>
          <w:szCs w:val="22"/>
        </w:rPr>
      </w:pPr>
    </w:p>
    <w:p w14:paraId="375EC05D" w14:textId="77777777" w:rsidR="00906898" w:rsidRPr="00263DB9" w:rsidRDefault="00906898" w:rsidP="00273B82">
      <w:pPr>
        <w:keepNext/>
        <w:widowControl w:val="0"/>
        <w:numPr>
          <w:ilvl w:val="12"/>
          <w:numId w:val="0"/>
        </w:numPr>
        <w:suppressAutoHyphens/>
        <w:ind w:left="567" w:hanging="567"/>
        <w:rPr>
          <w:b/>
          <w:color w:val="000000"/>
          <w:szCs w:val="22"/>
        </w:rPr>
      </w:pPr>
      <w:r w:rsidRPr="00263DB9">
        <w:rPr>
          <w:b/>
          <w:color w:val="000000"/>
          <w:szCs w:val="22"/>
        </w:rPr>
        <w:t>2.</w:t>
      </w:r>
      <w:r w:rsidRPr="00263DB9">
        <w:rPr>
          <w:b/>
          <w:color w:val="000000"/>
          <w:szCs w:val="22"/>
        </w:rPr>
        <w:tab/>
      </w:r>
      <w:r w:rsidRPr="00263DB9">
        <w:rPr>
          <w:b/>
          <w:szCs w:val="24"/>
        </w:rPr>
        <w:t>O que precisa de saber antes de</w:t>
      </w:r>
      <w:r w:rsidRPr="00263DB9">
        <w:rPr>
          <w:b/>
          <w:color w:val="000000"/>
          <w:szCs w:val="22"/>
        </w:rPr>
        <w:t xml:space="preserve"> tomar Glivec</w:t>
      </w:r>
    </w:p>
    <w:p w14:paraId="375EC05E" w14:textId="77777777" w:rsidR="00906898" w:rsidRPr="00263DB9" w:rsidRDefault="00906898" w:rsidP="00273B82">
      <w:pPr>
        <w:keepNext/>
        <w:widowControl w:val="0"/>
        <w:numPr>
          <w:ilvl w:val="12"/>
          <w:numId w:val="0"/>
        </w:numPr>
        <w:suppressAutoHyphens/>
        <w:ind w:left="567" w:hanging="567"/>
        <w:rPr>
          <w:color w:val="000000"/>
          <w:szCs w:val="22"/>
        </w:rPr>
      </w:pPr>
    </w:p>
    <w:p w14:paraId="375EC05F" w14:textId="77777777" w:rsidR="00906898" w:rsidRPr="00263DB9" w:rsidRDefault="00906898" w:rsidP="00E51817">
      <w:pPr>
        <w:widowControl w:val="0"/>
        <w:numPr>
          <w:ilvl w:val="12"/>
          <w:numId w:val="0"/>
        </w:numPr>
        <w:suppressAutoHyphens/>
        <w:rPr>
          <w:color w:val="000000"/>
          <w:szCs w:val="22"/>
        </w:rPr>
      </w:pPr>
      <w:r w:rsidRPr="00263DB9">
        <w:rPr>
          <w:color w:val="000000"/>
          <w:szCs w:val="22"/>
        </w:rPr>
        <w:t>Glivec ser-lhe-á prescrito apenas por um médico com experiência em medicamentos para o tratamento de cancros do sangue ou tumores sólidos.</w:t>
      </w:r>
    </w:p>
    <w:p w14:paraId="375EC060" w14:textId="77777777" w:rsidR="00906898" w:rsidRPr="00263DB9" w:rsidRDefault="00906898" w:rsidP="00E51817">
      <w:pPr>
        <w:widowControl w:val="0"/>
        <w:numPr>
          <w:ilvl w:val="12"/>
          <w:numId w:val="0"/>
        </w:numPr>
        <w:suppressAutoHyphens/>
        <w:ind w:left="567" w:hanging="567"/>
        <w:rPr>
          <w:color w:val="000000"/>
          <w:szCs w:val="22"/>
        </w:rPr>
      </w:pPr>
    </w:p>
    <w:p w14:paraId="375EC061" w14:textId="77777777" w:rsidR="00906898" w:rsidRPr="00263DB9" w:rsidRDefault="00906898" w:rsidP="00E51817">
      <w:pPr>
        <w:widowControl w:val="0"/>
        <w:numPr>
          <w:ilvl w:val="12"/>
          <w:numId w:val="0"/>
        </w:numPr>
        <w:suppressAutoHyphens/>
        <w:rPr>
          <w:color w:val="000000"/>
          <w:szCs w:val="22"/>
        </w:rPr>
      </w:pPr>
      <w:r w:rsidRPr="00263DB9">
        <w:rPr>
          <w:color w:val="000000"/>
          <w:szCs w:val="22"/>
        </w:rPr>
        <w:t>Siga cuidadosamente todas as instruções que lhe foram dadas pelo seu médico, mesmo que sejam diferentes da informação geral contida neste folheto.</w:t>
      </w:r>
    </w:p>
    <w:p w14:paraId="375EC062" w14:textId="77777777" w:rsidR="00906898" w:rsidRPr="00263DB9" w:rsidRDefault="00906898" w:rsidP="00E51817">
      <w:pPr>
        <w:widowControl w:val="0"/>
        <w:numPr>
          <w:ilvl w:val="12"/>
          <w:numId w:val="0"/>
        </w:numPr>
        <w:suppressAutoHyphens/>
        <w:rPr>
          <w:color w:val="000000"/>
          <w:szCs w:val="22"/>
        </w:rPr>
      </w:pPr>
    </w:p>
    <w:p w14:paraId="375EC063" w14:textId="77777777" w:rsidR="00906898" w:rsidRPr="00263DB9" w:rsidRDefault="00906898" w:rsidP="00273B82">
      <w:pPr>
        <w:keepNext/>
        <w:widowControl w:val="0"/>
        <w:numPr>
          <w:ilvl w:val="12"/>
          <w:numId w:val="0"/>
        </w:numPr>
        <w:suppressAutoHyphens/>
        <w:rPr>
          <w:color w:val="000000"/>
          <w:szCs w:val="22"/>
        </w:rPr>
      </w:pPr>
      <w:r w:rsidRPr="00263DB9">
        <w:rPr>
          <w:b/>
          <w:color w:val="000000"/>
          <w:szCs w:val="22"/>
        </w:rPr>
        <w:t>Não tome Glivec:</w:t>
      </w:r>
    </w:p>
    <w:p w14:paraId="375EC064" w14:textId="77777777" w:rsidR="00906898" w:rsidRPr="00263DB9" w:rsidRDefault="00906898" w:rsidP="00E51817">
      <w:pPr>
        <w:widowControl w:val="0"/>
        <w:numPr>
          <w:ilvl w:val="12"/>
          <w:numId w:val="0"/>
        </w:numPr>
        <w:suppressAutoHyphens/>
        <w:ind w:left="567" w:hanging="567"/>
        <w:rPr>
          <w:color w:val="000000"/>
          <w:szCs w:val="22"/>
        </w:rPr>
      </w:pPr>
      <w:r w:rsidRPr="00263DB9">
        <w:rPr>
          <w:color w:val="000000"/>
          <w:szCs w:val="22"/>
        </w:rPr>
        <w:t>-</w:t>
      </w:r>
      <w:r w:rsidRPr="00263DB9">
        <w:rPr>
          <w:color w:val="000000"/>
          <w:szCs w:val="22"/>
        </w:rPr>
        <w:tab/>
        <w:t>se tem alergia ao imatinib ou a qualquer outro componente de</w:t>
      </w:r>
      <w:r w:rsidRPr="00263DB9">
        <w:rPr>
          <w:szCs w:val="24"/>
        </w:rPr>
        <w:t>ste medicamento (indicados na secção 6)</w:t>
      </w:r>
      <w:r w:rsidRPr="00263DB9">
        <w:rPr>
          <w:color w:val="000000"/>
          <w:szCs w:val="22"/>
        </w:rPr>
        <w:t>.</w:t>
      </w:r>
    </w:p>
    <w:p w14:paraId="375EC065" w14:textId="77777777" w:rsidR="00906898" w:rsidRPr="00263DB9" w:rsidRDefault="00906898" w:rsidP="00E51817">
      <w:pPr>
        <w:widowControl w:val="0"/>
        <w:numPr>
          <w:ilvl w:val="12"/>
          <w:numId w:val="0"/>
        </w:numPr>
        <w:suppressAutoHyphens/>
        <w:ind w:left="567" w:hanging="567"/>
        <w:rPr>
          <w:color w:val="000000"/>
          <w:szCs w:val="22"/>
        </w:rPr>
      </w:pPr>
      <w:r w:rsidRPr="00263DB9">
        <w:rPr>
          <w:color w:val="000000"/>
          <w:szCs w:val="22"/>
        </w:rPr>
        <w:t xml:space="preserve">Se isto se aplica a si, </w:t>
      </w:r>
      <w:r w:rsidRPr="00263DB9">
        <w:rPr>
          <w:b/>
          <w:bCs/>
          <w:color w:val="000000"/>
          <w:szCs w:val="22"/>
        </w:rPr>
        <w:t>informe o seu médico antes de tomar Glivec.</w:t>
      </w:r>
    </w:p>
    <w:p w14:paraId="375EC066" w14:textId="77777777" w:rsidR="00906898" w:rsidRPr="00263DB9" w:rsidRDefault="00906898" w:rsidP="00E51817">
      <w:pPr>
        <w:widowControl w:val="0"/>
        <w:numPr>
          <w:ilvl w:val="12"/>
          <w:numId w:val="0"/>
        </w:numPr>
        <w:suppressAutoHyphens/>
        <w:rPr>
          <w:color w:val="000000"/>
          <w:szCs w:val="22"/>
        </w:rPr>
      </w:pPr>
    </w:p>
    <w:p w14:paraId="375EC067" w14:textId="77777777" w:rsidR="00906898" w:rsidRPr="00263DB9" w:rsidRDefault="00906898" w:rsidP="00E51817">
      <w:pPr>
        <w:widowControl w:val="0"/>
        <w:numPr>
          <w:ilvl w:val="12"/>
          <w:numId w:val="0"/>
        </w:numPr>
        <w:suppressAutoHyphens/>
        <w:rPr>
          <w:color w:val="000000"/>
          <w:szCs w:val="22"/>
        </w:rPr>
      </w:pPr>
      <w:r w:rsidRPr="00263DB9">
        <w:rPr>
          <w:color w:val="000000"/>
          <w:szCs w:val="22"/>
        </w:rPr>
        <w:t>Caso pense que poderá ser alérgico, mas não tem a certeza, consulte o seu médico para aconselhamento.</w:t>
      </w:r>
    </w:p>
    <w:p w14:paraId="375EC068" w14:textId="77777777" w:rsidR="00906898" w:rsidRPr="00263DB9" w:rsidRDefault="00906898" w:rsidP="00E51817">
      <w:pPr>
        <w:widowControl w:val="0"/>
        <w:numPr>
          <w:ilvl w:val="12"/>
          <w:numId w:val="0"/>
        </w:numPr>
        <w:suppressAutoHyphens/>
        <w:rPr>
          <w:color w:val="000000"/>
          <w:szCs w:val="22"/>
        </w:rPr>
      </w:pPr>
    </w:p>
    <w:p w14:paraId="375EC069" w14:textId="77777777" w:rsidR="00906898" w:rsidRPr="00263DB9" w:rsidRDefault="00906898" w:rsidP="00273B82">
      <w:pPr>
        <w:keepNext/>
        <w:widowControl w:val="0"/>
        <w:numPr>
          <w:ilvl w:val="12"/>
          <w:numId w:val="0"/>
        </w:numPr>
        <w:suppressAutoHyphens/>
        <w:rPr>
          <w:b/>
          <w:color w:val="000000"/>
          <w:szCs w:val="22"/>
        </w:rPr>
      </w:pPr>
      <w:r w:rsidRPr="00263DB9">
        <w:rPr>
          <w:b/>
          <w:szCs w:val="24"/>
        </w:rPr>
        <w:t>Advertências e precauções</w:t>
      </w:r>
    </w:p>
    <w:p w14:paraId="375EC06A" w14:textId="77777777" w:rsidR="00906898" w:rsidRPr="00263DB9" w:rsidRDefault="00906898" w:rsidP="00273B82">
      <w:pPr>
        <w:keepNext/>
        <w:widowControl w:val="0"/>
        <w:numPr>
          <w:ilvl w:val="12"/>
          <w:numId w:val="0"/>
        </w:numPr>
        <w:suppressAutoHyphens/>
        <w:rPr>
          <w:bCs/>
          <w:color w:val="000000"/>
          <w:szCs w:val="22"/>
        </w:rPr>
      </w:pPr>
      <w:r w:rsidRPr="00263DB9">
        <w:rPr>
          <w:szCs w:val="24"/>
        </w:rPr>
        <w:t>Fale</w:t>
      </w:r>
      <w:r w:rsidRPr="00263DB9">
        <w:t xml:space="preserve"> com </w:t>
      </w:r>
      <w:r w:rsidRPr="00263DB9">
        <w:rPr>
          <w:szCs w:val="24"/>
        </w:rPr>
        <w:t>o seu médico</w:t>
      </w:r>
      <w:r w:rsidRPr="00263DB9">
        <w:rPr>
          <w:bCs/>
          <w:color w:val="000000"/>
          <w:szCs w:val="22"/>
        </w:rPr>
        <w:t xml:space="preserve"> antes de tomar Glivec:</w:t>
      </w:r>
    </w:p>
    <w:p w14:paraId="375EC06B" w14:textId="77777777" w:rsidR="00906898" w:rsidRPr="00263DB9" w:rsidRDefault="00906898" w:rsidP="00E51817">
      <w:pPr>
        <w:widowControl w:val="0"/>
        <w:numPr>
          <w:ilvl w:val="0"/>
          <w:numId w:val="1"/>
        </w:numPr>
        <w:tabs>
          <w:tab w:val="clear" w:pos="927"/>
        </w:tabs>
        <w:suppressAutoHyphens/>
        <w:ind w:left="567" w:hanging="567"/>
        <w:rPr>
          <w:color w:val="000000"/>
          <w:szCs w:val="22"/>
        </w:rPr>
      </w:pPr>
      <w:r w:rsidRPr="00263DB9">
        <w:rPr>
          <w:color w:val="000000"/>
          <w:szCs w:val="22"/>
        </w:rPr>
        <w:t>Se tem ou alguma vez teve problemas de fígado, rim ou coração.</w:t>
      </w:r>
    </w:p>
    <w:p w14:paraId="375EC06C" w14:textId="77777777" w:rsidR="00906898" w:rsidRPr="00263DB9" w:rsidRDefault="00906898" w:rsidP="00E51817">
      <w:pPr>
        <w:widowControl w:val="0"/>
        <w:numPr>
          <w:ilvl w:val="0"/>
          <w:numId w:val="1"/>
        </w:numPr>
        <w:tabs>
          <w:tab w:val="clear" w:pos="927"/>
        </w:tabs>
        <w:suppressAutoHyphens/>
        <w:ind w:left="567" w:hanging="567"/>
        <w:rPr>
          <w:color w:val="000000"/>
          <w:szCs w:val="22"/>
        </w:rPr>
      </w:pPr>
      <w:r w:rsidRPr="00263DB9">
        <w:rPr>
          <w:color w:val="000000"/>
          <w:szCs w:val="22"/>
        </w:rPr>
        <w:t>Se está a tomar levotiroxina devido à remoção da sua tiróide.</w:t>
      </w:r>
    </w:p>
    <w:p w14:paraId="375EC06D" w14:textId="77777777" w:rsidR="00164540" w:rsidRPr="00263DB9" w:rsidRDefault="00BF4055" w:rsidP="00E51817">
      <w:pPr>
        <w:widowControl w:val="0"/>
        <w:numPr>
          <w:ilvl w:val="0"/>
          <w:numId w:val="1"/>
        </w:numPr>
        <w:tabs>
          <w:tab w:val="clear" w:pos="927"/>
        </w:tabs>
        <w:suppressAutoHyphens/>
        <w:ind w:left="567" w:hanging="567"/>
        <w:rPr>
          <w:color w:val="000000"/>
          <w:szCs w:val="22"/>
        </w:rPr>
      </w:pPr>
      <w:r w:rsidRPr="00263DB9">
        <w:rPr>
          <w:color w:val="000000"/>
          <w:szCs w:val="22"/>
        </w:rPr>
        <w:t>Se alguma vez teve ou possa ter uma infeção pelo vírus da Hepatite B. Glivec pode fazer com que a Hepatite B volte a ficar ativa, o que pode levar à morte em alguns casos. Os doentes devem ser avaliados cuidadosamente pelo médico para identificar sinais desta infeção antes de iniciarem o tratamento.</w:t>
      </w:r>
    </w:p>
    <w:p w14:paraId="375EC06E" w14:textId="77777777" w:rsidR="00BF4055" w:rsidRPr="00263DB9" w:rsidRDefault="00164540" w:rsidP="00E51817">
      <w:pPr>
        <w:widowControl w:val="0"/>
        <w:numPr>
          <w:ilvl w:val="0"/>
          <w:numId w:val="1"/>
        </w:numPr>
        <w:tabs>
          <w:tab w:val="clear" w:pos="927"/>
        </w:tabs>
        <w:suppressAutoHyphens/>
        <w:ind w:left="567" w:hanging="567"/>
        <w:rPr>
          <w:color w:val="000000"/>
          <w:szCs w:val="22"/>
        </w:rPr>
      </w:pPr>
      <w:r w:rsidRPr="00263DB9">
        <w:rPr>
          <w:color w:val="000000"/>
          <w:spacing w:val="-2"/>
        </w:rPr>
        <w:t xml:space="preserve">Se tiver </w:t>
      </w:r>
      <w:r w:rsidR="00424A41" w:rsidRPr="00263DB9">
        <w:rPr>
          <w:color w:val="000000"/>
          <w:spacing w:val="-2"/>
        </w:rPr>
        <w:t>nódoas negras (</w:t>
      </w:r>
      <w:r w:rsidRPr="00263DB9">
        <w:rPr>
          <w:color w:val="000000"/>
          <w:spacing w:val="-2"/>
        </w:rPr>
        <w:t>hematomas</w:t>
      </w:r>
      <w:r w:rsidR="00424A41" w:rsidRPr="00263DB9">
        <w:rPr>
          <w:color w:val="000000"/>
          <w:spacing w:val="-2"/>
        </w:rPr>
        <w:t>)</w:t>
      </w:r>
      <w:r w:rsidRPr="00263DB9">
        <w:rPr>
          <w:color w:val="000000"/>
          <w:spacing w:val="-2"/>
        </w:rPr>
        <w:t xml:space="preserve">, </w:t>
      </w:r>
      <w:r w:rsidR="00424A41" w:rsidRPr="00263DB9">
        <w:rPr>
          <w:color w:val="000000"/>
          <w:spacing w:val="-2"/>
        </w:rPr>
        <w:t>sangramento (</w:t>
      </w:r>
      <w:r w:rsidRPr="00263DB9">
        <w:rPr>
          <w:color w:val="000000"/>
          <w:spacing w:val="-2"/>
        </w:rPr>
        <w:t>hemorragia</w:t>
      </w:r>
      <w:r w:rsidR="00424A41" w:rsidRPr="00263DB9">
        <w:rPr>
          <w:color w:val="000000"/>
          <w:spacing w:val="-2"/>
        </w:rPr>
        <w:t>)</w:t>
      </w:r>
      <w:r w:rsidRPr="00263DB9">
        <w:rPr>
          <w:color w:val="000000"/>
          <w:spacing w:val="-2"/>
        </w:rPr>
        <w:t>, febre, fadiga e confusão enquanto toma Glivec, contacte o seu médico. Isto pode ser sinal de danos aos vasos sanguíneos, conhecido como microangiopatia trombótica (MTA).</w:t>
      </w:r>
    </w:p>
    <w:p w14:paraId="375EC06F" w14:textId="77777777" w:rsidR="00424A41" w:rsidRPr="00263DB9" w:rsidRDefault="00424A41" w:rsidP="00E51817">
      <w:pPr>
        <w:widowControl w:val="0"/>
        <w:suppressAutoHyphens/>
        <w:rPr>
          <w:color w:val="000000"/>
          <w:szCs w:val="22"/>
        </w:rPr>
      </w:pPr>
    </w:p>
    <w:p w14:paraId="375EC070" w14:textId="77777777" w:rsidR="00906898" w:rsidRPr="00263DB9" w:rsidRDefault="00906898" w:rsidP="00E51817">
      <w:pPr>
        <w:widowControl w:val="0"/>
        <w:suppressAutoHyphens/>
        <w:rPr>
          <w:color w:val="000000"/>
          <w:szCs w:val="22"/>
        </w:rPr>
      </w:pPr>
      <w:r w:rsidRPr="00263DB9">
        <w:rPr>
          <w:color w:val="000000"/>
          <w:szCs w:val="22"/>
        </w:rPr>
        <w:t xml:space="preserve">Caso ocorra qualquer das situações acima referidas, </w:t>
      </w:r>
      <w:r w:rsidRPr="00263DB9">
        <w:rPr>
          <w:b/>
          <w:color w:val="000000"/>
          <w:szCs w:val="22"/>
        </w:rPr>
        <w:t>fale com o seu médico antes de tomar Glivec.</w:t>
      </w:r>
    </w:p>
    <w:p w14:paraId="375EC071" w14:textId="77777777" w:rsidR="005145EC" w:rsidRPr="00263DB9" w:rsidRDefault="005145EC" w:rsidP="00E51817">
      <w:pPr>
        <w:pStyle w:val="EndnoteText"/>
        <w:tabs>
          <w:tab w:val="clear" w:pos="567"/>
        </w:tabs>
        <w:suppressAutoHyphens/>
        <w:rPr>
          <w:color w:val="000000"/>
          <w:szCs w:val="22"/>
        </w:rPr>
      </w:pPr>
    </w:p>
    <w:p w14:paraId="375EC072" w14:textId="77777777" w:rsidR="005145EC" w:rsidRPr="00263DB9" w:rsidRDefault="005145EC" w:rsidP="00E51817">
      <w:pPr>
        <w:pStyle w:val="EndnoteText"/>
        <w:tabs>
          <w:tab w:val="clear" w:pos="567"/>
        </w:tabs>
        <w:suppressAutoHyphens/>
        <w:rPr>
          <w:color w:val="000000"/>
          <w:szCs w:val="22"/>
        </w:rPr>
      </w:pPr>
      <w:r w:rsidRPr="00263DB9">
        <w:rPr>
          <w:color w:val="000000"/>
          <w:szCs w:val="22"/>
        </w:rPr>
        <w:t xml:space="preserve">Enquanto estiver a tomar Glivec pode tornar-se mais sensível ao sol. É importante cobrir áreas de pele expostas ao sol e usar protetor solar com fator de proteção solar </w:t>
      </w:r>
      <w:r w:rsidR="00173E8E" w:rsidRPr="00263DB9">
        <w:rPr>
          <w:color w:val="000000"/>
          <w:szCs w:val="22"/>
        </w:rPr>
        <w:t xml:space="preserve">(FPS) </w:t>
      </w:r>
      <w:r w:rsidRPr="00263DB9">
        <w:rPr>
          <w:color w:val="000000"/>
          <w:szCs w:val="22"/>
        </w:rPr>
        <w:t>elevado. Estas precauções também são aplicáveis às crianças.</w:t>
      </w:r>
    </w:p>
    <w:p w14:paraId="375EC073" w14:textId="77777777" w:rsidR="005145EC" w:rsidRPr="00263DB9" w:rsidRDefault="005145EC" w:rsidP="00E51817">
      <w:pPr>
        <w:pStyle w:val="EndnoteText"/>
        <w:tabs>
          <w:tab w:val="clear" w:pos="567"/>
        </w:tabs>
        <w:suppressAutoHyphens/>
        <w:rPr>
          <w:color w:val="000000"/>
          <w:szCs w:val="22"/>
        </w:rPr>
      </w:pPr>
    </w:p>
    <w:p w14:paraId="375EC074" w14:textId="77777777" w:rsidR="00906898" w:rsidRPr="00263DB9" w:rsidRDefault="00906898" w:rsidP="00E51817">
      <w:pPr>
        <w:widowControl w:val="0"/>
        <w:suppressAutoHyphens/>
        <w:rPr>
          <w:color w:val="000000"/>
          <w:szCs w:val="22"/>
        </w:rPr>
      </w:pPr>
      <w:r w:rsidRPr="00263DB9">
        <w:rPr>
          <w:b/>
          <w:bCs/>
          <w:color w:val="000000"/>
          <w:szCs w:val="22"/>
        </w:rPr>
        <w:t>Durante o tratamento com Glivec, fale com o seu médico imediatamente</w:t>
      </w:r>
      <w:r w:rsidRPr="00263DB9">
        <w:rPr>
          <w:color w:val="000000"/>
          <w:szCs w:val="22"/>
        </w:rPr>
        <w:t xml:space="preserve"> caso tenha aumento de peso rápido. Glivec poderá provocar retenção de água (retenção de líquidos grave).</w:t>
      </w:r>
    </w:p>
    <w:p w14:paraId="375EC075" w14:textId="77777777" w:rsidR="00906898" w:rsidRPr="00263DB9" w:rsidRDefault="00906898" w:rsidP="00E51817">
      <w:pPr>
        <w:widowControl w:val="0"/>
        <w:suppressAutoHyphens/>
        <w:rPr>
          <w:color w:val="000000"/>
          <w:szCs w:val="22"/>
        </w:rPr>
      </w:pPr>
    </w:p>
    <w:p w14:paraId="375EC076" w14:textId="77777777" w:rsidR="00906898" w:rsidRPr="00263DB9" w:rsidRDefault="00906898" w:rsidP="00E51817">
      <w:pPr>
        <w:widowControl w:val="0"/>
        <w:suppressAutoHyphens/>
        <w:rPr>
          <w:color w:val="000000"/>
          <w:szCs w:val="22"/>
        </w:rPr>
      </w:pPr>
      <w:r w:rsidRPr="00263DB9">
        <w:rPr>
          <w:color w:val="000000"/>
          <w:szCs w:val="22"/>
        </w:rPr>
        <w:t>Enquanto tomar Glivec, o seu médico irá verificar regularmente se o medicamento está a ter o efeito desejado. Também fará análises sanguíneas e será pesado regularmente.</w:t>
      </w:r>
    </w:p>
    <w:p w14:paraId="375EC077" w14:textId="77777777" w:rsidR="00906898" w:rsidRPr="00263DB9" w:rsidRDefault="00906898" w:rsidP="00E51817">
      <w:pPr>
        <w:widowControl w:val="0"/>
        <w:suppressAutoHyphens/>
        <w:rPr>
          <w:color w:val="000000"/>
          <w:szCs w:val="22"/>
        </w:rPr>
      </w:pPr>
    </w:p>
    <w:p w14:paraId="375EC078" w14:textId="77777777" w:rsidR="00906898" w:rsidRPr="00263DB9" w:rsidRDefault="00906898" w:rsidP="00273B82">
      <w:pPr>
        <w:keepNext/>
        <w:widowControl w:val="0"/>
        <w:suppressAutoHyphens/>
        <w:rPr>
          <w:color w:val="000000"/>
          <w:szCs w:val="22"/>
        </w:rPr>
      </w:pPr>
      <w:r w:rsidRPr="00263DB9">
        <w:rPr>
          <w:b/>
          <w:szCs w:val="24"/>
        </w:rPr>
        <w:t>Crianças e adolescentes</w:t>
      </w:r>
    </w:p>
    <w:p w14:paraId="375EC079" w14:textId="77777777" w:rsidR="00906898" w:rsidRPr="00263DB9" w:rsidRDefault="00906898" w:rsidP="00E51817">
      <w:pPr>
        <w:widowControl w:val="0"/>
        <w:suppressAutoHyphens/>
        <w:rPr>
          <w:color w:val="000000"/>
          <w:szCs w:val="22"/>
        </w:rPr>
      </w:pPr>
      <w:r w:rsidRPr="00263DB9">
        <w:rPr>
          <w:color w:val="000000"/>
          <w:szCs w:val="22"/>
        </w:rPr>
        <w:t>Glivec é também um tratamento para crianças com LMC. Não existe experiência em crianças com menos de 2 anos de idade com LMC. Existe experiência limitada em crianças com LLA Ph-positiva</w:t>
      </w:r>
      <w:r w:rsidR="00CE1C2F" w:rsidRPr="00263DB9">
        <w:rPr>
          <w:color w:val="000000"/>
          <w:szCs w:val="22"/>
        </w:rPr>
        <w:t xml:space="preserve"> e muito limitada em crianças com MDS/MPD, DFSP,</w:t>
      </w:r>
      <w:r w:rsidR="00AA4FA6" w:rsidRPr="00263DB9">
        <w:rPr>
          <w:color w:val="000000"/>
          <w:szCs w:val="22"/>
        </w:rPr>
        <w:t xml:space="preserve"> </w:t>
      </w:r>
      <w:r w:rsidR="00CE1C2F" w:rsidRPr="00263DB9">
        <w:rPr>
          <w:color w:val="000000"/>
          <w:szCs w:val="22"/>
        </w:rPr>
        <w:t>GIST e síndrome hipereosinofílica avançada/leucemia eosinofílica crónica</w:t>
      </w:r>
      <w:r w:rsidRPr="00263DB9">
        <w:rPr>
          <w:color w:val="000000"/>
          <w:szCs w:val="22"/>
        </w:rPr>
        <w:t>.</w:t>
      </w:r>
    </w:p>
    <w:p w14:paraId="375EC07A" w14:textId="77777777" w:rsidR="00906898" w:rsidRPr="00263DB9" w:rsidRDefault="00906898" w:rsidP="00E51817">
      <w:pPr>
        <w:widowControl w:val="0"/>
        <w:suppressAutoHyphens/>
        <w:rPr>
          <w:color w:val="000000"/>
          <w:szCs w:val="22"/>
        </w:rPr>
      </w:pPr>
    </w:p>
    <w:p w14:paraId="375EC07B" w14:textId="77777777" w:rsidR="00906898" w:rsidRPr="00263DB9" w:rsidRDefault="00906898" w:rsidP="00E51817">
      <w:pPr>
        <w:widowControl w:val="0"/>
        <w:suppressAutoHyphens/>
        <w:rPr>
          <w:color w:val="000000"/>
          <w:szCs w:val="22"/>
        </w:rPr>
      </w:pPr>
      <w:r w:rsidRPr="00263DB9">
        <w:rPr>
          <w:color w:val="000000"/>
          <w:szCs w:val="22"/>
        </w:rPr>
        <w:t>Algumas crianças e adolescentes a tomar Glivec podem ter um crescimento mais lento que o normal. O médico irá controlar o crescimento nas consultas regulares.</w:t>
      </w:r>
    </w:p>
    <w:p w14:paraId="375EC07C" w14:textId="77777777" w:rsidR="00906898" w:rsidRPr="00263DB9" w:rsidRDefault="00906898" w:rsidP="00E51817">
      <w:pPr>
        <w:widowControl w:val="0"/>
        <w:suppressAutoHyphens/>
        <w:rPr>
          <w:color w:val="000000"/>
          <w:szCs w:val="22"/>
        </w:rPr>
      </w:pPr>
    </w:p>
    <w:p w14:paraId="375EC07D" w14:textId="77777777" w:rsidR="00906898" w:rsidRPr="00263DB9" w:rsidRDefault="00906898" w:rsidP="00273B82">
      <w:pPr>
        <w:keepNext/>
        <w:widowControl w:val="0"/>
        <w:suppressAutoHyphens/>
        <w:rPr>
          <w:b/>
          <w:color w:val="000000"/>
          <w:szCs w:val="22"/>
        </w:rPr>
      </w:pPr>
      <w:r w:rsidRPr="00263DB9">
        <w:rPr>
          <w:b/>
          <w:color w:val="000000"/>
          <w:szCs w:val="22"/>
        </w:rPr>
        <w:t>Outros medicamentos e Glivec</w:t>
      </w:r>
    </w:p>
    <w:p w14:paraId="375EC07E" w14:textId="77777777" w:rsidR="00906898" w:rsidRPr="00263DB9" w:rsidRDefault="00906898" w:rsidP="00E51817">
      <w:pPr>
        <w:widowControl w:val="0"/>
        <w:suppressAutoHyphens/>
        <w:rPr>
          <w:color w:val="000000"/>
          <w:szCs w:val="22"/>
        </w:rPr>
      </w:pPr>
      <w:r w:rsidRPr="00263DB9">
        <w:rPr>
          <w:color w:val="000000"/>
          <w:szCs w:val="22"/>
        </w:rPr>
        <w:t>Informe o seu médico ou farmacêutico se estiver a tomar, tiver tomado recentemente</w:t>
      </w:r>
      <w:r w:rsidR="00F14C0A" w:rsidRPr="00263DB9">
        <w:rPr>
          <w:color w:val="000000"/>
          <w:szCs w:val="22"/>
        </w:rPr>
        <w:t>,</w:t>
      </w:r>
      <w:r w:rsidRPr="00263DB9">
        <w:rPr>
          <w:color w:val="000000"/>
          <w:szCs w:val="22"/>
        </w:rPr>
        <w:t xml:space="preserve"> </w:t>
      </w:r>
      <w:r w:rsidRPr="00263DB9">
        <w:rPr>
          <w:szCs w:val="24"/>
        </w:rPr>
        <w:t>ou se vier a tomar</w:t>
      </w:r>
      <w:r w:rsidRPr="00263DB9">
        <w:rPr>
          <w:color w:val="000000"/>
          <w:szCs w:val="22"/>
        </w:rPr>
        <w:t xml:space="preserve"> outros medicamentos, incluindo medicamentos obtidos sem receita médica (como paracetamol) e incluindo medicamentos à base de plantas (como o hipericão). Alguns medicamentos podem interferir com o efeito de Glivec quando tomados simultaneamente. Esses medicamentos podem aumentar ou diminuir o efeito de Glivec, quer aumentando os efeitos secundários, quer tornando Glivec menos eficaz. Glivec pode fazer o mesmo a outros medicamentos.</w:t>
      </w:r>
    </w:p>
    <w:p w14:paraId="375EC07F" w14:textId="77777777" w:rsidR="00906898" w:rsidRPr="00263DB9" w:rsidRDefault="00906898" w:rsidP="00E51817">
      <w:pPr>
        <w:widowControl w:val="0"/>
        <w:suppressAutoHyphens/>
        <w:rPr>
          <w:color w:val="000000"/>
          <w:szCs w:val="22"/>
        </w:rPr>
      </w:pPr>
    </w:p>
    <w:p w14:paraId="375EC080" w14:textId="77777777" w:rsidR="0090195B" w:rsidRPr="00263DB9" w:rsidRDefault="0090195B" w:rsidP="00E51817">
      <w:pPr>
        <w:widowControl w:val="0"/>
        <w:suppressAutoHyphens/>
        <w:rPr>
          <w:color w:val="000000"/>
          <w:szCs w:val="22"/>
        </w:rPr>
      </w:pPr>
      <w:r w:rsidRPr="00263DB9">
        <w:rPr>
          <w:color w:val="000000"/>
          <w:szCs w:val="22"/>
        </w:rPr>
        <w:t>Informe o seu médico se está a tomar medicamentos que previnem a formação de coágulos sanguíneos.</w:t>
      </w:r>
    </w:p>
    <w:p w14:paraId="375EC081" w14:textId="77777777" w:rsidR="0090195B" w:rsidRPr="00263DB9" w:rsidRDefault="0090195B" w:rsidP="00E51817">
      <w:pPr>
        <w:widowControl w:val="0"/>
        <w:suppressAutoHyphens/>
        <w:rPr>
          <w:color w:val="000000"/>
          <w:szCs w:val="22"/>
        </w:rPr>
      </w:pPr>
    </w:p>
    <w:p w14:paraId="375EC082" w14:textId="77777777" w:rsidR="00906898" w:rsidRPr="00263DB9" w:rsidRDefault="00906898" w:rsidP="00273B82">
      <w:pPr>
        <w:keepNext/>
        <w:widowControl w:val="0"/>
        <w:suppressAutoHyphens/>
        <w:rPr>
          <w:color w:val="000000"/>
          <w:szCs w:val="22"/>
        </w:rPr>
      </w:pPr>
      <w:r w:rsidRPr="00263DB9">
        <w:rPr>
          <w:b/>
          <w:color w:val="000000"/>
          <w:szCs w:val="22"/>
        </w:rPr>
        <w:t>Gravidez</w:t>
      </w:r>
      <w:r w:rsidRPr="00263DB9">
        <w:rPr>
          <w:b/>
          <w:szCs w:val="24"/>
        </w:rPr>
        <w:t>, amamentação e fertilidade</w:t>
      </w:r>
    </w:p>
    <w:p w14:paraId="375EC083" w14:textId="77777777" w:rsidR="00906898" w:rsidRPr="00263DB9" w:rsidRDefault="00906898" w:rsidP="00E51817">
      <w:pPr>
        <w:widowControl w:val="0"/>
        <w:numPr>
          <w:ilvl w:val="0"/>
          <w:numId w:val="18"/>
        </w:numPr>
        <w:tabs>
          <w:tab w:val="clear" w:pos="927"/>
        </w:tabs>
        <w:suppressAutoHyphens/>
        <w:ind w:left="567" w:hanging="567"/>
        <w:rPr>
          <w:color w:val="000000"/>
          <w:szCs w:val="22"/>
        </w:rPr>
      </w:pPr>
      <w:r w:rsidRPr="00263DB9">
        <w:rPr>
          <w:szCs w:val="24"/>
        </w:rPr>
        <w:t>Se está grávida ou a amamentar, se pensa estar grávida ou planeia engravidar, consulte o seu médico antes de tomar este medicamento</w:t>
      </w:r>
      <w:r w:rsidRPr="00263DB9">
        <w:rPr>
          <w:color w:val="000000"/>
          <w:szCs w:val="22"/>
        </w:rPr>
        <w:t>.</w:t>
      </w:r>
    </w:p>
    <w:p w14:paraId="375EC084" w14:textId="77777777" w:rsidR="00906898" w:rsidRPr="00263DB9" w:rsidRDefault="00906898" w:rsidP="00E51817">
      <w:pPr>
        <w:widowControl w:val="0"/>
        <w:suppressAutoHyphens/>
        <w:ind w:left="567" w:hanging="567"/>
        <w:rPr>
          <w:color w:val="000000"/>
          <w:szCs w:val="22"/>
        </w:rPr>
      </w:pPr>
      <w:r w:rsidRPr="00263DB9">
        <w:rPr>
          <w:color w:val="000000"/>
          <w:szCs w:val="22"/>
        </w:rPr>
        <w:t>-</w:t>
      </w:r>
      <w:r w:rsidRPr="00263DB9">
        <w:rPr>
          <w:color w:val="000000"/>
          <w:szCs w:val="22"/>
        </w:rPr>
        <w:tab/>
        <w:t>Glivec não é recomendado durante a gravidez a não ser que seja claramente necessário, pode prejudicar o seu bebé. O seu médico analisará consigo os possíveis riscos de tomar Glivec durante a gravidez.</w:t>
      </w:r>
    </w:p>
    <w:p w14:paraId="375EC085" w14:textId="77777777" w:rsidR="00906898" w:rsidRPr="00263DB9" w:rsidRDefault="00906898" w:rsidP="00E51817">
      <w:pPr>
        <w:widowControl w:val="0"/>
        <w:suppressAutoHyphens/>
        <w:ind w:left="567" w:hanging="567"/>
        <w:rPr>
          <w:color w:val="000000"/>
          <w:szCs w:val="22"/>
        </w:rPr>
      </w:pPr>
      <w:r w:rsidRPr="00263DB9">
        <w:rPr>
          <w:color w:val="000000"/>
          <w:szCs w:val="22"/>
        </w:rPr>
        <w:t>-</w:t>
      </w:r>
      <w:r w:rsidRPr="00263DB9">
        <w:rPr>
          <w:color w:val="000000"/>
          <w:szCs w:val="22"/>
        </w:rPr>
        <w:tab/>
        <w:t>As mulheres que poderão engravidar deverão utilizar um método contracetivo eficaz durante o tratamento</w:t>
      </w:r>
      <w:r w:rsidR="00503571" w:rsidRPr="00263DB9">
        <w:rPr>
          <w:color w:val="000000"/>
          <w:szCs w:val="22"/>
        </w:rPr>
        <w:t xml:space="preserve"> e durante 15 dias após parar o tratamento</w:t>
      </w:r>
      <w:r w:rsidRPr="00263DB9">
        <w:rPr>
          <w:color w:val="000000"/>
          <w:szCs w:val="22"/>
        </w:rPr>
        <w:t>.</w:t>
      </w:r>
    </w:p>
    <w:p w14:paraId="375EC086" w14:textId="77777777" w:rsidR="00906898" w:rsidRPr="00263DB9" w:rsidRDefault="00906898" w:rsidP="00E51817">
      <w:pPr>
        <w:widowControl w:val="0"/>
        <w:numPr>
          <w:ilvl w:val="0"/>
          <w:numId w:val="18"/>
        </w:numPr>
        <w:tabs>
          <w:tab w:val="clear" w:pos="927"/>
        </w:tabs>
        <w:suppressAutoHyphens/>
        <w:ind w:left="567" w:hanging="567"/>
        <w:rPr>
          <w:color w:val="000000"/>
          <w:szCs w:val="22"/>
        </w:rPr>
      </w:pPr>
      <w:r w:rsidRPr="00263DB9">
        <w:rPr>
          <w:bCs/>
          <w:color w:val="000000"/>
          <w:szCs w:val="22"/>
        </w:rPr>
        <w:t>Não amamente</w:t>
      </w:r>
      <w:r w:rsidRPr="00263DB9">
        <w:rPr>
          <w:color w:val="000000"/>
          <w:szCs w:val="22"/>
        </w:rPr>
        <w:t xml:space="preserve"> durante o tratamento com Glivec</w:t>
      </w:r>
      <w:r w:rsidR="00503571" w:rsidRPr="00263DB9">
        <w:rPr>
          <w:color w:val="000000"/>
          <w:szCs w:val="22"/>
        </w:rPr>
        <w:t xml:space="preserve"> e durante 15 dias após parar o tratamento, dado que pode prejudicar o seu bebé</w:t>
      </w:r>
      <w:r w:rsidRPr="00263DB9">
        <w:rPr>
          <w:color w:val="000000"/>
          <w:szCs w:val="22"/>
        </w:rPr>
        <w:t>.</w:t>
      </w:r>
    </w:p>
    <w:p w14:paraId="375EC087" w14:textId="77777777" w:rsidR="00906898" w:rsidRPr="00263DB9" w:rsidRDefault="00906898" w:rsidP="00E51817">
      <w:pPr>
        <w:widowControl w:val="0"/>
        <w:numPr>
          <w:ilvl w:val="0"/>
          <w:numId w:val="18"/>
        </w:numPr>
        <w:tabs>
          <w:tab w:val="clear" w:pos="927"/>
        </w:tabs>
        <w:suppressAutoHyphens/>
        <w:ind w:left="567" w:hanging="567"/>
        <w:rPr>
          <w:color w:val="000000"/>
          <w:szCs w:val="22"/>
        </w:rPr>
      </w:pPr>
      <w:r w:rsidRPr="00263DB9">
        <w:t>Durante o tratamento com Glivec, os doentes preocupados com a sua fertilidade devem consultar o seu médico.</w:t>
      </w:r>
    </w:p>
    <w:p w14:paraId="375EC088" w14:textId="77777777" w:rsidR="00906898" w:rsidRPr="00263DB9" w:rsidRDefault="00906898" w:rsidP="00E51817">
      <w:pPr>
        <w:pStyle w:val="EndnoteText"/>
        <w:tabs>
          <w:tab w:val="clear" w:pos="567"/>
        </w:tabs>
        <w:suppressAutoHyphens/>
        <w:rPr>
          <w:color w:val="000000"/>
          <w:szCs w:val="22"/>
        </w:rPr>
      </w:pPr>
    </w:p>
    <w:p w14:paraId="375EC089" w14:textId="77777777" w:rsidR="00906898" w:rsidRPr="00263DB9" w:rsidRDefault="00906898" w:rsidP="00273B82">
      <w:pPr>
        <w:keepNext/>
        <w:widowControl w:val="0"/>
        <w:suppressAutoHyphens/>
        <w:rPr>
          <w:color w:val="000000"/>
          <w:szCs w:val="22"/>
        </w:rPr>
      </w:pPr>
      <w:r w:rsidRPr="00263DB9">
        <w:rPr>
          <w:b/>
          <w:color w:val="000000"/>
          <w:szCs w:val="22"/>
        </w:rPr>
        <w:t>Condução de veículos e utilização de máquinas</w:t>
      </w:r>
    </w:p>
    <w:p w14:paraId="375EC08A" w14:textId="77777777" w:rsidR="00906898" w:rsidRPr="00263DB9" w:rsidRDefault="00906898" w:rsidP="00E51817">
      <w:pPr>
        <w:widowControl w:val="0"/>
        <w:suppressAutoHyphens/>
        <w:rPr>
          <w:color w:val="000000"/>
          <w:szCs w:val="22"/>
        </w:rPr>
      </w:pPr>
      <w:r w:rsidRPr="00263DB9">
        <w:rPr>
          <w:color w:val="000000"/>
          <w:szCs w:val="22"/>
        </w:rPr>
        <w:t>Poderá sentir tonturas ou sonolência ou ficar com a visão turva enquanto toma este medicamento. Se isto acontecer, não conduza ou utilize quaisquer ferramentas ou máquinas até se sentir bem.</w:t>
      </w:r>
    </w:p>
    <w:p w14:paraId="375EC08B" w14:textId="77777777" w:rsidR="00906898" w:rsidRPr="00263DB9" w:rsidRDefault="00906898" w:rsidP="00E51817">
      <w:pPr>
        <w:widowControl w:val="0"/>
        <w:suppressAutoHyphens/>
        <w:rPr>
          <w:color w:val="000000"/>
          <w:szCs w:val="22"/>
        </w:rPr>
      </w:pPr>
    </w:p>
    <w:p w14:paraId="375EC08C" w14:textId="77777777" w:rsidR="00906898" w:rsidRPr="00263DB9" w:rsidRDefault="00906898" w:rsidP="00E51817">
      <w:pPr>
        <w:widowControl w:val="0"/>
        <w:suppressAutoHyphens/>
        <w:rPr>
          <w:color w:val="000000"/>
          <w:szCs w:val="22"/>
        </w:rPr>
      </w:pPr>
    </w:p>
    <w:p w14:paraId="375EC08D" w14:textId="77777777" w:rsidR="00906898" w:rsidRPr="00263DB9" w:rsidRDefault="00906898" w:rsidP="00273B82">
      <w:pPr>
        <w:keepNext/>
        <w:widowControl w:val="0"/>
        <w:suppressAutoHyphens/>
        <w:ind w:left="567" w:hanging="567"/>
        <w:rPr>
          <w:color w:val="000000"/>
          <w:szCs w:val="22"/>
        </w:rPr>
      </w:pPr>
      <w:r w:rsidRPr="00263DB9">
        <w:rPr>
          <w:b/>
          <w:color w:val="000000"/>
          <w:szCs w:val="22"/>
        </w:rPr>
        <w:t>3.</w:t>
      </w:r>
      <w:r w:rsidRPr="00263DB9">
        <w:rPr>
          <w:b/>
          <w:color w:val="000000"/>
          <w:szCs w:val="22"/>
        </w:rPr>
        <w:tab/>
        <w:t>Como tomar Glivec</w:t>
      </w:r>
    </w:p>
    <w:p w14:paraId="375EC08E" w14:textId="77777777" w:rsidR="00906898" w:rsidRPr="00263DB9" w:rsidRDefault="00906898" w:rsidP="00273B82">
      <w:pPr>
        <w:keepNext/>
        <w:widowControl w:val="0"/>
        <w:suppressAutoHyphens/>
        <w:rPr>
          <w:color w:val="000000"/>
          <w:szCs w:val="22"/>
        </w:rPr>
      </w:pPr>
    </w:p>
    <w:p w14:paraId="375EC08F" w14:textId="77777777" w:rsidR="00906898" w:rsidRPr="00263DB9" w:rsidRDefault="00906898" w:rsidP="00E51817">
      <w:pPr>
        <w:widowControl w:val="0"/>
        <w:suppressAutoHyphens/>
        <w:rPr>
          <w:color w:val="000000"/>
          <w:szCs w:val="22"/>
        </w:rPr>
      </w:pPr>
      <w:r w:rsidRPr="00263DB9">
        <w:rPr>
          <w:color w:val="000000"/>
        </w:rPr>
        <w:t>O seu médico prescreveu-lhe Glivec porque sofre de uma doença grave. Glivec pode ajudá-lo a combater esta doença.</w:t>
      </w:r>
    </w:p>
    <w:p w14:paraId="375EC090" w14:textId="77777777" w:rsidR="00906898" w:rsidRPr="00263DB9" w:rsidRDefault="00906898" w:rsidP="00E51817">
      <w:pPr>
        <w:pStyle w:val="BodyText2"/>
        <w:widowControl w:val="0"/>
        <w:suppressAutoHyphens w:val="0"/>
        <w:rPr>
          <w:color w:val="000000"/>
          <w:szCs w:val="22"/>
        </w:rPr>
      </w:pPr>
    </w:p>
    <w:p w14:paraId="375EC091" w14:textId="77777777" w:rsidR="00906898" w:rsidRPr="00263DB9" w:rsidRDefault="00906898" w:rsidP="00E51817">
      <w:pPr>
        <w:pStyle w:val="BodyText2"/>
        <w:widowControl w:val="0"/>
        <w:suppressAutoHyphens w:val="0"/>
        <w:rPr>
          <w:color w:val="000000"/>
          <w:szCs w:val="22"/>
        </w:rPr>
      </w:pPr>
      <w:r w:rsidRPr="00263DB9">
        <w:rPr>
          <w:color w:val="000000"/>
          <w:szCs w:val="22"/>
        </w:rPr>
        <w:t xml:space="preserve">No entanto, tome este medicamento </w:t>
      </w:r>
      <w:r w:rsidRPr="00263DB9">
        <w:rPr>
          <w:szCs w:val="24"/>
        </w:rPr>
        <w:t xml:space="preserve">exatamente como indicado pelo seu </w:t>
      </w:r>
      <w:r w:rsidRPr="00263DB9">
        <w:rPr>
          <w:color w:val="000000"/>
          <w:szCs w:val="22"/>
        </w:rPr>
        <w:t>médico ou farmacêutico. É importante que o faça enquanto o seu médico ou farmacêutico o disser. Fale com o seu médico ou farmacêutico se tiver dúvidas.</w:t>
      </w:r>
    </w:p>
    <w:p w14:paraId="375EC092" w14:textId="77777777" w:rsidR="00906898" w:rsidRPr="00263DB9" w:rsidRDefault="00906898" w:rsidP="00E51817">
      <w:pPr>
        <w:pStyle w:val="BodyText2"/>
        <w:widowControl w:val="0"/>
        <w:suppressAutoHyphens w:val="0"/>
        <w:rPr>
          <w:color w:val="000000"/>
          <w:szCs w:val="22"/>
        </w:rPr>
      </w:pPr>
    </w:p>
    <w:p w14:paraId="375EC093" w14:textId="77777777" w:rsidR="00906898" w:rsidRPr="00263DB9" w:rsidRDefault="00906898" w:rsidP="00E51817">
      <w:pPr>
        <w:widowControl w:val="0"/>
        <w:suppressAutoHyphens/>
        <w:rPr>
          <w:color w:val="000000"/>
          <w:szCs w:val="22"/>
        </w:rPr>
      </w:pPr>
      <w:r w:rsidRPr="00263DB9">
        <w:rPr>
          <w:color w:val="000000"/>
          <w:szCs w:val="22"/>
        </w:rPr>
        <w:t>Não pare de tomar Glivec até que o seu médico o diga. Se não conseguir tomar o medicamento como o seu médico prescreveu ou sente que já não precisa, fale imediatamente com o seu médico.</w:t>
      </w:r>
    </w:p>
    <w:p w14:paraId="375EC094" w14:textId="77777777" w:rsidR="00906898" w:rsidRPr="00263DB9" w:rsidRDefault="00906898" w:rsidP="00E51817">
      <w:pPr>
        <w:pStyle w:val="BodyText2"/>
        <w:widowControl w:val="0"/>
        <w:suppressAutoHyphens w:val="0"/>
        <w:rPr>
          <w:color w:val="000000"/>
          <w:szCs w:val="22"/>
        </w:rPr>
      </w:pPr>
    </w:p>
    <w:p w14:paraId="375EC095" w14:textId="77777777" w:rsidR="00906898" w:rsidRPr="00263DB9" w:rsidRDefault="00906898" w:rsidP="00273B82">
      <w:pPr>
        <w:pStyle w:val="BodyText2"/>
        <w:keepNext/>
        <w:widowControl w:val="0"/>
        <w:suppressAutoHyphens w:val="0"/>
        <w:rPr>
          <w:b/>
          <w:color w:val="000000"/>
          <w:szCs w:val="22"/>
        </w:rPr>
      </w:pPr>
      <w:r w:rsidRPr="00263DB9">
        <w:rPr>
          <w:b/>
          <w:color w:val="000000"/>
          <w:szCs w:val="22"/>
        </w:rPr>
        <w:t>Que quantidade de Glivec tomar</w:t>
      </w:r>
    </w:p>
    <w:p w14:paraId="375EC096" w14:textId="77777777" w:rsidR="00906898" w:rsidRPr="00263DB9" w:rsidRDefault="00906898" w:rsidP="00273B82">
      <w:pPr>
        <w:pStyle w:val="BodyText2"/>
        <w:keepNext/>
        <w:widowControl w:val="0"/>
        <w:suppressAutoHyphens w:val="0"/>
        <w:rPr>
          <w:color w:val="000000"/>
          <w:szCs w:val="22"/>
        </w:rPr>
      </w:pPr>
    </w:p>
    <w:p w14:paraId="375EC097" w14:textId="77777777" w:rsidR="00906898" w:rsidRPr="00263DB9" w:rsidRDefault="00906898" w:rsidP="00273B82">
      <w:pPr>
        <w:pStyle w:val="BodyText2"/>
        <w:keepNext/>
        <w:widowControl w:val="0"/>
        <w:suppressAutoHyphens w:val="0"/>
        <w:rPr>
          <w:b/>
          <w:bCs/>
          <w:color w:val="000000"/>
          <w:szCs w:val="22"/>
        </w:rPr>
      </w:pPr>
      <w:r w:rsidRPr="00263DB9">
        <w:rPr>
          <w:b/>
          <w:bCs/>
          <w:color w:val="000000"/>
          <w:szCs w:val="22"/>
        </w:rPr>
        <w:t>Utilização em adultos</w:t>
      </w:r>
    </w:p>
    <w:p w14:paraId="375EC098" w14:textId="77777777" w:rsidR="00906898" w:rsidRPr="00263DB9" w:rsidRDefault="00906898" w:rsidP="00273B82">
      <w:pPr>
        <w:pStyle w:val="BodyText2"/>
        <w:keepNext/>
        <w:widowControl w:val="0"/>
        <w:suppressAutoHyphens w:val="0"/>
        <w:rPr>
          <w:color w:val="000000"/>
          <w:szCs w:val="22"/>
        </w:rPr>
      </w:pPr>
      <w:r w:rsidRPr="00263DB9">
        <w:rPr>
          <w:color w:val="000000"/>
          <w:szCs w:val="22"/>
        </w:rPr>
        <w:t>O seu médico dir-lhe-á exatamente quantos comprimidos de Glivec deve tomar.</w:t>
      </w:r>
    </w:p>
    <w:p w14:paraId="375EC099" w14:textId="77777777" w:rsidR="00906898" w:rsidRPr="00263DB9" w:rsidRDefault="00906898" w:rsidP="00273B82">
      <w:pPr>
        <w:pStyle w:val="BodyText2"/>
        <w:keepNext/>
        <w:widowControl w:val="0"/>
        <w:suppressAutoHyphens w:val="0"/>
        <w:rPr>
          <w:color w:val="000000"/>
          <w:szCs w:val="22"/>
        </w:rPr>
      </w:pPr>
    </w:p>
    <w:p w14:paraId="375EC09A" w14:textId="77777777" w:rsidR="00906898" w:rsidRPr="00263DB9" w:rsidRDefault="00906898" w:rsidP="00273B82">
      <w:pPr>
        <w:pStyle w:val="BodyText2"/>
        <w:keepNext/>
        <w:widowControl w:val="0"/>
        <w:numPr>
          <w:ilvl w:val="0"/>
          <w:numId w:val="20"/>
        </w:numPr>
        <w:tabs>
          <w:tab w:val="clear" w:pos="927"/>
        </w:tabs>
        <w:suppressAutoHyphens w:val="0"/>
        <w:ind w:left="567" w:hanging="567"/>
        <w:rPr>
          <w:b/>
          <w:bCs/>
          <w:color w:val="000000"/>
          <w:szCs w:val="22"/>
        </w:rPr>
      </w:pPr>
      <w:r w:rsidRPr="00263DB9">
        <w:rPr>
          <w:b/>
          <w:bCs/>
          <w:color w:val="000000"/>
          <w:szCs w:val="22"/>
        </w:rPr>
        <w:t>Caso faça tratamento para a LMC:</w:t>
      </w:r>
    </w:p>
    <w:p w14:paraId="375EC09B" w14:textId="0F26539D" w:rsidR="00906898" w:rsidRPr="00263DB9" w:rsidRDefault="00906898" w:rsidP="001D39C1">
      <w:pPr>
        <w:pStyle w:val="BodyText2"/>
        <w:keepNext/>
        <w:widowControl w:val="0"/>
        <w:suppressAutoHyphens w:val="0"/>
        <w:ind w:left="567"/>
        <w:rPr>
          <w:color w:val="000000"/>
          <w:szCs w:val="22"/>
        </w:rPr>
      </w:pPr>
      <w:r w:rsidRPr="00263DB9">
        <w:rPr>
          <w:color w:val="000000"/>
          <w:szCs w:val="22"/>
        </w:rPr>
        <w:t>Dependendo do seu estado a dose inicial habitual é 400 mg ou 600 mg</w:t>
      </w:r>
      <w:r w:rsidR="00341C1A">
        <w:rPr>
          <w:color w:val="000000"/>
          <w:szCs w:val="22"/>
        </w:rPr>
        <w:t xml:space="preserve"> a ser tomada</w:t>
      </w:r>
      <w:r w:rsidR="009E183B">
        <w:rPr>
          <w:color w:val="000000"/>
          <w:szCs w:val="22"/>
        </w:rPr>
        <w:t xml:space="preserve"> uma vez por dia</w:t>
      </w:r>
      <w:r w:rsidRPr="00263DB9">
        <w:rPr>
          <w:color w:val="000000"/>
          <w:szCs w:val="22"/>
        </w:rPr>
        <w:t>:</w:t>
      </w:r>
    </w:p>
    <w:p w14:paraId="375EC09E" w14:textId="77777777" w:rsidR="00906898" w:rsidRPr="00263DB9" w:rsidRDefault="00906898" w:rsidP="00E51817">
      <w:pPr>
        <w:pStyle w:val="BodyText2"/>
        <w:widowControl w:val="0"/>
        <w:suppressAutoHyphens w:val="0"/>
        <w:rPr>
          <w:color w:val="000000"/>
          <w:szCs w:val="22"/>
        </w:rPr>
      </w:pPr>
    </w:p>
    <w:p w14:paraId="375EC09F" w14:textId="77777777" w:rsidR="00906898" w:rsidRPr="00263DB9" w:rsidRDefault="00906898" w:rsidP="00273B82">
      <w:pPr>
        <w:pStyle w:val="BodyText2"/>
        <w:keepNext/>
        <w:widowControl w:val="0"/>
        <w:numPr>
          <w:ilvl w:val="1"/>
          <w:numId w:val="13"/>
        </w:numPr>
        <w:tabs>
          <w:tab w:val="clear" w:pos="1440"/>
        </w:tabs>
        <w:suppressAutoHyphens w:val="0"/>
        <w:ind w:left="567" w:hanging="567"/>
        <w:rPr>
          <w:b/>
          <w:bCs/>
          <w:color w:val="000000"/>
          <w:szCs w:val="22"/>
        </w:rPr>
      </w:pPr>
      <w:r w:rsidRPr="00263DB9">
        <w:rPr>
          <w:b/>
          <w:bCs/>
          <w:color w:val="000000"/>
          <w:szCs w:val="22"/>
        </w:rPr>
        <w:t>Caso faça tratamento para os GIST:</w:t>
      </w:r>
    </w:p>
    <w:p w14:paraId="375EC0A0" w14:textId="4F1DECC6" w:rsidR="00906898" w:rsidRPr="00263DB9" w:rsidRDefault="00906898" w:rsidP="00E51817">
      <w:pPr>
        <w:pStyle w:val="BodyText2"/>
        <w:widowControl w:val="0"/>
        <w:suppressAutoHyphens w:val="0"/>
        <w:ind w:left="567"/>
        <w:rPr>
          <w:color w:val="000000"/>
          <w:szCs w:val="22"/>
        </w:rPr>
      </w:pPr>
      <w:r w:rsidRPr="00263DB9">
        <w:rPr>
          <w:color w:val="000000"/>
          <w:szCs w:val="22"/>
        </w:rPr>
        <w:t>A dose inicial é de 400 mg, a ser tomad</w:t>
      </w:r>
      <w:r w:rsidR="00341C1A">
        <w:rPr>
          <w:color w:val="000000"/>
          <w:szCs w:val="22"/>
        </w:rPr>
        <w:t>a</w:t>
      </w:r>
      <w:r w:rsidRPr="00263DB9">
        <w:rPr>
          <w:color w:val="000000"/>
          <w:szCs w:val="22"/>
        </w:rPr>
        <w:t xml:space="preserve"> </w:t>
      </w:r>
      <w:r w:rsidRPr="00263DB9">
        <w:rPr>
          <w:b/>
          <w:bCs/>
          <w:color w:val="000000"/>
          <w:szCs w:val="22"/>
        </w:rPr>
        <w:t>uma vez</w:t>
      </w:r>
      <w:r w:rsidRPr="00263DB9">
        <w:rPr>
          <w:color w:val="000000"/>
          <w:szCs w:val="22"/>
        </w:rPr>
        <w:t xml:space="preserve"> por dia.</w:t>
      </w:r>
    </w:p>
    <w:p w14:paraId="375EC0A1" w14:textId="77777777" w:rsidR="00906898" w:rsidRPr="00263DB9" w:rsidRDefault="00906898" w:rsidP="00E51817">
      <w:pPr>
        <w:pStyle w:val="BodyText2"/>
        <w:widowControl w:val="0"/>
        <w:suppressAutoHyphens w:val="0"/>
        <w:rPr>
          <w:color w:val="000000"/>
          <w:szCs w:val="22"/>
        </w:rPr>
      </w:pPr>
    </w:p>
    <w:p w14:paraId="375EC0A2" w14:textId="5505605D" w:rsidR="00906898" w:rsidRPr="00263DB9" w:rsidRDefault="00906898" w:rsidP="00E51817">
      <w:pPr>
        <w:pStyle w:val="BodyText2"/>
        <w:widowControl w:val="0"/>
        <w:suppressAutoHyphens w:val="0"/>
        <w:rPr>
          <w:color w:val="000000"/>
          <w:szCs w:val="22"/>
        </w:rPr>
      </w:pPr>
      <w:r w:rsidRPr="00263DB9">
        <w:rPr>
          <w:color w:val="000000"/>
          <w:szCs w:val="22"/>
        </w:rPr>
        <w:t xml:space="preserve">Para a LMC e GIST, o seu médico poderá receitar uma dose superior ou inferior dependendo da resposta ao tratamento. Se a sua dose diária é de 800 mg, deve tomar </w:t>
      </w:r>
      <w:r w:rsidR="00341C1A">
        <w:rPr>
          <w:color w:val="000000"/>
          <w:szCs w:val="22"/>
        </w:rPr>
        <w:t>400 mg</w:t>
      </w:r>
      <w:r w:rsidRPr="00263DB9">
        <w:rPr>
          <w:color w:val="000000"/>
          <w:szCs w:val="22"/>
        </w:rPr>
        <w:t xml:space="preserve"> de manhã e </w:t>
      </w:r>
      <w:r w:rsidR="00341C1A">
        <w:rPr>
          <w:color w:val="000000"/>
          <w:szCs w:val="22"/>
        </w:rPr>
        <w:t>400 mg</w:t>
      </w:r>
      <w:r w:rsidRPr="00263DB9">
        <w:rPr>
          <w:color w:val="000000"/>
          <w:szCs w:val="22"/>
        </w:rPr>
        <w:t xml:space="preserve"> à noite.</w:t>
      </w:r>
    </w:p>
    <w:p w14:paraId="375EC0A3" w14:textId="77777777" w:rsidR="00906898" w:rsidRPr="00263DB9" w:rsidRDefault="00906898" w:rsidP="00E51817">
      <w:pPr>
        <w:pStyle w:val="BodyText2"/>
        <w:widowControl w:val="0"/>
        <w:suppressAutoHyphens w:val="0"/>
        <w:rPr>
          <w:color w:val="000000"/>
          <w:szCs w:val="22"/>
        </w:rPr>
      </w:pPr>
    </w:p>
    <w:p w14:paraId="375EC0A4" w14:textId="77777777" w:rsidR="00906898" w:rsidRPr="00263DB9" w:rsidRDefault="00906898" w:rsidP="00273B82">
      <w:pPr>
        <w:pStyle w:val="BodyText2"/>
        <w:keepNext/>
        <w:widowControl w:val="0"/>
        <w:numPr>
          <w:ilvl w:val="0"/>
          <w:numId w:val="21"/>
        </w:numPr>
        <w:tabs>
          <w:tab w:val="clear" w:pos="927"/>
        </w:tabs>
        <w:suppressAutoHyphens w:val="0"/>
        <w:ind w:left="567" w:hanging="567"/>
        <w:rPr>
          <w:b/>
          <w:bCs/>
          <w:color w:val="000000"/>
          <w:szCs w:val="22"/>
        </w:rPr>
      </w:pPr>
      <w:r w:rsidRPr="00263DB9">
        <w:rPr>
          <w:b/>
          <w:bCs/>
          <w:color w:val="000000"/>
          <w:szCs w:val="22"/>
        </w:rPr>
        <w:t>Caso faça tratamento para LLA Ph-positiva:</w:t>
      </w:r>
    </w:p>
    <w:p w14:paraId="375EC0A5" w14:textId="49C7EE86" w:rsidR="00906898" w:rsidRPr="00263DB9" w:rsidRDefault="00906898" w:rsidP="00E51817">
      <w:pPr>
        <w:pStyle w:val="BodyText2"/>
        <w:widowControl w:val="0"/>
        <w:suppressAutoHyphens w:val="0"/>
        <w:ind w:firstLine="567"/>
        <w:rPr>
          <w:color w:val="000000"/>
          <w:szCs w:val="22"/>
        </w:rPr>
      </w:pPr>
      <w:r w:rsidRPr="00263DB9">
        <w:rPr>
          <w:color w:val="000000"/>
          <w:szCs w:val="22"/>
        </w:rPr>
        <w:t>A dose inicial é de 600 mg a ser</w:t>
      </w:r>
      <w:r w:rsidR="00341C1A">
        <w:rPr>
          <w:color w:val="000000"/>
          <w:szCs w:val="22"/>
        </w:rPr>
        <w:t xml:space="preserve"> tomada</w:t>
      </w:r>
      <w:r w:rsidRPr="00263DB9">
        <w:rPr>
          <w:color w:val="000000"/>
          <w:szCs w:val="22"/>
        </w:rPr>
        <w:t xml:space="preserve"> </w:t>
      </w:r>
      <w:r w:rsidRPr="00263DB9">
        <w:rPr>
          <w:b/>
          <w:bCs/>
          <w:color w:val="000000"/>
          <w:szCs w:val="22"/>
        </w:rPr>
        <w:t>uma vez</w:t>
      </w:r>
      <w:r w:rsidRPr="00263DB9">
        <w:rPr>
          <w:color w:val="000000"/>
          <w:szCs w:val="22"/>
        </w:rPr>
        <w:t xml:space="preserve"> por dia.</w:t>
      </w:r>
    </w:p>
    <w:p w14:paraId="375EC0A6" w14:textId="77777777" w:rsidR="00906898" w:rsidRPr="00263DB9" w:rsidRDefault="00906898" w:rsidP="00E51817">
      <w:pPr>
        <w:pStyle w:val="BodyText2"/>
        <w:widowControl w:val="0"/>
        <w:suppressAutoHyphens w:val="0"/>
        <w:rPr>
          <w:color w:val="000000"/>
          <w:szCs w:val="22"/>
        </w:rPr>
      </w:pPr>
    </w:p>
    <w:p w14:paraId="375EC0A7" w14:textId="77777777" w:rsidR="00906898" w:rsidRPr="00263DB9" w:rsidRDefault="00906898" w:rsidP="00273B82">
      <w:pPr>
        <w:pStyle w:val="BodyText2"/>
        <w:keepNext/>
        <w:widowControl w:val="0"/>
        <w:numPr>
          <w:ilvl w:val="0"/>
          <w:numId w:val="21"/>
        </w:numPr>
        <w:tabs>
          <w:tab w:val="clear" w:pos="927"/>
        </w:tabs>
        <w:suppressAutoHyphens w:val="0"/>
        <w:ind w:left="567" w:hanging="567"/>
        <w:rPr>
          <w:b/>
          <w:bCs/>
          <w:color w:val="000000"/>
          <w:szCs w:val="22"/>
        </w:rPr>
      </w:pPr>
      <w:r w:rsidRPr="00263DB9">
        <w:rPr>
          <w:b/>
          <w:bCs/>
          <w:color w:val="000000"/>
          <w:szCs w:val="22"/>
        </w:rPr>
        <w:t>Caso faça tratamento para a síndrome mielodisplásica/doenças mieloproliferativas:</w:t>
      </w:r>
    </w:p>
    <w:p w14:paraId="375EC0A8" w14:textId="495BC056" w:rsidR="00906898" w:rsidRPr="00263DB9" w:rsidRDefault="00906898" w:rsidP="00E51817">
      <w:pPr>
        <w:pStyle w:val="BodyText2"/>
        <w:widowControl w:val="0"/>
        <w:suppressAutoHyphens w:val="0"/>
        <w:ind w:firstLine="567"/>
        <w:rPr>
          <w:color w:val="000000"/>
          <w:szCs w:val="22"/>
        </w:rPr>
      </w:pPr>
      <w:r w:rsidRPr="00263DB9">
        <w:rPr>
          <w:color w:val="000000"/>
          <w:szCs w:val="22"/>
        </w:rPr>
        <w:t>A dose inicial é 400 mg a ser</w:t>
      </w:r>
      <w:r w:rsidR="00341C1A">
        <w:rPr>
          <w:color w:val="000000"/>
          <w:szCs w:val="22"/>
        </w:rPr>
        <w:t xml:space="preserve"> tomada</w:t>
      </w:r>
      <w:r w:rsidRPr="00263DB9">
        <w:rPr>
          <w:color w:val="000000"/>
          <w:szCs w:val="22"/>
        </w:rPr>
        <w:t xml:space="preserve"> </w:t>
      </w:r>
      <w:r w:rsidRPr="00263DB9">
        <w:rPr>
          <w:b/>
          <w:bCs/>
          <w:color w:val="000000"/>
          <w:szCs w:val="22"/>
        </w:rPr>
        <w:t>uma vez</w:t>
      </w:r>
      <w:r w:rsidRPr="00263DB9">
        <w:rPr>
          <w:color w:val="000000"/>
          <w:szCs w:val="22"/>
        </w:rPr>
        <w:t xml:space="preserve"> por dia.</w:t>
      </w:r>
    </w:p>
    <w:p w14:paraId="375EC0A9" w14:textId="77777777" w:rsidR="00906898" w:rsidRPr="00263DB9" w:rsidRDefault="00906898" w:rsidP="00E51817">
      <w:pPr>
        <w:pStyle w:val="BodyText2"/>
        <w:widowControl w:val="0"/>
        <w:suppressAutoHyphens w:val="0"/>
        <w:rPr>
          <w:color w:val="000000"/>
          <w:szCs w:val="22"/>
        </w:rPr>
      </w:pPr>
    </w:p>
    <w:p w14:paraId="375EC0AA" w14:textId="77777777" w:rsidR="00906898" w:rsidRPr="00263DB9" w:rsidRDefault="00906898" w:rsidP="00273B82">
      <w:pPr>
        <w:pStyle w:val="Listlevel2"/>
        <w:keepNext/>
        <w:widowControl w:val="0"/>
        <w:numPr>
          <w:ilvl w:val="0"/>
          <w:numId w:val="21"/>
        </w:numPr>
        <w:tabs>
          <w:tab w:val="clear" w:pos="927"/>
        </w:tabs>
        <w:spacing w:before="0" w:after="0"/>
        <w:ind w:left="567" w:hanging="567"/>
        <w:rPr>
          <w:b/>
          <w:color w:val="000000"/>
          <w:sz w:val="22"/>
          <w:szCs w:val="22"/>
          <w:lang w:val="pt-PT"/>
        </w:rPr>
      </w:pPr>
      <w:r w:rsidRPr="00263DB9">
        <w:rPr>
          <w:b/>
          <w:color w:val="000000"/>
          <w:sz w:val="22"/>
          <w:szCs w:val="22"/>
          <w:lang w:val="pt-PT"/>
        </w:rPr>
        <w:t>Caso faça tratamento para síndrome hipereosinofílica/leucemia eosinofílica crónica:</w:t>
      </w:r>
    </w:p>
    <w:p w14:paraId="375EC0AB" w14:textId="2D10E017" w:rsidR="00906898" w:rsidRPr="00263DB9" w:rsidRDefault="00906898" w:rsidP="00E51817">
      <w:pPr>
        <w:pStyle w:val="Listlevel2"/>
        <w:widowControl w:val="0"/>
        <w:spacing w:before="0" w:after="0"/>
        <w:ind w:left="567" w:firstLine="0"/>
        <w:rPr>
          <w:color w:val="000000"/>
          <w:sz w:val="22"/>
          <w:szCs w:val="22"/>
          <w:lang w:val="pt-PT"/>
        </w:rPr>
      </w:pPr>
      <w:r w:rsidRPr="00263DB9">
        <w:rPr>
          <w:color w:val="000000"/>
          <w:sz w:val="22"/>
          <w:szCs w:val="22"/>
          <w:lang w:val="pt-PT"/>
        </w:rPr>
        <w:t xml:space="preserve">A dose inicial é de 100 mg a ser tomada </w:t>
      </w:r>
      <w:r w:rsidRPr="00263DB9">
        <w:rPr>
          <w:b/>
          <w:bCs/>
          <w:color w:val="000000"/>
          <w:sz w:val="22"/>
          <w:szCs w:val="22"/>
          <w:lang w:val="pt-PT"/>
        </w:rPr>
        <w:t>uma vez</w:t>
      </w:r>
      <w:r w:rsidRPr="00263DB9">
        <w:rPr>
          <w:color w:val="000000"/>
          <w:sz w:val="22"/>
          <w:szCs w:val="22"/>
          <w:lang w:val="pt-PT"/>
        </w:rPr>
        <w:t xml:space="preserve"> por dia. O seu médico pode decidir aumentar a dose para 400 mg, a ser tomad</w:t>
      </w:r>
      <w:r w:rsidR="00341C1A">
        <w:rPr>
          <w:color w:val="000000"/>
          <w:sz w:val="22"/>
          <w:szCs w:val="22"/>
          <w:lang w:val="pt-PT"/>
        </w:rPr>
        <w:t>a</w:t>
      </w:r>
      <w:r w:rsidRPr="00263DB9">
        <w:rPr>
          <w:color w:val="000000"/>
          <w:sz w:val="22"/>
          <w:szCs w:val="22"/>
          <w:lang w:val="pt-PT"/>
        </w:rPr>
        <w:t xml:space="preserve"> </w:t>
      </w:r>
      <w:r w:rsidRPr="00263DB9">
        <w:rPr>
          <w:b/>
          <w:bCs/>
          <w:color w:val="000000"/>
          <w:sz w:val="22"/>
          <w:szCs w:val="22"/>
          <w:lang w:val="pt-PT"/>
        </w:rPr>
        <w:t>uma vez</w:t>
      </w:r>
      <w:r w:rsidRPr="00263DB9">
        <w:rPr>
          <w:color w:val="000000"/>
          <w:sz w:val="22"/>
          <w:szCs w:val="22"/>
          <w:lang w:val="pt-PT"/>
        </w:rPr>
        <w:t xml:space="preserve"> por dia, dependendo da forma como responde ao tratamento.</w:t>
      </w:r>
    </w:p>
    <w:p w14:paraId="375EC0AC" w14:textId="77777777" w:rsidR="00906898" w:rsidRPr="00263DB9" w:rsidRDefault="00906898" w:rsidP="00E51817">
      <w:pPr>
        <w:pStyle w:val="BodyText2"/>
        <w:widowControl w:val="0"/>
        <w:suppressAutoHyphens w:val="0"/>
        <w:rPr>
          <w:color w:val="000000"/>
          <w:szCs w:val="22"/>
        </w:rPr>
      </w:pPr>
    </w:p>
    <w:p w14:paraId="375EC0AD" w14:textId="77777777" w:rsidR="00906898" w:rsidRPr="00263DB9" w:rsidRDefault="00906898" w:rsidP="00273B82">
      <w:pPr>
        <w:pStyle w:val="BodyText2"/>
        <w:keepNext/>
        <w:widowControl w:val="0"/>
        <w:numPr>
          <w:ilvl w:val="0"/>
          <w:numId w:val="21"/>
        </w:numPr>
        <w:tabs>
          <w:tab w:val="clear" w:pos="927"/>
        </w:tabs>
        <w:suppressAutoHyphens w:val="0"/>
        <w:ind w:left="567" w:hanging="567"/>
        <w:rPr>
          <w:b/>
          <w:bCs/>
          <w:color w:val="000000"/>
          <w:szCs w:val="22"/>
        </w:rPr>
      </w:pPr>
      <w:r w:rsidRPr="00263DB9">
        <w:rPr>
          <w:b/>
          <w:bCs/>
          <w:color w:val="000000"/>
          <w:szCs w:val="22"/>
        </w:rPr>
        <w:t>Caso faça tratamento para DSFP:</w:t>
      </w:r>
    </w:p>
    <w:p w14:paraId="375EC0AE" w14:textId="1AAF950F" w:rsidR="00906898" w:rsidRPr="00263DB9" w:rsidRDefault="00906898" w:rsidP="00093A38">
      <w:pPr>
        <w:pStyle w:val="BodyText2"/>
        <w:widowControl w:val="0"/>
        <w:suppressAutoHyphens w:val="0"/>
        <w:ind w:left="567"/>
        <w:rPr>
          <w:color w:val="000000"/>
          <w:szCs w:val="22"/>
        </w:rPr>
      </w:pPr>
      <w:r w:rsidRPr="00263DB9">
        <w:rPr>
          <w:color w:val="000000"/>
          <w:szCs w:val="22"/>
        </w:rPr>
        <w:t>A dose é de 800 mg por dia, a ser tomad</w:t>
      </w:r>
      <w:r w:rsidR="00341C1A">
        <w:rPr>
          <w:color w:val="000000"/>
          <w:szCs w:val="22"/>
        </w:rPr>
        <w:t>a</w:t>
      </w:r>
      <w:r w:rsidRPr="00263DB9">
        <w:rPr>
          <w:color w:val="000000"/>
          <w:szCs w:val="22"/>
        </w:rPr>
        <w:t xml:space="preserve"> </w:t>
      </w:r>
      <w:r w:rsidR="00341C1A">
        <w:rPr>
          <w:color w:val="000000"/>
          <w:szCs w:val="22"/>
        </w:rPr>
        <w:t>400 </w:t>
      </w:r>
      <w:r w:rsidR="00FC22BF">
        <w:rPr>
          <w:color w:val="000000"/>
          <w:szCs w:val="22"/>
        </w:rPr>
        <w:t>m</w:t>
      </w:r>
      <w:r w:rsidR="00341C1A">
        <w:rPr>
          <w:color w:val="000000"/>
          <w:szCs w:val="22"/>
        </w:rPr>
        <w:t>g</w:t>
      </w:r>
      <w:r w:rsidRPr="00263DB9">
        <w:rPr>
          <w:color w:val="000000"/>
          <w:szCs w:val="22"/>
        </w:rPr>
        <w:t xml:space="preserve"> de manhã e </w:t>
      </w:r>
      <w:r w:rsidR="00341C1A">
        <w:rPr>
          <w:color w:val="000000"/>
          <w:szCs w:val="22"/>
        </w:rPr>
        <w:t>400 mg</w:t>
      </w:r>
      <w:r w:rsidRPr="00263DB9">
        <w:rPr>
          <w:color w:val="000000"/>
          <w:szCs w:val="22"/>
        </w:rPr>
        <w:t xml:space="preserve"> à noite.</w:t>
      </w:r>
    </w:p>
    <w:p w14:paraId="45FD8BC7" w14:textId="77777777" w:rsidR="00341C1A" w:rsidRPr="00FC22BF" w:rsidRDefault="00341C1A" w:rsidP="00341C1A">
      <w:pPr>
        <w:pStyle w:val="Listlevel1"/>
        <w:widowControl w:val="0"/>
        <w:spacing w:before="0" w:after="0"/>
        <w:rPr>
          <w:color w:val="000000"/>
          <w:sz w:val="22"/>
          <w:szCs w:val="22"/>
          <w:lang w:val="pt-PT"/>
        </w:rPr>
      </w:pPr>
    </w:p>
    <w:p w14:paraId="2AE81EFF" w14:textId="2D209A0D" w:rsidR="00341C1A" w:rsidRPr="00FC22BF" w:rsidRDefault="00341C1A" w:rsidP="00341C1A">
      <w:pPr>
        <w:pStyle w:val="Listlevel1"/>
        <w:widowControl w:val="0"/>
        <w:spacing w:before="0" w:after="0"/>
        <w:rPr>
          <w:color w:val="000000"/>
          <w:sz w:val="22"/>
          <w:szCs w:val="22"/>
          <w:lang w:val="pt-PT"/>
        </w:rPr>
      </w:pPr>
      <w:r w:rsidRPr="00FC22BF">
        <w:rPr>
          <w:color w:val="000000"/>
          <w:sz w:val="22"/>
          <w:szCs w:val="22"/>
          <w:lang w:val="pt-PT"/>
        </w:rPr>
        <w:t>Uma dose de 400 mg pode ser tomada com</w:t>
      </w:r>
      <w:r w:rsidR="00FC22BF">
        <w:rPr>
          <w:color w:val="000000"/>
          <w:sz w:val="22"/>
          <w:szCs w:val="22"/>
          <w:lang w:val="pt-PT"/>
        </w:rPr>
        <w:t>o</w:t>
      </w:r>
      <w:r w:rsidRPr="00FC22BF">
        <w:rPr>
          <w:color w:val="000000"/>
          <w:sz w:val="22"/>
          <w:szCs w:val="22"/>
          <w:lang w:val="pt-PT"/>
        </w:rPr>
        <w:t xml:space="preserve"> 1 comprimido de 400 mg ou 4 </w:t>
      </w:r>
      <w:r>
        <w:rPr>
          <w:color w:val="000000"/>
          <w:sz w:val="22"/>
          <w:szCs w:val="22"/>
          <w:lang w:val="pt-PT"/>
        </w:rPr>
        <w:t xml:space="preserve">comprimidos de </w:t>
      </w:r>
      <w:r w:rsidRPr="00FC22BF">
        <w:rPr>
          <w:color w:val="000000"/>
          <w:sz w:val="22"/>
          <w:szCs w:val="22"/>
          <w:lang w:val="pt-PT"/>
        </w:rPr>
        <w:t>100 mg.</w:t>
      </w:r>
    </w:p>
    <w:p w14:paraId="25F9DDFA" w14:textId="29365A5B" w:rsidR="00341C1A" w:rsidRPr="00FC22BF" w:rsidRDefault="00341C1A" w:rsidP="00341C1A">
      <w:pPr>
        <w:pStyle w:val="Listlevel1"/>
        <w:widowControl w:val="0"/>
        <w:spacing w:before="0" w:after="0"/>
        <w:ind w:left="0" w:firstLine="0"/>
        <w:rPr>
          <w:color w:val="000000"/>
          <w:sz w:val="22"/>
          <w:szCs w:val="22"/>
          <w:lang w:val="pt-PT"/>
        </w:rPr>
      </w:pPr>
      <w:r w:rsidRPr="00341C1A">
        <w:rPr>
          <w:color w:val="000000"/>
          <w:sz w:val="22"/>
          <w:szCs w:val="22"/>
          <w:lang w:val="pt-PT"/>
        </w:rPr>
        <w:t>Uma</w:t>
      </w:r>
      <w:r w:rsidRPr="00FC22BF">
        <w:rPr>
          <w:color w:val="000000"/>
          <w:sz w:val="22"/>
          <w:szCs w:val="22"/>
          <w:lang w:val="pt-PT"/>
        </w:rPr>
        <w:t xml:space="preserve"> dose de 600 mg pode ser tomada com</w:t>
      </w:r>
      <w:r w:rsidR="00FC22BF">
        <w:rPr>
          <w:color w:val="000000"/>
          <w:sz w:val="22"/>
          <w:szCs w:val="22"/>
          <w:lang w:val="pt-PT"/>
        </w:rPr>
        <w:t>o</w:t>
      </w:r>
      <w:r w:rsidRPr="00FC22BF">
        <w:rPr>
          <w:color w:val="000000"/>
          <w:sz w:val="22"/>
          <w:szCs w:val="22"/>
          <w:lang w:val="pt-PT"/>
        </w:rPr>
        <w:t xml:space="preserve"> 1 comprimido </w:t>
      </w:r>
      <w:r>
        <w:rPr>
          <w:color w:val="000000"/>
          <w:sz w:val="22"/>
          <w:szCs w:val="22"/>
          <w:lang w:val="pt-PT"/>
        </w:rPr>
        <w:t>de</w:t>
      </w:r>
      <w:r w:rsidRPr="00341C1A">
        <w:rPr>
          <w:color w:val="000000"/>
          <w:sz w:val="22"/>
          <w:szCs w:val="22"/>
          <w:lang w:val="pt-PT"/>
        </w:rPr>
        <w:t xml:space="preserve"> 400 mg mais</w:t>
      </w:r>
      <w:r w:rsidRPr="00FC22BF">
        <w:rPr>
          <w:color w:val="000000"/>
          <w:sz w:val="22"/>
          <w:szCs w:val="22"/>
          <w:lang w:val="pt-PT"/>
        </w:rPr>
        <w:t xml:space="preserve"> 2 </w:t>
      </w:r>
      <w:r>
        <w:rPr>
          <w:color w:val="000000"/>
          <w:sz w:val="22"/>
          <w:szCs w:val="22"/>
          <w:lang w:val="pt-PT"/>
        </w:rPr>
        <w:t xml:space="preserve">comprimidos de </w:t>
      </w:r>
      <w:r w:rsidRPr="00FC22BF">
        <w:rPr>
          <w:color w:val="000000"/>
          <w:sz w:val="22"/>
          <w:szCs w:val="22"/>
          <w:lang w:val="pt-PT"/>
        </w:rPr>
        <w:t>100 mg.</w:t>
      </w:r>
    </w:p>
    <w:p w14:paraId="375EC0AF" w14:textId="77777777" w:rsidR="00906898" w:rsidRPr="00341C1A" w:rsidRDefault="00906898" w:rsidP="00E51817">
      <w:pPr>
        <w:pStyle w:val="BodyText2"/>
        <w:widowControl w:val="0"/>
        <w:suppressAutoHyphens w:val="0"/>
        <w:rPr>
          <w:color w:val="000000"/>
          <w:szCs w:val="22"/>
        </w:rPr>
      </w:pPr>
    </w:p>
    <w:p w14:paraId="375EC0B0" w14:textId="77777777" w:rsidR="00906898" w:rsidRPr="00263DB9" w:rsidRDefault="00906898" w:rsidP="00273B82">
      <w:pPr>
        <w:pStyle w:val="BodyText2"/>
        <w:keepNext/>
        <w:widowControl w:val="0"/>
        <w:suppressAutoHyphens w:val="0"/>
        <w:rPr>
          <w:b/>
          <w:bCs/>
          <w:color w:val="000000"/>
          <w:szCs w:val="22"/>
        </w:rPr>
      </w:pPr>
      <w:r w:rsidRPr="00263DB9">
        <w:rPr>
          <w:b/>
          <w:bCs/>
          <w:color w:val="000000"/>
          <w:szCs w:val="22"/>
        </w:rPr>
        <w:t>Utilização em crianças e adolescentes</w:t>
      </w:r>
    </w:p>
    <w:p w14:paraId="375EC0B1" w14:textId="77777777" w:rsidR="00906898" w:rsidRPr="00263DB9" w:rsidRDefault="00906898" w:rsidP="00E51817">
      <w:pPr>
        <w:pStyle w:val="BodyText2"/>
        <w:widowControl w:val="0"/>
        <w:suppressAutoHyphens w:val="0"/>
        <w:rPr>
          <w:color w:val="000000"/>
          <w:szCs w:val="22"/>
        </w:rPr>
      </w:pPr>
      <w:r w:rsidRPr="00263DB9">
        <w:rPr>
          <w:color w:val="000000"/>
          <w:szCs w:val="22"/>
        </w:rPr>
        <w:t>O seu médico dir-lhe-á quantos comprimidos de Glivec a administrar à criança. A quantidade de Glivec administrada dependerá do estado da criança, do seu peso e altura. A dose diária total em crianças não deverá exceder 800 mg</w:t>
      </w:r>
      <w:r w:rsidR="002F6BAA" w:rsidRPr="00263DB9">
        <w:rPr>
          <w:color w:val="000000"/>
          <w:szCs w:val="22"/>
        </w:rPr>
        <w:t xml:space="preserve"> </w:t>
      </w:r>
      <w:r w:rsidR="00397626" w:rsidRPr="00263DB9">
        <w:rPr>
          <w:color w:val="000000"/>
          <w:szCs w:val="22"/>
        </w:rPr>
        <w:t>no caso de</w:t>
      </w:r>
      <w:r w:rsidR="002F6BAA" w:rsidRPr="00263DB9">
        <w:rPr>
          <w:color w:val="000000"/>
          <w:szCs w:val="22"/>
        </w:rPr>
        <w:t xml:space="preserve"> LMC e 600 mg </w:t>
      </w:r>
      <w:r w:rsidR="00397626" w:rsidRPr="00263DB9">
        <w:rPr>
          <w:color w:val="000000"/>
          <w:szCs w:val="22"/>
        </w:rPr>
        <w:t xml:space="preserve">no caso de LLA </w:t>
      </w:r>
      <w:r w:rsidR="002F6BAA" w:rsidRPr="00263DB9">
        <w:rPr>
          <w:color w:val="000000"/>
          <w:szCs w:val="22"/>
        </w:rPr>
        <w:t>Ph</w:t>
      </w:r>
      <w:r w:rsidR="00397626" w:rsidRPr="00263DB9">
        <w:rPr>
          <w:color w:val="000000"/>
          <w:szCs w:val="22"/>
        </w:rPr>
        <w:t>-positiva</w:t>
      </w:r>
      <w:r w:rsidRPr="00263DB9">
        <w:rPr>
          <w:color w:val="000000"/>
          <w:szCs w:val="22"/>
        </w:rPr>
        <w:t>. O tratamento pode ser administrado à criança numa única dose diária ou, alternativamente, a dose diária poderá ser dividida em duas administrações (metade de manhã e metade à noite).</w:t>
      </w:r>
    </w:p>
    <w:p w14:paraId="375EC0B2" w14:textId="77777777" w:rsidR="00906898" w:rsidRPr="00263DB9" w:rsidRDefault="00906898" w:rsidP="00E51817">
      <w:pPr>
        <w:pStyle w:val="BodyText2"/>
        <w:widowControl w:val="0"/>
        <w:suppressAutoHyphens w:val="0"/>
        <w:rPr>
          <w:color w:val="000000"/>
          <w:szCs w:val="22"/>
        </w:rPr>
      </w:pPr>
    </w:p>
    <w:p w14:paraId="375EC0B3" w14:textId="77777777" w:rsidR="00906898" w:rsidRPr="00263DB9" w:rsidRDefault="00906898" w:rsidP="00273B82">
      <w:pPr>
        <w:pStyle w:val="BodyText2"/>
        <w:keepNext/>
        <w:widowControl w:val="0"/>
        <w:suppressAutoHyphens w:val="0"/>
        <w:rPr>
          <w:color w:val="000000"/>
          <w:szCs w:val="22"/>
        </w:rPr>
      </w:pPr>
      <w:r w:rsidRPr="00263DB9">
        <w:rPr>
          <w:b/>
          <w:color w:val="000000"/>
          <w:szCs w:val="22"/>
        </w:rPr>
        <w:t>Quando e como tomar Glivec</w:t>
      </w:r>
    </w:p>
    <w:p w14:paraId="375EC0B4" w14:textId="77777777" w:rsidR="00906898" w:rsidRPr="00263DB9" w:rsidRDefault="00906898" w:rsidP="00E51817">
      <w:pPr>
        <w:pStyle w:val="EndnoteText"/>
        <w:tabs>
          <w:tab w:val="clear" w:pos="567"/>
        </w:tabs>
        <w:ind w:left="567" w:hanging="567"/>
        <w:rPr>
          <w:bCs/>
          <w:color w:val="000000"/>
          <w:szCs w:val="22"/>
        </w:rPr>
      </w:pPr>
      <w:r w:rsidRPr="00263DB9">
        <w:rPr>
          <w:b/>
          <w:color w:val="000000"/>
          <w:szCs w:val="22"/>
        </w:rPr>
        <w:t>-</w:t>
      </w:r>
      <w:r w:rsidRPr="00263DB9">
        <w:rPr>
          <w:b/>
          <w:color w:val="000000"/>
          <w:szCs w:val="22"/>
        </w:rPr>
        <w:tab/>
        <w:t>Tome Glivec com uma refeição.</w:t>
      </w:r>
      <w:r w:rsidRPr="00263DB9">
        <w:rPr>
          <w:bCs/>
          <w:color w:val="000000"/>
          <w:szCs w:val="22"/>
        </w:rPr>
        <w:t xml:space="preserve"> Isto ajuda-lo-á a proteger o seu estômago de problemas quando tomar Glivec.</w:t>
      </w:r>
    </w:p>
    <w:p w14:paraId="375EC0B5" w14:textId="77777777" w:rsidR="00906898" w:rsidRPr="00263DB9" w:rsidRDefault="00906898" w:rsidP="00E51817">
      <w:pPr>
        <w:pStyle w:val="EndnoteText"/>
        <w:tabs>
          <w:tab w:val="clear" w:pos="567"/>
        </w:tabs>
        <w:rPr>
          <w:b/>
          <w:color w:val="000000"/>
          <w:szCs w:val="22"/>
        </w:rPr>
      </w:pPr>
      <w:r w:rsidRPr="00263DB9">
        <w:rPr>
          <w:b/>
          <w:color w:val="000000"/>
          <w:szCs w:val="22"/>
        </w:rPr>
        <w:t>-</w:t>
      </w:r>
      <w:r w:rsidRPr="00263DB9">
        <w:rPr>
          <w:b/>
          <w:color w:val="000000"/>
          <w:szCs w:val="22"/>
        </w:rPr>
        <w:tab/>
        <w:t>Engula os comprimidos inteiros com um copo grande de água.</w:t>
      </w:r>
    </w:p>
    <w:p w14:paraId="375EC0B6" w14:textId="77777777" w:rsidR="00906898" w:rsidRPr="00263DB9" w:rsidRDefault="00906898" w:rsidP="00E51817">
      <w:pPr>
        <w:pStyle w:val="EndnoteText"/>
        <w:tabs>
          <w:tab w:val="clear" w:pos="567"/>
        </w:tabs>
        <w:rPr>
          <w:color w:val="000000"/>
        </w:rPr>
      </w:pPr>
    </w:p>
    <w:p w14:paraId="375EC0B7" w14:textId="77777777" w:rsidR="00906898" w:rsidRPr="00263DB9" w:rsidRDefault="00906898" w:rsidP="00273B82">
      <w:pPr>
        <w:pStyle w:val="EndnoteText"/>
        <w:keepNext/>
        <w:tabs>
          <w:tab w:val="clear" w:pos="567"/>
        </w:tabs>
        <w:rPr>
          <w:color w:val="000000"/>
        </w:rPr>
      </w:pPr>
      <w:r w:rsidRPr="00263DB9">
        <w:rPr>
          <w:color w:val="000000"/>
        </w:rPr>
        <w:t>Se não consegue engolir os comprimidos, pode dissolvê-los num copo de água sem gás ou sumo de maçã:</w:t>
      </w:r>
    </w:p>
    <w:p w14:paraId="375EC0B8" w14:textId="6AC15EFA" w:rsidR="00906898" w:rsidRPr="00263DB9" w:rsidRDefault="00906898" w:rsidP="00E51817">
      <w:pPr>
        <w:pStyle w:val="EndnoteText"/>
        <w:numPr>
          <w:ilvl w:val="0"/>
          <w:numId w:val="4"/>
        </w:numPr>
        <w:tabs>
          <w:tab w:val="clear" w:pos="567"/>
          <w:tab w:val="clear" w:pos="780"/>
        </w:tabs>
        <w:ind w:left="567" w:hanging="567"/>
        <w:rPr>
          <w:color w:val="000000"/>
        </w:rPr>
      </w:pPr>
      <w:r w:rsidRPr="00263DB9">
        <w:rPr>
          <w:color w:val="000000"/>
        </w:rPr>
        <w:t>Utilize aproximadamente 50</w:t>
      </w:r>
      <w:r w:rsidRPr="00263DB9">
        <w:rPr>
          <w:color w:val="000000"/>
          <w:szCs w:val="22"/>
        </w:rPr>
        <w:t> </w:t>
      </w:r>
      <w:r w:rsidRPr="00263DB9">
        <w:rPr>
          <w:color w:val="000000"/>
        </w:rPr>
        <w:t>ml para cada comprimido de 100</w:t>
      </w:r>
      <w:r w:rsidRPr="00263DB9">
        <w:rPr>
          <w:color w:val="000000"/>
          <w:szCs w:val="22"/>
        </w:rPr>
        <w:t> </w:t>
      </w:r>
      <w:r w:rsidRPr="00263DB9">
        <w:rPr>
          <w:color w:val="000000"/>
        </w:rPr>
        <w:t>mg</w:t>
      </w:r>
      <w:r w:rsidR="00341C1A">
        <w:rPr>
          <w:color w:val="000000"/>
        </w:rPr>
        <w:t xml:space="preserve"> ou 200 ml para cada comprimido de 400 mg</w:t>
      </w:r>
      <w:r w:rsidRPr="00263DB9">
        <w:rPr>
          <w:color w:val="000000"/>
        </w:rPr>
        <w:t>.</w:t>
      </w:r>
    </w:p>
    <w:p w14:paraId="375EC0B9" w14:textId="77777777" w:rsidR="00906898" w:rsidRPr="00263DB9" w:rsidRDefault="00906898" w:rsidP="00E51817">
      <w:pPr>
        <w:pStyle w:val="EndnoteText"/>
        <w:numPr>
          <w:ilvl w:val="0"/>
          <w:numId w:val="4"/>
        </w:numPr>
        <w:tabs>
          <w:tab w:val="clear" w:pos="567"/>
          <w:tab w:val="clear" w:pos="780"/>
        </w:tabs>
        <w:ind w:left="567" w:hanging="567"/>
        <w:rPr>
          <w:color w:val="000000"/>
        </w:rPr>
      </w:pPr>
      <w:r w:rsidRPr="00263DB9">
        <w:rPr>
          <w:color w:val="000000"/>
        </w:rPr>
        <w:t>Mexa com uma colher até os comprimidos ficarem completamente dissolvidos</w:t>
      </w:r>
    </w:p>
    <w:p w14:paraId="375EC0BA" w14:textId="77777777" w:rsidR="00906898" w:rsidRPr="00263DB9" w:rsidRDefault="00906898" w:rsidP="00E51817">
      <w:pPr>
        <w:pStyle w:val="EndnoteText"/>
        <w:numPr>
          <w:ilvl w:val="0"/>
          <w:numId w:val="4"/>
        </w:numPr>
        <w:tabs>
          <w:tab w:val="clear" w:pos="567"/>
          <w:tab w:val="clear" w:pos="780"/>
        </w:tabs>
        <w:ind w:left="567" w:hanging="567"/>
        <w:rPr>
          <w:color w:val="000000"/>
        </w:rPr>
      </w:pPr>
      <w:r w:rsidRPr="00263DB9">
        <w:rPr>
          <w:color w:val="000000"/>
        </w:rPr>
        <w:t>Após a dissolução dos comprimidos, beba imediatamente todo o conteúdo do copo. Podem ficar vestígios dos comprimidos dissolvidos no copo.</w:t>
      </w:r>
    </w:p>
    <w:p w14:paraId="375EC0BB" w14:textId="77777777" w:rsidR="00906898" w:rsidRPr="00263DB9" w:rsidRDefault="00906898" w:rsidP="00E51817">
      <w:pPr>
        <w:pStyle w:val="EndnoteText"/>
        <w:tabs>
          <w:tab w:val="clear" w:pos="567"/>
        </w:tabs>
        <w:rPr>
          <w:color w:val="000000"/>
          <w:szCs w:val="22"/>
        </w:rPr>
      </w:pPr>
    </w:p>
    <w:p w14:paraId="375EC0BC" w14:textId="77777777" w:rsidR="00906898" w:rsidRPr="00263DB9" w:rsidRDefault="00906898" w:rsidP="00273B82">
      <w:pPr>
        <w:pStyle w:val="EndnoteText"/>
        <w:keepNext/>
        <w:tabs>
          <w:tab w:val="clear" w:pos="567"/>
        </w:tabs>
        <w:rPr>
          <w:b/>
          <w:color w:val="000000"/>
          <w:szCs w:val="22"/>
        </w:rPr>
      </w:pPr>
      <w:r w:rsidRPr="00263DB9">
        <w:rPr>
          <w:b/>
          <w:color w:val="000000"/>
          <w:szCs w:val="22"/>
        </w:rPr>
        <w:t>Durante quanto tempo tomar Glivec</w:t>
      </w:r>
    </w:p>
    <w:p w14:paraId="375EC0BD" w14:textId="77777777" w:rsidR="00906898" w:rsidRPr="00263DB9" w:rsidRDefault="00906898" w:rsidP="00E51817">
      <w:pPr>
        <w:pStyle w:val="EndnoteText"/>
        <w:tabs>
          <w:tab w:val="clear" w:pos="567"/>
        </w:tabs>
        <w:rPr>
          <w:color w:val="000000"/>
          <w:szCs w:val="22"/>
        </w:rPr>
      </w:pPr>
      <w:r w:rsidRPr="00263DB9">
        <w:rPr>
          <w:color w:val="000000"/>
          <w:szCs w:val="22"/>
        </w:rPr>
        <w:t>Continue a tomar Glivec diariamente durante o período recomendado pelo seu médico.</w:t>
      </w:r>
    </w:p>
    <w:p w14:paraId="375EC0BE" w14:textId="77777777" w:rsidR="00906898" w:rsidRPr="00263DB9" w:rsidRDefault="00906898" w:rsidP="00E51817">
      <w:pPr>
        <w:pStyle w:val="EndnoteText"/>
        <w:tabs>
          <w:tab w:val="clear" w:pos="567"/>
        </w:tabs>
        <w:rPr>
          <w:color w:val="000000"/>
          <w:szCs w:val="22"/>
        </w:rPr>
      </w:pPr>
    </w:p>
    <w:p w14:paraId="375EC0BF" w14:textId="77777777" w:rsidR="00906898" w:rsidRPr="00263DB9" w:rsidRDefault="00906898" w:rsidP="00273B82">
      <w:pPr>
        <w:keepNext/>
        <w:widowControl w:val="0"/>
        <w:suppressAutoHyphens/>
        <w:rPr>
          <w:b/>
          <w:color w:val="000000"/>
          <w:szCs w:val="22"/>
        </w:rPr>
      </w:pPr>
      <w:r w:rsidRPr="00263DB9">
        <w:rPr>
          <w:b/>
          <w:color w:val="000000"/>
          <w:szCs w:val="22"/>
        </w:rPr>
        <w:t>Se tomar mais Glivec do que deveria</w:t>
      </w:r>
    </w:p>
    <w:p w14:paraId="375EC0C0"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 xml:space="preserve">Caso acidentalmente tenha tomado demasiados comprimidos, fale com o seu médico </w:t>
      </w:r>
      <w:r w:rsidRPr="00263DB9">
        <w:rPr>
          <w:b/>
          <w:color w:val="000000"/>
          <w:szCs w:val="22"/>
        </w:rPr>
        <w:t>imediatamente</w:t>
      </w:r>
      <w:r w:rsidRPr="00263DB9">
        <w:rPr>
          <w:color w:val="000000"/>
          <w:szCs w:val="22"/>
        </w:rPr>
        <w:t>. Poderá precisar de cuidados médicos. Leve a embalagem do medicamento consigo.</w:t>
      </w:r>
    </w:p>
    <w:p w14:paraId="375EC0C1" w14:textId="77777777" w:rsidR="00906898" w:rsidRPr="00263DB9" w:rsidRDefault="00906898" w:rsidP="00E51817">
      <w:pPr>
        <w:pStyle w:val="EndnoteText"/>
        <w:tabs>
          <w:tab w:val="clear" w:pos="567"/>
        </w:tabs>
        <w:suppressAutoHyphens/>
        <w:rPr>
          <w:color w:val="000000"/>
          <w:szCs w:val="22"/>
        </w:rPr>
      </w:pPr>
    </w:p>
    <w:p w14:paraId="375EC0C2" w14:textId="77777777" w:rsidR="00906898" w:rsidRPr="00263DB9" w:rsidRDefault="00906898" w:rsidP="00273B82">
      <w:pPr>
        <w:pStyle w:val="EndnoteText"/>
        <w:keepNext/>
        <w:tabs>
          <w:tab w:val="clear" w:pos="567"/>
        </w:tabs>
        <w:suppressAutoHyphens/>
        <w:rPr>
          <w:b/>
          <w:color w:val="000000"/>
          <w:szCs w:val="22"/>
        </w:rPr>
      </w:pPr>
      <w:r w:rsidRPr="00263DB9">
        <w:rPr>
          <w:b/>
          <w:color w:val="000000"/>
          <w:szCs w:val="22"/>
        </w:rPr>
        <w:t>Caso se tenha esquecido de tomar Glivec</w:t>
      </w:r>
    </w:p>
    <w:p w14:paraId="375EC0C3" w14:textId="77777777" w:rsidR="00906898" w:rsidRPr="00263DB9" w:rsidRDefault="00906898" w:rsidP="00E51817">
      <w:pPr>
        <w:pStyle w:val="EndnoteText"/>
        <w:tabs>
          <w:tab w:val="clear" w:pos="567"/>
        </w:tabs>
        <w:suppressAutoHyphens/>
        <w:ind w:left="567" w:hanging="567"/>
        <w:rPr>
          <w:color w:val="000000"/>
          <w:szCs w:val="22"/>
        </w:rPr>
      </w:pPr>
      <w:r w:rsidRPr="00263DB9">
        <w:rPr>
          <w:color w:val="000000"/>
          <w:szCs w:val="22"/>
        </w:rPr>
        <w:t>-</w:t>
      </w:r>
      <w:r w:rsidRPr="00263DB9">
        <w:rPr>
          <w:color w:val="000000"/>
          <w:szCs w:val="22"/>
        </w:rPr>
        <w:tab/>
        <w:t>Se se esqueceu de tomar uma dose, tome-a assim que se lembrar. No entanto se estiver quase na hora da próxima dose, salte a dose esquecida.</w:t>
      </w:r>
    </w:p>
    <w:p w14:paraId="375EC0C4"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w:t>
      </w:r>
      <w:r w:rsidRPr="00263DB9">
        <w:rPr>
          <w:color w:val="000000"/>
          <w:szCs w:val="22"/>
        </w:rPr>
        <w:tab/>
        <w:t>De seguida, continue com o horário de administração normal.</w:t>
      </w:r>
    </w:p>
    <w:p w14:paraId="375EC0C5"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w:t>
      </w:r>
      <w:r w:rsidRPr="00263DB9">
        <w:rPr>
          <w:color w:val="000000"/>
          <w:szCs w:val="22"/>
        </w:rPr>
        <w:tab/>
        <w:t>Não tome uma dose a dobrar para compensar uma dose que se esqueceu de tomar.</w:t>
      </w:r>
    </w:p>
    <w:p w14:paraId="375EC0C6" w14:textId="77777777" w:rsidR="00906898" w:rsidRPr="00263DB9" w:rsidRDefault="00906898" w:rsidP="00E51817">
      <w:pPr>
        <w:pStyle w:val="EndnoteText"/>
        <w:tabs>
          <w:tab w:val="clear" w:pos="567"/>
        </w:tabs>
        <w:suppressAutoHyphens/>
        <w:rPr>
          <w:color w:val="000000"/>
          <w:szCs w:val="22"/>
        </w:rPr>
      </w:pPr>
    </w:p>
    <w:p w14:paraId="375EC0C7" w14:textId="77777777" w:rsidR="00906898" w:rsidRPr="00263DB9" w:rsidRDefault="00906898" w:rsidP="00E51817">
      <w:pPr>
        <w:pStyle w:val="EndnoteText"/>
        <w:tabs>
          <w:tab w:val="clear" w:pos="567"/>
        </w:tabs>
        <w:suppressAutoHyphens/>
        <w:rPr>
          <w:color w:val="000000"/>
          <w:szCs w:val="22"/>
        </w:rPr>
      </w:pPr>
      <w:r w:rsidRPr="00263DB9">
        <w:rPr>
          <w:color w:val="000000"/>
          <w:szCs w:val="22"/>
        </w:rPr>
        <w:t>Caso ainda tenha dúvidas sobre a utilização deste medicamento, fale com o seu médico, farmacêutico ou enfermeiro.</w:t>
      </w:r>
    </w:p>
    <w:p w14:paraId="375EC0C8" w14:textId="77777777" w:rsidR="00906898" w:rsidRPr="00263DB9" w:rsidRDefault="00906898" w:rsidP="00E51817">
      <w:pPr>
        <w:widowControl w:val="0"/>
        <w:suppressAutoHyphens/>
        <w:rPr>
          <w:color w:val="000000"/>
          <w:szCs w:val="22"/>
        </w:rPr>
      </w:pPr>
    </w:p>
    <w:p w14:paraId="375EC0C9" w14:textId="77777777" w:rsidR="00906898" w:rsidRPr="00263DB9" w:rsidRDefault="00906898" w:rsidP="00E51817">
      <w:pPr>
        <w:widowControl w:val="0"/>
        <w:suppressAutoHyphens/>
        <w:rPr>
          <w:color w:val="000000"/>
          <w:szCs w:val="22"/>
        </w:rPr>
      </w:pPr>
    </w:p>
    <w:p w14:paraId="375EC0CA" w14:textId="77777777" w:rsidR="00C91F25" w:rsidRPr="00263DB9" w:rsidRDefault="00C91F25" w:rsidP="00273B82">
      <w:pPr>
        <w:keepNext/>
        <w:widowControl w:val="0"/>
        <w:suppressAutoHyphens/>
        <w:ind w:left="567" w:hanging="567"/>
        <w:rPr>
          <w:b/>
          <w:color w:val="000000"/>
          <w:szCs w:val="22"/>
        </w:rPr>
      </w:pPr>
      <w:r w:rsidRPr="00263DB9">
        <w:rPr>
          <w:b/>
          <w:color w:val="000000"/>
          <w:szCs w:val="22"/>
        </w:rPr>
        <w:lastRenderedPageBreak/>
        <w:t>4.</w:t>
      </w:r>
      <w:r w:rsidRPr="00263DB9">
        <w:rPr>
          <w:b/>
          <w:color w:val="000000"/>
          <w:szCs w:val="22"/>
        </w:rPr>
        <w:tab/>
        <w:t>Efeitos secundários poss</w:t>
      </w:r>
      <w:r w:rsidR="00F14C0A" w:rsidRPr="00263DB9">
        <w:rPr>
          <w:b/>
          <w:color w:val="000000"/>
          <w:szCs w:val="22"/>
        </w:rPr>
        <w:t>í</w:t>
      </w:r>
      <w:r w:rsidRPr="00263DB9">
        <w:rPr>
          <w:b/>
          <w:color w:val="000000"/>
          <w:szCs w:val="22"/>
        </w:rPr>
        <w:t>veis</w:t>
      </w:r>
    </w:p>
    <w:p w14:paraId="375EC0CB" w14:textId="77777777" w:rsidR="00C91F25" w:rsidRPr="00263DB9" w:rsidRDefault="00C91F25" w:rsidP="00273B82">
      <w:pPr>
        <w:keepNext/>
        <w:widowControl w:val="0"/>
        <w:suppressAutoHyphens/>
        <w:rPr>
          <w:color w:val="000000"/>
          <w:szCs w:val="22"/>
        </w:rPr>
      </w:pPr>
    </w:p>
    <w:p w14:paraId="375EC0CC" w14:textId="77777777" w:rsidR="00C91F25" w:rsidRPr="00263DB9" w:rsidRDefault="00C91F25" w:rsidP="00E51817">
      <w:pPr>
        <w:widowControl w:val="0"/>
        <w:suppressAutoHyphens/>
        <w:rPr>
          <w:color w:val="000000"/>
          <w:szCs w:val="22"/>
        </w:rPr>
      </w:pPr>
      <w:r w:rsidRPr="00263DB9">
        <w:rPr>
          <w:color w:val="000000"/>
          <w:szCs w:val="22"/>
        </w:rPr>
        <w:t xml:space="preserve">Como todos os medicamentos, este medicamento pode causar efeitos secundários, </w:t>
      </w:r>
      <w:r w:rsidRPr="00263DB9">
        <w:rPr>
          <w:noProof/>
          <w:color w:val="000000"/>
          <w:szCs w:val="22"/>
        </w:rPr>
        <w:t>embora estes não se manifestem em todas as pessoas</w:t>
      </w:r>
      <w:r w:rsidRPr="00263DB9">
        <w:rPr>
          <w:color w:val="000000"/>
          <w:szCs w:val="22"/>
        </w:rPr>
        <w:t>. Estes efeitos secundários são, geralmente, ligeiros a moderados.</w:t>
      </w:r>
    </w:p>
    <w:p w14:paraId="375EC0CD" w14:textId="77777777" w:rsidR="00C91F25" w:rsidRPr="00263DB9" w:rsidRDefault="00C91F25" w:rsidP="00E51817">
      <w:pPr>
        <w:widowControl w:val="0"/>
        <w:suppressAutoHyphens/>
        <w:rPr>
          <w:color w:val="000000"/>
          <w:szCs w:val="22"/>
        </w:rPr>
      </w:pPr>
    </w:p>
    <w:p w14:paraId="375EC0CE" w14:textId="77777777" w:rsidR="00C91F25" w:rsidRPr="00263DB9" w:rsidRDefault="00C91F25" w:rsidP="00273B82">
      <w:pPr>
        <w:keepNext/>
        <w:widowControl w:val="0"/>
        <w:suppressAutoHyphens/>
        <w:rPr>
          <w:b/>
          <w:bCs/>
          <w:color w:val="000000"/>
          <w:szCs w:val="22"/>
        </w:rPr>
      </w:pPr>
      <w:r w:rsidRPr="00263DB9">
        <w:rPr>
          <w:b/>
          <w:bCs/>
          <w:color w:val="000000"/>
          <w:szCs w:val="22"/>
        </w:rPr>
        <w:t>Alguns efeitos secundários poderão ser graves. Diga imediatamente ao seu médico se tiver algum dos seguintes:</w:t>
      </w:r>
    </w:p>
    <w:p w14:paraId="375EC0CF" w14:textId="77777777" w:rsidR="00C91F25" w:rsidRPr="00263DB9" w:rsidRDefault="00C91F25" w:rsidP="00273B82">
      <w:pPr>
        <w:keepNext/>
        <w:widowControl w:val="0"/>
        <w:suppressAutoHyphens/>
        <w:rPr>
          <w:color w:val="000000"/>
          <w:szCs w:val="22"/>
        </w:rPr>
      </w:pPr>
    </w:p>
    <w:p w14:paraId="375EC0D0" w14:textId="77777777" w:rsidR="00C91F25" w:rsidRPr="00263DB9" w:rsidRDefault="00C91F25" w:rsidP="00273B82">
      <w:pPr>
        <w:keepNext/>
        <w:widowControl w:val="0"/>
        <w:suppressAutoHyphens/>
        <w:rPr>
          <w:color w:val="000000"/>
          <w:szCs w:val="22"/>
        </w:rPr>
      </w:pPr>
      <w:r w:rsidRPr="00263DB9">
        <w:rPr>
          <w:b/>
          <w:color w:val="000000"/>
          <w:szCs w:val="22"/>
        </w:rPr>
        <w:t>Muito frequentes</w:t>
      </w:r>
      <w:r w:rsidRPr="00263DB9">
        <w:rPr>
          <w:color w:val="000000"/>
          <w:szCs w:val="22"/>
        </w:rPr>
        <w:t xml:space="preserve"> (podem afetar mais de 1 em 10 pessoas) </w:t>
      </w:r>
      <w:r w:rsidRPr="00263DB9">
        <w:rPr>
          <w:b/>
          <w:color w:val="000000"/>
          <w:szCs w:val="22"/>
        </w:rPr>
        <w:t>ou frequentes</w:t>
      </w:r>
      <w:r w:rsidRPr="00263DB9">
        <w:rPr>
          <w:color w:val="000000"/>
          <w:szCs w:val="22"/>
        </w:rPr>
        <w:t xml:space="preserve"> (podem afetar até 1 em 10 pessoas):</w:t>
      </w:r>
    </w:p>
    <w:p w14:paraId="375EC0D1"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Rápido aumento de peso. Glivec pode causar que o seu organismo retenha água (retenção grave de líquidos).</w:t>
      </w:r>
    </w:p>
    <w:p w14:paraId="375EC0D2"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Sinais de infeção tais como febre, arrepios graves, dor de garganta ou úlceras na boca. Glivec pode reduzir o número de glóbulos brancos, logo poderá apanhar infeções mais facilmente.</w:t>
      </w:r>
    </w:p>
    <w:p w14:paraId="375EC0D3"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Hemorragias inesperadas ou formação de nódoas negras (sem que se tenha magoado).</w:t>
      </w:r>
    </w:p>
    <w:p w14:paraId="375EC0D4" w14:textId="77777777" w:rsidR="00C91F25" w:rsidRPr="00263DB9" w:rsidRDefault="00C91F25" w:rsidP="00E51817">
      <w:pPr>
        <w:widowControl w:val="0"/>
        <w:suppressAutoHyphens/>
        <w:rPr>
          <w:color w:val="000000"/>
          <w:szCs w:val="22"/>
        </w:rPr>
      </w:pPr>
    </w:p>
    <w:p w14:paraId="375EC0D5" w14:textId="77777777" w:rsidR="00C91F25" w:rsidRPr="00263DB9" w:rsidRDefault="00C91F25" w:rsidP="00273B82">
      <w:pPr>
        <w:keepNext/>
        <w:widowControl w:val="0"/>
        <w:suppressAutoHyphens/>
        <w:rPr>
          <w:bCs/>
          <w:color w:val="000000"/>
          <w:szCs w:val="22"/>
        </w:rPr>
      </w:pPr>
      <w:r w:rsidRPr="00263DB9">
        <w:rPr>
          <w:b/>
          <w:bCs/>
          <w:color w:val="000000"/>
          <w:szCs w:val="22"/>
        </w:rPr>
        <w:t>Pouco frequentes</w:t>
      </w:r>
      <w:r w:rsidRPr="00263DB9">
        <w:rPr>
          <w:bCs/>
          <w:color w:val="000000"/>
          <w:szCs w:val="22"/>
        </w:rPr>
        <w:t xml:space="preserve"> (</w:t>
      </w:r>
      <w:r w:rsidRPr="00263DB9">
        <w:rPr>
          <w:color w:val="000000"/>
          <w:szCs w:val="22"/>
        </w:rPr>
        <w:t>podem afetar até1 em 100 pessoas</w:t>
      </w:r>
      <w:r w:rsidRPr="00263DB9">
        <w:rPr>
          <w:bCs/>
          <w:color w:val="000000"/>
          <w:szCs w:val="22"/>
        </w:rPr>
        <w:t xml:space="preserve">) </w:t>
      </w:r>
      <w:r w:rsidRPr="00263DB9">
        <w:rPr>
          <w:b/>
          <w:bCs/>
          <w:color w:val="000000"/>
          <w:szCs w:val="22"/>
        </w:rPr>
        <w:t>ou raros</w:t>
      </w:r>
      <w:r w:rsidRPr="00263DB9">
        <w:rPr>
          <w:bCs/>
          <w:color w:val="000000"/>
          <w:szCs w:val="22"/>
        </w:rPr>
        <w:t xml:space="preserve"> (</w:t>
      </w:r>
      <w:r w:rsidRPr="00263DB9">
        <w:rPr>
          <w:color w:val="000000"/>
          <w:szCs w:val="22"/>
        </w:rPr>
        <w:t>podem afetar até 1 em 1.000 pessoas)</w:t>
      </w:r>
      <w:r w:rsidRPr="00263DB9">
        <w:rPr>
          <w:bCs/>
          <w:color w:val="000000"/>
          <w:szCs w:val="22"/>
        </w:rPr>
        <w:t>:</w:t>
      </w:r>
    </w:p>
    <w:p w14:paraId="375EC0D6"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 no peito, ritmo cardíaco irregular (sinais de problema cardíaco).</w:t>
      </w:r>
    </w:p>
    <w:p w14:paraId="375EC0D7"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Tosse, ter dificuldade em respirar ou respiração dolorosa (sinais de problemas respiratórios).</w:t>
      </w:r>
    </w:p>
    <w:p w14:paraId="375EC0D8"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Sensação de “cabeça oca”, tontura ou desmaio (sinais de tensão arterial baixa).</w:t>
      </w:r>
    </w:p>
    <w:p w14:paraId="375EC0D9"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Sentir-se mal (náuseas), com perda de apetite, urina de cor escura, amarelecimento da pele ou olhos (sinais de problemas no fígado).</w:t>
      </w:r>
    </w:p>
    <w:p w14:paraId="375EC0DA"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Erupção cutânea, vermelhidão da pele, com bolhas nos lábios, olhos, pele ou boca, descamação da pele, febre, aumento de manchas vermelhas ou púrpuras na pele, comichão, sensação de queimadura, erupção com pústulas (sinais de problemas na pele).</w:t>
      </w:r>
    </w:p>
    <w:p w14:paraId="375EC0DB"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 abdominal grave, sangue no vomitado, nas fezes ou na urina, escurecimento das fezes (sinais de problemas gastrointestinais).</w:t>
      </w:r>
    </w:p>
    <w:p w14:paraId="375EC0DC"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Diminuição grave do volume de urina, sensação de sede (sinais de problemas nos rins).</w:t>
      </w:r>
    </w:p>
    <w:p w14:paraId="375EC0DD"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Sentir-se mal (náuseas) com diarreia e vómitos, dor abdominal ou febre (sinais de problemas intestinais).</w:t>
      </w:r>
    </w:p>
    <w:p w14:paraId="375EC0DE"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 de cabeça grave, fraqueza ou paralisia dos membros ou da face, dificuldade em falar, perda súbita de consciência (sinais de problemas do sistema nervoso tais como hemorragia ou inchaço do crânio/cérebro).</w:t>
      </w:r>
    </w:p>
    <w:p w14:paraId="375EC0DF"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Palidez, sensação de cansaço e dificuldade em respirar e urina escura (sinais de baixos níveis sanguíneos de glóbulos vermelhos).</w:t>
      </w:r>
    </w:p>
    <w:p w14:paraId="375EC0E0"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Dores nos olhos ou deterioração da visão, derrames nos olhos.</w:t>
      </w:r>
    </w:p>
    <w:p w14:paraId="375EC0E1"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 nas ancas ou dificuldade em andar.</w:t>
      </w:r>
    </w:p>
    <w:p w14:paraId="375EC0E2"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Dormência ou arrefecimento dos dedos dos pés e das mãos (sinais de síndrome de Raynaud).</w:t>
      </w:r>
    </w:p>
    <w:p w14:paraId="375EC0E3"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Inchaço e vermelhidão repentina da pele (sinais de uma infeção da pele chamada de celulite).</w:t>
      </w:r>
    </w:p>
    <w:p w14:paraId="375EC0E4"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Dificuldades de audição.</w:t>
      </w:r>
    </w:p>
    <w:p w14:paraId="375EC0E5"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Fraqueza muscular e espasmos, alteração do ritmo cardíaco (sinais de alteração da quantidade de potássio no sangue).</w:t>
      </w:r>
    </w:p>
    <w:p w14:paraId="375EC0E6"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Nódoas negras.</w:t>
      </w:r>
    </w:p>
    <w:p w14:paraId="375EC0E7"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 no estômago com mal-estar (náuseas).</w:t>
      </w:r>
    </w:p>
    <w:p w14:paraId="375EC0E8"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Espasmos musculares com febre, urina vermelho-acastanhada, dor ou fraqueza nos músculos (sinais de problemas musculares).</w:t>
      </w:r>
    </w:p>
    <w:p w14:paraId="375EC0E9" w14:textId="77777777" w:rsidR="00C91F25"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2"/>
        </w:rPr>
        <w:t>Dor pélvica por vezes acompanhada de náuseas e vómitos, com hemorragia vaginal inesperada, tonturas e desmaios devido à diminuição da pressão sanguínea (sinais de problemas nos óvarios ou no útero).</w:t>
      </w:r>
    </w:p>
    <w:p w14:paraId="375EC0EA" w14:textId="77777777" w:rsidR="00164540" w:rsidRPr="00263DB9" w:rsidRDefault="00C91F25" w:rsidP="00E51817">
      <w:pPr>
        <w:widowControl w:val="0"/>
        <w:numPr>
          <w:ilvl w:val="0"/>
          <w:numId w:val="6"/>
        </w:numPr>
        <w:tabs>
          <w:tab w:val="clear" w:pos="360"/>
        </w:tabs>
        <w:suppressAutoHyphens/>
        <w:ind w:left="567" w:hanging="567"/>
        <w:rPr>
          <w:color w:val="000000"/>
          <w:szCs w:val="22"/>
        </w:rPr>
      </w:pPr>
      <w:r w:rsidRPr="00263DB9">
        <w:rPr>
          <w:color w:val="000000"/>
          <w:szCs w:val="24"/>
          <w:lang w:eastAsia="ja-JP"/>
        </w:rPr>
        <w:t xml:space="preserve">Náuseas, falta de ar, batimento cardíaco irregular, urina turva, cansaço e/ou desconforto nas articulações associado a alterações de exames laboratoriais (ex. níveis elevados de potássio, ácido úrico e </w:t>
      </w:r>
      <w:r w:rsidR="00484DC9" w:rsidRPr="00263DB9">
        <w:rPr>
          <w:color w:val="000000"/>
          <w:szCs w:val="24"/>
          <w:lang w:eastAsia="ja-JP"/>
        </w:rPr>
        <w:t xml:space="preserve">de cálcio </w:t>
      </w:r>
      <w:r w:rsidRPr="00263DB9">
        <w:rPr>
          <w:color w:val="000000"/>
          <w:szCs w:val="24"/>
          <w:lang w:eastAsia="ja-JP"/>
        </w:rPr>
        <w:t xml:space="preserve">e baixos níveis </w:t>
      </w:r>
      <w:r w:rsidR="00484DC9" w:rsidRPr="00263DB9">
        <w:rPr>
          <w:color w:val="000000"/>
          <w:szCs w:val="24"/>
          <w:lang w:eastAsia="ja-JP"/>
        </w:rPr>
        <w:t xml:space="preserve">de fósforo </w:t>
      </w:r>
      <w:r w:rsidRPr="00263DB9">
        <w:rPr>
          <w:color w:val="000000"/>
          <w:szCs w:val="24"/>
          <w:lang w:eastAsia="ja-JP"/>
        </w:rPr>
        <w:t>no sangue).</w:t>
      </w:r>
    </w:p>
    <w:p w14:paraId="375EC0EB" w14:textId="77777777" w:rsidR="00C91F25" w:rsidRPr="00263DB9" w:rsidRDefault="00164540" w:rsidP="00E51817">
      <w:pPr>
        <w:widowControl w:val="0"/>
        <w:numPr>
          <w:ilvl w:val="0"/>
          <w:numId w:val="6"/>
        </w:numPr>
        <w:tabs>
          <w:tab w:val="clear" w:pos="360"/>
        </w:tabs>
        <w:suppressAutoHyphens/>
        <w:ind w:left="567" w:hanging="567"/>
        <w:rPr>
          <w:color w:val="000000"/>
          <w:szCs w:val="22"/>
        </w:rPr>
      </w:pPr>
      <w:r w:rsidRPr="00263DB9">
        <w:rPr>
          <w:color w:val="000000"/>
          <w:szCs w:val="22"/>
          <w:lang w:bidi="th-TH"/>
        </w:rPr>
        <w:t>Coágulos em vasos sanguíneos pequenos (microangiopatia trombótica).</w:t>
      </w:r>
    </w:p>
    <w:p w14:paraId="375EC0EC" w14:textId="77777777" w:rsidR="002F6BAA" w:rsidRPr="00263DB9" w:rsidRDefault="002F6BAA" w:rsidP="00E51817">
      <w:pPr>
        <w:widowControl w:val="0"/>
        <w:suppressAutoHyphens/>
        <w:rPr>
          <w:color w:val="000000"/>
          <w:szCs w:val="24"/>
          <w:lang w:eastAsia="ja-JP"/>
        </w:rPr>
      </w:pPr>
    </w:p>
    <w:p w14:paraId="375EC0ED" w14:textId="77777777" w:rsidR="002F6BAA" w:rsidRPr="00263DB9" w:rsidRDefault="002F6BAA" w:rsidP="00273B82">
      <w:pPr>
        <w:keepNext/>
        <w:widowControl w:val="0"/>
        <w:suppressAutoHyphens/>
        <w:rPr>
          <w:color w:val="000000"/>
          <w:szCs w:val="24"/>
          <w:lang w:eastAsia="ja-JP"/>
        </w:rPr>
      </w:pPr>
      <w:r w:rsidRPr="00263DB9">
        <w:rPr>
          <w:b/>
          <w:color w:val="000000"/>
          <w:szCs w:val="24"/>
          <w:lang w:eastAsia="ja-JP"/>
        </w:rPr>
        <w:lastRenderedPageBreak/>
        <w:t>Desconhecido</w:t>
      </w:r>
      <w:r w:rsidR="001B6E83" w:rsidRPr="00263DB9">
        <w:rPr>
          <w:b/>
          <w:color w:val="000000"/>
          <w:szCs w:val="24"/>
          <w:lang w:eastAsia="ja-JP"/>
        </w:rPr>
        <w:t>s</w:t>
      </w:r>
      <w:r w:rsidR="00484DC9" w:rsidRPr="00263DB9">
        <w:rPr>
          <w:b/>
          <w:color w:val="000000"/>
          <w:szCs w:val="24"/>
          <w:lang w:eastAsia="ja-JP"/>
        </w:rPr>
        <w:t xml:space="preserve"> </w:t>
      </w:r>
      <w:r w:rsidR="00484DC9" w:rsidRPr="00263DB9">
        <w:rPr>
          <w:bCs/>
          <w:color w:val="000000"/>
          <w:szCs w:val="22"/>
        </w:rPr>
        <w:t>(</w:t>
      </w:r>
      <w:r w:rsidR="00484DC9" w:rsidRPr="00263DB9">
        <w:rPr>
          <w:color w:val="000000"/>
          <w:szCs w:val="22"/>
        </w:rPr>
        <w:t>não podem ser calculados a partir dos dados disponíveis)</w:t>
      </w:r>
      <w:r w:rsidRPr="00263DB9">
        <w:rPr>
          <w:color w:val="000000"/>
          <w:szCs w:val="24"/>
          <w:lang w:eastAsia="ja-JP"/>
        </w:rPr>
        <w:t>:</w:t>
      </w:r>
    </w:p>
    <w:p w14:paraId="375EC0EE" w14:textId="77777777" w:rsidR="002F6BAA" w:rsidRPr="00263DB9" w:rsidRDefault="002F6BAA" w:rsidP="00E51817">
      <w:pPr>
        <w:widowControl w:val="0"/>
        <w:numPr>
          <w:ilvl w:val="0"/>
          <w:numId w:val="32"/>
        </w:numPr>
        <w:suppressAutoHyphens/>
        <w:ind w:left="567" w:hanging="567"/>
        <w:rPr>
          <w:color w:val="000000"/>
          <w:szCs w:val="22"/>
        </w:rPr>
      </w:pPr>
      <w:r w:rsidRPr="00263DB9">
        <w:rPr>
          <w:color w:val="000000"/>
          <w:szCs w:val="22"/>
        </w:rPr>
        <w:t>Combinação de erupção cutânea grave generalizada, sensação de mal-estar, febre, nível alto de certos glóbulos brancos ou pele ou olhos amarelos (sinais de ictrícia) com falta de ar, dor no peito/desconforto, redução grave do volume de urina e sensação de sede, etc. (sinais de reação alérgica relacionada com o tratamento).</w:t>
      </w:r>
    </w:p>
    <w:p w14:paraId="375EC0EF" w14:textId="77777777" w:rsidR="00A008A5" w:rsidRPr="00263DB9" w:rsidRDefault="00A008A5" w:rsidP="00E51817">
      <w:pPr>
        <w:widowControl w:val="0"/>
        <w:numPr>
          <w:ilvl w:val="0"/>
          <w:numId w:val="32"/>
        </w:numPr>
        <w:suppressAutoHyphens/>
        <w:ind w:left="567" w:hanging="567"/>
        <w:rPr>
          <w:color w:val="000000"/>
          <w:szCs w:val="22"/>
        </w:rPr>
      </w:pPr>
      <w:r w:rsidRPr="00263DB9">
        <w:rPr>
          <w:color w:val="000000"/>
          <w:szCs w:val="22"/>
        </w:rPr>
        <w:t>Insuficiência renal aguda</w:t>
      </w:r>
      <w:r w:rsidR="005E4202" w:rsidRPr="00263DB9">
        <w:rPr>
          <w:color w:val="000000"/>
          <w:szCs w:val="22"/>
        </w:rPr>
        <w:t>.</w:t>
      </w:r>
    </w:p>
    <w:p w14:paraId="375EC0F0" w14:textId="77777777" w:rsidR="00BF4055" w:rsidRPr="00263DB9" w:rsidRDefault="00BF4055" w:rsidP="00E51817">
      <w:pPr>
        <w:pStyle w:val="Default"/>
        <w:widowControl w:val="0"/>
        <w:numPr>
          <w:ilvl w:val="0"/>
          <w:numId w:val="32"/>
        </w:numPr>
        <w:suppressAutoHyphens/>
        <w:ind w:left="567" w:hanging="567"/>
        <w:rPr>
          <w:rFonts w:ascii="Times New Roman" w:hAnsi="Times New Roman" w:cs="Times New Roman"/>
          <w:sz w:val="22"/>
          <w:szCs w:val="22"/>
          <w:lang w:val="pt-PT"/>
        </w:rPr>
      </w:pPr>
      <w:r w:rsidRPr="00263DB9">
        <w:rPr>
          <w:rFonts w:ascii="Times New Roman" w:hAnsi="Times New Roman" w:cs="Times New Roman"/>
          <w:sz w:val="22"/>
          <w:szCs w:val="22"/>
          <w:lang w:val="pt-PT"/>
        </w:rPr>
        <w:t>Recorrência (reativação) da infeção pelo vírus da Hepatite B caso tenha tido Hepatite B no passado (uma infeção do fígado).</w:t>
      </w:r>
    </w:p>
    <w:p w14:paraId="375EC0F1" w14:textId="77777777" w:rsidR="004824F7" w:rsidRPr="00263DB9" w:rsidRDefault="004824F7" w:rsidP="00E51817">
      <w:pPr>
        <w:pStyle w:val="Default"/>
        <w:widowControl w:val="0"/>
        <w:suppressAutoHyphens/>
        <w:rPr>
          <w:rFonts w:ascii="Times New Roman" w:hAnsi="Times New Roman" w:cs="Times New Roman"/>
          <w:sz w:val="22"/>
          <w:szCs w:val="22"/>
          <w:lang w:val="pt-PT"/>
        </w:rPr>
      </w:pPr>
    </w:p>
    <w:p w14:paraId="375EC0F2" w14:textId="77777777" w:rsidR="00C91F25" w:rsidRPr="00263DB9" w:rsidRDefault="00C91F25" w:rsidP="00E51817">
      <w:pPr>
        <w:widowControl w:val="0"/>
        <w:suppressAutoHyphens/>
        <w:rPr>
          <w:b/>
          <w:bCs/>
          <w:color w:val="000000"/>
          <w:szCs w:val="22"/>
        </w:rPr>
      </w:pPr>
      <w:r w:rsidRPr="00263DB9">
        <w:rPr>
          <w:color w:val="000000"/>
          <w:szCs w:val="22"/>
        </w:rPr>
        <w:t xml:space="preserve">Se tiver algum dos efeitos secundários acima descritos, </w:t>
      </w:r>
      <w:r w:rsidRPr="00263DB9">
        <w:rPr>
          <w:b/>
          <w:bCs/>
          <w:color w:val="000000"/>
          <w:szCs w:val="22"/>
        </w:rPr>
        <w:t>informe o seu médico imediatamente.</w:t>
      </w:r>
    </w:p>
    <w:p w14:paraId="375EC0F3" w14:textId="77777777" w:rsidR="00C91F25" w:rsidRPr="00263DB9" w:rsidRDefault="00C91F25" w:rsidP="00E51817">
      <w:pPr>
        <w:widowControl w:val="0"/>
        <w:suppressAutoHyphens/>
        <w:rPr>
          <w:color w:val="000000"/>
          <w:szCs w:val="22"/>
        </w:rPr>
      </w:pPr>
    </w:p>
    <w:p w14:paraId="375EC0F4" w14:textId="77777777" w:rsidR="00C91F25" w:rsidRPr="00263DB9" w:rsidRDefault="00C91F25" w:rsidP="00273B82">
      <w:pPr>
        <w:keepNext/>
        <w:widowControl w:val="0"/>
        <w:suppressAutoHyphens/>
        <w:rPr>
          <w:b/>
          <w:bCs/>
          <w:color w:val="000000"/>
          <w:szCs w:val="22"/>
        </w:rPr>
      </w:pPr>
      <w:r w:rsidRPr="00263DB9">
        <w:rPr>
          <w:b/>
          <w:bCs/>
          <w:color w:val="000000"/>
          <w:szCs w:val="22"/>
        </w:rPr>
        <w:t>Outros efeitos secundários podem incluir:</w:t>
      </w:r>
    </w:p>
    <w:p w14:paraId="375EC0F5" w14:textId="77777777" w:rsidR="00C91F25" w:rsidRPr="00263DB9" w:rsidRDefault="00C91F25" w:rsidP="00273B82">
      <w:pPr>
        <w:keepNext/>
        <w:widowControl w:val="0"/>
        <w:suppressAutoHyphens/>
        <w:rPr>
          <w:color w:val="000000"/>
          <w:szCs w:val="22"/>
        </w:rPr>
      </w:pPr>
    </w:p>
    <w:p w14:paraId="375EC0F6" w14:textId="77777777" w:rsidR="00C91F25" w:rsidRPr="00263DB9" w:rsidRDefault="00C91F25" w:rsidP="00273B82">
      <w:pPr>
        <w:keepNext/>
        <w:widowControl w:val="0"/>
        <w:suppressAutoHyphens/>
        <w:rPr>
          <w:bCs/>
          <w:color w:val="000000"/>
          <w:szCs w:val="22"/>
        </w:rPr>
      </w:pPr>
      <w:r w:rsidRPr="00263DB9">
        <w:rPr>
          <w:b/>
          <w:bCs/>
          <w:color w:val="000000"/>
          <w:szCs w:val="22"/>
        </w:rPr>
        <w:t>Muito frequentes</w:t>
      </w:r>
      <w:r w:rsidRPr="00263DB9">
        <w:rPr>
          <w:bCs/>
          <w:color w:val="000000"/>
          <w:szCs w:val="22"/>
        </w:rPr>
        <w:t xml:space="preserve"> </w:t>
      </w:r>
      <w:r w:rsidRPr="00263DB9">
        <w:rPr>
          <w:color w:val="000000"/>
          <w:szCs w:val="22"/>
        </w:rPr>
        <w:t>(podem afetar mais de 1 em 10 pessoas)</w:t>
      </w:r>
      <w:r w:rsidRPr="00263DB9">
        <w:rPr>
          <w:bCs/>
          <w:color w:val="000000"/>
          <w:szCs w:val="22"/>
        </w:rPr>
        <w:t>:</w:t>
      </w:r>
    </w:p>
    <w:p w14:paraId="375EC0F7" w14:textId="77777777" w:rsidR="00C91F25" w:rsidRPr="00263DB9" w:rsidRDefault="00C91F25" w:rsidP="00E51817">
      <w:pPr>
        <w:widowControl w:val="0"/>
        <w:numPr>
          <w:ilvl w:val="0"/>
          <w:numId w:val="15"/>
        </w:numPr>
        <w:tabs>
          <w:tab w:val="clear" w:pos="720"/>
        </w:tabs>
        <w:suppressAutoHyphens/>
        <w:ind w:left="567" w:hanging="567"/>
        <w:rPr>
          <w:color w:val="000000"/>
          <w:szCs w:val="22"/>
        </w:rPr>
      </w:pPr>
      <w:r w:rsidRPr="00263DB9">
        <w:rPr>
          <w:color w:val="000000"/>
          <w:szCs w:val="22"/>
        </w:rPr>
        <w:t>Dor de cabeça ou cansaço.</w:t>
      </w:r>
    </w:p>
    <w:p w14:paraId="375EC0F8" w14:textId="77777777" w:rsidR="00C91F25" w:rsidRPr="00263DB9" w:rsidRDefault="00C91F25" w:rsidP="00E51817">
      <w:pPr>
        <w:widowControl w:val="0"/>
        <w:numPr>
          <w:ilvl w:val="0"/>
          <w:numId w:val="15"/>
        </w:numPr>
        <w:tabs>
          <w:tab w:val="clear" w:pos="720"/>
        </w:tabs>
        <w:suppressAutoHyphens/>
        <w:ind w:left="567" w:hanging="567"/>
        <w:rPr>
          <w:color w:val="000000"/>
          <w:szCs w:val="22"/>
        </w:rPr>
      </w:pPr>
      <w:r w:rsidRPr="00263DB9">
        <w:rPr>
          <w:color w:val="000000"/>
          <w:szCs w:val="22"/>
        </w:rPr>
        <w:t>Mal-estar (naúseas), mal-estar (vómitos), diarreia ou indigestão.</w:t>
      </w:r>
    </w:p>
    <w:p w14:paraId="375EC0F9" w14:textId="77777777" w:rsidR="00C91F25" w:rsidRPr="00263DB9" w:rsidRDefault="00C91F25" w:rsidP="00E51817">
      <w:pPr>
        <w:widowControl w:val="0"/>
        <w:numPr>
          <w:ilvl w:val="0"/>
          <w:numId w:val="15"/>
        </w:numPr>
        <w:tabs>
          <w:tab w:val="clear" w:pos="720"/>
        </w:tabs>
        <w:suppressAutoHyphens/>
        <w:ind w:left="567" w:hanging="567"/>
        <w:rPr>
          <w:color w:val="000000"/>
          <w:szCs w:val="22"/>
        </w:rPr>
      </w:pPr>
      <w:r w:rsidRPr="00263DB9">
        <w:rPr>
          <w:color w:val="000000"/>
          <w:szCs w:val="22"/>
        </w:rPr>
        <w:t>Erupção cutânea.</w:t>
      </w:r>
    </w:p>
    <w:p w14:paraId="375EC0FA" w14:textId="77777777" w:rsidR="00C91F25" w:rsidRPr="00263DB9" w:rsidRDefault="00C91F25" w:rsidP="00E51817">
      <w:pPr>
        <w:widowControl w:val="0"/>
        <w:numPr>
          <w:ilvl w:val="0"/>
          <w:numId w:val="15"/>
        </w:numPr>
        <w:tabs>
          <w:tab w:val="clear" w:pos="720"/>
        </w:tabs>
        <w:suppressAutoHyphens/>
        <w:ind w:left="567" w:hanging="567"/>
        <w:rPr>
          <w:color w:val="000000"/>
          <w:szCs w:val="22"/>
        </w:rPr>
      </w:pPr>
      <w:r w:rsidRPr="00263DB9">
        <w:rPr>
          <w:color w:val="000000"/>
          <w:szCs w:val="22"/>
        </w:rPr>
        <w:t>Cãibras musculares ou dor nas articulações, nos músculos ou nos ossos</w:t>
      </w:r>
      <w:r w:rsidR="00D44247" w:rsidRPr="00263DB9">
        <w:rPr>
          <w:color w:val="000000"/>
          <w:szCs w:val="22"/>
        </w:rPr>
        <w:t>, durante o tratamento com Glivec ou após ter parado de tomar Glivec</w:t>
      </w:r>
      <w:r w:rsidRPr="00263DB9">
        <w:rPr>
          <w:color w:val="000000"/>
          <w:szCs w:val="22"/>
        </w:rPr>
        <w:t>.</w:t>
      </w:r>
    </w:p>
    <w:p w14:paraId="375EC0FB" w14:textId="77777777" w:rsidR="00C91F25" w:rsidRPr="00263DB9" w:rsidRDefault="00C91F25" w:rsidP="00E51817">
      <w:pPr>
        <w:widowControl w:val="0"/>
        <w:numPr>
          <w:ilvl w:val="0"/>
          <w:numId w:val="15"/>
        </w:numPr>
        <w:tabs>
          <w:tab w:val="clear" w:pos="720"/>
        </w:tabs>
        <w:suppressAutoHyphens/>
        <w:ind w:left="567" w:hanging="567"/>
        <w:rPr>
          <w:color w:val="000000"/>
          <w:szCs w:val="22"/>
        </w:rPr>
      </w:pPr>
      <w:r w:rsidRPr="00263DB9">
        <w:rPr>
          <w:color w:val="000000"/>
          <w:szCs w:val="22"/>
        </w:rPr>
        <w:t>Inchaço dos tornozelos ou dos olhos.</w:t>
      </w:r>
    </w:p>
    <w:p w14:paraId="375EC0FC" w14:textId="77777777" w:rsidR="00C91F25" w:rsidRPr="00263DB9" w:rsidRDefault="00C91F25" w:rsidP="00E51817">
      <w:pPr>
        <w:widowControl w:val="0"/>
        <w:numPr>
          <w:ilvl w:val="0"/>
          <w:numId w:val="15"/>
        </w:numPr>
        <w:tabs>
          <w:tab w:val="clear" w:pos="720"/>
        </w:tabs>
        <w:suppressAutoHyphens/>
        <w:ind w:left="567" w:hanging="567"/>
        <w:rPr>
          <w:color w:val="000000"/>
          <w:szCs w:val="22"/>
        </w:rPr>
      </w:pPr>
      <w:r w:rsidRPr="00263DB9">
        <w:rPr>
          <w:color w:val="000000"/>
          <w:szCs w:val="22"/>
        </w:rPr>
        <w:t>Aumento de peso.</w:t>
      </w:r>
    </w:p>
    <w:p w14:paraId="375EC0FD" w14:textId="77777777" w:rsidR="00C91F25" w:rsidRPr="00263DB9" w:rsidRDefault="00C91F25" w:rsidP="00E51817">
      <w:pPr>
        <w:widowControl w:val="0"/>
        <w:suppressAutoHyphens/>
        <w:rPr>
          <w:color w:val="000000"/>
          <w:szCs w:val="22"/>
        </w:rPr>
      </w:pPr>
      <w:r w:rsidRPr="00263DB9">
        <w:rPr>
          <w:color w:val="000000"/>
          <w:szCs w:val="22"/>
        </w:rPr>
        <w:t xml:space="preserve">Caso algum destes efeitos o afete gravemente, </w:t>
      </w:r>
      <w:r w:rsidRPr="00263DB9">
        <w:rPr>
          <w:b/>
          <w:color w:val="000000"/>
          <w:szCs w:val="22"/>
        </w:rPr>
        <w:t>avise o seu médico</w:t>
      </w:r>
      <w:r w:rsidRPr="00263DB9">
        <w:rPr>
          <w:color w:val="000000"/>
          <w:szCs w:val="22"/>
        </w:rPr>
        <w:t>.</w:t>
      </w:r>
    </w:p>
    <w:p w14:paraId="375EC0FE" w14:textId="77777777" w:rsidR="00C91F25" w:rsidRPr="00263DB9" w:rsidRDefault="00C91F25" w:rsidP="00E51817">
      <w:pPr>
        <w:widowControl w:val="0"/>
        <w:suppressAutoHyphens/>
        <w:rPr>
          <w:color w:val="000000"/>
          <w:szCs w:val="22"/>
        </w:rPr>
      </w:pPr>
    </w:p>
    <w:p w14:paraId="375EC0FF" w14:textId="77777777" w:rsidR="00C91F25" w:rsidRPr="00263DB9" w:rsidRDefault="00C91F25" w:rsidP="00273B82">
      <w:pPr>
        <w:keepNext/>
        <w:widowControl w:val="0"/>
        <w:suppressAutoHyphens/>
        <w:rPr>
          <w:bCs/>
          <w:color w:val="000000"/>
          <w:szCs w:val="22"/>
        </w:rPr>
      </w:pPr>
      <w:r w:rsidRPr="00263DB9">
        <w:rPr>
          <w:b/>
          <w:bCs/>
          <w:color w:val="000000"/>
          <w:szCs w:val="22"/>
        </w:rPr>
        <w:t>Frequentes</w:t>
      </w:r>
      <w:r w:rsidRPr="00263DB9">
        <w:rPr>
          <w:bCs/>
          <w:color w:val="000000"/>
          <w:szCs w:val="22"/>
        </w:rPr>
        <w:t xml:space="preserve"> </w:t>
      </w:r>
      <w:r w:rsidRPr="00263DB9">
        <w:rPr>
          <w:color w:val="000000"/>
          <w:szCs w:val="22"/>
        </w:rPr>
        <w:t>(podem afetar até 1 em 10 pessoas)</w:t>
      </w:r>
      <w:r w:rsidRPr="00263DB9">
        <w:rPr>
          <w:bCs/>
          <w:color w:val="000000"/>
          <w:szCs w:val="22"/>
        </w:rPr>
        <w:t>:</w:t>
      </w:r>
    </w:p>
    <w:p w14:paraId="375EC100"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Perda de apetite, perda de peso ou alterações do paladar.</w:t>
      </w:r>
    </w:p>
    <w:p w14:paraId="375EC101"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Sensação de tontura ou fraqueza.</w:t>
      </w:r>
    </w:p>
    <w:p w14:paraId="375EC102"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Dificuldade em dormir (insónia).</w:t>
      </w:r>
    </w:p>
    <w:p w14:paraId="375EC103"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Lacrimejo com comichão nos olhos, vermelhidão ou inchaço (conjuntivite), olhos lacrimejantes ou visão turva.</w:t>
      </w:r>
    </w:p>
    <w:p w14:paraId="375EC104"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Hemorragias nasais.</w:t>
      </w:r>
    </w:p>
    <w:p w14:paraId="375EC105"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Dor ou inchaço no abdómen, flatulência (gases), azia ou prisão de ventre.</w:t>
      </w:r>
    </w:p>
    <w:p w14:paraId="375EC106"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Comichão.</w:t>
      </w:r>
    </w:p>
    <w:p w14:paraId="375EC107"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Perda de cabelo anormal ou enfraquecimento.</w:t>
      </w:r>
    </w:p>
    <w:p w14:paraId="375EC108"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Dormência das mãos ou dos pés.</w:t>
      </w:r>
    </w:p>
    <w:p w14:paraId="375EC109"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Úlceras na boca.</w:t>
      </w:r>
    </w:p>
    <w:p w14:paraId="375EC10A"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Dor e inchaço das articulações.</w:t>
      </w:r>
    </w:p>
    <w:p w14:paraId="375EC10B"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Boca seca, pele seca ou olho seco.</w:t>
      </w:r>
    </w:p>
    <w:p w14:paraId="375EC10C"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Diminuição ou aumento da sensibilidade cutânea.</w:t>
      </w:r>
    </w:p>
    <w:p w14:paraId="375EC10D" w14:textId="77777777" w:rsidR="00C91F25" w:rsidRPr="00263DB9" w:rsidRDefault="00C91F25" w:rsidP="00E51817">
      <w:pPr>
        <w:widowControl w:val="0"/>
        <w:numPr>
          <w:ilvl w:val="0"/>
          <w:numId w:val="16"/>
        </w:numPr>
        <w:suppressAutoHyphens/>
        <w:ind w:hanging="720"/>
        <w:rPr>
          <w:color w:val="000000"/>
          <w:szCs w:val="22"/>
        </w:rPr>
      </w:pPr>
      <w:r w:rsidRPr="00263DB9">
        <w:rPr>
          <w:color w:val="000000"/>
          <w:szCs w:val="22"/>
        </w:rPr>
        <w:t>Afrontamentos, arrepios ou suores nocturnos.</w:t>
      </w:r>
    </w:p>
    <w:p w14:paraId="375EC10E" w14:textId="77777777" w:rsidR="00C91F25" w:rsidRPr="00263DB9" w:rsidRDefault="00C91F25" w:rsidP="00E51817">
      <w:pPr>
        <w:widowControl w:val="0"/>
        <w:suppressAutoHyphens/>
        <w:rPr>
          <w:color w:val="000000"/>
          <w:szCs w:val="22"/>
        </w:rPr>
      </w:pPr>
      <w:r w:rsidRPr="00263DB9">
        <w:rPr>
          <w:color w:val="000000"/>
          <w:szCs w:val="22"/>
        </w:rPr>
        <w:t>Caso algum destes efeitos seja grave,</w:t>
      </w:r>
      <w:r w:rsidRPr="00263DB9">
        <w:rPr>
          <w:b/>
          <w:color w:val="000000"/>
          <w:szCs w:val="22"/>
        </w:rPr>
        <w:t xml:space="preserve"> avise o seu médico.</w:t>
      </w:r>
    </w:p>
    <w:p w14:paraId="375EC10F" w14:textId="77777777" w:rsidR="00C91F25" w:rsidRPr="00263DB9" w:rsidRDefault="00C91F25" w:rsidP="00E51817">
      <w:pPr>
        <w:pStyle w:val="EndnoteText"/>
        <w:tabs>
          <w:tab w:val="clear" w:pos="567"/>
        </w:tabs>
        <w:suppressAutoHyphens/>
        <w:rPr>
          <w:color w:val="000000"/>
          <w:szCs w:val="22"/>
        </w:rPr>
      </w:pPr>
    </w:p>
    <w:p w14:paraId="375EC110" w14:textId="77777777" w:rsidR="00C91F25" w:rsidRPr="00263DB9" w:rsidRDefault="00C91F25" w:rsidP="00273B82">
      <w:pPr>
        <w:pStyle w:val="EndnoteText"/>
        <w:keepNext/>
        <w:tabs>
          <w:tab w:val="clear" w:pos="567"/>
        </w:tabs>
        <w:suppressAutoHyphens/>
        <w:rPr>
          <w:bCs/>
          <w:color w:val="000000"/>
          <w:szCs w:val="22"/>
        </w:rPr>
      </w:pPr>
      <w:r w:rsidRPr="00263DB9">
        <w:rPr>
          <w:b/>
          <w:bCs/>
          <w:color w:val="000000"/>
          <w:szCs w:val="22"/>
        </w:rPr>
        <w:t>Desconhecidos</w:t>
      </w:r>
      <w:r w:rsidRPr="00263DB9">
        <w:rPr>
          <w:bCs/>
          <w:color w:val="000000"/>
          <w:szCs w:val="22"/>
        </w:rPr>
        <w:t xml:space="preserve"> (</w:t>
      </w:r>
      <w:r w:rsidRPr="00263DB9">
        <w:rPr>
          <w:color w:val="000000"/>
          <w:szCs w:val="22"/>
        </w:rPr>
        <w:t>não podem ser calculados a partir dos dados disponíveis)</w:t>
      </w:r>
      <w:r w:rsidRPr="00263DB9">
        <w:rPr>
          <w:bCs/>
          <w:color w:val="000000"/>
          <w:szCs w:val="22"/>
        </w:rPr>
        <w:t>:</w:t>
      </w:r>
    </w:p>
    <w:p w14:paraId="375EC111" w14:textId="77777777" w:rsidR="00C91F25" w:rsidRPr="00263DB9" w:rsidRDefault="00C91F25" w:rsidP="00E51817">
      <w:pPr>
        <w:pStyle w:val="EndnoteText"/>
        <w:numPr>
          <w:ilvl w:val="0"/>
          <w:numId w:val="17"/>
        </w:numPr>
        <w:tabs>
          <w:tab w:val="clear" w:pos="567"/>
          <w:tab w:val="clear" w:pos="720"/>
        </w:tabs>
        <w:suppressAutoHyphens/>
        <w:ind w:left="567" w:hanging="567"/>
        <w:rPr>
          <w:color w:val="000000"/>
          <w:szCs w:val="22"/>
        </w:rPr>
      </w:pPr>
      <w:r w:rsidRPr="00263DB9">
        <w:rPr>
          <w:color w:val="000000"/>
          <w:szCs w:val="22"/>
        </w:rPr>
        <w:t>Vermelhidão e/ou inchaço das palmas das mãos e solas dos pés podendo ser acompanhadas de sensação de formigueiro e queimadura.</w:t>
      </w:r>
    </w:p>
    <w:p w14:paraId="375EC112" w14:textId="77777777" w:rsidR="009207F7" w:rsidRPr="00263DB9" w:rsidRDefault="009207F7" w:rsidP="00E51817">
      <w:pPr>
        <w:pStyle w:val="EndnoteText"/>
        <w:numPr>
          <w:ilvl w:val="0"/>
          <w:numId w:val="17"/>
        </w:numPr>
        <w:tabs>
          <w:tab w:val="clear" w:pos="567"/>
          <w:tab w:val="clear" w:pos="720"/>
        </w:tabs>
        <w:suppressAutoHyphens/>
        <w:ind w:left="567" w:hanging="567"/>
        <w:rPr>
          <w:color w:val="000000"/>
          <w:szCs w:val="22"/>
        </w:rPr>
      </w:pPr>
      <w:r w:rsidRPr="00263DB9">
        <w:rPr>
          <w:color w:val="000000"/>
          <w:szCs w:val="22"/>
        </w:rPr>
        <w:t>Lesões na pele dolorosas e/ou com bolhas.</w:t>
      </w:r>
    </w:p>
    <w:p w14:paraId="375EC113" w14:textId="77777777" w:rsidR="00C91F25" w:rsidRPr="00263DB9" w:rsidRDefault="00C91F25" w:rsidP="00E51817">
      <w:pPr>
        <w:pStyle w:val="EndnoteText"/>
        <w:numPr>
          <w:ilvl w:val="0"/>
          <w:numId w:val="17"/>
        </w:numPr>
        <w:tabs>
          <w:tab w:val="clear" w:pos="567"/>
          <w:tab w:val="clear" w:pos="720"/>
        </w:tabs>
        <w:suppressAutoHyphens/>
        <w:ind w:left="567" w:hanging="567"/>
        <w:rPr>
          <w:color w:val="000000"/>
          <w:szCs w:val="22"/>
        </w:rPr>
      </w:pPr>
      <w:r w:rsidRPr="00263DB9">
        <w:rPr>
          <w:color w:val="000000"/>
          <w:szCs w:val="22"/>
        </w:rPr>
        <w:t>Atraso no crescimento em crianças e adolescentes.</w:t>
      </w:r>
    </w:p>
    <w:p w14:paraId="375EC114" w14:textId="77777777" w:rsidR="00C91F25" w:rsidRPr="00263DB9" w:rsidRDefault="00C91F25" w:rsidP="00E51817">
      <w:pPr>
        <w:pStyle w:val="EndnoteText"/>
      </w:pPr>
      <w:r w:rsidRPr="00263DB9">
        <w:t>Caso algum destes efeitos seja grave,</w:t>
      </w:r>
      <w:r w:rsidRPr="00263DB9">
        <w:rPr>
          <w:b/>
        </w:rPr>
        <w:t xml:space="preserve"> avise o seu médico.</w:t>
      </w:r>
    </w:p>
    <w:p w14:paraId="375EC115" w14:textId="77777777" w:rsidR="00C91F25" w:rsidRPr="00263DB9" w:rsidRDefault="00C91F25" w:rsidP="00E51817">
      <w:pPr>
        <w:pStyle w:val="EndnoteText"/>
        <w:tabs>
          <w:tab w:val="clear" w:pos="567"/>
        </w:tabs>
        <w:suppressAutoHyphens/>
        <w:rPr>
          <w:color w:val="000000"/>
          <w:szCs w:val="22"/>
        </w:rPr>
      </w:pPr>
    </w:p>
    <w:p w14:paraId="375EC116" w14:textId="77777777" w:rsidR="00C91F25" w:rsidRPr="00263DB9" w:rsidRDefault="00C91F25" w:rsidP="00273B82">
      <w:pPr>
        <w:keepNext/>
        <w:widowControl w:val="0"/>
        <w:suppressAutoHyphens/>
        <w:rPr>
          <w:b/>
          <w:color w:val="000000"/>
          <w:szCs w:val="22"/>
        </w:rPr>
      </w:pPr>
      <w:r w:rsidRPr="00263DB9">
        <w:rPr>
          <w:b/>
          <w:noProof/>
          <w:szCs w:val="22"/>
        </w:rPr>
        <w:t>Comunicação de efeitos secundários</w:t>
      </w:r>
    </w:p>
    <w:p w14:paraId="375EC117" w14:textId="77777777" w:rsidR="00C91F25" w:rsidRPr="00263DB9" w:rsidRDefault="00C91F25" w:rsidP="00E51817">
      <w:pPr>
        <w:widowControl w:val="0"/>
        <w:suppressAutoHyphens/>
        <w:rPr>
          <w:b/>
          <w:color w:val="000000"/>
          <w:szCs w:val="22"/>
        </w:rPr>
      </w:pPr>
      <w:r w:rsidRPr="00263DB9">
        <w:rPr>
          <w:color w:val="000000"/>
          <w:szCs w:val="22"/>
        </w:rPr>
        <w:t>Se tiver quaisquer efeitos secundários</w:t>
      </w:r>
      <w:r w:rsidR="00F14C0A" w:rsidRPr="00263DB9">
        <w:rPr>
          <w:color w:val="000000"/>
          <w:szCs w:val="22"/>
        </w:rPr>
        <w:t>,</w:t>
      </w:r>
      <w:r w:rsidRPr="00263DB9">
        <w:rPr>
          <w:color w:val="000000"/>
          <w:szCs w:val="22"/>
        </w:rPr>
        <w:t xml:space="preserve"> incluindo possíveis efeitos secundários não indicados neste folheto, fale com o seu médico, farmacêutico ou enfermeiro</w:t>
      </w:r>
      <w:r w:rsidRPr="00263DB9">
        <w:rPr>
          <w:b/>
          <w:color w:val="000000"/>
          <w:szCs w:val="22"/>
        </w:rPr>
        <w:t xml:space="preserve">. </w:t>
      </w:r>
      <w:r w:rsidRPr="00263DB9">
        <w:rPr>
          <w:szCs w:val="22"/>
        </w:rPr>
        <w:t xml:space="preserve">Também poderá comunicar efeitos secundários diretamente através </w:t>
      </w:r>
      <w:r w:rsidRPr="00263DB9">
        <w:rPr>
          <w:szCs w:val="22"/>
          <w:shd w:val="clear" w:color="auto" w:fill="D9D9D9"/>
        </w:rPr>
        <w:t xml:space="preserve">do sistema nacional de notificação mencionado no </w:t>
      </w:r>
      <w:hyperlink r:id="rId17" w:history="1">
        <w:r w:rsidRPr="00263DB9">
          <w:rPr>
            <w:rStyle w:val="Hyperlink"/>
            <w:shd w:val="clear" w:color="auto" w:fill="D9D9D9"/>
          </w:rPr>
          <w:t>Apêndice V</w:t>
        </w:r>
      </w:hyperlink>
      <w:r w:rsidRPr="00263DB9">
        <w:rPr>
          <w:szCs w:val="22"/>
        </w:rPr>
        <w:t>. Ao comunicar efeitos secundários, estará a ajudar a fornecer mais informações sobre a segurança deste medicamento.</w:t>
      </w:r>
    </w:p>
    <w:p w14:paraId="375EC118" w14:textId="77777777" w:rsidR="00C91F25" w:rsidRPr="00263DB9" w:rsidRDefault="00C91F25" w:rsidP="00E51817">
      <w:pPr>
        <w:pStyle w:val="EndnoteText"/>
        <w:tabs>
          <w:tab w:val="clear" w:pos="567"/>
        </w:tabs>
        <w:suppressAutoHyphens/>
        <w:rPr>
          <w:color w:val="000000"/>
          <w:szCs w:val="22"/>
        </w:rPr>
      </w:pPr>
    </w:p>
    <w:p w14:paraId="375EC119" w14:textId="77777777" w:rsidR="00C91F25" w:rsidRPr="00263DB9" w:rsidRDefault="00C91F25" w:rsidP="00E51817">
      <w:pPr>
        <w:pStyle w:val="EndnoteText"/>
        <w:tabs>
          <w:tab w:val="clear" w:pos="567"/>
        </w:tabs>
        <w:suppressAutoHyphens/>
        <w:rPr>
          <w:color w:val="000000"/>
          <w:szCs w:val="22"/>
        </w:rPr>
      </w:pPr>
    </w:p>
    <w:p w14:paraId="375EC11A" w14:textId="77777777" w:rsidR="00906898" w:rsidRPr="00263DB9" w:rsidRDefault="00906898" w:rsidP="00273B82">
      <w:pPr>
        <w:keepNext/>
        <w:widowControl w:val="0"/>
        <w:suppressAutoHyphens/>
        <w:ind w:left="567" w:hanging="567"/>
        <w:rPr>
          <w:color w:val="000000"/>
          <w:szCs w:val="22"/>
        </w:rPr>
      </w:pPr>
      <w:r w:rsidRPr="00263DB9">
        <w:rPr>
          <w:b/>
          <w:color w:val="000000"/>
          <w:szCs w:val="22"/>
        </w:rPr>
        <w:t>5.</w:t>
      </w:r>
      <w:r w:rsidRPr="00263DB9">
        <w:rPr>
          <w:b/>
          <w:color w:val="000000"/>
          <w:szCs w:val="22"/>
        </w:rPr>
        <w:tab/>
        <w:t>Como conservar Glivec</w:t>
      </w:r>
    </w:p>
    <w:p w14:paraId="375EC11B" w14:textId="77777777" w:rsidR="00906898" w:rsidRPr="00263DB9" w:rsidRDefault="00906898" w:rsidP="00273B82">
      <w:pPr>
        <w:keepNext/>
        <w:widowControl w:val="0"/>
        <w:suppressAutoHyphens/>
        <w:rPr>
          <w:color w:val="000000"/>
          <w:szCs w:val="22"/>
        </w:rPr>
      </w:pPr>
    </w:p>
    <w:p w14:paraId="375EC11C" w14:textId="77777777" w:rsidR="00906898" w:rsidRPr="00263DB9" w:rsidRDefault="00906898" w:rsidP="00E51817">
      <w:pPr>
        <w:widowControl w:val="0"/>
        <w:numPr>
          <w:ilvl w:val="0"/>
          <w:numId w:val="2"/>
        </w:numPr>
        <w:tabs>
          <w:tab w:val="clear" w:pos="1069"/>
        </w:tabs>
        <w:suppressAutoHyphens/>
        <w:ind w:left="567" w:hanging="567"/>
        <w:rPr>
          <w:color w:val="000000"/>
          <w:szCs w:val="22"/>
        </w:rPr>
      </w:pPr>
      <w:r w:rsidRPr="00263DB9">
        <w:rPr>
          <w:color w:val="000000"/>
          <w:szCs w:val="22"/>
        </w:rPr>
        <w:t>Manter este medicamento fora da vista e do alcance das crianças.</w:t>
      </w:r>
    </w:p>
    <w:p w14:paraId="375EC11D" w14:textId="77777777" w:rsidR="00906898" w:rsidRPr="00263DB9" w:rsidRDefault="00906898" w:rsidP="00E51817">
      <w:pPr>
        <w:widowControl w:val="0"/>
        <w:numPr>
          <w:ilvl w:val="0"/>
          <w:numId w:val="2"/>
        </w:numPr>
        <w:tabs>
          <w:tab w:val="clear" w:pos="1069"/>
        </w:tabs>
        <w:suppressAutoHyphens/>
        <w:ind w:left="567" w:hanging="567"/>
        <w:rPr>
          <w:color w:val="000000"/>
          <w:szCs w:val="22"/>
        </w:rPr>
      </w:pPr>
      <w:r w:rsidRPr="00263DB9">
        <w:rPr>
          <w:color w:val="000000"/>
          <w:szCs w:val="22"/>
        </w:rPr>
        <w:t>Não utilize este medicamento após o prazo de validade impresso na embalagem exterior</w:t>
      </w:r>
      <w:r w:rsidR="009207F7" w:rsidRPr="00263DB9">
        <w:rPr>
          <w:color w:val="000000"/>
          <w:szCs w:val="22"/>
        </w:rPr>
        <w:t>, após EXP</w:t>
      </w:r>
      <w:r w:rsidRPr="00263DB9">
        <w:rPr>
          <w:color w:val="000000"/>
          <w:szCs w:val="22"/>
        </w:rPr>
        <w:t>.</w:t>
      </w:r>
    </w:p>
    <w:p w14:paraId="375EC11E" w14:textId="77777777" w:rsidR="00906898" w:rsidRPr="00263DB9" w:rsidRDefault="00906898" w:rsidP="00E51817">
      <w:pPr>
        <w:widowControl w:val="0"/>
        <w:numPr>
          <w:ilvl w:val="0"/>
          <w:numId w:val="2"/>
        </w:numPr>
        <w:tabs>
          <w:tab w:val="clear" w:pos="1069"/>
        </w:tabs>
        <w:suppressAutoHyphens/>
        <w:ind w:left="567" w:hanging="567"/>
        <w:rPr>
          <w:color w:val="000000"/>
          <w:szCs w:val="22"/>
        </w:rPr>
      </w:pPr>
      <w:r w:rsidRPr="00263DB9">
        <w:rPr>
          <w:color w:val="000000"/>
          <w:szCs w:val="22"/>
        </w:rPr>
        <w:t>Não conservar acima de 30°C.</w:t>
      </w:r>
    </w:p>
    <w:p w14:paraId="375EC11F" w14:textId="77777777" w:rsidR="00906898" w:rsidRPr="00263DB9" w:rsidRDefault="00906898" w:rsidP="00E51817">
      <w:pPr>
        <w:widowControl w:val="0"/>
        <w:numPr>
          <w:ilvl w:val="0"/>
          <w:numId w:val="2"/>
        </w:numPr>
        <w:tabs>
          <w:tab w:val="clear" w:pos="1069"/>
        </w:tabs>
        <w:suppressAutoHyphens/>
        <w:ind w:left="567" w:hanging="567"/>
        <w:rPr>
          <w:color w:val="000000"/>
          <w:szCs w:val="22"/>
        </w:rPr>
      </w:pPr>
      <w:r w:rsidRPr="00263DB9">
        <w:rPr>
          <w:color w:val="000000"/>
          <w:szCs w:val="22"/>
        </w:rPr>
        <w:t>Conservar na embalagem de origem para proteger da humidade.</w:t>
      </w:r>
    </w:p>
    <w:p w14:paraId="375EC120" w14:textId="77777777" w:rsidR="00906898" w:rsidRPr="00263DB9" w:rsidRDefault="00906898" w:rsidP="00E51817">
      <w:pPr>
        <w:widowControl w:val="0"/>
        <w:numPr>
          <w:ilvl w:val="0"/>
          <w:numId w:val="2"/>
        </w:numPr>
        <w:tabs>
          <w:tab w:val="clear" w:pos="1069"/>
        </w:tabs>
        <w:suppressAutoHyphens/>
        <w:ind w:left="567" w:hanging="567"/>
        <w:rPr>
          <w:color w:val="000000"/>
          <w:szCs w:val="22"/>
        </w:rPr>
      </w:pPr>
      <w:r w:rsidRPr="00263DB9">
        <w:rPr>
          <w:color w:val="000000"/>
          <w:szCs w:val="22"/>
        </w:rPr>
        <w:t>Não utilize se verificar que a embalagem está danificada ou mostre sinais de adulteração.</w:t>
      </w:r>
    </w:p>
    <w:p w14:paraId="375EC121" w14:textId="77777777" w:rsidR="00974390" w:rsidRPr="00263DB9" w:rsidRDefault="00974390" w:rsidP="00E51817">
      <w:pPr>
        <w:widowControl w:val="0"/>
        <w:numPr>
          <w:ilvl w:val="0"/>
          <w:numId w:val="2"/>
        </w:numPr>
        <w:tabs>
          <w:tab w:val="clear" w:pos="1069"/>
        </w:tabs>
        <w:suppressAutoHyphens/>
        <w:ind w:left="567" w:hanging="567"/>
        <w:rPr>
          <w:color w:val="000000"/>
          <w:szCs w:val="22"/>
        </w:rPr>
      </w:pPr>
      <w:r w:rsidRPr="00263DB9">
        <w:rPr>
          <w:szCs w:val="24"/>
        </w:rPr>
        <w:t>Não deite fora quaisquer medicamentos na canalização ou no lixo doméstico. Pergunte ao seu farmacêutico como deitar fora os medicamentos que já não utiliza. Estas medidas ajudarão a proteger o ambiente.</w:t>
      </w:r>
    </w:p>
    <w:p w14:paraId="375EC122" w14:textId="77777777" w:rsidR="00906898" w:rsidRPr="00263DB9" w:rsidRDefault="00906898" w:rsidP="00E51817">
      <w:pPr>
        <w:widowControl w:val="0"/>
        <w:suppressAutoHyphens/>
        <w:ind w:left="426" w:hanging="426"/>
        <w:rPr>
          <w:color w:val="000000"/>
          <w:szCs w:val="22"/>
        </w:rPr>
      </w:pPr>
    </w:p>
    <w:p w14:paraId="375EC123" w14:textId="77777777" w:rsidR="00906898" w:rsidRPr="00263DB9" w:rsidRDefault="00906898" w:rsidP="00E51817">
      <w:pPr>
        <w:widowControl w:val="0"/>
        <w:suppressAutoHyphens/>
        <w:rPr>
          <w:color w:val="000000"/>
          <w:szCs w:val="22"/>
        </w:rPr>
      </w:pPr>
    </w:p>
    <w:p w14:paraId="375EC124" w14:textId="77777777" w:rsidR="00906898" w:rsidRPr="00263DB9" w:rsidRDefault="00906898" w:rsidP="00273B82">
      <w:pPr>
        <w:keepNext/>
        <w:widowControl w:val="0"/>
        <w:suppressAutoHyphens/>
        <w:rPr>
          <w:b/>
          <w:caps/>
          <w:color w:val="000000"/>
          <w:szCs w:val="22"/>
        </w:rPr>
      </w:pPr>
      <w:r w:rsidRPr="00263DB9">
        <w:rPr>
          <w:b/>
          <w:caps/>
          <w:color w:val="000000"/>
          <w:szCs w:val="22"/>
        </w:rPr>
        <w:t>6.</w:t>
      </w:r>
      <w:r w:rsidRPr="00263DB9">
        <w:rPr>
          <w:b/>
          <w:caps/>
          <w:color w:val="000000"/>
          <w:szCs w:val="22"/>
        </w:rPr>
        <w:tab/>
      </w:r>
      <w:r w:rsidRPr="00263DB9">
        <w:rPr>
          <w:b/>
          <w:szCs w:val="24"/>
        </w:rPr>
        <w:t>Conteúdo da embalagem e outras informações</w:t>
      </w:r>
    </w:p>
    <w:p w14:paraId="375EC125" w14:textId="77777777" w:rsidR="00906898" w:rsidRPr="00263DB9" w:rsidRDefault="00906898" w:rsidP="00273B82">
      <w:pPr>
        <w:keepNext/>
        <w:widowControl w:val="0"/>
        <w:suppressAutoHyphens/>
        <w:rPr>
          <w:color w:val="000000"/>
          <w:szCs w:val="22"/>
        </w:rPr>
      </w:pPr>
    </w:p>
    <w:p w14:paraId="375EC126" w14:textId="77777777" w:rsidR="00906898" w:rsidRPr="00263DB9" w:rsidRDefault="00906898" w:rsidP="00273B82">
      <w:pPr>
        <w:keepNext/>
        <w:widowControl w:val="0"/>
        <w:suppressAutoHyphens/>
        <w:rPr>
          <w:b/>
          <w:color w:val="000000"/>
          <w:szCs w:val="22"/>
        </w:rPr>
      </w:pPr>
      <w:r w:rsidRPr="00263DB9">
        <w:rPr>
          <w:b/>
          <w:color w:val="000000"/>
          <w:szCs w:val="22"/>
        </w:rPr>
        <w:t>Qual a composição de Glivec</w:t>
      </w:r>
    </w:p>
    <w:p w14:paraId="4A7283AB" w14:textId="5CF6186B" w:rsidR="00214D9F" w:rsidRDefault="00906898" w:rsidP="00E51817">
      <w:pPr>
        <w:widowControl w:val="0"/>
        <w:numPr>
          <w:ilvl w:val="0"/>
          <w:numId w:val="1"/>
        </w:numPr>
        <w:tabs>
          <w:tab w:val="clear" w:pos="927"/>
        </w:tabs>
        <w:suppressAutoHyphens/>
        <w:ind w:left="567" w:hanging="567"/>
        <w:rPr>
          <w:color w:val="000000"/>
          <w:szCs w:val="22"/>
        </w:rPr>
      </w:pPr>
      <w:r w:rsidRPr="00263DB9">
        <w:rPr>
          <w:color w:val="000000"/>
          <w:szCs w:val="22"/>
        </w:rPr>
        <w:t>A substância ativa é o mesilato de imatinib.</w:t>
      </w:r>
    </w:p>
    <w:p w14:paraId="375EC127" w14:textId="6AE92C9A" w:rsidR="00906898" w:rsidRPr="00263DB9" w:rsidRDefault="00906898" w:rsidP="001D39C1">
      <w:pPr>
        <w:widowControl w:val="0"/>
        <w:numPr>
          <w:ilvl w:val="0"/>
          <w:numId w:val="1"/>
        </w:numPr>
        <w:tabs>
          <w:tab w:val="clear" w:pos="927"/>
        </w:tabs>
        <w:suppressAutoHyphens/>
        <w:ind w:left="1134" w:hanging="567"/>
        <w:rPr>
          <w:color w:val="000000"/>
          <w:szCs w:val="22"/>
        </w:rPr>
      </w:pPr>
      <w:r w:rsidRPr="00263DB9">
        <w:rPr>
          <w:color w:val="000000"/>
          <w:szCs w:val="22"/>
        </w:rPr>
        <w:t xml:space="preserve">Cada comprimido de </w:t>
      </w:r>
      <w:r w:rsidR="00214D9F">
        <w:rPr>
          <w:color w:val="000000"/>
          <w:szCs w:val="22"/>
        </w:rPr>
        <w:t xml:space="preserve">100 mg de </w:t>
      </w:r>
      <w:r w:rsidRPr="00263DB9">
        <w:rPr>
          <w:color w:val="000000"/>
          <w:szCs w:val="22"/>
        </w:rPr>
        <w:t>Glivec contém 100 mg de imatinib (na forma de mesilato).</w:t>
      </w:r>
    </w:p>
    <w:p w14:paraId="330B4A54" w14:textId="7C4D88EE" w:rsidR="00214D9F" w:rsidRPr="00263DB9" w:rsidRDefault="00214D9F" w:rsidP="001D39C1">
      <w:pPr>
        <w:widowControl w:val="0"/>
        <w:numPr>
          <w:ilvl w:val="0"/>
          <w:numId w:val="1"/>
        </w:numPr>
        <w:tabs>
          <w:tab w:val="clear" w:pos="927"/>
        </w:tabs>
        <w:suppressAutoHyphens/>
        <w:ind w:left="1134" w:hanging="567"/>
        <w:rPr>
          <w:color w:val="000000"/>
          <w:szCs w:val="22"/>
        </w:rPr>
      </w:pPr>
      <w:r w:rsidRPr="00263DB9">
        <w:rPr>
          <w:color w:val="000000"/>
          <w:szCs w:val="22"/>
        </w:rPr>
        <w:t xml:space="preserve">Cada comprimido de </w:t>
      </w:r>
      <w:r>
        <w:rPr>
          <w:color w:val="000000"/>
          <w:szCs w:val="22"/>
        </w:rPr>
        <w:t>400 mg de Glivec contém 4</w:t>
      </w:r>
      <w:r w:rsidRPr="00263DB9">
        <w:rPr>
          <w:color w:val="000000"/>
          <w:szCs w:val="22"/>
        </w:rPr>
        <w:t>00 mg de imatinib (na forma de mesilato).</w:t>
      </w:r>
    </w:p>
    <w:p w14:paraId="375EC128" w14:textId="77777777" w:rsidR="00906898" w:rsidRPr="00263DB9" w:rsidRDefault="00906898" w:rsidP="00E51817">
      <w:pPr>
        <w:widowControl w:val="0"/>
        <w:numPr>
          <w:ilvl w:val="0"/>
          <w:numId w:val="1"/>
        </w:numPr>
        <w:tabs>
          <w:tab w:val="clear" w:pos="927"/>
        </w:tabs>
        <w:suppressAutoHyphens/>
        <w:ind w:left="567" w:hanging="567"/>
        <w:rPr>
          <w:color w:val="000000"/>
          <w:szCs w:val="22"/>
        </w:rPr>
      </w:pPr>
      <w:r w:rsidRPr="00263DB9">
        <w:rPr>
          <w:color w:val="000000"/>
          <w:szCs w:val="22"/>
        </w:rPr>
        <w:t>Os outros componentes são a celulose microcristalina, a crospovidona, a hipromelose, o estearato de magnésio e a sílica coloidal anidra.</w:t>
      </w:r>
    </w:p>
    <w:p w14:paraId="375EC129" w14:textId="77777777" w:rsidR="00906898" w:rsidRPr="00263DB9" w:rsidRDefault="00906898" w:rsidP="00E51817">
      <w:pPr>
        <w:widowControl w:val="0"/>
        <w:numPr>
          <w:ilvl w:val="0"/>
          <w:numId w:val="1"/>
        </w:numPr>
        <w:tabs>
          <w:tab w:val="clear" w:pos="927"/>
        </w:tabs>
        <w:suppressAutoHyphens/>
        <w:ind w:left="567" w:hanging="567"/>
        <w:rPr>
          <w:color w:val="000000"/>
          <w:szCs w:val="22"/>
        </w:rPr>
      </w:pPr>
      <w:r w:rsidRPr="00263DB9">
        <w:rPr>
          <w:color w:val="000000"/>
          <w:szCs w:val="22"/>
        </w:rPr>
        <w:t>O revestimento dos comprimidos é constituído por óxido de ferro vermelho (E172) e óxido de ferro amarelo (E172), macrogol, talco e hipromelose.</w:t>
      </w:r>
    </w:p>
    <w:p w14:paraId="375EC12A" w14:textId="77777777" w:rsidR="00906898" w:rsidRPr="00263DB9" w:rsidRDefault="00906898" w:rsidP="00E51817">
      <w:pPr>
        <w:widowControl w:val="0"/>
        <w:numPr>
          <w:ilvl w:val="12"/>
          <w:numId w:val="0"/>
        </w:numPr>
        <w:suppressAutoHyphens/>
        <w:rPr>
          <w:color w:val="000000"/>
          <w:szCs w:val="22"/>
        </w:rPr>
      </w:pPr>
    </w:p>
    <w:p w14:paraId="375EC12B" w14:textId="77777777" w:rsidR="00906898" w:rsidRPr="00263DB9" w:rsidRDefault="00906898" w:rsidP="00273B82">
      <w:pPr>
        <w:keepNext/>
        <w:widowControl w:val="0"/>
        <w:numPr>
          <w:ilvl w:val="12"/>
          <w:numId w:val="0"/>
        </w:numPr>
        <w:suppressAutoHyphens/>
        <w:rPr>
          <w:b/>
          <w:color w:val="000000"/>
          <w:szCs w:val="22"/>
        </w:rPr>
      </w:pPr>
      <w:r w:rsidRPr="00263DB9">
        <w:rPr>
          <w:b/>
          <w:color w:val="000000"/>
          <w:szCs w:val="22"/>
        </w:rPr>
        <w:t>Qual o aspeto de Glivec e conteúdo da embalagem</w:t>
      </w:r>
    </w:p>
    <w:p w14:paraId="375EC12C" w14:textId="77777777" w:rsidR="00906898" w:rsidRPr="00263DB9" w:rsidRDefault="00906898" w:rsidP="00E51817">
      <w:pPr>
        <w:widowControl w:val="0"/>
        <w:rPr>
          <w:color w:val="000000"/>
          <w:szCs w:val="22"/>
        </w:rPr>
      </w:pPr>
      <w:r w:rsidRPr="00263DB9">
        <w:rPr>
          <w:color w:val="000000"/>
          <w:szCs w:val="22"/>
        </w:rPr>
        <w:t>Glivec 100 mg comprimidos revestidos por película são de cor amarelo muito escuro a laranja-acastanhado. Os comprimidos têm a marca “NVR” numa face e “SA” e uma ranhura na outra face.</w:t>
      </w:r>
    </w:p>
    <w:p w14:paraId="375EC12D" w14:textId="5A202BA2" w:rsidR="00906898" w:rsidRDefault="00214D9F" w:rsidP="00E51817">
      <w:pPr>
        <w:pStyle w:val="Text"/>
        <w:widowControl w:val="0"/>
        <w:spacing w:before="0"/>
        <w:jc w:val="left"/>
        <w:rPr>
          <w:color w:val="000000"/>
          <w:sz w:val="22"/>
          <w:szCs w:val="22"/>
          <w:lang w:val="pt-PT"/>
        </w:rPr>
      </w:pPr>
      <w:r w:rsidRPr="00214D9F">
        <w:rPr>
          <w:color w:val="000000"/>
          <w:sz w:val="22"/>
          <w:szCs w:val="22"/>
          <w:lang w:val="pt-PT"/>
        </w:rPr>
        <w:t>Glivec 400 mg comprimidos revestidos por película são de cor amarelo muito escuro a laranja acastanhado. Os comprimidos têm a marca “glivec” numa face</w:t>
      </w:r>
      <w:r>
        <w:rPr>
          <w:color w:val="000000"/>
          <w:sz w:val="22"/>
          <w:szCs w:val="22"/>
          <w:lang w:val="pt-PT"/>
        </w:rPr>
        <w:t>.</w:t>
      </w:r>
    </w:p>
    <w:p w14:paraId="1F36DD5D" w14:textId="77777777" w:rsidR="00214D9F" w:rsidRPr="00263DB9" w:rsidRDefault="00214D9F" w:rsidP="00E51817">
      <w:pPr>
        <w:pStyle w:val="Text"/>
        <w:widowControl w:val="0"/>
        <w:spacing w:before="0"/>
        <w:jc w:val="left"/>
        <w:rPr>
          <w:color w:val="000000"/>
          <w:sz w:val="22"/>
          <w:szCs w:val="22"/>
          <w:lang w:val="pt-PT"/>
        </w:rPr>
      </w:pPr>
    </w:p>
    <w:p w14:paraId="30DC3A84" w14:textId="5713FC65" w:rsidR="00214D9F" w:rsidRDefault="00214D9F" w:rsidP="00E51817">
      <w:pPr>
        <w:widowControl w:val="0"/>
        <w:rPr>
          <w:color w:val="000000"/>
          <w:szCs w:val="22"/>
        </w:rPr>
      </w:pPr>
      <w:r w:rsidRPr="00263DB9">
        <w:rPr>
          <w:color w:val="000000"/>
          <w:szCs w:val="22"/>
        </w:rPr>
        <w:t xml:space="preserve">Glivec 100 mg comprimidos revestidos por película </w:t>
      </w:r>
      <w:r>
        <w:rPr>
          <w:color w:val="000000"/>
          <w:szCs w:val="22"/>
        </w:rPr>
        <w:t>é</w:t>
      </w:r>
      <w:r w:rsidR="00906898" w:rsidRPr="00263DB9">
        <w:rPr>
          <w:color w:val="000000"/>
          <w:szCs w:val="22"/>
        </w:rPr>
        <w:t xml:space="preserve"> comercializado em embalagens contendo 20, 60, 120 ou 180 comprimidos</w:t>
      </w:r>
      <w:r>
        <w:rPr>
          <w:color w:val="000000"/>
          <w:szCs w:val="22"/>
        </w:rPr>
        <w:t>.</w:t>
      </w:r>
    </w:p>
    <w:p w14:paraId="1922342C" w14:textId="34C69365" w:rsidR="00214D9F" w:rsidRDefault="00214D9F" w:rsidP="00E51817">
      <w:pPr>
        <w:widowControl w:val="0"/>
        <w:rPr>
          <w:color w:val="000000"/>
          <w:szCs w:val="22"/>
        </w:rPr>
      </w:pPr>
      <w:r w:rsidRPr="00263DB9">
        <w:rPr>
          <w:color w:val="000000"/>
          <w:szCs w:val="22"/>
        </w:rPr>
        <w:t>Glivec 400 mg comprimidos revestidos por película</w:t>
      </w:r>
      <w:r>
        <w:rPr>
          <w:color w:val="000000"/>
          <w:szCs w:val="22"/>
        </w:rPr>
        <w:t xml:space="preserve"> é</w:t>
      </w:r>
      <w:r w:rsidRPr="00263DB9">
        <w:rPr>
          <w:color w:val="000000"/>
          <w:szCs w:val="22"/>
        </w:rPr>
        <w:t xml:space="preserve"> comercializado em embalagens contendo 10, 30 ou 90 comprimidos</w:t>
      </w:r>
      <w:r>
        <w:rPr>
          <w:color w:val="000000"/>
          <w:szCs w:val="22"/>
        </w:rPr>
        <w:t>.</w:t>
      </w:r>
    </w:p>
    <w:p w14:paraId="375EC12E" w14:textId="41116853" w:rsidR="00906898" w:rsidRPr="00263DB9" w:rsidRDefault="00214D9F" w:rsidP="00E51817">
      <w:pPr>
        <w:widowControl w:val="0"/>
        <w:rPr>
          <w:noProof/>
          <w:color w:val="000000"/>
          <w:szCs w:val="22"/>
        </w:rPr>
      </w:pPr>
      <w:r>
        <w:rPr>
          <w:color w:val="000000"/>
          <w:szCs w:val="22"/>
        </w:rPr>
        <w:t>Estas</w:t>
      </w:r>
      <w:r w:rsidR="00906898" w:rsidRPr="00263DB9">
        <w:rPr>
          <w:color w:val="000000"/>
          <w:szCs w:val="22"/>
        </w:rPr>
        <w:t xml:space="preserve"> podem não estar </w:t>
      </w:r>
      <w:r w:rsidR="008C2718">
        <w:rPr>
          <w:color w:val="000000"/>
          <w:szCs w:val="22"/>
        </w:rPr>
        <w:t xml:space="preserve">todas </w:t>
      </w:r>
      <w:r w:rsidR="00906898" w:rsidRPr="00263DB9">
        <w:rPr>
          <w:color w:val="000000"/>
          <w:szCs w:val="22"/>
        </w:rPr>
        <w:t>comercializados no seu país.</w:t>
      </w:r>
    </w:p>
    <w:p w14:paraId="375EC12F" w14:textId="77777777" w:rsidR="00906898" w:rsidRPr="00263DB9" w:rsidRDefault="00906898" w:rsidP="00E51817">
      <w:pPr>
        <w:widowControl w:val="0"/>
        <w:numPr>
          <w:ilvl w:val="12"/>
          <w:numId w:val="0"/>
        </w:numPr>
        <w:suppressAutoHyphens/>
        <w:rPr>
          <w:color w:val="000000"/>
          <w:szCs w:val="22"/>
        </w:rPr>
      </w:pPr>
    </w:p>
    <w:p w14:paraId="375EC130" w14:textId="77777777" w:rsidR="00906898" w:rsidRPr="00263DB9" w:rsidRDefault="00906898" w:rsidP="00273B82">
      <w:pPr>
        <w:pStyle w:val="Heading5"/>
        <w:widowControl w:val="0"/>
        <w:numPr>
          <w:ilvl w:val="12"/>
          <w:numId w:val="0"/>
        </w:numPr>
        <w:rPr>
          <w:color w:val="000000"/>
          <w:szCs w:val="22"/>
        </w:rPr>
      </w:pPr>
      <w:r w:rsidRPr="00263DB9">
        <w:rPr>
          <w:color w:val="000000"/>
          <w:szCs w:val="22"/>
        </w:rPr>
        <w:t>Titular da Autorização de Introdução no Mercado</w:t>
      </w:r>
    </w:p>
    <w:p w14:paraId="375EC131" w14:textId="77777777" w:rsidR="00906898" w:rsidRPr="00263DB9" w:rsidRDefault="00906898" w:rsidP="00273B82">
      <w:pPr>
        <w:pStyle w:val="EndnoteText"/>
        <w:keepNext/>
        <w:numPr>
          <w:ilvl w:val="12"/>
          <w:numId w:val="0"/>
        </w:numPr>
        <w:tabs>
          <w:tab w:val="clear" w:pos="567"/>
        </w:tabs>
        <w:suppressAutoHyphens/>
        <w:rPr>
          <w:color w:val="000000"/>
          <w:szCs w:val="22"/>
          <w:lang w:val="en-US"/>
        </w:rPr>
      </w:pPr>
      <w:r w:rsidRPr="00263DB9">
        <w:rPr>
          <w:color w:val="000000"/>
          <w:szCs w:val="22"/>
          <w:lang w:val="en-US"/>
        </w:rPr>
        <w:t>Novartis Europharm Limited</w:t>
      </w:r>
    </w:p>
    <w:p w14:paraId="375EC132" w14:textId="77777777" w:rsidR="009C587B" w:rsidRPr="00263DB9" w:rsidRDefault="009C587B" w:rsidP="00E51817">
      <w:pPr>
        <w:keepNext/>
        <w:widowControl w:val="0"/>
        <w:rPr>
          <w:color w:val="000000"/>
          <w:lang w:val="en-US"/>
        </w:rPr>
      </w:pPr>
      <w:r w:rsidRPr="00263DB9">
        <w:rPr>
          <w:color w:val="000000"/>
          <w:lang w:val="en-US"/>
        </w:rPr>
        <w:t>Vista Building</w:t>
      </w:r>
    </w:p>
    <w:p w14:paraId="375EC133" w14:textId="77777777" w:rsidR="009C587B" w:rsidRPr="00263DB9" w:rsidRDefault="009C587B" w:rsidP="00E51817">
      <w:pPr>
        <w:keepNext/>
        <w:widowControl w:val="0"/>
        <w:rPr>
          <w:color w:val="000000"/>
          <w:lang w:val="en-US"/>
        </w:rPr>
      </w:pPr>
      <w:r w:rsidRPr="00263DB9">
        <w:rPr>
          <w:color w:val="000000"/>
          <w:lang w:val="en-US"/>
        </w:rPr>
        <w:t>Elm Park, Merrion Road</w:t>
      </w:r>
    </w:p>
    <w:p w14:paraId="375EC134" w14:textId="77777777" w:rsidR="009C587B" w:rsidRPr="00263DB9" w:rsidRDefault="009C587B" w:rsidP="00E51817">
      <w:pPr>
        <w:keepNext/>
        <w:widowControl w:val="0"/>
        <w:rPr>
          <w:color w:val="000000"/>
        </w:rPr>
      </w:pPr>
      <w:r w:rsidRPr="00263DB9">
        <w:rPr>
          <w:color w:val="000000"/>
        </w:rPr>
        <w:t>Dublin 4</w:t>
      </w:r>
    </w:p>
    <w:p w14:paraId="375EC135" w14:textId="77777777" w:rsidR="009C587B" w:rsidRPr="00263DB9" w:rsidRDefault="009C587B" w:rsidP="00E51817">
      <w:pPr>
        <w:widowControl w:val="0"/>
        <w:rPr>
          <w:color w:val="000000"/>
        </w:rPr>
      </w:pPr>
      <w:r w:rsidRPr="00263DB9">
        <w:rPr>
          <w:color w:val="000000"/>
        </w:rPr>
        <w:t>Irlanda</w:t>
      </w:r>
    </w:p>
    <w:p w14:paraId="375EC136" w14:textId="77777777" w:rsidR="00906898" w:rsidRPr="001D39C1" w:rsidRDefault="00906898" w:rsidP="00E51817">
      <w:pPr>
        <w:widowControl w:val="0"/>
        <w:numPr>
          <w:ilvl w:val="12"/>
          <w:numId w:val="0"/>
        </w:numPr>
        <w:suppressAutoHyphens/>
        <w:rPr>
          <w:color w:val="000000"/>
          <w:szCs w:val="22"/>
        </w:rPr>
      </w:pPr>
    </w:p>
    <w:p w14:paraId="375EC137" w14:textId="77777777" w:rsidR="00906898" w:rsidRPr="00263DB9" w:rsidRDefault="00906898" w:rsidP="00273B82">
      <w:pPr>
        <w:pStyle w:val="Heading5"/>
        <w:widowControl w:val="0"/>
        <w:numPr>
          <w:ilvl w:val="12"/>
          <w:numId w:val="0"/>
        </w:numPr>
        <w:rPr>
          <w:color w:val="000000"/>
          <w:szCs w:val="22"/>
        </w:rPr>
      </w:pPr>
      <w:r w:rsidRPr="00263DB9">
        <w:rPr>
          <w:color w:val="000000"/>
          <w:szCs w:val="22"/>
        </w:rPr>
        <w:t>Fabricante</w:t>
      </w:r>
    </w:p>
    <w:p w14:paraId="375EC138" w14:textId="77777777" w:rsidR="00487824" w:rsidRPr="001D39C1" w:rsidRDefault="00487824" w:rsidP="00273B82">
      <w:pPr>
        <w:keepNext/>
        <w:widowControl w:val="0"/>
        <w:tabs>
          <w:tab w:val="left" w:pos="7513"/>
        </w:tabs>
        <w:rPr>
          <w:szCs w:val="22"/>
        </w:rPr>
      </w:pPr>
      <w:r w:rsidRPr="001D39C1">
        <w:rPr>
          <w:szCs w:val="22"/>
        </w:rPr>
        <w:t>Lek d.d, PE PROIZVODNJA LENDAVA</w:t>
      </w:r>
    </w:p>
    <w:p w14:paraId="375EC139" w14:textId="77777777" w:rsidR="00487824" w:rsidRPr="001D39C1" w:rsidRDefault="00487824" w:rsidP="00273B82">
      <w:pPr>
        <w:keepNext/>
        <w:widowControl w:val="0"/>
        <w:tabs>
          <w:tab w:val="left" w:pos="7513"/>
        </w:tabs>
        <w:rPr>
          <w:szCs w:val="22"/>
        </w:rPr>
      </w:pPr>
      <w:r w:rsidRPr="001D39C1">
        <w:rPr>
          <w:szCs w:val="22"/>
        </w:rPr>
        <w:t>Trimlini 2D</w:t>
      </w:r>
    </w:p>
    <w:p w14:paraId="375EC13A" w14:textId="77777777" w:rsidR="00487824" w:rsidRPr="001D39C1" w:rsidRDefault="00487824" w:rsidP="00273B82">
      <w:pPr>
        <w:keepNext/>
        <w:widowControl w:val="0"/>
        <w:tabs>
          <w:tab w:val="left" w:pos="7513"/>
        </w:tabs>
        <w:rPr>
          <w:szCs w:val="22"/>
        </w:rPr>
      </w:pPr>
      <w:r w:rsidRPr="001D39C1">
        <w:rPr>
          <w:szCs w:val="22"/>
        </w:rPr>
        <w:t>Lendava, 9220</w:t>
      </w:r>
    </w:p>
    <w:p w14:paraId="375EC13B" w14:textId="77777777" w:rsidR="00487824" w:rsidRPr="00263DB9" w:rsidRDefault="00487824" w:rsidP="00E51817">
      <w:pPr>
        <w:pStyle w:val="Text"/>
        <w:widowControl w:val="0"/>
        <w:spacing w:before="0"/>
        <w:jc w:val="left"/>
        <w:rPr>
          <w:sz w:val="22"/>
          <w:szCs w:val="22"/>
          <w:lang w:val="pt-PT"/>
        </w:rPr>
      </w:pPr>
      <w:r w:rsidRPr="00263DB9">
        <w:rPr>
          <w:sz w:val="22"/>
          <w:szCs w:val="22"/>
          <w:lang w:val="pt-PT"/>
        </w:rPr>
        <w:t>Eslovénia</w:t>
      </w:r>
    </w:p>
    <w:p w14:paraId="375EC13C" w14:textId="77777777" w:rsidR="00487824" w:rsidRPr="001D39C1" w:rsidRDefault="00487824" w:rsidP="00E51817">
      <w:pPr>
        <w:pStyle w:val="Text"/>
        <w:widowControl w:val="0"/>
        <w:spacing w:before="0"/>
        <w:jc w:val="left"/>
        <w:rPr>
          <w:sz w:val="22"/>
          <w:szCs w:val="22"/>
          <w:lang w:val="pt-PT"/>
        </w:rPr>
      </w:pPr>
    </w:p>
    <w:p w14:paraId="375EC13D" w14:textId="77777777" w:rsidR="00906898" w:rsidRPr="00263DB9" w:rsidRDefault="00906898" w:rsidP="00273B82">
      <w:pPr>
        <w:keepNext/>
        <w:widowControl w:val="0"/>
        <w:numPr>
          <w:ilvl w:val="12"/>
          <w:numId w:val="0"/>
        </w:numPr>
        <w:suppressAutoHyphens/>
        <w:rPr>
          <w:color w:val="000000"/>
          <w:szCs w:val="22"/>
          <w:shd w:val="pct15" w:color="auto" w:fill="auto"/>
        </w:rPr>
      </w:pPr>
      <w:r w:rsidRPr="00263DB9">
        <w:rPr>
          <w:color w:val="000000"/>
          <w:szCs w:val="22"/>
          <w:shd w:val="pct15" w:color="auto" w:fill="auto"/>
        </w:rPr>
        <w:t>Novartis Pharma GmbH</w:t>
      </w:r>
    </w:p>
    <w:p w14:paraId="375EC13E" w14:textId="77777777" w:rsidR="00906898" w:rsidRPr="00263DB9" w:rsidRDefault="00906898" w:rsidP="00273B82">
      <w:pPr>
        <w:keepNext/>
        <w:widowControl w:val="0"/>
        <w:numPr>
          <w:ilvl w:val="12"/>
          <w:numId w:val="0"/>
        </w:numPr>
        <w:suppressAutoHyphens/>
        <w:rPr>
          <w:color w:val="000000"/>
          <w:szCs w:val="22"/>
          <w:shd w:val="pct15" w:color="auto" w:fill="auto"/>
        </w:rPr>
      </w:pPr>
      <w:r w:rsidRPr="00263DB9">
        <w:rPr>
          <w:color w:val="000000"/>
          <w:szCs w:val="22"/>
          <w:shd w:val="pct15" w:color="auto" w:fill="auto"/>
        </w:rPr>
        <w:t>Roonstrasse 25</w:t>
      </w:r>
    </w:p>
    <w:p w14:paraId="375EC13F" w14:textId="77777777" w:rsidR="00906898" w:rsidRPr="00263DB9" w:rsidRDefault="00906898" w:rsidP="00273B82">
      <w:pPr>
        <w:keepNext/>
        <w:widowControl w:val="0"/>
        <w:numPr>
          <w:ilvl w:val="12"/>
          <w:numId w:val="0"/>
        </w:numPr>
        <w:suppressAutoHyphens/>
        <w:rPr>
          <w:color w:val="000000"/>
          <w:szCs w:val="22"/>
          <w:shd w:val="pct15" w:color="auto" w:fill="auto"/>
        </w:rPr>
      </w:pPr>
      <w:r w:rsidRPr="00263DB9">
        <w:rPr>
          <w:color w:val="000000"/>
          <w:szCs w:val="22"/>
          <w:shd w:val="pct15" w:color="auto" w:fill="auto"/>
        </w:rPr>
        <w:t>D-90429 Nuremberga</w:t>
      </w:r>
    </w:p>
    <w:p w14:paraId="375EC140" w14:textId="77777777" w:rsidR="00906898" w:rsidRPr="00263DB9" w:rsidRDefault="00906898" w:rsidP="00E51817">
      <w:pPr>
        <w:widowControl w:val="0"/>
        <w:numPr>
          <w:ilvl w:val="12"/>
          <w:numId w:val="0"/>
        </w:numPr>
        <w:suppressAutoHyphens/>
        <w:rPr>
          <w:color w:val="000000"/>
          <w:szCs w:val="22"/>
          <w:shd w:val="pct15" w:color="auto" w:fill="auto"/>
        </w:rPr>
      </w:pPr>
      <w:r w:rsidRPr="00263DB9">
        <w:rPr>
          <w:color w:val="000000"/>
          <w:szCs w:val="22"/>
          <w:shd w:val="pct15" w:color="auto" w:fill="auto"/>
        </w:rPr>
        <w:t>Alemanha</w:t>
      </w:r>
    </w:p>
    <w:p w14:paraId="375EC141" w14:textId="77777777" w:rsidR="00906898" w:rsidRPr="00263DB9" w:rsidRDefault="00906898" w:rsidP="00E51817">
      <w:pPr>
        <w:widowControl w:val="0"/>
        <w:suppressAutoHyphens/>
        <w:rPr>
          <w:color w:val="000000"/>
          <w:szCs w:val="22"/>
        </w:rPr>
      </w:pPr>
    </w:p>
    <w:p w14:paraId="375EC142" w14:textId="77777777" w:rsidR="00906898" w:rsidRPr="00263DB9" w:rsidRDefault="00906898" w:rsidP="00273B82">
      <w:pPr>
        <w:keepNext/>
        <w:keepLines/>
        <w:widowControl w:val="0"/>
        <w:suppressAutoHyphens/>
        <w:ind w:right="14"/>
        <w:rPr>
          <w:color w:val="000000"/>
          <w:szCs w:val="22"/>
        </w:rPr>
      </w:pPr>
      <w:r w:rsidRPr="00263DB9">
        <w:rPr>
          <w:color w:val="000000"/>
          <w:szCs w:val="22"/>
        </w:rPr>
        <w:lastRenderedPageBreak/>
        <w:t>Para quaisquer informações sobre este medicamento, queira contactar o representante local do Titular da Autorização de Introdução no Mercado.</w:t>
      </w:r>
    </w:p>
    <w:p w14:paraId="375EC143" w14:textId="77777777" w:rsidR="00C25DD8" w:rsidRPr="00263DB9" w:rsidRDefault="00C25DD8" w:rsidP="00273B82">
      <w:pPr>
        <w:keepNext/>
        <w:keepLines/>
        <w:widowControl w:val="0"/>
        <w:ind w:right="-449"/>
        <w:rPr>
          <w:color w:val="000000"/>
          <w:szCs w:val="22"/>
        </w:rPr>
      </w:pPr>
    </w:p>
    <w:tbl>
      <w:tblPr>
        <w:tblW w:w="9300" w:type="dxa"/>
        <w:tblLayout w:type="fixed"/>
        <w:tblLook w:val="0000" w:firstRow="0" w:lastRow="0" w:firstColumn="0" w:lastColumn="0" w:noHBand="0" w:noVBand="0"/>
      </w:tblPr>
      <w:tblGrid>
        <w:gridCol w:w="4650"/>
        <w:gridCol w:w="4650"/>
      </w:tblGrid>
      <w:tr w:rsidR="00C25DD8" w:rsidRPr="00263DB9" w14:paraId="375EC14C" w14:textId="77777777" w:rsidTr="009C587B">
        <w:trPr>
          <w:cantSplit/>
        </w:trPr>
        <w:tc>
          <w:tcPr>
            <w:tcW w:w="4650" w:type="dxa"/>
          </w:tcPr>
          <w:p w14:paraId="375EC144" w14:textId="77777777" w:rsidR="00C25DD8" w:rsidRPr="00263DB9" w:rsidRDefault="00C25DD8" w:rsidP="00E51817">
            <w:pPr>
              <w:widowControl w:val="0"/>
              <w:rPr>
                <w:b/>
                <w:color w:val="000000"/>
                <w:szCs w:val="22"/>
                <w:lang w:val="fr-FR"/>
              </w:rPr>
            </w:pPr>
            <w:r w:rsidRPr="00263DB9">
              <w:rPr>
                <w:b/>
                <w:color w:val="000000"/>
                <w:szCs w:val="22"/>
                <w:lang w:val="fr-FR"/>
              </w:rPr>
              <w:t>België/Belgique/Belgien</w:t>
            </w:r>
          </w:p>
          <w:p w14:paraId="375EC145" w14:textId="77777777" w:rsidR="00C25DD8" w:rsidRPr="00263DB9" w:rsidRDefault="00C25DD8" w:rsidP="00E51817">
            <w:pPr>
              <w:widowControl w:val="0"/>
              <w:rPr>
                <w:color w:val="000000"/>
                <w:szCs w:val="22"/>
                <w:lang w:val="fr-FR"/>
              </w:rPr>
            </w:pPr>
            <w:r w:rsidRPr="00263DB9">
              <w:rPr>
                <w:color w:val="000000"/>
                <w:szCs w:val="22"/>
                <w:lang w:val="fr-FR"/>
              </w:rPr>
              <w:t>Novartis Pharma N.V.</w:t>
            </w:r>
          </w:p>
          <w:p w14:paraId="375EC146" w14:textId="77777777" w:rsidR="00C25DD8" w:rsidRPr="00263DB9" w:rsidRDefault="00C25DD8" w:rsidP="00E51817">
            <w:pPr>
              <w:widowControl w:val="0"/>
              <w:rPr>
                <w:color w:val="000000"/>
                <w:szCs w:val="22"/>
              </w:rPr>
            </w:pPr>
            <w:r w:rsidRPr="00263DB9">
              <w:rPr>
                <w:color w:val="000000"/>
                <w:szCs w:val="22"/>
              </w:rPr>
              <w:t>Tél/Tel: +32 2 246 16 11</w:t>
            </w:r>
          </w:p>
          <w:p w14:paraId="375EC147" w14:textId="77777777" w:rsidR="00C25DD8" w:rsidRPr="00263DB9" w:rsidRDefault="00C25DD8" w:rsidP="00E51817">
            <w:pPr>
              <w:widowControl w:val="0"/>
              <w:rPr>
                <w:b/>
                <w:color w:val="000000"/>
                <w:szCs w:val="22"/>
              </w:rPr>
            </w:pPr>
          </w:p>
        </w:tc>
        <w:tc>
          <w:tcPr>
            <w:tcW w:w="4650" w:type="dxa"/>
          </w:tcPr>
          <w:p w14:paraId="375EC148" w14:textId="77777777" w:rsidR="00C25DD8" w:rsidRPr="001D39C1" w:rsidRDefault="00C25DD8" w:rsidP="00E51817">
            <w:pPr>
              <w:widowControl w:val="0"/>
              <w:rPr>
                <w:b/>
                <w:color w:val="000000"/>
                <w:szCs w:val="22"/>
                <w:lang w:val="es-ES"/>
              </w:rPr>
            </w:pPr>
            <w:r w:rsidRPr="001D39C1">
              <w:rPr>
                <w:b/>
                <w:color w:val="000000"/>
                <w:szCs w:val="22"/>
                <w:lang w:val="es-ES"/>
              </w:rPr>
              <w:t>Lietuva</w:t>
            </w:r>
          </w:p>
          <w:p w14:paraId="375EC149" w14:textId="3F0993A8" w:rsidR="00C25DD8" w:rsidRPr="001D39C1" w:rsidRDefault="00F26150" w:rsidP="00E51817">
            <w:pPr>
              <w:widowControl w:val="0"/>
              <w:rPr>
                <w:color w:val="000000"/>
                <w:szCs w:val="22"/>
                <w:lang w:val="es-ES"/>
              </w:rPr>
            </w:pPr>
            <w:r w:rsidRPr="00263DB9">
              <w:rPr>
                <w:color w:val="000000"/>
                <w:szCs w:val="22"/>
                <w:lang w:val="es-ES"/>
              </w:rPr>
              <w:t>SIA Novartis Baltics Lietuvos filialas</w:t>
            </w:r>
          </w:p>
          <w:p w14:paraId="375EC14A" w14:textId="77777777" w:rsidR="00C25DD8" w:rsidRPr="00263DB9" w:rsidRDefault="00C25DD8" w:rsidP="00E51817">
            <w:pPr>
              <w:widowControl w:val="0"/>
              <w:rPr>
                <w:color w:val="000000"/>
                <w:szCs w:val="22"/>
              </w:rPr>
            </w:pPr>
            <w:r w:rsidRPr="00263DB9">
              <w:rPr>
                <w:color w:val="000000"/>
                <w:szCs w:val="22"/>
              </w:rPr>
              <w:t>Tel: +370 5 269 16 50</w:t>
            </w:r>
          </w:p>
          <w:p w14:paraId="375EC14B" w14:textId="77777777" w:rsidR="00C25DD8" w:rsidRPr="00263DB9" w:rsidRDefault="00C25DD8" w:rsidP="00E51817">
            <w:pPr>
              <w:widowControl w:val="0"/>
              <w:rPr>
                <w:color w:val="000000"/>
                <w:szCs w:val="22"/>
                <w:lang w:val="de-CH"/>
              </w:rPr>
            </w:pPr>
          </w:p>
        </w:tc>
      </w:tr>
      <w:tr w:rsidR="00C25DD8" w:rsidRPr="00263DB9" w14:paraId="375EC155" w14:textId="77777777" w:rsidTr="009C587B">
        <w:trPr>
          <w:cantSplit/>
        </w:trPr>
        <w:tc>
          <w:tcPr>
            <w:tcW w:w="4650" w:type="dxa"/>
          </w:tcPr>
          <w:p w14:paraId="375EC14D" w14:textId="77777777" w:rsidR="00C25DD8" w:rsidRPr="001D39C1" w:rsidRDefault="00C25DD8" w:rsidP="00E51817">
            <w:pPr>
              <w:widowControl w:val="0"/>
              <w:rPr>
                <w:b/>
                <w:noProof/>
                <w:color w:val="000000"/>
                <w:szCs w:val="22"/>
                <w:lang w:val="es-ES"/>
              </w:rPr>
            </w:pPr>
            <w:r w:rsidRPr="00263DB9">
              <w:rPr>
                <w:b/>
                <w:noProof/>
                <w:color w:val="000000"/>
                <w:szCs w:val="22"/>
              </w:rPr>
              <w:t>България</w:t>
            </w:r>
          </w:p>
          <w:p w14:paraId="375EC14E" w14:textId="77777777" w:rsidR="00C25DD8" w:rsidRPr="001D39C1" w:rsidRDefault="009207F7" w:rsidP="00E51817">
            <w:pPr>
              <w:widowControl w:val="0"/>
              <w:rPr>
                <w:noProof/>
                <w:color w:val="000000"/>
                <w:szCs w:val="22"/>
                <w:lang w:val="es-ES"/>
              </w:rPr>
            </w:pPr>
            <w:r w:rsidRPr="001D39C1">
              <w:rPr>
                <w:noProof/>
                <w:color w:val="000000"/>
                <w:szCs w:val="22"/>
                <w:lang w:val="es-ES"/>
              </w:rPr>
              <w:t>Novartis Bulgaria EOOD</w:t>
            </w:r>
          </w:p>
          <w:p w14:paraId="375EC14F" w14:textId="77777777" w:rsidR="00C25DD8" w:rsidRPr="00263DB9" w:rsidRDefault="00C25DD8" w:rsidP="00E51817">
            <w:pPr>
              <w:widowControl w:val="0"/>
              <w:rPr>
                <w:noProof/>
                <w:color w:val="000000"/>
                <w:szCs w:val="22"/>
              </w:rPr>
            </w:pPr>
            <w:r w:rsidRPr="00263DB9">
              <w:rPr>
                <w:noProof/>
                <w:color w:val="000000"/>
                <w:szCs w:val="22"/>
              </w:rPr>
              <w:t>Тел.: +359 2 489 98 28</w:t>
            </w:r>
          </w:p>
          <w:p w14:paraId="375EC150" w14:textId="77777777" w:rsidR="00C25DD8" w:rsidRPr="00263DB9" w:rsidRDefault="00C25DD8" w:rsidP="00E51817">
            <w:pPr>
              <w:widowControl w:val="0"/>
              <w:rPr>
                <w:b/>
                <w:color w:val="000000"/>
                <w:szCs w:val="22"/>
                <w:lang w:val="pt-BR"/>
              </w:rPr>
            </w:pPr>
          </w:p>
        </w:tc>
        <w:tc>
          <w:tcPr>
            <w:tcW w:w="4650" w:type="dxa"/>
          </w:tcPr>
          <w:p w14:paraId="375EC151" w14:textId="77777777" w:rsidR="00C25DD8" w:rsidRPr="00263DB9" w:rsidRDefault="00C25DD8" w:rsidP="00E51817">
            <w:pPr>
              <w:widowControl w:val="0"/>
              <w:rPr>
                <w:b/>
                <w:color w:val="000000"/>
                <w:szCs w:val="22"/>
                <w:lang w:val="de-CH"/>
              </w:rPr>
            </w:pPr>
            <w:r w:rsidRPr="00263DB9">
              <w:rPr>
                <w:b/>
                <w:color w:val="000000"/>
                <w:szCs w:val="22"/>
                <w:lang w:val="de-CH"/>
              </w:rPr>
              <w:t>Luxembourg/Luxemburg</w:t>
            </w:r>
          </w:p>
          <w:p w14:paraId="375EC152" w14:textId="77777777" w:rsidR="00C25DD8" w:rsidRPr="00263DB9" w:rsidRDefault="00C25DD8" w:rsidP="00E51817">
            <w:pPr>
              <w:widowControl w:val="0"/>
              <w:rPr>
                <w:color w:val="000000"/>
                <w:szCs w:val="22"/>
                <w:lang w:val="de-CH"/>
              </w:rPr>
            </w:pPr>
            <w:r w:rsidRPr="00263DB9">
              <w:rPr>
                <w:color w:val="000000"/>
                <w:szCs w:val="22"/>
                <w:lang w:val="de-CH"/>
              </w:rPr>
              <w:t>Novartis Pharma N.V.</w:t>
            </w:r>
          </w:p>
          <w:p w14:paraId="375EC153" w14:textId="77777777" w:rsidR="00C25DD8" w:rsidRPr="00263DB9" w:rsidRDefault="00C25DD8" w:rsidP="00E51817">
            <w:pPr>
              <w:widowControl w:val="0"/>
              <w:rPr>
                <w:color w:val="000000"/>
                <w:szCs w:val="22"/>
                <w:lang w:val="de-CH"/>
              </w:rPr>
            </w:pPr>
            <w:r w:rsidRPr="00263DB9">
              <w:rPr>
                <w:color w:val="000000"/>
                <w:szCs w:val="22"/>
                <w:lang w:val="de-CH"/>
              </w:rPr>
              <w:t>Tél/Tel: +32 2 246 16 11</w:t>
            </w:r>
          </w:p>
          <w:p w14:paraId="375EC154" w14:textId="77777777" w:rsidR="00C25DD8" w:rsidRPr="00263DB9" w:rsidRDefault="00C25DD8" w:rsidP="00E51817">
            <w:pPr>
              <w:widowControl w:val="0"/>
              <w:rPr>
                <w:color w:val="000000"/>
                <w:szCs w:val="22"/>
                <w:lang w:val="de-CH"/>
              </w:rPr>
            </w:pPr>
          </w:p>
        </w:tc>
      </w:tr>
      <w:tr w:rsidR="00C25DD8" w:rsidRPr="00263DB9" w14:paraId="375EC15D" w14:textId="77777777" w:rsidTr="009C587B">
        <w:trPr>
          <w:cantSplit/>
        </w:trPr>
        <w:tc>
          <w:tcPr>
            <w:tcW w:w="4650" w:type="dxa"/>
          </w:tcPr>
          <w:p w14:paraId="375EC156" w14:textId="77777777" w:rsidR="00C25DD8" w:rsidRPr="00263DB9" w:rsidRDefault="00C25DD8" w:rsidP="00E51817">
            <w:pPr>
              <w:widowControl w:val="0"/>
              <w:rPr>
                <w:b/>
                <w:color w:val="000000"/>
                <w:szCs w:val="22"/>
                <w:lang w:val="pt-BR"/>
              </w:rPr>
            </w:pPr>
            <w:r w:rsidRPr="00263DB9">
              <w:rPr>
                <w:b/>
                <w:color w:val="000000"/>
                <w:szCs w:val="22"/>
                <w:lang w:val="pt-BR"/>
              </w:rPr>
              <w:t>Česká republika</w:t>
            </w:r>
          </w:p>
          <w:p w14:paraId="375EC157" w14:textId="77777777" w:rsidR="00C25DD8" w:rsidRPr="00263DB9" w:rsidRDefault="00C25DD8" w:rsidP="00E51817">
            <w:pPr>
              <w:widowControl w:val="0"/>
              <w:rPr>
                <w:color w:val="000000"/>
                <w:szCs w:val="22"/>
                <w:lang w:val="pt-BR"/>
              </w:rPr>
            </w:pPr>
            <w:r w:rsidRPr="00263DB9">
              <w:rPr>
                <w:color w:val="000000"/>
                <w:szCs w:val="22"/>
                <w:lang w:val="pt-BR"/>
              </w:rPr>
              <w:t>Novartis s.r.o.</w:t>
            </w:r>
          </w:p>
          <w:p w14:paraId="375EC158" w14:textId="77777777" w:rsidR="00C25DD8" w:rsidRPr="00263DB9" w:rsidRDefault="00C25DD8" w:rsidP="00E51817">
            <w:pPr>
              <w:widowControl w:val="0"/>
              <w:rPr>
                <w:color w:val="000000"/>
                <w:szCs w:val="22"/>
              </w:rPr>
            </w:pPr>
            <w:r w:rsidRPr="00263DB9">
              <w:rPr>
                <w:color w:val="000000"/>
                <w:szCs w:val="22"/>
              </w:rPr>
              <w:t>Tel: +420 225 775 111</w:t>
            </w:r>
          </w:p>
          <w:p w14:paraId="375EC159" w14:textId="77777777" w:rsidR="00C25DD8" w:rsidRPr="00263DB9" w:rsidRDefault="00C25DD8" w:rsidP="00E51817">
            <w:pPr>
              <w:widowControl w:val="0"/>
              <w:rPr>
                <w:b/>
                <w:color w:val="000000"/>
                <w:szCs w:val="22"/>
              </w:rPr>
            </w:pPr>
          </w:p>
        </w:tc>
        <w:tc>
          <w:tcPr>
            <w:tcW w:w="4650" w:type="dxa"/>
          </w:tcPr>
          <w:p w14:paraId="375EC15A" w14:textId="77777777" w:rsidR="00C25DD8" w:rsidRPr="00263DB9" w:rsidRDefault="00C25DD8" w:rsidP="00E51817">
            <w:pPr>
              <w:widowControl w:val="0"/>
              <w:rPr>
                <w:b/>
                <w:color w:val="000000"/>
                <w:szCs w:val="22"/>
                <w:lang w:val="pt-BR"/>
              </w:rPr>
            </w:pPr>
            <w:r w:rsidRPr="00263DB9">
              <w:rPr>
                <w:b/>
                <w:color w:val="000000"/>
                <w:szCs w:val="22"/>
                <w:lang w:val="pt-BR"/>
              </w:rPr>
              <w:t>Magyarország</w:t>
            </w:r>
          </w:p>
          <w:p w14:paraId="375EC15B" w14:textId="77777777" w:rsidR="00C25DD8" w:rsidRPr="00263DB9" w:rsidRDefault="00C25DD8" w:rsidP="00E51817">
            <w:pPr>
              <w:widowControl w:val="0"/>
              <w:rPr>
                <w:color w:val="000000"/>
                <w:szCs w:val="22"/>
                <w:lang w:val="pt-BR"/>
              </w:rPr>
            </w:pPr>
            <w:r w:rsidRPr="00263DB9">
              <w:rPr>
                <w:color w:val="000000"/>
                <w:szCs w:val="22"/>
                <w:lang w:val="pt-BR"/>
              </w:rPr>
              <w:t>Novartis Hungária Kft.</w:t>
            </w:r>
          </w:p>
          <w:p w14:paraId="375EC15C" w14:textId="77777777" w:rsidR="00C25DD8" w:rsidRPr="00263DB9" w:rsidRDefault="00C25DD8" w:rsidP="00E51817">
            <w:pPr>
              <w:widowControl w:val="0"/>
              <w:rPr>
                <w:color w:val="000000"/>
                <w:szCs w:val="22"/>
                <w:lang w:val="pt-BR"/>
              </w:rPr>
            </w:pPr>
            <w:r w:rsidRPr="00263DB9">
              <w:rPr>
                <w:color w:val="000000"/>
                <w:szCs w:val="22"/>
                <w:lang w:val="pt-BR"/>
              </w:rPr>
              <w:t>Tel.: +36 1 457 65 00</w:t>
            </w:r>
          </w:p>
        </w:tc>
      </w:tr>
      <w:tr w:rsidR="00C25DD8" w:rsidRPr="00263DB9" w14:paraId="375EC165" w14:textId="77777777" w:rsidTr="009C587B">
        <w:trPr>
          <w:cantSplit/>
        </w:trPr>
        <w:tc>
          <w:tcPr>
            <w:tcW w:w="4650" w:type="dxa"/>
          </w:tcPr>
          <w:p w14:paraId="375EC15E" w14:textId="77777777" w:rsidR="00C25DD8" w:rsidRPr="00263DB9" w:rsidRDefault="00C25DD8" w:rsidP="00E51817">
            <w:pPr>
              <w:widowControl w:val="0"/>
              <w:rPr>
                <w:b/>
                <w:color w:val="000000"/>
                <w:szCs w:val="22"/>
                <w:lang w:val="en-US"/>
              </w:rPr>
            </w:pPr>
            <w:r w:rsidRPr="00263DB9">
              <w:rPr>
                <w:b/>
                <w:color w:val="000000"/>
                <w:szCs w:val="22"/>
                <w:lang w:val="en-US"/>
              </w:rPr>
              <w:t>Danmark</w:t>
            </w:r>
          </w:p>
          <w:p w14:paraId="375EC15F" w14:textId="77777777" w:rsidR="00C25DD8" w:rsidRPr="00263DB9" w:rsidRDefault="00C25DD8" w:rsidP="00E51817">
            <w:pPr>
              <w:widowControl w:val="0"/>
              <w:rPr>
                <w:color w:val="000000"/>
                <w:szCs w:val="22"/>
                <w:lang w:val="en-US"/>
              </w:rPr>
            </w:pPr>
            <w:r w:rsidRPr="00263DB9">
              <w:rPr>
                <w:color w:val="000000"/>
                <w:szCs w:val="22"/>
                <w:lang w:val="en-US"/>
              </w:rPr>
              <w:t>Novartis Healthcare A/S</w:t>
            </w:r>
          </w:p>
          <w:p w14:paraId="375EC160" w14:textId="77777777" w:rsidR="00C25DD8" w:rsidRPr="00263DB9" w:rsidRDefault="00C25DD8" w:rsidP="00E51817">
            <w:pPr>
              <w:widowControl w:val="0"/>
              <w:rPr>
                <w:color w:val="000000"/>
                <w:szCs w:val="22"/>
                <w:lang w:val="en-US"/>
              </w:rPr>
            </w:pPr>
            <w:r w:rsidRPr="00263DB9">
              <w:rPr>
                <w:color w:val="000000"/>
                <w:szCs w:val="22"/>
                <w:lang w:val="en-US"/>
              </w:rPr>
              <w:t>Tlf: +45 39 16 84 00</w:t>
            </w:r>
          </w:p>
          <w:p w14:paraId="375EC161" w14:textId="77777777" w:rsidR="00C25DD8" w:rsidRPr="00263DB9" w:rsidRDefault="00C25DD8" w:rsidP="00E51817">
            <w:pPr>
              <w:widowControl w:val="0"/>
              <w:rPr>
                <w:b/>
                <w:color w:val="000000"/>
                <w:szCs w:val="22"/>
                <w:lang w:val="en-US"/>
              </w:rPr>
            </w:pPr>
          </w:p>
        </w:tc>
        <w:tc>
          <w:tcPr>
            <w:tcW w:w="4650" w:type="dxa"/>
          </w:tcPr>
          <w:p w14:paraId="375EC162" w14:textId="77777777" w:rsidR="00C25DD8" w:rsidRPr="00263DB9" w:rsidRDefault="00C25DD8" w:rsidP="00E51817">
            <w:pPr>
              <w:widowControl w:val="0"/>
              <w:rPr>
                <w:b/>
                <w:color w:val="000000"/>
                <w:szCs w:val="22"/>
                <w:lang w:val="pt-BR"/>
              </w:rPr>
            </w:pPr>
            <w:r w:rsidRPr="00263DB9">
              <w:rPr>
                <w:b/>
                <w:color w:val="000000"/>
                <w:szCs w:val="22"/>
                <w:lang w:val="pt-BR"/>
              </w:rPr>
              <w:t>Malta</w:t>
            </w:r>
          </w:p>
          <w:p w14:paraId="375EC163" w14:textId="77777777" w:rsidR="00C25DD8" w:rsidRPr="00263DB9" w:rsidRDefault="00C25DD8" w:rsidP="00E51817">
            <w:pPr>
              <w:widowControl w:val="0"/>
              <w:rPr>
                <w:color w:val="000000"/>
                <w:szCs w:val="22"/>
                <w:lang w:val="pt-BR"/>
              </w:rPr>
            </w:pPr>
            <w:r w:rsidRPr="00263DB9">
              <w:rPr>
                <w:color w:val="000000"/>
                <w:szCs w:val="22"/>
                <w:lang w:val="pt-BR"/>
              </w:rPr>
              <w:t>Novartis Pharma Services Inc.</w:t>
            </w:r>
          </w:p>
          <w:p w14:paraId="375EC164" w14:textId="77777777" w:rsidR="00C25DD8" w:rsidRPr="00263DB9" w:rsidRDefault="00C25DD8" w:rsidP="00E51817">
            <w:pPr>
              <w:widowControl w:val="0"/>
              <w:rPr>
                <w:color w:val="000000"/>
                <w:szCs w:val="22"/>
              </w:rPr>
            </w:pPr>
            <w:r w:rsidRPr="00263DB9">
              <w:rPr>
                <w:color w:val="000000"/>
                <w:szCs w:val="22"/>
              </w:rPr>
              <w:t>Tel: +356 2122 2872</w:t>
            </w:r>
          </w:p>
        </w:tc>
      </w:tr>
      <w:tr w:rsidR="00C25DD8" w:rsidRPr="00263DB9" w14:paraId="375EC16D" w14:textId="77777777" w:rsidTr="009C587B">
        <w:trPr>
          <w:cantSplit/>
        </w:trPr>
        <w:tc>
          <w:tcPr>
            <w:tcW w:w="4650" w:type="dxa"/>
          </w:tcPr>
          <w:p w14:paraId="375EC166" w14:textId="77777777" w:rsidR="00C25DD8" w:rsidRPr="00263DB9" w:rsidRDefault="00C25DD8" w:rsidP="00E51817">
            <w:pPr>
              <w:widowControl w:val="0"/>
              <w:rPr>
                <w:b/>
                <w:color w:val="000000"/>
                <w:szCs w:val="22"/>
                <w:lang w:val="de-CH"/>
              </w:rPr>
            </w:pPr>
            <w:r w:rsidRPr="00263DB9">
              <w:rPr>
                <w:b/>
                <w:color w:val="000000"/>
                <w:szCs w:val="22"/>
                <w:lang w:val="de-CH"/>
              </w:rPr>
              <w:t>Deutschland</w:t>
            </w:r>
          </w:p>
          <w:p w14:paraId="375EC167" w14:textId="77777777" w:rsidR="00C25DD8" w:rsidRPr="00263DB9" w:rsidRDefault="00C25DD8" w:rsidP="00E51817">
            <w:pPr>
              <w:widowControl w:val="0"/>
              <w:rPr>
                <w:color w:val="000000"/>
                <w:szCs w:val="22"/>
                <w:lang w:val="de-CH"/>
              </w:rPr>
            </w:pPr>
            <w:r w:rsidRPr="00263DB9">
              <w:rPr>
                <w:color w:val="000000"/>
                <w:szCs w:val="22"/>
                <w:lang w:val="de-CH"/>
              </w:rPr>
              <w:t>Novartis Pharma GmbH</w:t>
            </w:r>
          </w:p>
          <w:p w14:paraId="375EC168" w14:textId="77777777" w:rsidR="00C25DD8" w:rsidRPr="00263DB9" w:rsidRDefault="00C25DD8" w:rsidP="00E51817">
            <w:pPr>
              <w:widowControl w:val="0"/>
              <w:rPr>
                <w:color w:val="000000"/>
                <w:szCs w:val="22"/>
                <w:lang w:val="de-CH"/>
              </w:rPr>
            </w:pPr>
            <w:r w:rsidRPr="00263DB9">
              <w:rPr>
                <w:color w:val="000000"/>
                <w:szCs w:val="22"/>
                <w:lang w:val="de-CH"/>
              </w:rPr>
              <w:t>Tel: +49 911 273 0</w:t>
            </w:r>
          </w:p>
          <w:p w14:paraId="375EC169" w14:textId="77777777" w:rsidR="00C25DD8" w:rsidRPr="00263DB9" w:rsidRDefault="00C25DD8" w:rsidP="00E51817">
            <w:pPr>
              <w:widowControl w:val="0"/>
              <w:rPr>
                <w:b/>
                <w:color w:val="000000"/>
                <w:szCs w:val="22"/>
                <w:lang w:val="de-CH"/>
              </w:rPr>
            </w:pPr>
          </w:p>
        </w:tc>
        <w:tc>
          <w:tcPr>
            <w:tcW w:w="4650" w:type="dxa"/>
          </w:tcPr>
          <w:p w14:paraId="375EC16A" w14:textId="77777777" w:rsidR="00C25DD8" w:rsidRPr="00263DB9" w:rsidRDefault="00C25DD8" w:rsidP="00E51817">
            <w:pPr>
              <w:widowControl w:val="0"/>
              <w:rPr>
                <w:b/>
                <w:color w:val="000000"/>
                <w:szCs w:val="22"/>
                <w:lang w:val="de-CH"/>
              </w:rPr>
            </w:pPr>
            <w:r w:rsidRPr="00263DB9">
              <w:rPr>
                <w:b/>
                <w:color w:val="000000"/>
                <w:szCs w:val="22"/>
                <w:lang w:val="de-CH"/>
              </w:rPr>
              <w:t>Nederland</w:t>
            </w:r>
          </w:p>
          <w:p w14:paraId="375EC16B" w14:textId="77777777" w:rsidR="00C25DD8" w:rsidRPr="00263DB9" w:rsidRDefault="00C25DD8" w:rsidP="00E51817">
            <w:pPr>
              <w:widowControl w:val="0"/>
              <w:rPr>
                <w:color w:val="000000"/>
                <w:szCs w:val="22"/>
                <w:lang w:val="de-CH"/>
              </w:rPr>
            </w:pPr>
            <w:r w:rsidRPr="00263DB9">
              <w:rPr>
                <w:color w:val="000000"/>
                <w:szCs w:val="22"/>
                <w:lang w:val="de-CH"/>
              </w:rPr>
              <w:t>Novartis Pharma B.V.</w:t>
            </w:r>
          </w:p>
          <w:p w14:paraId="375EC16C" w14:textId="6D727A3B" w:rsidR="00C25DD8" w:rsidRPr="00263DB9" w:rsidRDefault="00C25DD8" w:rsidP="002C6A35">
            <w:pPr>
              <w:widowControl w:val="0"/>
              <w:rPr>
                <w:color w:val="000000"/>
                <w:szCs w:val="22"/>
              </w:rPr>
            </w:pPr>
            <w:r w:rsidRPr="00263DB9">
              <w:rPr>
                <w:color w:val="000000"/>
                <w:szCs w:val="22"/>
              </w:rPr>
              <w:t xml:space="preserve">Tel: +31 </w:t>
            </w:r>
            <w:r w:rsidR="002C6A35">
              <w:rPr>
                <w:color w:val="000000"/>
                <w:szCs w:val="22"/>
              </w:rPr>
              <w:t>88 04 52</w:t>
            </w:r>
            <w:r w:rsidRPr="00263DB9">
              <w:rPr>
                <w:color w:val="000000"/>
                <w:szCs w:val="22"/>
              </w:rPr>
              <w:t xml:space="preserve"> </w:t>
            </w:r>
            <w:r w:rsidR="002C2D01" w:rsidRPr="00263DB9">
              <w:rPr>
                <w:color w:val="000000"/>
                <w:szCs w:val="22"/>
              </w:rPr>
              <w:t>555</w:t>
            </w:r>
          </w:p>
        </w:tc>
      </w:tr>
      <w:tr w:rsidR="00C25DD8" w:rsidRPr="00263DB9" w14:paraId="375EC175" w14:textId="77777777" w:rsidTr="009C587B">
        <w:trPr>
          <w:cantSplit/>
        </w:trPr>
        <w:tc>
          <w:tcPr>
            <w:tcW w:w="4650" w:type="dxa"/>
          </w:tcPr>
          <w:p w14:paraId="375EC16E" w14:textId="77777777" w:rsidR="00C25DD8" w:rsidRPr="00263DB9" w:rsidRDefault="00C25DD8" w:rsidP="00E51817">
            <w:pPr>
              <w:widowControl w:val="0"/>
              <w:rPr>
                <w:b/>
                <w:color w:val="000000"/>
                <w:szCs w:val="22"/>
                <w:lang w:val="fr-FR"/>
              </w:rPr>
            </w:pPr>
            <w:r w:rsidRPr="00263DB9">
              <w:rPr>
                <w:b/>
                <w:color w:val="000000"/>
                <w:szCs w:val="22"/>
                <w:lang w:val="fr-FR"/>
              </w:rPr>
              <w:t>Eesti</w:t>
            </w:r>
          </w:p>
          <w:p w14:paraId="375EC16F" w14:textId="77777777" w:rsidR="00C25DD8" w:rsidRPr="00263DB9" w:rsidRDefault="00F26150" w:rsidP="00E51817">
            <w:pPr>
              <w:widowControl w:val="0"/>
              <w:rPr>
                <w:color w:val="000000"/>
                <w:szCs w:val="22"/>
                <w:lang w:val="fr-FR"/>
              </w:rPr>
            </w:pPr>
            <w:r w:rsidRPr="00263DB9">
              <w:rPr>
                <w:color w:val="000000"/>
                <w:szCs w:val="22"/>
                <w:lang w:val="it-IT"/>
              </w:rPr>
              <w:t>SIA Novartis Baltics Eesti filiaal</w:t>
            </w:r>
          </w:p>
          <w:p w14:paraId="375EC170" w14:textId="77777777" w:rsidR="00C25DD8" w:rsidRPr="00263DB9" w:rsidRDefault="00C25DD8" w:rsidP="00E51817">
            <w:pPr>
              <w:widowControl w:val="0"/>
              <w:rPr>
                <w:color w:val="000000"/>
                <w:szCs w:val="22"/>
              </w:rPr>
            </w:pPr>
            <w:r w:rsidRPr="00263DB9">
              <w:rPr>
                <w:color w:val="000000"/>
                <w:szCs w:val="22"/>
              </w:rPr>
              <w:t>Tel: +372 66 30 810</w:t>
            </w:r>
          </w:p>
          <w:p w14:paraId="375EC171" w14:textId="77777777" w:rsidR="00C25DD8" w:rsidRPr="00263DB9" w:rsidRDefault="00C25DD8" w:rsidP="00E51817">
            <w:pPr>
              <w:widowControl w:val="0"/>
              <w:rPr>
                <w:b/>
                <w:color w:val="000000"/>
                <w:szCs w:val="22"/>
              </w:rPr>
            </w:pPr>
          </w:p>
        </w:tc>
        <w:tc>
          <w:tcPr>
            <w:tcW w:w="4650" w:type="dxa"/>
          </w:tcPr>
          <w:p w14:paraId="375EC172" w14:textId="77777777" w:rsidR="00C25DD8" w:rsidRPr="00263DB9" w:rsidRDefault="00C25DD8" w:rsidP="00E51817">
            <w:pPr>
              <w:widowControl w:val="0"/>
              <w:rPr>
                <w:b/>
                <w:color w:val="000000"/>
                <w:szCs w:val="22"/>
                <w:lang w:val="pt-BR"/>
              </w:rPr>
            </w:pPr>
            <w:r w:rsidRPr="00263DB9">
              <w:rPr>
                <w:b/>
                <w:color w:val="000000"/>
                <w:szCs w:val="22"/>
                <w:lang w:val="pt-BR"/>
              </w:rPr>
              <w:t>Norge</w:t>
            </w:r>
          </w:p>
          <w:p w14:paraId="375EC173" w14:textId="77777777" w:rsidR="00C25DD8" w:rsidRPr="00263DB9" w:rsidRDefault="00C25DD8" w:rsidP="00E51817">
            <w:pPr>
              <w:widowControl w:val="0"/>
              <w:rPr>
                <w:color w:val="000000"/>
                <w:szCs w:val="22"/>
                <w:lang w:val="pt-BR"/>
              </w:rPr>
            </w:pPr>
            <w:r w:rsidRPr="00263DB9">
              <w:rPr>
                <w:color w:val="000000"/>
                <w:szCs w:val="22"/>
                <w:lang w:val="pt-BR"/>
              </w:rPr>
              <w:t>Novartis Norge AS</w:t>
            </w:r>
          </w:p>
          <w:p w14:paraId="375EC174" w14:textId="77777777" w:rsidR="00C25DD8" w:rsidRPr="00263DB9" w:rsidRDefault="00C25DD8" w:rsidP="00E51817">
            <w:pPr>
              <w:widowControl w:val="0"/>
              <w:rPr>
                <w:color w:val="000000"/>
                <w:szCs w:val="22"/>
                <w:lang w:val="pt-BR"/>
              </w:rPr>
            </w:pPr>
            <w:r w:rsidRPr="00263DB9">
              <w:rPr>
                <w:color w:val="000000"/>
                <w:szCs w:val="22"/>
                <w:lang w:val="pt-BR"/>
              </w:rPr>
              <w:t>Tlf: +47 23 05 20 00</w:t>
            </w:r>
          </w:p>
        </w:tc>
      </w:tr>
      <w:tr w:rsidR="00C25DD8" w:rsidRPr="00263DB9" w14:paraId="375EC17D" w14:textId="77777777" w:rsidTr="009C587B">
        <w:trPr>
          <w:cantSplit/>
        </w:trPr>
        <w:tc>
          <w:tcPr>
            <w:tcW w:w="4650" w:type="dxa"/>
          </w:tcPr>
          <w:p w14:paraId="375EC176" w14:textId="77777777" w:rsidR="00C25DD8" w:rsidRPr="00263DB9" w:rsidRDefault="00C25DD8" w:rsidP="00E51817">
            <w:pPr>
              <w:widowControl w:val="0"/>
              <w:rPr>
                <w:b/>
                <w:color w:val="000000"/>
                <w:szCs w:val="22"/>
                <w:lang w:val="pt-BR"/>
              </w:rPr>
            </w:pPr>
            <w:r w:rsidRPr="00263DB9">
              <w:rPr>
                <w:b/>
                <w:color w:val="000000"/>
                <w:szCs w:val="22"/>
              </w:rPr>
              <w:t>Ελλάδα</w:t>
            </w:r>
          </w:p>
          <w:p w14:paraId="375EC177" w14:textId="77777777" w:rsidR="00C25DD8" w:rsidRPr="00263DB9" w:rsidRDefault="00C25DD8" w:rsidP="00E51817">
            <w:pPr>
              <w:widowControl w:val="0"/>
              <w:rPr>
                <w:color w:val="000000"/>
                <w:szCs w:val="22"/>
                <w:lang w:val="pt-BR"/>
              </w:rPr>
            </w:pPr>
            <w:r w:rsidRPr="00263DB9">
              <w:rPr>
                <w:color w:val="000000"/>
                <w:szCs w:val="22"/>
                <w:lang w:val="pt-BR"/>
              </w:rPr>
              <w:t>Novartis (Hellas) A.E.B.E.</w:t>
            </w:r>
          </w:p>
          <w:p w14:paraId="375EC178" w14:textId="77777777" w:rsidR="00C25DD8" w:rsidRPr="00263DB9" w:rsidRDefault="00C25DD8" w:rsidP="00E51817">
            <w:pPr>
              <w:widowControl w:val="0"/>
              <w:rPr>
                <w:color w:val="000000"/>
                <w:szCs w:val="22"/>
                <w:lang w:val="pt-BR"/>
              </w:rPr>
            </w:pPr>
            <w:r w:rsidRPr="00263DB9">
              <w:rPr>
                <w:color w:val="000000"/>
                <w:szCs w:val="22"/>
              </w:rPr>
              <w:t>Τηλ</w:t>
            </w:r>
            <w:r w:rsidRPr="00263DB9">
              <w:rPr>
                <w:color w:val="000000"/>
                <w:szCs w:val="22"/>
                <w:lang w:val="pt-BR"/>
              </w:rPr>
              <w:t>: +30 210 281 17 12</w:t>
            </w:r>
          </w:p>
          <w:p w14:paraId="375EC179" w14:textId="77777777" w:rsidR="00C25DD8" w:rsidRPr="00263DB9" w:rsidRDefault="00C25DD8" w:rsidP="00E51817">
            <w:pPr>
              <w:widowControl w:val="0"/>
              <w:rPr>
                <w:b/>
                <w:color w:val="000000"/>
                <w:szCs w:val="22"/>
                <w:lang w:val="pt-BR"/>
              </w:rPr>
            </w:pPr>
          </w:p>
        </w:tc>
        <w:tc>
          <w:tcPr>
            <w:tcW w:w="4650" w:type="dxa"/>
          </w:tcPr>
          <w:p w14:paraId="375EC17A" w14:textId="77777777" w:rsidR="00C25DD8" w:rsidRPr="00263DB9" w:rsidRDefault="00C25DD8" w:rsidP="00E51817">
            <w:pPr>
              <w:widowControl w:val="0"/>
              <w:rPr>
                <w:b/>
                <w:color w:val="000000"/>
                <w:szCs w:val="22"/>
                <w:lang w:val="de-CH"/>
              </w:rPr>
            </w:pPr>
            <w:r w:rsidRPr="00263DB9">
              <w:rPr>
                <w:b/>
                <w:color w:val="000000"/>
                <w:szCs w:val="22"/>
                <w:lang w:val="de-CH"/>
              </w:rPr>
              <w:t>Österreich</w:t>
            </w:r>
          </w:p>
          <w:p w14:paraId="375EC17B" w14:textId="77777777" w:rsidR="00C25DD8" w:rsidRPr="00263DB9" w:rsidRDefault="00C25DD8" w:rsidP="00E51817">
            <w:pPr>
              <w:widowControl w:val="0"/>
              <w:rPr>
                <w:color w:val="000000"/>
                <w:szCs w:val="22"/>
                <w:lang w:val="de-CH"/>
              </w:rPr>
            </w:pPr>
            <w:r w:rsidRPr="00263DB9">
              <w:rPr>
                <w:color w:val="000000"/>
                <w:szCs w:val="22"/>
                <w:lang w:val="de-CH"/>
              </w:rPr>
              <w:t>Novartis Pharma GmbH</w:t>
            </w:r>
          </w:p>
          <w:p w14:paraId="375EC17C" w14:textId="77777777" w:rsidR="00C25DD8" w:rsidRPr="00263DB9" w:rsidRDefault="00C25DD8" w:rsidP="00E51817">
            <w:pPr>
              <w:widowControl w:val="0"/>
              <w:rPr>
                <w:color w:val="000000"/>
                <w:szCs w:val="22"/>
                <w:lang w:val="de-CH"/>
              </w:rPr>
            </w:pPr>
            <w:r w:rsidRPr="00263DB9">
              <w:rPr>
                <w:color w:val="000000"/>
                <w:szCs w:val="22"/>
                <w:lang w:val="de-CH"/>
              </w:rPr>
              <w:t>Tel: +43 1 86 6570</w:t>
            </w:r>
          </w:p>
        </w:tc>
      </w:tr>
      <w:tr w:rsidR="00C25DD8" w:rsidRPr="00263DB9" w14:paraId="375EC185" w14:textId="77777777" w:rsidTr="009C587B">
        <w:trPr>
          <w:cantSplit/>
        </w:trPr>
        <w:tc>
          <w:tcPr>
            <w:tcW w:w="4650" w:type="dxa"/>
          </w:tcPr>
          <w:p w14:paraId="375EC17E" w14:textId="77777777" w:rsidR="00C25DD8" w:rsidRPr="00263DB9" w:rsidRDefault="00C25DD8" w:rsidP="00E51817">
            <w:pPr>
              <w:widowControl w:val="0"/>
              <w:rPr>
                <w:b/>
                <w:color w:val="000000"/>
                <w:szCs w:val="22"/>
                <w:lang w:val="pt-BR"/>
              </w:rPr>
            </w:pPr>
            <w:r w:rsidRPr="00263DB9">
              <w:rPr>
                <w:b/>
                <w:color w:val="000000"/>
                <w:szCs w:val="22"/>
                <w:lang w:val="pt-BR"/>
              </w:rPr>
              <w:t>España</w:t>
            </w:r>
          </w:p>
          <w:p w14:paraId="375EC17F" w14:textId="77777777" w:rsidR="00C25DD8" w:rsidRPr="00263DB9" w:rsidRDefault="00C25DD8" w:rsidP="00E51817">
            <w:pPr>
              <w:widowControl w:val="0"/>
              <w:rPr>
                <w:color w:val="000000"/>
                <w:szCs w:val="22"/>
                <w:lang w:val="pt-BR"/>
              </w:rPr>
            </w:pPr>
            <w:r w:rsidRPr="00263DB9">
              <w:rPr>
                <w:color w:val="000000"/>
                <w:szCs w:val="22"/>
                <w:lang w:val="pt-BR"/>
              </w:rPr>
              <w:t>Novartis Farmacéutica, S.A.</w:t>
            </w:r>
          </w:p>
          <w:p w14:paraId="375EC180" w14:textId="77777777" w:rsidR="00C25DD8" w:rsidRPr="00263DB9" w:rsidRDefault="00C25DD8" w:rsidP="00E51817">
            <w:pPr>
              <w:widowControl w:val="0"/>
              <w:rPr>
                <w:color w:val="000000"/>
                <w:szCs w:val="22"/>
              </w:rPr>
            </w:pPr>
            <w:r w:rsidRPr="00263DB9">
              <w:rPr>
                <w:color w:val="000000"/>
                <w:szCs w:val="22"/>
              </w:rPr>
              <w:t>Tel: +34 93 306 42 00</w:t>
            </w:r>
          </w:p>
          <w:p w14:paraId="375EC181" w14:textId="77777777" w:rsidR="00C25DD8" w:rsidRPr="00263DB9" w:rsidRDefault="00C25DD8" w:rsidP="00E51817">
            <w:pPr>
              <w:widowControl w:val="0"/>
              <w:rPr>
                <w:b/>
                <w:color w:val="000000"/>
                <w:szCs w:val="22"/>
              </w:rPr>
            </w:pPr>
          </w:p>
        </w:tc>
        <w:tc>
          <w:tcPr>
            <w:tcW w:w="4650" w:type="dxa"/>
          </w:tcPr>
          <w:p w14:paraId="375EC182" w14:textId="77777777" w:rsidR="00C25DD8" w:rsidRPr="00263DB9" w:rsidRDefault="00C25DD8" w:rsidP="00E51817">
            <w:pPr>
              <w:widowControl w:val="0"/>
              <w:rPr>
                <w:b/>
                <w:color w:val="000000"/>
                <w:szCs w:val="22"/>
                <w:lang w:val="pt-BR"/>
              </w:rPr>
            </w:pPr>
            <w:r w:rsidRPr="00263DB9">
              <w:rPr>
                <w:b/>
                <w:color w:val="000000"/>
                <w:szCs w:val="22"/>
                <w:lang w:val="pt-BR"/>
              </w:rPr>
              <w:t>Polska</w:t>
            </w:r>
          </w:p>
          <w:p w14:paraId="375EC183" w14:textId="77777777" w:rsidR="00C25DD8" w:rsidRPr="00263DB9" w:rsidRDefault="00C25DD8" w:rsidP="00E51817">
            <w:pPr>
              <w:widowControl w:val="0"/>
              <w:rPr>
                <w:color w:val="000000"/>
                <w:szCs w:val="22"/>
                <w:lang w:val="pt-BR"/>
              </w:rPr>
            </w:pPr>
            <w:r w:rsidRPr="00263DB9">
              <w:rPr>
                <w:color w:val="000000"/>
                <w:szCs w:val="22"/>
                <w:lang w:val="pt-BR"/>
              </w:rPr>
              <w:t>Novartis Poland Sp. z o.o.</w:t>
            </w:r>
          </w:p>
          <w:p w14:paraId="375EC184" w14:textId="77777777" w:rsidR="00C25DD8" w:rsidRPr="00263DB9" w:rsidRDefault="00C25DD8" w:rsidP="00E51817">
            <w:pPr>
              <w:widowControl w:val="0"/>
              <w:rPr>
                <w:color w:val="000000"/>
                <w:szCs w:val="22"/>
                <w:lang w:val="pt-BR"/>
              </w:rPr>
            </w:pPr>
            <w:r w:rsidRPr="00263DB9">
              <w:rPr>
                <w:color w:val="000000"/>
                <w:szCs w:val="22"/>
                <w:lang w:val="pt-BR"/>
              </w:rPr>
              <w:t xml:space="preserve">Tel.: +48 22 </w:t>
            </w:r>
            <w:r w:rsidRPr="00263DB9">
              <w:rPr>
                <w:szCs w:val="22"/>
              </w:rPr>
              <w:t>375 4888</w:t>
            </w:r>
          </w:p>
        </w:tc>
      </w:tr>
      <w:tr w:rsidR="00C25DD8" w:rsidRPr="00263DB9" w14:paraId="375EC18D" w14:textId="77777777" w:rsidTr="009C587B">
        <w:trPr>
          <w:cantSplit/>
        </w:trPr>
        <w:tc>
          <w:tcPr>
            <w:tcW w:w="4650" w:type="dxa"/>
          </w:tcPr>
          <w:p w14:paraId="375EC186" w14:textId="77777777" w:rsidR="00C25DD8" w:rsidRPr="00263DB9" w:rsidRDefault="00C25DD8" w:rsidP="00E51817">
            <w:pPr>
              <w:widowControl w:val="0"/>
              <w:rPr>
                <w:b/>
                <w:color w:val="000000"/>
                <w:szCs w:val="22"/>
                <w:lang w:val="fr-FR"/>
              </w:rPr>
            </w:pPr>
            <w:r w:rsidRPr="00263DB9">
              <w:rPr>
                <w:b/>
                <w:color w:val="000000"/>
                <w:szCs w:val="22"/>
                <w:lang w:val="fr-FR"/>
              </w:rPr>
              <w:t>France</w:t>
            </w:r>
          </w:p>
          <w:p w14:paraId="375EC187" w14:textId="77777777" w:rsidR="00C25DD8" w:rsidRPr="00263DB9" w:rsidRDefault="00C25DD8" w:rsidP="00E51817">
            <w:pPr>
              <w:widowControl w:val="0"/>
              <w:rPr>
                <w:color w:val="000000"/>
                <w:szCs w:val="22"/>
                <w:lang w:val="fr-FR"/>
              </w:rPr>
            </w:pPr>
            <w:r w:rsidRPr="00263DB9">
              <w:rPr>
                <w:color w:val="000000"/>
                <w:szCs w:val="22"/>
                <w:lang w:val="fr-FR"/>
              </w:rPr>
              <w:t>Novartis Pharma S.A.S.</w:t>
            </w:r>
          </w:p>
          <w:p w14:paraId="375EC188" w14:textId="77777777" w:rsidR="00C25DD8" w:rsidRPr="00263DB9" w:rsidRDefault="00C25DD8" w:rsidP="00E51817">
            <w:pPr>
              <w:widowControl w:val="0"/>
              <w:rPr>
                <w:color w:val="000000"/>
                <w:szCs w:val="22"/>
                <w:lang w:val="fr-FR"/>
              </w:rPr>
            </w:pPr>
            <w:r w:rsidRPr="00263DB9">
              <w:rPr>
                <w:color w:val="000000"/>
                <w:szCs w:val="22"/>
                <w:lang w:val="fr-FR"/>
              </w:rPr>
              <w:t>Tél: +33 1 55 47 66 00</w:t>
            </w:r>
          </w:p>
          <w:p w14:paraId="375EC189" w14:textId="77777777" w:rsidR="00C25DD8" w:rsidRPr="00263DB9" w:rsidRDefault="00C25DD8" w:rsidP="00E51817">
            <w:pPr>
              <w:widowControl w:val="0"/>
              <w:rPr>
                <w:b/>
                <w:color w:val="000000"/>
                <w:szCs w:val="22"/>
                <w:lang w:val="fr-FR"/>
              </w:rPr>
            </w:pPr>
          </w:p>
        </w:tc>
        <w:tc>
          <w:tcPr>
            <w:tcW w:w="4650" w:type="dxa"/>
          </w:tcPr>
          <w:p w14:paraId="375EC18A" w14:textId="77777777" w:rsidR="00C25DD8" w:rsidRPr="00263DB9" w:rsidRDefault="00C25DD8" w:rsidP="00E51817">
            <w:pPr>
              <w:widowControl w:val="0"/>
              <w:rPr>
                <w:b/>
                <w:color w:val="000000"/>
                <w:szCs w:val="22"/>
                <w:lang w:val="pt-BR"/>
              </w:rPr>
            </w:pPr>
            <w:r w:rsidRPr="00263DB9">
              <w:rPr>
                <w:b/>
                <w:color w:val="000000"/>
                <w:szCs w:val="22"/>
                <w:lang w:val="pt-BR"/>
              </w:rPr>
              <w:t>Portugal</w:t>
            </w:r>
          </w:p>
          <w:p w14:paraId="375EC18B" w14:textId="77777777" w:rsidR="00C25DD8" w:rsidRPr="00263DB9" w:rsidRDefault="00C25DD8" w:rsidP="00E51817">
            <w:pPr>
              <w:widowControl w:val="0"/>
              <w:rPr>
                <w:color w:val="000000"/>
                <w:szCs w:val="22"/>
                <w:lang w:val="pt-BR"/>
              </w:rPr>
            </w:pPr>
            <w:r w:rsidRPr="00263DB9">
              <w:rPr>
                <w:color w:val="000000"/>
                <w:szCs w:val="22"/>
                <w:lang w:val="pt-BR"/>
              </w:rPr>
              <w:t>Novartis Farma - Produtos Farmacêuticos, S.A.</w:t>
            </w:r>
          </w:p>
          <w:p w14:paraId="375EC18C" w14:textId="77777777" w:rsidR="00C25DD8" w:rsidRPr="00263DB9" w:rsidRDefault="00C25DD8" w:rsidP="00E51817">
            <w:pPr>
              <w:widowControl w:val="0"/>
              <w:rPr>
                <w:color w:val="000000"/>
                <w:szCs w:val="22"/>
              </w:rPr>
            </w:pPr>
            <w:r w:rsidRPr="00263DB9">
              <w:rPr>
                <w:color w:val="000000"/>
                <w:szCs w:val="22"/>
              </w:rPr>
              <w:t>Tel: +351 21 000 8600</w:t>
            </w:r>
          </w:p>
        </w:tc>
      </w:tr>
      <w:tr w:rsidR="00C25DD8" w:rsidRPr="00263DB9" w14:paraId="375EC195" w14:textId="77777777" w:rsidTr="009C587B">
        <w:trPr>
          <w:cantSplit/>
        </w:trPr>
        <w:tc>
          <w:tcPr>
            <w:tcW w:w="4650" w:type="dxa"/>
          </w:tcPr>
          <w:p w14:paraId="375EC18E" w14:textId="77777777" w:rsidR="00C25DD8" w:rsidRPr="003C4FF5" w:rsidRDefault="00C25DD8" w:rsidP="00E51817">
            <w:pPr>
              <w:widowControl w:val="0"/>
              <w:rPr>
                <w:rFonts w:eastAsia="PMingLiU"/>
                <w:b/>
                <w:szCs w:val="22"/>
                <w:lang w:val="en-US"/>
              </w:rPr>
            </w:pPr>
            <w:r w:rsidRPr="003C4FF5">
              <w:rPr>
                <w:rFonts w:eastAsia="PMingLiU"/>
                <w:b/>
                <w:szCs w:val="22"/>
                <w:lang w:val="en-US"/>
              </w:rPr>
              <w:t>Hrvatska</w:t>
            </w:r>
          </w:p>
          <w:p w14:paraId="375EC18F" w14:textId="77777777" w:rsidR="00C25DD8" w:rsidRPr="003C4FF5" w:rsidRDefault="00C25DD8" w:rsidP="00E51817">
            <w:pPr>
              <w:widowControl w:val="0"/>
              <w:rPr>
                <w:szCs w:val="22"/>
                <w:lang w:val="en-US"/>
              </w:rPr>
            </w:pPr>
            <w:r w:rsidRPr="003C4FF5">
              <w:rPr>
                <w:szCs w:val="22"/>
                <w:lang w:val="en-US"/>
              </w:rPr>
              <w:t>Novartis Hrvatska d.o.o.</w:t>
            </w:r>
          </w:p>
          <w:p w14:paraId="375EC190" w14:textId="77777777" w:rsidR="00C25DD8" w:rsidRPr="00263DB9" w:rsidRDefault="00C25DD8" w:rsidP="00E51817">
            <w:pPr>
              <w:widowControl w:val="0"/>
              <w:rPr>
                <w:szCs w:val="22"/>
              </w:rPr>
            </w:pPr>
            <w:r w:rsidRPr="00263DB9">
              <w:rPr>
                <w:szCs w:val="22"/>
              </w:rPr>
              <w:t>Tel. +385 1 6274 220</w:t>
            </w:r>
          </w:p>
          <w:p w14:paraId="375EC191" w14:textId="77777777" w:rsidR="00C25DD8" w:rsidRPr="00263DB9" w:rsidRDefault="00C25DD8" w:rsidP="00E51817">
            <w:pPr>
              <w:widowControl w:val="0"/>
              <w:rPr>
                <w:b/>
                <w:color w:val="000000"/>
                <w:szCs w:val="22"/>
                <w:lang w:val="fr-FR"/>
              </w:rPr>
            </w:pPr>
          </w:p>
        </w:tc>
        <w:tc>
          <w:tcPr>
            <w:tcW w:w="4650" w:type="dxa"/>
          </w:tcPr>
          <w:p w14:paraId="375EC192" w14:textId="77777777" w:rsidR="00C25DD8" w:rsidRPr="00263DB9" w:rsidRDefault="00C25DD8" w:rsidP="00E51817">
            <w:pPr>
              <w:widowControl w:val="0"/>
              <w:rPr>
                <w:b/>
                <w:noProof/>
                <w:color w:val="000000"/>
                <w:szCs w:val="22"/>
                <w:lang w:val="it-IT"/>
              </w:rPr>
            </w:pPr>
            <w:r w:rsidRPr="00263DB9">
              <w:rPr>
                <w:b/>
                <w:noProof/>
                <w:color w:val="000000"/>
                <w:szCs w:val="22"/>
                <w:lang w:val="it-IT"/>
              </w:rPr>
              <w:t>România</w:t>
            </w:r>
          </w:p>
          <w:p w14:paraId="375EC193" w14:textId="77777777" w:rsidR="00C25DD8" w:rsidRPr="00263DB9" w:rsidRDefault="00C25DD8" w:rsidP="00E51817">
            <w:pPr>
              <w:widowControl w:val="0"/>
              <w:rPr>
                <w:noProof/>
                <w:color w:val="000000"/>
                <w:szCs w:val="22"/>
                <w:lang w:val="it-IT"/>
              </w:rPr>
            </w:pPr>
            <w:r w:rsidRPr="00263DB9">
              <w:rPr>
                <w:noProof/>
                <w:color w:val="000000"/>
                <w:szCs w:val="22"/>
                <w:lang w:val="it-IT"/>
              </w:rPr>
              <w:t xml:space="preserve">Novartis Pharma Services </w:t>
            </w:r>
            <w:r w:rsidRPr="00263DB9">
              <w:rPr>
                <w:color w:val="2F2F2F"/>
                <w:szCs w:val="22"/>
              </w:rPr>
              <w:t>Romania SRL</w:t>
            </w:r>
          </w:p>
          <w:p w14:paraId="375EC194" w14:textId="77777777" w:rsidR="00C25DD8" w:rsidRPr="00263DB9" w:rsidRDefault="00C25DD8" w:rsidP="00E51817">
            <w:pPr>
              <w:widowControl w:val="0"/>
              <w:rPr>
                <w:color w:val="000000"/>
                <w:szCs w:val="22"/>
              </w:rPr>
            </w:pPr>
            <w:r w:rsidRPr="00263DB9">
              <w:rPr>
                <w:noProof/>
                <w:color w:val="000000"/>
                <w:szCs w:val="22"/>
                <w:lang w:val="it-IT"/>
              </w:rPr>
              <w:t>Tel: +40 21 31299 01</w:t>
            </w:r>
          </w:p>
        </w:tc>
      </w:tr>
      <w:tr w:rsidR="00C25DD8" w:rsidRPr="00263DB9" w14:paraId="375EC19D" w14:textId="77777777" w:rsidTr="009C587B">
        <w:trPr>
          <w:cantSplit/>
        </w:trPr>
        <w:tc>
          <w:tcPr>
            <w:tcW w:w="4650" w:type="dxa"/>
          </w:tcPr>
          <w:p w14:paraId="375EC196" w14:textId="77777777" w:rsidR="00C25DD8" w:rsidRPr="00263DB9" w:rsidRDefault="00C25DD8" w:rsidP="00E51817">
            <w:pPr>
              <w:widowControl w:val="0"/>
              <w:rPr>
                <w:b/>
                <w:color w:val="000000"/>
                <w:szCs w:val="22"/>
                <w:lang w:val="en-US"/>
              </w:rPr>
            </w:pPr>
            <w:r w:rsidRPr="00263DB9">
              <w:rPr>
                <w:b/>
                <w:color w:val="000000"/>
                <w:szCs w:val="22"/>
                <w:lang w:val="en-US"/>
              </w:rPr>
              <w:t>Ireland</w:t>
            </w:r>
          </w:p>
          <w:p w14:paraId="375EC197" w14:textId="77777777" w:rsidR="00C25DD8" w:rsidRPr="00263DB9" w:rsidRDefault="00C25DD8" w:rsidP="00E51817">
            <w:pPr>
              <w:widowControl w:val="0"/>
              <w:rPr>
                <w:color w:val="000000"/>
                <w:szCs w:val="22"/>
                <w:lang w:val="en-US"/>
              </w:rPr>
            </w:pPr>
            <w:r w:rsidRPr="00263DB9">
              <w:rPr>
                <w:color w:val="000000"/>
                <w:szCs w:val="22"/>
                <w:lang w:val="en-US"/>
              </w:rPr>
              <w:t>Novartis Ireland Limited</w:t>
            </w:r>
          </w:p>
          <w:p w14:paraId="375EC198" w14:textId="77777777" w:rsidR="00C25DD8" w:rsidRPr="00263DB9" w:rsidRDefault="00C25DD8" w:rsidP="00E51817">
            <w:pPr>
              <w:widowControl w:val="0"/>
              <w:rPr>
                <w:color w:val="000000"/>
                <w:szCs w:val="22"/>
                <w:lang w:val="en-US"/>
              </w:rPr>
            </w:pPr>
            <w:r w:rsidRPr="00263DB9">
              <w:rPr>
                <w:color w:val="000000"/>
                <w:szCs w:val="22"/>
                <w:lang w:val="en-US"/>
              </w:rPr>
              <w:t>Tel: +353 1 260 12 55</w:t>
            </w:r>
          </w:p>
          <w:p w14:paraId="375EC199" w14:textId="77777777" w:rsidR="00C25DD8" w:rsidRPr="00263DB9" w:rsidRDefault="00C25DD8" w:rsidP="00E51817">
            <w:pPr>
              <w:widowControl w:val="0"/>
              <w:rPr>
                <w:b/>
                <w:color w:val="000000"/>
                <w:szCs w:val="22"/>
                <w:lang w:val="en-US"/>
              </w:rPr>
            </w:pPr>
          </w:p>
        </w:tc>
        <w:tc>
          <w:tcPr>
            <w:tcW w:w="4650" w:type="dxa"/>
          </w:tcPr>
          <w:p w14:paraId="375EC19A" w14:textId="77777777" w:rsidR="00C25DD8" w:rsidRPr="00263DB9" w:rsidRDefault="00C25DD8" w:rsidP="00E51817">
            <w:pPr>
              <w:widowControl w:val="0"/>
              <w:rPr>
                <w:b/>
                <w:color w:val="000000"/>
                <w:szCs w:val="22"/>
                <w:lang w:val="fr-FR"/>
              </w:rPr>
            </w:pPr>
            <w:r w:rsidRPr="00263DB9">
              <w:rPr>
                <w:b/>
                <w:color w:val="000000"/>
                <w:szCs w:val="22"/>
                <w:lang w:val="fr-FR"/>
              </w:rPr>
              <w:t>Slovenija</w:t>
            </w:r>
          </w:p>
          <w:p w14:paraId="375EC19B" w14:textId="77777777" w:rsidR="00C25DD8" w:rsidRPr="00263DB9" w:rsidRDefault="00C25DD8" w:rsidP="00E51817">
            <w:pPr>
              <w:widowControl w:val="0"/>
              <w:rPr>
                <w:color w:val="000000"/>
                <w:szCs w:val="22"/>
                <w:lang w:val="fr-FR"/>
              </w:rPr>
            </w:pPr>
            <w:r w:rsidRPr="00263DB9">
              <w:rPr>
                <w:color w:val="000000"/>
                <w:szCs w:val="22"/>
                <w:lang w:val="fr-FR"/>
              </w:rPr>
              <w:t>Novartis Pharma Services Inc.</w:t>
            </w:r>
          </w:p>
          <w:p w14:paraId="375EC19C" w14:textId="77777777" w:rsidR="00C25DD8" w:rsidRPr="00263DB9" w:rsidRDefault="00C25DD8" w:rsidP="00E51817">
            <w:pPr>
              <w:widowControl w:val="0"/>
              <w:rPr>
                <w:color w:val="000000"/>
                <w:szCs w:val="22"/>
                <w:lang w:val="fr-FR"/>
              </w:rPr>
            </w:pPr>
            <w:r w:rsidRPr="00263DB9">
              <w:rPr>
                <w:color w:val="000000"/>
                <w:szCs w:val="22"/>
                <w:lang w:val="fr-FR"/>
              </w:rPr>
              <w:t>Tel: +386 1 300 75 50</w:t>
            </w:r>
          </w:p>
        </w:tc>
      </w:tr>
      <w:tr w:rsidR="00C25DD8" w:rsidRPr="00263DB9" w14:paraId="375EC1A6" w14:textId="77777777" w:rsidTr="009C587B">
        <w:trPr>
          <w:cantSplit/>
        </w:trPr>
        <w:tc>
          <w:tcPr>
            <w:tcW w:w="4650" w:type="dxa"/>
          </w:tcPr>
          <w:p w14:paraId="375EC19E" w14:textId="77777777" w:rsidR="00C25DD8" w:rsidRPr="00263DB9" w:rsidRDefault="00C25DD8" w:rsidP="00E51817">
            <w:pPr>
              <w:widowControl w:val="0"/>
              <w:rPr>
                <w:b/>
                <w:color w:val="000000"/>
                <w:szCs w:val="22"/>
              </w:rPr>
            </w:pPr>
            <w:r w:rsidRPr="00263DB9">
              <w:rPr>
                <w:b/>
                <w:color w:val="000000"/>
                <w:szCs w:val="22"/>
              </w:rPr>
              <w:t>Ísland</w:t>
            </w:r>
          </w:p>
          <w:p w14:paraId="375EC19F" w14:textId="77777777" w:rsidR="00C25DD8" w:rsidRPr="00263DB9" w:rsidRDefault="00C25DD8" w:rsidP="00E51817">
            <w:pPr>
              <w:widowControl w:val="0"/>
              <w:rPr>
                <w:color w:val="000000"/>
                <w:szCs w:val="22"/>
              </w:rPr>
            </w:pPr>
            <w:r w:rsidRPr="00263DB9">
              <w:rPr>
                <w:color w:val="000000"/>
                <w:szCs w:val="22"/>
              </w:rPr>
              <w:t>Vistor hf.</w:t>
            </w:r>
          </w:p>
          <w:p w14:paraId="375EC1A0" w14:textId="77777777" w:rsidR="00C25DD8" w:rsidRPr="00263DB9" w:rsidRDefault="00C25DD8" w:rsidP="00E51817">
            <w:pPr>
              <w:widowControl w:val="0"/>
              <w:rPr>
                <w:color w:val="000000"/>
                <w:szCs w:val="22"/>
              </w:rPr>
            </w:pPr>
            <w:r w:rsidRPr="00263DB9">
              <w:rPr>
                <w:noProof/>
                <w:color w:val="000000"/>
                <w:szCs w:val="22"/>
                <w:lang w:val="it-IT"/>
              </w:rPr>
              <w:t>S</w:t>
            </w:r>
            <w:r w:rsidRPr="00263DB9">
              <w:rPr>
                <w:noProof/>
                <w:color w:val="000000"/>
                <w:szCs w:val="22"/>
                <w:lang w:val="cs-CZ"/>
              </w:rPr>
              <w:t>í</w:t>
            </w:r>
            <w:r w:rsidRPr="00263DB9">
              <w:rPr>
                <w:noProof/>
                <w:color w:val="000000"/>
                <w:szCs w:val="22"/>
                <w:lang w:val="it-IT"/>
              </w:rPr>
              <w:t>mi</w:t>
            </w:r>
            <w:r w:rsidRPr="00263DB9">
              <w:rPr>
                <w:color w:val="000000"/>
                <w:szCs w:val="22"/>
              </w:rPr>
              <w:t>: +354 535 7000</w:t>
            </w:r>
          </w:p>
          <w:p w14:paraId="375EC1A1" w14:textId="77777777" w:rsidR="00C25DD8" w:rsidRPr="00263DB9" w:rsidRDefault="00C25DD8" w:rsidP="00E51817">
            <w:pPr>
              <w:widowControl w:val="0"/>
              <w:rPr>
                <w:b/>
                <w:color w:val="000000"/>
                <w:szCs w:val="22"/>
              </w:rPr>
            </w:pPr>
          </w:p>
        </w:tc>
        <w:tc>
          <w:tcPr>
            <w:tcW w:w="4650" w:type="dxa"/>
          </w:tcPr>
          <w:p w14:paraId="375EC1A2" w14:textId="77777777" w:rsidR="00C25DD8" w:rsidRPr="00263DB9" w:rsidRDefault="00C25DD8" w:rsidP="00E51817">
            <w:pPr>
              <w:widowControl w:val="0"/>
              <w:rPr>
                <w:b/>
                <w:color w:val="000000"/>
                <w:szCs w:val="22"/>
                <w:lang w:val="pt-BR"/>
              </w:rPr>
            </w:pPr>
            <w:r w:rsidRPr="00263DB9">
              <w:rPr>
                <w:b/>
                <w:color w:val="000000"/>
                <w:szCs w:val="22"/>
                <w:lang w:val="pt-BR"/>
              </w:rPr>
              <w:t>Slovenská republika</w:t>
            </w:r>
          </w:p>
          <w:p w14:paraId="375EC1A3" w14:textId="77777777" w:rsidR="00C25DD8" w:rsidRPr="00263DB9" w:rsidRDefault="00C25DD8" w:rsidP="00E51817">
            <w:pPr>
              <w:widowControl w:val="0"/>
              <w:rPr>
                <w:color w:val="000000"/>
                <w:szCs w:val="22"/>
                <w:lang w:val="pt-BR"/>
              </w:rPr>
            </w:pPr>
            <w:r w:rsidRPr="00263DB9">
              <w:rPr>
                <w:color w:val="000000"/>
                <w:szCs w:val="22"/>
                <w:lang w:val="pt-BR"/>
              </w:rPr>
              <w:t>Novartis Slovakia s.r.o.</w:t>
            </w:r>
          </w:p>
          <w:p w14:paraId="375EC1A4" w14:textId="77777777" w:rsidR="00C25DD8" w:rsidRPr="00263DB9" w:rsidRDefault="00C25DD8" w:rsidP="00E51817">
            <w:pPr>
              <w:widowControl w:val="0"/>
              <w:rPr>
                <w:color w:val="000000"/>
                <w:szCs w:val="22"/>
              </w:rPr>
            </w:pPr>
            <w:r w:rsidRPr="00263DB9">
              <w:rPr>
                <w:color w:val="000000"/>
                <w:szCs w:val="22"/>
              </w:rPr>
              <w:t>Tel: +421 2 5542 5439</w:t>
            </w:r>
          </w:p>
          <w:p w14:paraId="375EC1A5" w14:textId="77777777" w:rsidR="00C25DD8" w:rsidRPr="00263DB9" w:rsidRDefault="00C25DD8" w:rsidP="00E51817">
            <w:pPr>
              <w:widowControl w:val="0"/>
              <w:rPr>
                <w:color w:val="000000"/>
                <w:szCs w:val="22"/>
              </w:rPr>
            </w:pPr>
          </w:p>
        </w:tc>
      </w:tr>
      <w:tr w:rsidR="00C25DD8" w:rsidRPr="003C4FF5" w14:paraId="375EC1AE" w14:textId="77777777" w:rsidTr="009C587B">
        <w:trPr>
          <w:cantSplit/>
        </w:trPr>
        <w:tc>
          <w:tcPr>
            <w:tcW w:w="4650" w:type="dxa"/>
          </w:tcPr>
          <w:p w14:paraId="375EC1A7" w14:textId="77777777" w:rsidR="00C25DD8" w:rsidRPr="00263DB9" w:rsidRDefault="00C25DD8" w:rsidP="00E51817">
            <w:pPr>
              <w:widowControl w:val="0"/>
              <w:rPr>
                <w:b/>
                <w:color w:val="000000"/>
                <w:szCs w:val="22"/>
                <w:lang w:val="pt-BR"/>
              </w:rPr>
            </w:pPr>
            <w:r w:rsidRPr="00263DB9">
              <w:rPr>
                <w:b/>
                <w:color w:val="000000"/>
                <w:szCs w:val="22"/>
                <w:lang w:val="pt-BR"/>
              </w:rPr>
              <w:t>Italia</w:t>
            </w:r>
          </w:p>
          <w:p w14:paraId="375EC1A8" w14:textId="77777777" w:rsidR="00C25DD8" w:rsidRPr="00263DB9" w:rsidRDefault="00C25DD8" w:rsidP="00E51817">
            <w:pPr>
              <w:widowControl w:val="0"/>
              <w:rPr>
                <w:color w:val="000000"/>
                <w:szCs w:val="22"/>
                <w:lang w:val="pt-BR"/>
              </w:rPr>
            </w:pPr>
            <w:r w:rsidRPr="00263DB9">
              <w:rPr>
                <w:color w:val="000000"/>
                <w:szCs w:val="22"/>
                <w:lang w:val="pt-BR"/>
              </w:rPr>
              <w:t>Novartis Farma S.p.A.</w:t>
            </w:r>
          </w:p>
          <w:p w14:paraId="375EC1A9" w14:textId="77777777" w:rsidR="00C25DD8" w:rsidRPr="00263DB9" w:rsidRDefault="00C25DD8" w:rsidP="00E51817">
            <w:pPr>
              <w:widowControl w:val="0"/>
              <w:rPr>
                <w:b/>
                <w:color w:val="000000"/>
                <w:szCs w:val="22"/>
              </w:rPr>
            </w:pPr>
            <w:r w:rsidRPr="00263DB9">
              <w:rPr>
                <w:color w:val="000000"/>
                <w:szCs w:val="22"/>
              </w:rPr>
              <w:t>Tel: +39 02 96 54 1</w:t>
            </w:r>
          </w:p>
        </w:tc>
        <w:tc>
          <w:tcPr>
            <w:tcW w:w="4650" w:type="dxa"/>
          </w:tcPr>
          <w:p w14:paraId="375EC1AA" w14:textId="77777777" w:rsidR="00C25DD8" w:rsidRPr="00263DB9" w:rsidRDefault="00C25DD8" w:rsidP="00E51817">
            <w:pPr>
              <w:widowControl w:val="0"/>
              <w:rPr>
                <w:b/>
                <w:color w:val="000000"/>
                <w:szCs w:val="22"/>
                <w:lang w:val="fr-FR"/>
              </w:rPr>
            </w:pPr>
            <w:r w:rsidRPr="00263DB9">
              <w:rPr>
                <w:b/>
                <w:color w:val="000000"/>
                <w:szCs w:val="22"/>
                <w:lang w:val="fr-FR"/>
              </w:rPr>
              <w:t>Suomi/Finland</w:t>
            </w:r>
          </w:p>
          <w:p w14:paraId="375EC1AB" w14:textId="77777777" w:rsidR="00C25DD8" w:rsidRPr="00263DB9" w:rsidRDefault="00C25DD8" w:rsidP="00E51817">
            <w:pPr>
              <w:widowControl w:val="0"/>
              <w:rPr>
                <w:color w:val="000000"/>
                <w:szCs w:val="22"/>
                <w:lang w:val="fr-FR"/>
              </w:rPr>
            </w:pPr>
            <w:r w:rsidRPr="00263DB9">
              <w:rPr>
                <w:color w:val="000000"/>
                <w:szCs w:val="22"/>
                <w:lang w:val="fr-FR"/>
              </w:rPr>
              <w:t>Novartis Finland Oy</w:t>
            </w:r>
          </w:p>
          <w:p w14:paraId="375EC1AC" w14:textId="77777777" w:rsidR="00C25DD8" w:rsidRPr="00263DB9" w:rsidRDefault="00C25DD8" w:rsidP="00E51817">
            <w:pPr>
              <w:widowControl w:val="0"/>
              <w:rPr>
                <w:color w:val="000000"/>
                <w:szCs w:val="22"/>
                <w:lang w:val="fr-FR"/>
              </w:rPr>
            </w:pPr>
            <w:r w:rsidRPr="00263DB9">
              <w:rPr>
                <w:color w:val="000000"/>
                <w:szCs w:val="22"/>
                <w:lang w:val="fr-FR"/>
              </w:rPr>
              <w:t xml:space="preserve">Puh/Tel: </w:t>
            </w:r>
            <w:r w:rsidRPr="00263DB9">
              <w:rPr>
                <w:color w:val="000000"/>
                <w:szCs w:val="22"/>
                <w:lang w:val="de-CH" w:bidi="he-IL"/>
              </w:rPr>
              <w:t>+358 (0)10 6133 200</w:t>
            </w:r>
          </w:p>
          <w:p w14:paraId="375EC1AD" w14:textId="77777777" w:rsidR="00C25DD8" w:rsidRPr="00263DB9" w:rsidRDefault="00C25DD8" w:rsidP="00E51817">
            <w:pPr>
              <w:widowControl w:val="0"/>
              <w:rPr>
                <w:color w:val="000000"/>
                <w:szCs w:val="22"/>
                <w:lang w:val="fr-FR"/>
              </w:rPr>
            </w:pPr>
          </w:p>
        </w:tc>
      </w:tr>
      <w:tr w:rsidR="00C25DD8" w:rsidRPr="00263DB9" w14:paraId="375EC1B7" w14:textId="77777777" w:rsidTr="009C587B">
        <w:trPr>
          <w:cantSplit/>
        </w:trPr>
        <w:tc>
          <w:tcPr>
            <w:tcW w:w="4650" w:type="dxa"/>
          </w:tcPr>
          <w:p w14:paraId="375EC1AF" w14:textId="77777777" w:rsidR="00C25DD8" w:rsidRPr="00263DB9" w:rsidRDefault="00C25DD8" w:rsidP="00E51817">
            <w:pPr>
              <w:widowControl w:val="0"/>
              <w:rPr>
                <w:b/>
                <w:color w:val="000000"/>
                <w:szCs w:val="22"/>
                <w:lang w:val="fr-FR"/>
              </w:rPr>
            </w:pPr>
            <w:r w:rsidRPr="00263DB9">
              <w:rPr>
                <w:b/>
                <w:color w:val="000000"/>
                <w:szCs w:val="22"/>
              </w:rPr>
              <w:lastRenderedPageBreak/>
              <w:t>Κύπρος</w:t>
            </w:r>
          </w:p>
          <w:p w14:paraId="375EC1B0" w14:textId="77777777" w:rsidR="00C25DD8" w:rsidRPr="00263DB9" w:rsidRDefault="00C25DD8" w:rsidP="00E51817">
            <w:pPr>
              <w:widowControl w:val="0"/>
              <w:rPr>
                <w:color w:val="000000"/>
                <w:szCs w:val="22"/>
                <w:lang w:val="fr-FR"/>
              </w:rPr>
            </w:pPr>
            <w:r w:rsidRPr="00263DB9">
              <w:rPr>
                <w:color w:val="000000"/>
                <w:szCs w:val="22"/>
                <w:lang w:val="fr-FR" w:bidi="he-IL"/>
              </w:rPr>
              <w:t>Novartis Pharma Services Inc.</w:t>
            </w:r>
          </w:p>
          <w:p w14:paraId="375EC1B1" w14:textId="77777777" w:rsidR="00C25DD8" w:rsidRPr="00263DB9" w:rsidRDefault="00C25DD8" w:rsidP="00E51817">
            <w:pPr>
              <w:widowControl w:val="0"/>
              <w:rPr>
                <w:color w:val="000000"/>
                <w:szCs w:val="22"/>
                <w:lang w:val="fr-FR"/>
              </w:rPr>
            </w:pPr>
            <w:r w:rsidRPr="00263DB9">
              <w:rPr>
                <w:color w:val="000000"/>
                <w:szCs w:val="22"/>
              </w:rPr>
              <w:t>Τηλ</w:t>
            </w:r>
            <w:r w:rsidRPr="00263DB9">
              <w:rPr>
                <w:color w:val="000000"/>
                <w:szCs w:val="22"/>
                <w:lang w:val="fr-FR"/>
              </w:rPr>
              <w:t>: +357 22 690 690</w:t>
            </w:r>
          </w:p>
          <w:p w14:paraId="375EC1B2" w14:textId="77777777" w:rsidR="00C25DD8" w:rsidRPr="00263DB9" w:rsidRDefault="00C25DD8" w:rsidP="00E51817">
            <w:pPr>
              <w:widowControl w:val="0"/>
              <w:rPr>
                <w:b/>
                <w:color w:val="000000"/>
                <w:szCs w:val="22"/>
                <w:lang w:val="fr-FR"/>
              </w:rPr>
            </w:pPr>
          </w:p>
        </w:tc>
        <w:tc>
          <w:tcPr>
            <w:tcW w:w="4650" w:type="dxa"/>
          </w:tcPr>
          <w:p w14:paraId="375EC1B3" w14:textId="77777777" w:rsidR="00C25DD8" w:rsidRPr="00263DB9" w:rsidRDefault="00C25DD8" w:rsidP="00E51817">
            <w:pPr>
              <w:widowControl w:val="0"/>
              <w:rPr>
                <w:b/>
                <w:color w:val="000000"/>
                <w:szCs w:val="22"/>
                <w:lang w:val="de-CH"/>
              </w:rPr>
            </w:pPr>
            <w:r w:rsidRPr="00263DB9">
              <w:rPr>
                <w:b/>
                <w:color w:val="000000"/>
                <w:szCs w:val="22"/>
                <w:lang w:val="de-CH"/>
              </w:rPr>
              <w:t>Sverige</w:t>
            </w:r>
          </w:p>
          <w:p w14:paraId="375EC1B4" w14:textId="77777777" w:rsidR="00C25DD8" w:rsidRPr="00263DB9" w:rsidRDefault="00C25DD8" w:rsidP="00E51817">
            <w:pPr>
              <w:widowControl w:val="0"/>
              <w:rPr>
                <w:color w:val="000000"/>
                <w:szCs w:val="22"/>
                <w:lang w:val="de-CH"/>
              </w:rPr>
            </w:pPr>
            <w:r w:rsidRPr="00263DB9">
              <w:rPr>
                <w:color w:val="000000"/>
                <w:szCs w:val="22"/>
                <w:lang w:val="de-CH"/>
              </w:rPr>
              <w:t>Novartis Sverige AB</w:t>
            </w:r>
          </w:p>
          <w:p w14:paraId="375EC1B5" w14:textId="77777777" w:rsidR="00C25DD8" w:rsidRPr="00263DB9" w:rsidRDefault="00C25DD8" w:rsidP="00E51817">
            <w:pPr>
              <w:widowControl w:val="0"/>
              <w:rPr>
                <w:color w:val="000000"/>
                <w:szCs w:val="22"/>
                <w:lang w:val="de-CH"/>
              </w:rPr>
            </w:pPr>
            <w:r w:rsidRPr="00263DB9">
              <w:rPr>
                <w:color w:val="000000"/>
                <w:szCs w:val="22"/>
                <w:lang w:val="de-CH"/>
              </w:rPr>
              <w:t>Tel: +46 8 732 32 00</w:t>
            </w:r>
          </w:p>
          <w:p w14:paraId="375EC1B6" w14:textId="77777777" w:rsidR="00C25DD8" w:rsidRPr="00263DB9" w:rsidRDefault="00C25DD8" w:rsidP="00E51817">
            <w:pPr>
              <w:widowControl w:val="0"/>
              <w:rPr>
                <w:color w:val="000000"/>
                <w:szCs w:val="22"/>
                <w:lang w:val="de-CH"/>
              </w:rPr>
            </w:pPr>
          </w:p>
        </w:tc>
      </w:tr>
      <w:tr w:rsidR="00C25DD8" w:rsidRPr="00263DB9" w14:paraId="375EC1C0" w14:textId="77777777" w:rsidTr="009C587B">
        <w:trPr>
          <w:cantSplit/>
        </w:trPr>
        <w:tc>
          <w:tcPr>
            <w:tcW w:w="4650" w:type="dxa"/>
          </w:tcPr>
          <w:p w14:paraId="375EC1B8" w14:textId="77777777" w:rsidR="00C25DD8" w:rsidRPr="001D39C1" w:rsidRDefault="00C25DD8" w:rsidP="00E51817">
            <w:pPr>
              <w:widowControl w:val="0"/>
              <w:rPr>
                <w:b/>
                <w:color w:val="000000"/>
                <w:szCs w:val="22"/>
                <w:lang w:val="es-ES"/>
              </w:rPr>
            </w:pPr>
            <w:r w:rsidRPr="001D39C1">
              <w:rPr>
                <w:b/>
                <w:color w:val="000000"/>
                <w:szCs w:val="22"/>
                <w:lang w:val="es-ES"/>
              </w:rPr>
              <w:t>Latvija</w:t>
            </w:r>
          </w:p>
          <w:p w14:paraId="375EC1B9" w14:textId="278DB400" w:rsidR="00C25DD8" w:rsidRPr="001D39C1" w:rsidRDefault="009207F7" w:rsidP="00E51817">
            <w:pPr>
              <w:widowControl w:val="0"/>
              <w:rPr>
                <w:color w:val="000000"/>
                <w:szCs w:val="22"/>
                <w:lang w:val="es-ES"/>
              </w:rPr>
            </w:pPr>
            <w:r w:rsidRPr="001D39C1">
              <w:rPr>
                <w:color w:val="000000"/>
                <w:szCs w:val="22"/>
                <w:lang w:val="es-ES"/>
              </w:rPr>
              <w:t>SIA Novartis Baltics</w:t>
            </w:r>
          </w:p>
          <w:p w14:paraId="375EC1BA" w14:textId="77777777" w:rsidR="00C25DD8" w:rsidRPr="00263DB9" w:rsidRDefault="00C25DD8" w:rsidP="00E51817">
            <w:pPr>
              <w:widowControl w:val="0"/>
              <w:rPr>
                <w:color w:val="000000"/>
                <w:szCs w:val="22"/>
              </w:rPr>
            </w:pPr>
            <w:r w:rsidRPr="00263DB9">
              <w:rPr>
                <w:color w:val="000000"/>
                <w:szCs w:val="22"/>
              </w:rPr>
              <w:t>Tel: +371 67 887 070</w:t>
            </w:r>
          </w:p>
          <w:p w14:paraId="375EC1BB" w14:textId="77777777" w:rsidR="00C25DD8" w:rsidRPr="00263DB9" w:rsidRDefault="00C25DD8" w:rsidP="00E51817">
            <w:pPr>
              <w:widowControl w:val="0"/>
              <w:rPr>
                <w:b/>
                <w:color w:val="000000"/>
                <w:szCs w:val="22"/>
              </w:rPr>
            </w:pPr>
          </w:p>
        </w:tc>
        <w:tc>
          <w:tcPr>
            <w:tcW w:w="4650" w:type="dxa"/>
          </w:tcPr>
          <w:p w14:paraId="375EC1BC" w14:textId="77777777" w:rsidR="00C25DD8" w:rsidRPr="00263DB9" w:rsidRDefault="00C25DD8" w:rsidP="00E51817">
            <w:pPr>
              <w:widowControl w:val="0"/>
              <w:rPr>
                <w:b/>
                <w:color w:val="000000"/>
                <w:szCs w:val="22"/>
                <w:lang w:val="en-US"/>
              </w:rPr>
            </w:pPr>
            <w:r w:rsidRPr="00263DB9">
              <w:rPr>
                <w:b/>
                <w:color w:val="000000"/>
                <w:szCs w:val="22"/>
                <w:lang w:val="en-US"/>
              </w:rPr>
              <w:t>United Kingdom</w:t>
            </w:r>
          </w:p>
          <w:p w14:paraId="375EC1BD" w14:textId="77777777" w:rsidR="00C25DD8" w:rsidRPr="00263DB9" w:rsidRDefault="00C25DD8" w:rsidP="00E51817">
            <w:pPr>
              <w:widowControl w:val="0"/>
              <w:rPr>
                <w:color w:val="000000"/>
                <w:szCs w:val="22"/>
                <w:lang w:val="en-US"/>
              </w:rPr>
            </w:pPr>
            <w:r w:rsidRPr="00263DB9">
              <w:rPr>
                <w:color w:val="000000"/>
                <w:szCs w:val="22"/>
                <w:lang w:val="en-US"/>
              </w:rPr>
              <w:t>Novartis Pharmaceuticals UK Ltd.</w:t>
            </w:r>
          </w:p>
          <w:p w14:paraId="375EC1BE" w14:textId="77777777" w:rsidR="00C25DD8" w:rsidRPr="00263DB9" w:rsidRDefault="00C25DD8" w:rsidP="00E51817">
            <w:pPr>
              <w:widowControl w:val="0"/>
              <w:rPr>
                <w:color w:val="000000"/>
                <w:szCs w:val="22"/>
              </w:rPr>
            </w:pPr>
            <w:r w:rsidRPr="00263DB9">
              <w:rPr>
                <w:color w:val="000000"/>
                <w:szCs w:val="22"/>
              </w:rPr>
              <w:t>Tel: +44 1276 698370</w:t>
            </w:r>
          </w:p>
          <w:p w14:paraId="375EC1BF" w14:textId="77777777" w:rsidR="00C25DD8" w:rsidRPr="00263DB9" w:rsidRDefault="00C25DD8" w:rsidP="00E51817">
            <w:pPr>
              <w:widowControl w:val="0"/>
              <w:rPr>
                <w:color w:val="000000"/>
                <w:szCs w:val="22"/>
              </w:rPr>
            </w:pPr>
          </w:p>
        </w:tc>
      </w:tr>
    </w:tbl>
    <w:p w14:paraId="375EC1C1" w14:textId="77777777" w:rsidR="00C25DD8" w:rsidRPr="00263DB9" w:rsidRDefault="00C25DD8" w:rsidP="00E51817">
      <w:pPr>
        <w:widowControl w:val="0"/>
        <w:ind w:right="-449"/>
        <w:rPr>
          <w:color w:val="000000"/>
          <w:szCs w:val="22"/>
        </w:rPr>
      </w:pPr>
    </w:p>
    <w:p w14:paraId="375EC1C2" w14:textId="77777777" w:rsidR="00906898" w:rsidRPr="00263DB9" w:rsidRDefault="00906898" w:rsidP="00E51817">
      <w:pPr>
        <w:widowControl w:val="0"/>
        <w:suppressAutoHyphens/>
        <w:ind w:right="14"/>
        <w:rPr>
          <w:b/>
          <w:color w:val="000000"/>
          <w:szCs w:val="22"/>
        </w:rPr>
      </w:pPr>
      <w:r w:rsidRPr="00263DB9">
        <w:rPr>
          <w:b/>
          <w:color w:val="000000"/>
          <w:szCs w:val="22"/>
        </w:rPr>
        <w:t>Este folheto foi revisto pela última vez em</w:t>
      </w:r>
    </w:p>
    <w:p w14:paraId="375EC1C3" w14:textId="77777777" w:rsidR="00906898" w:rsidRPr="00263DB9" w:rsidRDefault="00906898" w:rsidP="00E51817">
      <w:pPr>
        <w:widowControl w:val="0"/>
        <w:suppressAutoHyphens/>
        <w:ind w:right="14"/>
        <w:rPr>
          <w:bCs/>
          <w:color w:val="000000"/>
          <w:szCs w:val="22"/>
        </w:rPr>
      </w:pPr>
    </w:p>
    <w:p w14:paraId="375EC1C4" w14:textId="77777777" w:rsidR="00906898" w:rsidRPr="00263DB9" w:rsidRDefault="00906898" w:rsidP="00E51817">
      <w:pPr>
        <w:keepNext/>
        <w:widowControl w:val="0"/>
        <w:suppressAutoHyphens/>
        <w:ind w:right="14"/>
        <w:rPr>
          <w:bCs/>
          <w:color w:val="000000"/>
          <w:szCs w:val="22"/>
        </w:rPr>
      </w:pPr>
      <w:r w:rsidRPr="00263DB9">
        <w:rPr>
          <w:b/>
          <w:szCs w:val="24"/>
        </w:rPr>
        <w:t>Outras fontes de informação</w:t>
      </w:r>
    </w:p>
    <w:p w14:paraId="375EC1C5" w14:textId="0B2B80B3" w:rsidR="00906898" w:rsidRDefault="00906898" w:rsidP="00273B82">
      <w:pPr>
        <w:keepLines/>
        <w:widowControl w:val="0"/>
        <w:suppressAutoHyphens/>
        <w:ind w:right="11"/>
        <w:rPr>
          <w:noProof/>
          <w:color w:val="000000"/>
        </w:rPr>
      </w:pPr>
      <w:r w:rsidRPr="00263DB9">
        <w:rPr>
          <w:szCs w:val="24"/>
        </w:rPr>
        <w:t>Está disponível informação</w:t>
      </w:r>
      <w:r w:rsidRPr="00263DB9">
        <w:rPr>
          <w:noProof/>
          <w:color w:val="000000"/>
        </w:rPr>
        <w:t xml:space="preserve"> pormenorizada sobre este medicamento no </w:t>
      </w:r>
      <w:r w:rsidRPr="00263DB9">
        <w:rPr>
          <w:szCs w:val="24"/>
        </w:rPr>
        <w:t xml:space="preserve">sítio da internet </w:t>
      </w:r>
      <w:r w:rsidRPr="00263DB9">
        <w:rPr>
          <w:noProof/>
          <w:color w:val="000000"/>
        </w:rPr>
        <w:t xml:space="preserve">da Agência Europeia de Medicamentos: </w:t>
      </w:r>
      <w:hyperlink r:id="rId18" w:history="1">
        <w:r w:rsidR="002C6A35" w:rsidRPr="009C4B4A">
          <w:rPr>
            <w:rStyle w:val="Hyperlink"/>
            <w:noProof/>
          </w:rPr>
          <w:t>http://www.ema.europa.eu</w:t>
        </w:r>
      </w:hyperlink>
    </w:p>
    <w:p w14:paraId="5ACE80EE" w14:textId="77777777" w:rsidR="002C6A35" w:rsidRPr="00263DB9" w:rsidRDefault="002C6A35" w:rsidP="00273B82">
      <w:pPr>
        <w:keepLines/>
        <w:widowControl w:val="0"/>
        <w:suppressAutoHyphens/>
        <w:ind w:right="11"/>
        <w:rPr>
          <w:bCs/>
          <w:color w:val="000000"/>
          <w:szCs w:val="22"/>
        </w:rPr>
      </w:pPr>
    </w:p>
    <w:p w14:paraId="375EC35A" w14:textId="1931DFA4" w:rsidR="00164540" w:rsidRPr="002E6002" w:rsidRDefault="00164540" w:rsidP="001528D3">
      <w:pPr>
        <w:widowControl w:val="0"/>
        <w:suppressAutoHyphens/>
        <w:rPr>
          <w:color w:val="000000"/>
        </w:rPr>
      </w:pPr>
    </w:p>
    <w:sectPr w:rsidR="00164540" w:rsidRPr="002E6002">
      <w:headerReference w:type="even" r:id="rId19"/>
      <w:headerReference w:type="default" r:id="rId20"/>
      <w:footerReference w:type="even" r:id="rId21"/>
      <w:footerReference w:type="default" r:id="rId22"/>
      <w:headerReference w:type="first" r:id="rId23"/>
      <w:footerReference w:type="first" r:id="rId24"/>
      <w:endnotePr>
        <w:numFmt w:val="decimal"/>
      </w:endnotePr>
      <w:pgSz w:w="11896" w:h="16834" w:code="9"/>
      <w:pgMar w:top="1134" w:right="1418" w:bottom="1134" w:left="1418" w:header="737" w:footer="73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EC389" w14:textId="77777777" w:rsidR="00341C1A" w:rsidRDefault="00341C1A">
      <w:r>
        <w:separator/>
      </w:r>
    </w:p>
  </w:endnote>
  <w:endnote w:type="continuationSeparator" w:id="0">
    <w:p w14:paraId="375EC38A" w14:textId="77777777" w:rsidR="00341C1A" w:rsidRDefault="0034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Yu Gothic UI"/>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EDA4" w14:textId="77777777" w:rsidR="00341C1A" w:rsidRDefault="00341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EC38B" w14:textId="79DBF85F" w:rsidR="00341C1A" w:rsidRDefault="00341C1A">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445AC6">
      <w:rPr>
        <w:rStyle w:val="PageNumber"/>
        <w:rFonts w:ascii="Arial" w:hAnsi="Arial" w:cs="Arial"/>
        <w:noProof/>
      </w:rPr>
      <w:t>64</w:t>
    </w:r>
    <w:r>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EC38C" w14:textId="77777777" w:rsidR="00341C1A" w:rsidRDefault="00341C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5EC38D" w14:textId="77777777" w:rsidR="00341C1A" w:rsidRDefault="00341C1A">
    <w:pPr>
      <w:pStyle w:val="Footer"/>
      <w:tabs>
        <w:tab w:val="clear" w:pos="8930"/>
        <w:tab w:val="right" w:pos="8931"/>
      </w:tabs>
      <w:ind w:right="96"/>
      <w:jc w:val="center"/>
    </w:pPr>
    <w:r>
      <w:fldChar w:fldCharType="begin"/>
    </w:r>
    <w:r>
      <w:instrText xml:space="preserve"> EQ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EC387" w14:textId="77777777" w:rsidR="00341C1A" w:rsidRDefault="00341C1A">
      <w:r>
        <w:separator/>
      </w:r>
    </w:p>
  </w:footnote>
  <w:footnote w:type="continuationSeparator" w:id="0">
    <w:p w14:paraId="375EC388" w14:textId="77777777" w:rsidR="00341C1A" w:rsidRDefault="00341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5BE4B" w14:textId="77777777" w:rsidR="00341C1A" w:rsidRDefault="00341C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B4647" w14:textId="77777777" w:rsidR="00341C1A" w:rsidRDefault="00341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3D317" w14:textId="77777777" w:rsidR="00341C1A" w:rsidRDefault="00341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visibility:visible" o:bullet="t">
        <v:imagedata r:id="rId1" o:title="BT_1000x858px"/>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C3ABA"/>
    <w:multiLevelType w:val="hybridMultilevel"/>
    <w:tmpl w:val="80AAA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60AC4"/>
    <w:multiLevelType w:val="hybridMultilevel"/>
    <w:tmpl w:val="8996CF66"/>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3E7674B"/>
    <w:multiLevelType w:val="hybridMultilevel"/>
    <w:tmpl w:val="187480E0"/>
    <w:lvl w:ilvl="0" w:tplc="04090001">
      <w:start w:val="1"/>
      <w:numFmt w:val="bullet"/>
      <w:lvlText w:val=""/>
      <w:lvlJc w:val="left"/>
      <w:pPr>
        <w:ind w:left="720" w:hanging="360"/>
      </w:pPr>
      <w:rPr>
        <w:rFonts w:ascii="Symbol" w:hAnsi="Symbol" w:hint="default"/>
        <w:b w:val="0"/>
        <w:i w:val="0"/>
        <w:color w:val="0000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77AF3"/>
    <w:multiLevelType w:val="multilevel"/>
    <w:tmpl w:val="DA9AF0F2"/>
    <w:lvl w:ilvl="0">
      <w:start w:val="1"/>
      <w:numFmt w:val="upperLetter"/>
      <w:lvlText w:val="%1."/>
      <w:lvlJc w:val="left"/>
      <w:pPr>
        <w:tabs>
          <w:tab w:val="num" w:pos="1494"/>
        </w:tabs>
        <w:ind w:left="1494" w:hanging="360"/>
      </w:pPr>
      <w:rPr>
        <w:rFonts w:hint="default"/>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1B6598"/>
    <w:multiLevelType w:val="hybridMultilevel"/>
    <w:tmpl w:val="AD9EF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231466"/>
    <w:multiLevelType w:val="singleLevel"/>
    <w:tmpl w:val="F886E2B8"/>
    <w:lvl w:ilvl="0">
      <w:start w:val="44"/>
      <w:numFmt w:val="bullet"/>
      <w:lvlText w:val=""/>
      <w:lvlJc w:val="left"/>
      <w:pPr>
        <w:tabs>
          <w:tab w:val="num" w:pos="1069"/>
        </w:tabs>
        <w:ind w:left="1069" w:hanging="360"/>
      </w:pPr>
      <w:rPr>
        <w:rFonts w:ascii="Symbol" w:hAnsi="Symbol" w:hint="default"/>
      </w:rPr>
    </w:lvl>
  </w:abstractNum>
  <w:abstractNum w:abstractNumId="8" w15:restartNumberingAfterBreak="0">
    <w:nsid w:val="15CE468E"/>
    <w:multiLevelType w:val="hybridMultilevel"/>
    <w:tmpl w:val="81FC34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8E6084"/>
    <w:multiLevelType w:val="hybridMultilevel"/>
    <w:tmpl w:val="872AB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2E1C81"/>
    <w:multiLevelType w:val="hybridMultilevel"/>
    <w:tmpl w:val="4E9C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043EBB"/>
    <w:multiLevelType w:val="hybridMultilevel"/>
    <w:tmpl w:val="84F2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3958D7"/>
    <w:multiLevelType w:val="hybridMultilevel"/>
    <w:tmpl w:val="34EEE758"/>
    <w:lvl w:ilvl="0" w:tplc="1E1A4402">
      <w:start w:val="2"/>
      <w:numFmt w:val="bullet"/>
      <w:lvlText w:val="-"/>
      <w:lvlJc w:val="left"/>
      <w:pPr>
        <w:tabs>
          <w:tab w:val="num" w:pos="927"/>
        </w:tabs>
        <w:ind w:left="927" w:hanging="360"/>
      </w:pPr>
      <w:rPr>
        <w:rFonts w:hint="default"/>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E4699F"/>
    <w:multiLevelType w:val="hybridMultilevel"/>
    <w:tmpl w:val="335A69D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383922EA"/>
    <w:multiLevelType w:val="hybridMultilevel"/>
    <w:tmpl w:val="6880824E"/>
    <w:lvl w:ilvl="0" w:tplc="FFFFFFFF">
      <w:start w:val="21"/>
      <w:numFmt w:val="bullet"/>
      <w:lvlText w:val="-"/>
      <w:lvlJc w:val="left"/>
      <w:pPr>
        <w:ind w:left="1290" w:hanging="360"/>
      </w:pPr>
      <w:rPr>
        <w:rFonts w:hint="default"/>
        <w:b w:val="0"/>
        <w:i w:val="0"/>
        <w:color w:val="000000"/>
        <w:sz w:val="22"/>
        <w:szCs w:val="22"/>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5" w15:restartNumberingAfterBreak="0">
    <w:nsid w:val="456D267C"/>
    <w:multiLevelType w:val="hybridMultilevel"/>
    <w:tmpl w:val="537299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611FC0"/>
    <w:multiLevelType w:val="hybridMultilevel"/>
    <w:tmpl w:val="A3AEFA8E"/>
    <w:lvl w:ilvl="0" w:tplc="FFFFFFFF">
      <w:start w:val="21"/>
      <w:numFmt w:val="bullet"/>
      <w:lvlText w:val="-"/>
      <w:lvlJc w:val="left"/>
      <w:pPr>
        <w:ind w:left="1290" w:hanging="360"/>
      </w:pPr>
      <w:rPr>
        <w:rFonts w:hint="default"/>
        <w:b w:val="0"/>
        <w:i w:val="0"/>
        <w:color w:val="000000"/>
        <w:sz w:val="22"/>
        <w:szCs w:val="22"/>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7" w15:restartNumberingAfterBreak="0">
    <w:nsid w:val="4A4502BB"/>
    <w:multiLevelType w:val="hybridMultilevel"/>
    <w:tmpl w:val="9AD43DDC"/>
    <w:lvl w:ilvl="0" w:tplc="1816508C">
      <w:start w:val="1"/>
      <w:numFmt w:val="bullet"/>
      <w:lvlText w:val=""/>
      <w:lvlJc w:val="left"/>
      <w:pPr>
        <w:tabs>
          <w:tab w:val="num" w:pos="2160"/>
        </w:tabs>
        <w:ind w:left="2160" w:hanging="360"/>
      </w:pPr>
      <w:rPr>
        <w:rFonts w:ascii="Symbol" w:hAnsi="Symbol" w:hint="default"/>
        <w:b w:val="0"/>
        <w:i w:val="0"/>
        <w:color w:val="00000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715B3C"/>
    <w:multiLevelType w:val="hybridMultilevel"/>
    <w:tmpl w:val="5BD687D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1500C"/>
    <w:multiLevelType w:val="hybridMultilevel"/>
    <w:tmpl w:val="24B0FE2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557531AB"/>
    <w:multiLevelType w:val="hybridMultilevel"/>
    <w:tmpl w:val="64E4104C"/>
    <w:lvl w:ilvl="0" w:tplc="FFFFFFFF">
      <w:start w:val="21"/>
      <w:numFmt w:val="bullet"/>
      <w:lvlText w:val="-"/>
      <w:lvlJc w:val="left"/>
      <w:pPr>
        <w:ind w:left="1290" w:hanging="360"/>
      </w:pPr>
      <w:rPr>
        <w:rFonts w:hint="default"/>
        <w:b w:val="0"/>
        <w:i w:val="0"/>
        <w:color w:val="000000"/>
        <w:sz w:val="22"/>
        <w:szCs w:val="22"/>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1" w15:restartNumberingAfterBreak="0">
    <w:nsid w:val="559E5661"/>
    <w:multiLevelType w:val="hybridMultilevel"/>
    <w:tmpl w:val="E1447444"/>
    <w:lvl w:ilvl="0" w:tplc="1E1A4402">
      <w:start w:val="2"/>
      <w:numFmt w:val="bullet"/>
      <w:lvlText w:val="-"/>
      <w:lvlJc w:val="left"/>
      <w:pPr>
        <w:tabs>
          <w:tab w:val="num" w:pos="927"/>
        </w:tabs>
        <w:ind w:left="927" w:hanging="360"/>
      </w:pPr>
      <w:rPr>
        <w:rFonts w:hint="default"/>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7D2C5A"/>
    <w:multiLevelType w:val="hybridMultilevel"/>
    <w:tmpl w:val="0A2C8918"/>
    <w:lvl w:ilvl="0" w:tplc="EA6CEA2C">
      <w:start w:val="2"/>
      <w:numFmt w:val="bullet"/>
      <w:lvlText w:val=""/>
      <w:lvlJc w:val="left"/>
      <w:pPr>
        <w:tabs>
          <w:tab w:val="num" w:pos="927"/>
        </w:tabs>
        <w:ind w:left="927" w:hanging="360"/>
      </w:pPr>
      <w:rPr>
        <w:rFonts w:ascii="Symbol" w:hAnsi="Symbol" w:hint="default"/>
        <w:color w:val="auto"/>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83CC8"/>
    <w:multiLevelType w:val="hybridMultilevel"/>
    <w:tmpl w:val="04FA5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CE7A7B"/>
    <w:multiLevelType w:val="hybridMultilevel"/>
    <w:tmpl w:val="CBE217DC"/>
    <w:lvl w:ilvl="0" w:tplc="FFFFFFFF">
      <w:start w:val="21"/>
      <w:numFmt w:val="bullet"/>
      <w:lvlText w:val="-"/>
      <w:lvlJc w:val="left"/>
      <w:pPr>
        <w:tabs>
          <w:tab w:val="num" w:pos="2160"/>
        </w:tabs>
        <w:ind w:left="2160" w:hanging="360"/>
      </w:pPr>
      <w:rPr>
        <w:rFonts w:hint="default"/>
        <w:b w:val="0"/>
        <w:i w:val="0"/>
        <w:color w:val="000000"/>
        <w:sz w:val="22"/>
        <w:szCs w:val="22"/>
      </w:rPr>
    </w:lvl>
    <w:lvl w:ilvl="1" w:tplc="1E1A4402">
      <w:start w:val="2"/>
      <w:numFmt w:val="bullet"/>
      <w:lvlText w:val="-"/>
      <w:lvlJc w:val="left"/>
      <w:pPr>
        <w:tabs>
          <w:tab w:val="num" w:pos="1440"/>
        </w:tabs>
        <w:ind w:left="1440" w:hanging="360"/>
      </w:pPr>
      <w:rPr>
        <w:rFonts w:hint="default"/>
        <w:b w:val="0"/>
        <w:i w:val="0"/>
        <w:color w:val="000000"/>
        <w:sz w:val="22"/>
        <w:szCs w:val="22"/>
        <w:u w:val="none" w:color="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3B3FF0"/>
    <w:multiLevelType w:val="hybridMultilevel"/>
    <w:tmpl w:val="5B18372A"/>
    <w:lvl w:ilvl="0" w:tplc="11CE5D0E">
      <w:start w:val="9"/>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3F4D0B"/>
    <w:multiLevelType w:val="hybridMultilevel"/>
    <w:tmpl w:val="C304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FD521F"/>
    <w:multiLevelType w:val="hybridMultilevel"/>
    <w:tmpl w:val="49C6A5DE"/>
    <w:lvl w:ilvl="0" w:tplc="1E1A4402">
      <w:start w:val="2"/>
      <w:numFmt w:val="bullet"/>
      <w:lvlText w:val="-"/>
      <w:lvlJc w:val="left"/>
      <w:pPr>
        <w:tabs>
          <w:tab w:val="num" w:pos="927"/>
        </w:tabs>
        <w:ind w:left="927" w:hanging="360"/>
      </w:pPr>
      <w:rPr>
        <w:rFonts w:hint="default"/>
        <w:color w:val="auto"/>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100D28"/>
    <w:multiLevelType w:val="hybridMultilevel"/>
    <w:tmpl w:val="0C32566C"/>
    <w:lvl w:ilvl="0" w:tplc="FD788292">
      <w:start w:val="1"/>
      <w:numFmt w:val="upperLetter"/>
      <w:lvlText w:val="%1."/>
      <w:lvlJc w:val="left"/>
      <w:pPr>
        <w:ind w:left="5670" w:hanging="5670"/>
      </w:pPr>
      <w:rPr>
        <w:rFonts w:hint="default"/>
        <w:b/>
      </w:rPr>
    </w:lvl>
    <w:lvl w:ilvl="1" w:tplc="6B14384C">
      <w:start w:val="18"/>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0" w15:restartNumberingAfterBreak="0">
    <w:nsid w:val="7CAC2F28"/>
    <w:multiLevelType w:val="hybridMultilevel"/>
    <w:tmpl w:val="772C34AA"/>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0"/>
    <w:lvlOverride w:ilvl="0">
      <w:lvl w:ilvl="0">
        <w:start w:val="2"/>
        <w:numFmt w:val="bullet"/>
        <w:lvlText w:val="-"/>
        <w:lvlJc w:val="left"/>
        <w:pPr>
          <w:tabs>
            <w:tab w:val="num" w:pos="927"/>
          </w:tabs>
          <w:ind w:left="927" w:hanging="360"/>
        </w:pPr>
        <w:rPr>
          <w:rFonts w:hint="default"/>
        </w:rPr>
      </w:lvl>
    </w:lvlOverride>
  </w:num>
  <w:num w:numId="2">
    <w:abstractNumId w:val="7"/>
  </w:num>
  <w:num w:numId="3">
    <w:abstractNumId w:val="4"/>
  </w:num>
  <w:num w:numId="4">
    <w:abstractNumId w:val="19"/>
  </w:num>
  <w:num w:numId="5">
    <w:abstractNumId w:val="25"/>
  </w:num>
  <w:num w:numId="6">
    <w:abstractNumId w:val="8"/>
  </w:num>
  <w:num w:numId="7">
    <w:abstractNumId w:val="2"/>
  </w:num>
  <w:num w:numId="8">
    <w:abstractNumId w:val="30"/>
  </w:num>
  <w:num w:numId="9">
    <w:abstractNumId w:val="0"/>
    <w:lvlOverride w:ilvl="0">
      <w:lvl w:ilvl="0">
        <w:start w:val="1"/>
        <w:numFmt w:val="bullet"/>
        <w:lvlText w:val="-"/>
        <w:legacy w:legacy="1" w:legacySpace="0" w:legacyIndent="360"/>
        <w:lvlJc w:val="left"/>
        <w:pPr>
          <w:ind w:left="360" w:hanging="360"/>
        </w:pPr>
      </w:lvl>
    </w:lvlOverride>
  </w:num>
  <w:num w:numId="10">
    <w:abstractNumId w:val="13"/>
  </w:num>
  <w:num w:numId="11">
    <w:abstractNumId w:val="15"/>
  </w:num>
  <w:num w:numId="12">
    <w:abstractNumId w:val="17"/>
  </w:num>
  <w:num w:numId="13">
    <w:abstractNumId w:val="24"/>
  </w:num>
  <w:num w:numId="14">
    <w:abstractNumId w:val="6"/>
  </w:num>
  <w:num w:numId="15">
    <w:abstractNumId w:val="1"/>
  </w:num>
  <w:num w:numId="16">
    <w:abstractNumId w:val="9"/>
  </w:num>
  <w:num w:numId="17">
    <w:abstractNumId w:val="23"/>
  </w:num>
  <w:num w:numId="18">
    <w:abstractNumId w:val="12"/>
  </w:num>
  <w:num w:numId="19">
    <w:abstractNumId w:val="22"/>
  </w:num>
  <w:num w:numId="20">
    <w:abstractNumId w:val="28"/>
  </w:num>
  <w:num w:numId="21">
    <w:abstractNumId w:val="21"/>
  </w:num>
  <w:num w:numId="22">
    <w:abstractNumId w:val="0"/>
    <w:lvlOverride w:ilvl="0">
      <w:lvl w:ilvl="0">
        <w:start w:val="1"/>
        <w:numFmt w:val="bullet"/>
        <w:lvlText w:val=""/>
        <w:lvlJc w:val="left"/>
        <w:pPr>
          <w:ind w:left="360" w:hanging="360"/>
        </w:pPr>
        <w:rPr>
          <w:rFonts w:ascii="Symbol" w:hAnsi="Symbol" w:hint="default"/>
        </w:rPr>
      </w:lvl>
    </w:lvlOverride>
  </w:num>
  <w:num w:numId="23">
    <w:abstractNumId w:val="27"/>
  </w:num>
  <w:num w:numId="24">
    <w:abstractNumId w:val="5"/>
  </w:num>
  <w:num w:numId="25">
    <w:abstractNumId w:val="3"/>
  </w:num>
  <w:num w:numId="26">
    <w:abstractNumId w:val="14"/>
  </w:num>
  <w:num w:numId="27">
    <w:abstractNumId w:val="16"/>
  </w:num>
  <w:num w:numId="28">
    <w:abstractNumId w:val="20"/>
  </w:num>
  <w:num w:numId="29">
    <w:abstractNumId w:val="18"/>
  </w:num>
  <w:num w:numId="30">
    <w:abstractNumId w:val="10"/>
  </w:num>
  <w:num w:numId="31">
    <w:abstractNumId w:val="26"/>
  </w:num>
  <w:num w:numId="32">
    <w:abstractNumId w:val="1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pt-BR" w:vendorID="64" w:dllVersion="6" w:nlCheck="1" w:checkStyle="0"/>
  <w:activeWritingStyle w:appName="MSWord" w:lang="en-US" w:vendorID="64" w:dllVersion="6" w:nlCheck="1" w:checkStyle="1"/>
  <w:activeWritingStyle w:appName="MSWord" w:lang="de-DE" w:vendorID="64" w:dllVersion="6" w:nlCheck="1" w:checkStyle="0"/>
  <w:activeWritingStyle w:appName="MSWord" w:lang="it-IT" w:vendorID="64" w:dllVersion="6" w:nlCheck="1" w:checkStyle="0"/>
  <w:activeWritingStyle w:appName="MSWord" w:lang="es-ES" w:vendorID="64" w:dllVersion="6" w:nlCheck="1" w:checkStyle="0"/>
  <w:activeWritingStyle w:appName="MSWord" w:lang="fr-FR" w:vendorID="64" w:dllVersion="6" w:nlCheck="1" w:checkStyle="0"/>
  <w:activeWritingStyle w:appName="MSWord" w:lang="en-GB" w:vendorID="64" w:dllVersion="6" w:nlCheck="1" w:checkStyle="1"/>
  <w:activeWritingStyle w:appName="MSWord" w:lang="de-CH" w:vendorID="64" w:dllVersion="6" w:nlCheck="1" w:checkStyle="0"/>
  <w:activeWritingStyle w:appName="MSWord" w:lang="pt-PT" w:vendorID="64" w:dllVersion="6" w:nlCheck="1" w:checkStyle="0"/>
  <w:activeWritingStyle w:appName="MSWord" w:lang="fr-CH" w:vendorID="64" w:dllVersion="6" w:nlCheck="1" w:checkStyle="0"/>
  <w:activeWritingStyle w:appName="MSWord" w:lang="en-GB" w:vendorID="8" w:dllVersion="513" w:checkStyle="1"/>
  <w:activeWritingStyle w:appName="MSWord" w:lang="en-US" w:vendorID="8" w:dllVersion="513" w:checkStyle="1"/>
  <w:activeWritingStyle w:appName="MSWord" w:lang="pt-PT" w:vendorID="13" w:dllVersion="513" w:checkStyle="1"/>
  <w:activeWritingStyle w:appName="MSWord" w:lang="pt-BR" w:vendorID="1" w:dllVersion="513" w:checkStyle="1"/>
  <w:activeWritingStyle w:appName="MSWord" w:lang="fr-FR" w:vendorID="9" w:dllVersion="512" w:checkStyle="1"/>
  <w:activeWritingStyle w:appName="MSWord" w:lang="es-ES_tradnl" w:vendorID="9" w:dllVersion="512" w:checkStyle="1"/>
  <w:activeWritingStyle w:appName="MSWord" w:lang="it-IT" w:vendorID="3" w:dllVersion="517" w:checkStyle="1"/>
  <w:activeWritingStyle w:appName="MSWord" w:lang="nb-NO" w:vendorID="22" w:dllVersion="513" w:checkStyle="1"/>
  <w:activeWritingStyle w:appName="MSWord" w:lang="da-DK" w:vendorID="22" w:dllVersion="513" w:checkStyle="1"/>
  <w:activeWritingStyle w:appName="MSWord" w:lang="pt-PT" w:vendorID="75" w:dllVersion="513" w:checkStyle="1"/>
  <w:defaultTabStop w:val="56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8640EE"/>
    <w:rsid w:val="00000A93"/>
    <w:rsid w:val="000043B6"/>
    <w:rsid w:val="00010145"/>
    <w:rsid w:val="0001028B"/>
    <w:rsid w:val="0001091D"/>
    <w:rsid w:val="00010D7D"/>
    <w:rsid w:val="00014777"/>
    <w:rsid w:val="00015DC2"/>
    <w:rsid w:val="00016170"/>
    <w:rsid w:val="00017FF6"/>
    <w:rsid w:val="00020865"/>
    <w:rsid w:val="00022E28"/>
    <w:rsid w:val="00027362"/>
    <w:rsid w:val="000320BA"/>
    <w:rsid w:val="00036266"/>
    <w:rsid w:val="00037587"/>
    <w:rsid w:val="00046A86"/>
    <w:rsid w:val="000476B7"/>
    <w:rsid w:val="00050470"/>
    <w:rsid w:val="00051370"/>
    <w:rsid w:val="00053CCB"/>
    <w:rsid w:val="00057EDC"/>
    <w:rsid w:val="000609B5"/>
    <w:rsid w:val="00063813"/>
    <w:rsid w:val="00065E1D"/>
    <w:rsid w:val="00072587"/>
    <w:rsid w:val="00073090"/>
    <w:rsid w:val="00077F90"/>
    <w:rsid w:val="00087097"/>
    <w:rsid w:val="00093A38"/>
    <w:rsid w:val="00094C01"/>
    <w:rsid w:val="000962D8"/>
    <w:rsid w:val="000A2CD4"/>
    <w:rsid w:val="000A7347"/>
    <w:rsid w:val="000B020E"/>
    <w:rsid w:val="000B06F0"/>
    <w:rsid w:val="000D58D7"/>
    <w:rsid w:val="000D70FE"/>
    <w:rsid w:val="000E0E5E"/>
    <w:rsid w:val="000E523B"/>
    <w:rsid w:val="000E5E95"/>
    <w:rsid w:val="000E6735"/>
    <w:rsid w:val="000F10BB"/>
    <w:rsid w:val="000F2343"/>
    <w:rsid w:val="000F3389"/>
    <w:rsid w:val="000F33EB"/>
    <w:rsid w:val="000F4C1B"/>
    <w:rsid w:val="000F55A6"/>
    <w:rsid w:val="001027BC"/>
    <w:rsid w:val="001104DD"/>
    <w:rsid w:val="00112A85"/>
    <w:rsid w:val="00114916"/>
    <w:rsid w:val="00120A0C"/>
    <w:rsid w:val="001237D9"/>
    <w:rsid w:val="00127144"/>
    <w:rsid w:val="00135A08"/>
    <w:rsid w:val="00142FA8"/>
    <w:rsid w:val="0014327B"/>
    <w:rsid w:val="001441D3"/>
    <w:rsid w:val="00145035"/>
    <w:rsid w:val="001528D3"/>
    <w:rsid w:val="00156860"/>
    <w:rsid w:val="00161F50"/>
    <w:rsid w:val="00164540"/>
    <w:rsid w:val="00173E8E"/>
    <w:rsid w:val="00175C76"/>
    <w:rsid w:val="00181039"/>
    <w:rsid w:val="001818D0"/>
    <w:rsid w:val="00184F45"/>
    <w:rsid w:val="00195DDF"/>
    <w:rsid w:val="0019690E"/>
    <w:rsid w:val="00197818"/>
    <w:rsid w:val="001A6D74"/>
    <w:rsid w:val="001A7796"/>
    <w:rsid w:val="001A7B68"/>
    <w:rsid w:val="001B2699"/>
    <w:rsid w:val="001B5433"/>
    <w:rsid w:val="001B6E83"/>
    <w:rsid w:val="001B715B"/>
    <w:rsid w:val="001C03FE"/>
    <w:rsid w:val="001C429A"/>
    <w:rsid w:val="001C49C6"/>
    <w:rsid w:val="001C5365"/>
    <w:rsid w:val="001D39C1"/>
    <w:rsid w:val="001D74D3"/>
    <w:rsid w:val="001E5139"/>
    <w:rsid w:val="001F0E58"/>
    <w:rsid w:val="001F3481"/>
    <w:rsid w:val="001F59BC"/>
    <w:rsid w:val="001F664A"/>
    <w:rsid w:val="00210062"/>
    <w:rsid w:val="00214D9F"/>
    <w:rsid w:val="0022209D"/>
    <w:rsid w:val="002339EC"/>
    <w:rsid w:val="002405D7"/>
    <w:rsid w:val="00241892"/>
    <w:rsid w:val="002474CB"/>
    <w:rsid w:val="002579AD"/>
    <w:rsid w:val="00260CFE"/>
    <w:rsid w:val="00263DB9"/>
    <w:rsid w:val="00273B82"/>
    <w:rsid w:val="00284C8E"/>
    <w:rsid w:val="00286215"/>
    <w:rsid w:val="002872D1"/>
    <w:rsid w:val="00287B98"/>
    <w:rsid w:val="002923E5"/>
    <w:rsid w:val="00296734"/>
    <w:rsid w:val="00297105"/>
    <w:rsid w:val="002A6470"/>
    <w:rsid w:val="002A7C87"/>
    <w:rsid w:val="002B24E9"/>
    <w:rsid w:val="002B2D68"/>
    <w:rsid w:val="002B44AE"/>
    <w:rsid w:val="002B5489"/>
    <w:rsid w:val="002C2D01"/>
    <w:rsid w:val="002C4736"/>
    <w:rsid w:val="002C6A35"/>
    <w:rsid w:val="002C6B56"/>
    <w:rsid w:val="002D511F"/>
    <w:rsid w:val="002E17D5"/>
    <w:rsid w:val="002E6002"/>
    <w:rsid w:val="002F2D88"/>
    <w:rsid w:val="002F3C85"/>
    <w:rsid w:val="002F6BAA"/>
    <w:rsid w:val="00307407"/>
    <w:rsid w:val="0031000C"/>
    <w:rsid w:val="003154E1"/>
    <w:rsid w:val="0032275B"/>
    <w:rsid w:val="00325FD6"/>
    <w:rsid w:val="00326B05"/>
    <w:rsid w:val="00327B39"/>
    <w:rsid w:val="0033259F"/>
    <w:rsid w:val="00341C1A"/>
    <w:rsid w:val="003443E5"/>
    <w:rsid w:val="00350148"/>
    <w:rsid w:val="00354991"/>
    <w:rsid w:val="003553F0"/>
    <w:rsid w:val="003579F5"/>
    <w:rsid w:val="00361462"/>
    <w:rsid w:val="0037182C"/>
    <w:rsid w:val="003720CF"/>
    <w:rsid w:val="00372434"/>
    <w:rsid w:val="003762A6"/>
    <w:rsid w:val="0039179E"/>
    <w:rsid w:val="00392415"/>
    <w:rsid w:val="003924E3"/>
    <w:rsid w:val="003933B7"/>
    <w:rsid w:val="003942FE"/>
    <w:rsid w:val="003970DC"/>
    <w:rsid w:val="00397626"/>
    <w:rsid w:val="003A3F13"/>
    <w:rsid w:val="003B2D5C"/>
    <w:rsid w:val="003C1DDA"/>
    <w:rsid w:val="003C4FF5"/>
    <w:rsid w:val="003C6F3A"/>
    <w:rsid w:val="003C7EBF"/>
    <w:rsid w:val="003D7CD8"/>
    <w:rsid w:val="003E4DCC"/>
    <w:rsid w:val="003E50C3"/>
    <w:rsid w:val="003E5567"/>
    <w:rsid w:val="003E7551"/>
    <w:rsid w:val="00405BF4"/>
    <w:rsid w:val="0041137A"/>
    <w:rsid w:val="004221CC"/>
    <w:rsid w:val="00424A41"/>
    <w:rsid w:val="00427D60"/>
    <w:rsid w:val="004308D9"/>
    <w:rsid w:val="00432EC6"/>
    <w:rsid w:val="00434FB6"/>
    <w:rsid w:val="00436BCB"/>
    <w:rsid w:val="00445AC6"/>
    <w:rsid w:val="00445D46"/>
    <w:rsid w:val="00445D6F"/>
    <w:rsid w:val="00445ED0"/>
    <w:rsid w:val="00446C83"/>
    <w:rsid w:val="0045182A"/>
    <w:rsid w:val="004653D3"/>
    <w:rsid w:val="00472BDD"/>
    <w:rsid w:val="00474B0C"/>
    <w:rsid w:val="0047723E"/>
    <w:rsid w:val="004824F7"/>
    <w:rsid w:val="00484DC9"/>
    <w:rsid w:val="00487824"/>
    <w:rsid w:val="004924AC"/>
    <w:rsid w:val="004933E2"/>
    <w:rsid w:val="004941E3"/>
    <w:rsid w:val="004A1E05"/>
    <w:rsid w:val="004A3CFB"/>
    <w:rsid w:val="004A45CE"/>
    <w:rsid w:val="004A6AF5"/>
    <w:rsid w:val="004B3E41"/>
    <w:rsid w:val="004C0AC1"/>
    <w:rsid w:val="004C3C6A"/>
    <w:rsid w:val="004C51D7"/>
    <w:rsid w:val="004D3222"/>
    <w:rsid w:val="004D3AFA"/>
    <w:rsid w:val="004D43E8"/>
    <w:rsid w:val="004D7556"/>
    <w:rsid w:val="004F58D6"/>
    <w:rsid w:val="005005E3"/>
    <w:rsid w:val="00503571"/>
    <w:rsid w:val="00505DB7"/>
    <w:rsid w:val="005145EC"/>
    <w:rsid w:val="00521A1D"/>
    <w:rsid w:val="00532D8D"/>
    <w:rsid w:val="00532DE6"/>
    <w:rsid w:val="00541C39"/>
    <w:rsid w:val="0055036B"/>
    <w:rsid w:val="00553CFB"/>
    <w:rsid w:val="00556478"/>
    <w:rsid w:val="00560D61"/>
    <w:rsid w:val="005635F0"/>
    <w:rsid w:val="00574276"/>
    <w:rsid w:val="005771BE"/>
    <w:rsid w:val="00581F3E"/>
    <w:rsid w:val="005852DC"/>
    <w:rsid w:val="005855E5"/>
    <w:rsid w:val="00587799"/>
    <w:rsid w:val="00594E36"/>
    <w:rsid w:val="00594F3F"/>
    <w:rsid w:val="005A543B"/>
    <w:rsid w:val="005A7EA9"/>
    <w:rsid w:val="005B27A0"/>
    <w:rsid w:val="005C0526"/>
    <w:rsid w:val="005C6251"/>
    <w:rsid w:val="005D226A"/>
    <w:rsid w:val="005D2E7E"/>
    <w:rsid w:val="005D35DA"/>
    <w:rsid w:val="005E06CC"/>
    <w:rsid w:val="005E4202"/>
    <w:rsid w:val="005F7065"/>
    <w:rsid w:val="0060045A"/>
    <w:rsid w:val="00600EF5"/>
    <w:rsid w:val="00606BA0"/>
    <w:rsid w:val="006077D1"/>
    <w:rsid w:val="00610887"/>
    <w:rsid w:val="00610D32"/>
    <w:rsid w:val="0061439F"/>
    <w:rsid w:val="0061506B"/>
    <w:rsid w:val="0062029A"/>
    <w:rsid w:val="00620874"/>
    <w:rsid w:val="00624381"/>
    <w:rsid w:val="0063189A"/>
    <w:rsid w:val="00634B56"/>
    <w:rsid w:val="00636095"/>
    <w:rsid w:val="00641C26"/>
    <w:rsid w:val="0064541E"/>
    <w:rsid w:val="006529BD"/>
    <w:rsid w:val="00653D53"/>
    <w:rsid w:val="00653EBE"/>
    <w:rsid w:val="00654149"/>
    <w:rsid w:val="0067148A"/>
    <w:rsid w:val="00674CF1"/>
    <w:rsid w:val="00677053"/>
    <w:rsid w:val="006917F3"/>
    <w:rsid w:val="00691B37"/>
    <w:rsid w:val="006A029E"/>
    <w:rsid w:val="006A2C11"/>
    <w:rsid w:val="006B1655"/>
    <w:rsid w:val="006B2FDA"/>
    <w:rsid w:val="006B5399"/>
    <w:rsid w:val="006C5D58"/>
    <w:rsid w:val="006D5DA4"/>
    <w:rsid w:val="006D6E0D"/>
    <w:rsid w:val="006E2CA7"/>
    <w:rsid w:val="006E31E0"/>
    <w:rsid w:val="006E4F4C"/>
    <w:rsid w:val="006F1974"/>
    <w:rsid w:val="006F283C"/>
    <w:rsid w:val="006F3102"/>
    <w:rsid w:val="006F3422"/>
    <w:rsid w:val="006F49BD"/>
    <w:rsid w:val="006F648C"/>
    <w:rsid w:val="00714DCB"/>
    <w:rsid w:val="0071789D"/>
    <w:rsid w:val="007547BA"/>
    <w:rsid w:val="00761EF8"/>
    <w:rsid w:val="00773F94"/>
    <w:rsid w:val="00780796"/>
    <w:rsid w:val="0078124A"/>
    <w:rsid w:val="00791E60"/>
    <w:rsid w:val="00797669"/>
    <w:rsid w:val="00797E6C"/>
    <w:rsid w:val="007A3CD1"/>
    <w:rsid w:val="007B4B31"/>
    <w:rsid w:val="007C465D"/>
    <w:rsid w:val="007C6B26"/>
    <w:rsid w:val="007D0889"/>
    <w:rsid w:val="007D3A3A"/>
    <w:rsid w:val="007D568C"/>
    <w:rsid w:val="007E2674"/>
    <w:rsid w:val="007E32D5"/>
    <w:rsid w:val="007F0690"/>
    <w:rsid w:val="007F163E"/>
    <w:rsid w:val="007F4F96"/>
    <w:rsid w:val="00803A62"/>
    <w:rsid w:val="00806EF5"/>
    <w:rsid w:val="00810A3B"/>
    <w:rsid w:val="00817EAD"/>
    <w:rsid w:val="008303F6"/>
    <w:rsid w:val="00830A03"/>
    <w:rsid w:val="00831CCB"/>
    <w:rsid w:val="00832C47"/>
    <w:rsid w:val="00832DBD"/>
    <w:rsid w:val="008352B3"/>
    <w:rsid w:val="00844205"/>
    <w:rsid w:val="0084630C"/>
    <w:rsid w:val="00847F45"/>
    <w:rsid w:val="00851458"/>
    <w:rsid w:val="00852296"/>
    <w:rsid w:val="00856969"/>
    <w:rsid w:val="008640EE"/>
    <w:rsid w:val="00885071"/>
    <w:rsid w:val="0089008A"/>
    <w:rsid w:val="008914E6"/>
    <w:rsid w:val="00891923"/>
    <w:rsid w:val="00892B19"/>
    <w:rsid w:val="008942BE"/>
    <w:rsid w:val="008943AC"/>
    <w:rsid w:val="008A2E02"/>
    <w:rsid w:val="008B225F"/>
    <w:rsid w:val="008B7FE6"/>
    <w:rsid w:val="008C2718"/>
    <w:rsid w:val="008C5099"/>
    <w:rsid w:val="008C58BE"/>
    <w:rsid w:val="008E00D0"/>
    <w:rsid w:val="008E10EE"/>
    <w:rsid w:val="008E47F2"/>
    <w:rsid w:val="00900BFD"/>
    <w:rsid w:val="00900EE0"/>
    <w:rsid w:val="00901683"/>
    <w:rsid w:val="0090195B"/>
    <w:rsid w:val="009024ED"/>
    <w:rsid w:val="009061E3"/>
    <w:rsid w:val="00906898"/>
    <w:rsid w:val="00910119"/>
    <w:rsid w:val="00911D5B"/>
    <w:rsid w:val="0091451B"/>
    <w:rsid w:val="009207F7"/>
    <w:rsid w:val="00921F49"/>
    <w:rsid w:val="0092586C"/>
    <w:rsid w:val="00932B69"/>
    <w:rsid w:val="00947263"/>
    <w:rsid w:val="00950732"/>
    <w:rsid w:val="00950C2C"/>
    <w:rsid w:val="009621C8"/>
    <w:rsid w:val="00965D7B"/>
    <w:rsid w:val="00966548"/>
    <w:rsid w:val="00970E4A"/>
    <w:rsid w:val="00973254"/>
    <w:rsid w:val="00974390"/>
    <w:rsid w:val="009A6FF8"/>
    <w:rsid w:val="009B2A5A"/>
    <w:rsid w:val="009B6F13"/>
    <w:rsid w:val="009C1DCA"/>
    <w:rsid w:val="009C587A"/>
    <w:rsid w:val="009C587B"/>
    <w:rsid w:val="009D1902"/>
    <w:rsid w:val="009D333A"/>
    <w:rsid w:val="009D56D9"/>
    <w:rsid w:val="009E183B"/>
    <w:rsid w:val="009E21AA"/>
    <w:rsid w:val="009E7CE2"/>
    <w:rsid w:val="009F3A0D"/>
    <w:rsid w:val="009F51C2"/>
    <w:rsid w:val="00A008A5"/>
    <w:rsid w:val="00A11B25"/>
    <w:rsid w:val="00A12489"/>
    <w:rsid w:val="00A1330D"/>
    <w:rsid w:val="00A26E5C"/>
    <w:rsid w:val="00A273C1"/>
    <w:rsid w:val="00A33111"/>
    <w:rsid w:val="00A33618"/>
    <w:rsid w:val="00A35154"/>
    <w:rsid w:val="00A4062A"/>
    <w:rsid w:val="00A42B1F"/>
    <w:rsid w:val="00A44000"/>
    <w:rsid w:val="00A446DD"/>
    <w:rsid w:val="00A5238D"/>
    <w:rsid w:val="00A54B54"/>
    <w:rsid w:val="00A6117A"/>
    <w:rsid w:val="00A627D2"/>
    <w:rsid w:val="00A62D8D"/>
    <w:rsid w:val="00A6786F"/>
    <w:rsid w:val="00A67C06"/>
    <w:rsid w:val="00A734CE"/>
    <w:rsid w:val="00A75E40"/>
    <w:rsid w:val="00A7634F"/>
    <w:rsid w:val="00A765DC"/>
    <w:rsid w:val="00A772B5"/>
    <w:rsid w:val="00A908A4"/>
    <w:rsid w:val="00AA3477"/>
    <w:rsid w:val="00AA4FA6"/>
    <w:rsid w:val="00AA5AD5"/>
    <w:rsid w:val="00AB2DEE"/>
    <w:rsid w:val="00AB3A2F"/>
    <w:rsid w:val="00AB44DD"/>
    <w:rsid w:val="00AB74EF"/>
    <w:rsid w:val="00AD032F"/>
    <w:rsid w:val="00AD70CD"/>
    <w:rsid w:val="00AE33E0"/>
    <w:rsid w:val="00AE74D9"/>
    <w:rsid w:val="00AF074F"/>
    <w:rsid w:val="00AF11C4"/>
    <w:rsid w:val="00AF2204"/>
    <w:rsid w:val="00AF3385"/>
    <w:rsid w:val="00AF77B2"/>
    <w:rsid w:val="00B028F4"/>
    <w:rsid w:val="00B03B53"/>
    <w:rsid w:val="00B05E49"/>
    <w:rsid w:val="00B0782B"/>
    <w:rsid w:val="00B10141"/>
    <w:rsid w:val="00B155F9"/>
    <w:rsid w:val="00B22292"/>
    <w:rsid w:val="00B243EE"/>
    <w:rsid w:val="00B24B3C"/>
    <w:rsid w:val="00B252BE"/>
    <w:rsid w:val="00B27C57"/>
    <w:rsid w:val="00B31343"/>
    <w:rsid w:val="00B36459"/>
    <w:rsid w:val="00B372CC"/>
    <w:rsid w:val="00B4589A"/>
    <w:rsid w:val="00B52DD9"/>
    <w:rsid w:val="00B614CB"/>
    <w:rsid w:val="00B71212"/>
    <w:rsid w:val="00B8054F"/>
    <w:rsid w:val="00B83A50"/>
    <w:rsid w:val="00B85BF3"/>
    <w:rsid w:val="00BA154F"/>
    <w:rsid w:val="00BA2AEF"/>
    <w:rsid w:val="00BA3F88"/>
    <w:rsid w:val="00BA7D11"/>
    <w:rsid w:val="00BB3028"/>
    <w:rsid w:val="00BB4EFB"/>
    <w:rsid w:val="00BB5187"/>
    <w:rsid w:val="00BC1D51"/>
    <w:rsid w:val="00BC3134"/>
    <w:rsid w:val="00BD6ED4"/>
    <w:rsid w:val="00BD775C"/>
    <w:rsid w:val="00BE4F06"/>
    <w:rsid w:val="00BF0D24"/>
    <w:rsid w:val="00BF2D9E"/>
    <w:rsid w:val="00BF3FC9"/>
    <w:rsid w:val="00BF4055"/>
    <w:rsid w:val="00BF45EF"/>
    <w:rsid w:val="00C10F7D"/>
    <w:rsid w:val="00C124DD"/>
    <w:rsid w:val="00C14B07"/>
    <w:rsid w:val="00C25DD8"/>
    <w:rsid w:val="00C26B5E"/>
    <w:rsid w:val="00C61815"/>
    <w:rsid w:val="00C6187D"/>
    <w:rsid w:val="00C620E8"/>
    <w:rsid w:val="00C71597"/>
    <w:rsid w:val="00C7434D"/>
    <w:rsid w:val="00C74F4E"/>
    <w:rsid w:val="00C75EC1"/>
    <w:rsid w:val="00C816D7"/>
    <w:rsid w:val="00C828D9"/>
    <w:rsid w:val="00C901CE"/>
    <w:rsid w:val="00C91F25"/>
    <w:rsid w:val="00C93CC9"/>
    <w:rsid w:val="00C96F0A"/>
    <w:rsid w:val="00C97CCE"/>
    <w:rsid w:val="00CA1F93"/>
    <w:rsid w:val="00CA2259"/>
    <w:rsid w:val="00CA42F0"/>
    <w:rsid w:val="00CA5865"/>
    <w:rsid w:val="00CA6260"/>
    <w:rsid w:val="00CA75B6"/>
    <w:rsid w:val="00CB3E6F"/>
    <w:rsid w:val="00CB698E"/>
    <w:rsid w:val="00CD06D6"/>
    <w:rsid w:val="00CD3D29"/>
    <w:rsid w:val="00CD501C"/>
    <w:rsid w:val="00CE0B93"/>
    <w:rsid w:val="00CE1C2F"/>
    <w:rsid w:val="00CF1C9A"/>
    <w:rsid w:val="00CF1F05"/>
    <w:rsid w:val="00CF1F3C"/>
    <w:rsid w:val="00CF2417"/>
    <w:rsid w:val="00CF2A63"/>
    <w:rsid w:val="00CF3881"/>
    <w:rsid w:val="00CF7AF5"/>
    <w:rsid w:val="00D010ED"/>
    <w:rsid w:val="00D01E9E"/>
    <w:rsid w:val="00D11A9F"/>
    <w:rsid w:val="00D12D19"/>
    <w:rsid w:val="00D136C2"/>
    <w:rsid w:val="00D13D05"/>
    <w:rsid w:val="00D15152"/>
    <w:rsid w:val="00D20B05"/>
    <w:rsid w:val="00D309BB"/>
    <w:rsid w:val="00D33245"/>
    <w:rsid w:val="00D34DF5"/>
    <w:rsid w:val="00D358D5"/>
    <w:rsid w:val="00D409EB"/>
    <w:rsid w:val="00D42740"/>
    <w:rsid w:val="00D44247"/>
    <w:rsid w:val="00D44608"/>
    <w:rsid w:val="00D508D5"/>
    <w:rsid w:val="00D53130"/>
    <w:rsid w:val="00D81DC7"/>
    <w:rsid w:val="00D833DA"/>
    <w:rsid w:val="00D9506A"/>
    <w:rsid w:val="00DA42E6"/>
    <w:rsid w:val="00DA4751"/>
    <w:rsid w:val="00DB49CD"/>
    <w:rsid w:val="00DE01C6"/>
    <w:rsid w:val="00DE0429"/>
    <w:rsid w:val="00DE1263"/>
    <w:rsid w:val="00DE46A0"/>
    <w:rsid w:val="00DE776A"/>
    <w:rsid w:val="00DF3CFC"/>
    <w:rsid w:val="00E02149"/>
    <w:rsid w:val="00E04695"/>
    <w:rsid w:val="00E10B3C"/>
    <w:rsid w:val="00E141AB"/>
    <w:rsid w:val="00E329AF"/>
    <w:rsid w:val="00E34958"/>
    <w:rsid w:val="00E3671F"/>
    <w:rsid w:val="00E4034D"/>
    <w:rsid w:val="00E417B0"/>
    <w:rsid w:val="00E437B2"/>
    <w:rsid w:val="00E44A3A"/>
    <w:rsid w:val="00E51817"/>
    <w:rsid w:val="00E541E3"/>
    <w:rsid w:val="00E56751"/>
    <w:rsid w:val="00E639E7"/>
    <w:rsid w:val="00E726DC"/>
    <w:rsid w:val="00E81CC2"/>
    <w:rsid w:val="00E9094A"/>
    <w:rsid w:val="00E92D20"/>
    <w:rsid w:val="00E94BA2"/>
    <w:rsid w:val="00E9785C"/>
    <w:rsid w:val="00EA4848"/>
    <w:rsid w:val="00EA5083"/>
    <w:rsid w:val="00EA5F33"/>
    <w:rsid w:val="00EA6F43"/>
    <w:rsid w:val="00EB1A36"/>
    <w:rsid w:val="00EC48EE"/>
    <w:rsid w:val="00ED0709"/>
    <w:rsid w:val="00ED1C9D"/>
    <w:rsid w:val="00EE468B"/>
    <w:rsid w:val="00EF698C"/>
    <w:rsid w:val="00F0590F"/>
    <w:rsid w:val="00F0608E"/>
    <w:rsid w:val="00F10003"/>
    <w:rsid w:val="00F14C0A"/>
    <w:rsid w:val="00F14C1F"/>
    <w:rsid w:val="00F14D86"/>
    <w:rsid w:val="00F20F5C"/>
    <w:rsid w:val="00F214AC"/>
    <w:rsid w:val="00F2521F"/>
    <w:rsid w:val="00F26150"/>
    <w:rsid w:val="00F36686"/>
    <w:rsid w:val="00F400DD"/>
    <w:rsid w:val="00F41B2E"/>
    <w:rsid w:val="00F43573"/>
    <w:rsid w:val="00F4448B"/>
    <w:rsid w:val="00F51E81"/>
    <w:rsid w:val="00F54D3B"/>
    <w:rsid w:val="00F71B4A"/>
    <w:rsid w:val="00F73138"/>
    <w:rsid w:val="00F74FEB"/>
    <w:rsid w:val="00F81E71"/>
    <w:rsid w:val="00F84B25"/>
    <w:rsid w:val="00F85EB7"/>
    <w:rsid w:val="00F87DF6"/>
    <w:rsid w:val="00F91F75"/>
    <w:rsid w:val="00F92DD6"/>
    <w:rsid w:val="00F94EBB"/>
    <w:rsid w:val="00F950DD"/>
    <w:rsid w:val="00FA75F5"/>
    <w:rsid w:val="00FB1245"/>
    <w:rsid w:val="00FB4789"/>
    <w:rsid w:val="00FC0DC8"/>
    <w:rsid w:val="00FC1A34"/>
    <w:rsid w:val="00FC22BF"/>
    <w:rsid w:val="00FC4892"/>
    <w:rsid w:val="00FC7636"/>
    <w:rsid w:val="00FC7FDA"/>
    <w:rsid w:val="00FE1537"/>
    <w:rsid w:val="00FE5D09"/>
    <w:rsid w:val="00FF3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5EAEA3"/>
  <w15:chartTrackingRefBased/>
  <w15:docId w15:val="{5FC933B6-DD65-4A05-B0EB-49E34223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lang w:val="pt-PT"/>
    </w:rPr>
  </w:style>
  <w:style w:type="paragraph" w:styleId="Heading1">
    <w:name w:val="heading 1"/>
    <w:basedOn w:val="Normal"/>
    <w:next w:val="Normal"/>
    <w:qFormat/>
    <w:pPr>
      <w:keepNext/>
      <w:widowControl w:val="0"/>
      <w:tabs>
        <w:tab w:val="left" w:pos="567"/>
      </w:tabs>
      <w:spacing w:before="240" w:after="60" w:line="260" w:lineRule="exact"/>
      <w:outlineLvl w:val="0"/>
    </w:pPr>
    <w:rPr>
      <w:rFonts w:ascii="Helvetica" w:hAnsi="Helvetica"/>
      <w:b/>
      <w:kern w:val="28"/>
      <w:sz w:val="28"/>
    </w:rPr>
  </w:style>
  <w:style w:type="paragraph" w:styleId="Heading2">
    <w:name w:val="heading 2"/>
    <w:basedOn w:val="Normal"/>
    <w:next w:val="Normal"/>
    <w:qFormat/>
    <w:pPr>
      <w:keepNext/>
      <w:suppressAutoHyphens/>
      <w:ind w:right="11"/>
      <w:outlineLvl w:val="1"/>
    </w:pPr>
    <w:rPr>
      <w:b/>
    </w:rPr>
  </w:style>
  <w:style w:type="paragraph" w:styleId="Heading3">
    <w:name w:val="heading 3"/>
    <w:basedOn w:val="Normal"/>
    <w:next w:val="Normal"/>
    <w:qFormat/>
    <w:pPr>
      <w:keepNext/>
      <w:tabs>
        <w:tab w:val="left" w:pos="570"/>
      </w:tabs>
      <w:suppressAutoHyphens/>
      <w:ind w:left="570" w:hanging="570"/>
      <w:jc w:val="both"/>
      <w:outlineLvl w:val="2"/>
    </w:pPr>
    <w:rPr>
      <w:b/>
    </w:rPr>
  </w:style>
  <w:style w:type="paragraph" w:styleId="Heading4">
    <w:name w:val="heading 4"/>
    <w:basedOn w:val="Normal"/>
    <w:next w:val="Normal"/>
    <w:qFormat/>
    <w:pPr>
      <w:keepNext/>
      <w:suppressAutoHyphens/>
      <w:ind w:right="14"/>
      <w:jc w:val="center"/>
      <w:outlineLvl w:val="3"/>
    </w:pPr>
    <w:rPr>
      <w:b/>
    </w:rPr>
  </w:style>
  <w:style w:type="paragraph" w:styleId="Heading5">
    <w:name w:val="heading 5"/>
    <w:basedOn w:val="Normal"/>
    <w:next w:val="Normal"/>
    <w:qFormat/>
    <w:pPr>
      <w:keepNext/>
      <w:suppressAutoHyphens/>
      <w:outlineLvl w:val="4"/>
    </w:pPr>
    <w:rPr>
      <w:b/>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lang w:val="en-GB"/>
    </w:rPr>
  </w:style>
  <w:style w:type="paragraph" w:styleId="Heading7">
    <w:name w:val="heading 7"/>
    <w:basedOn w:val="Normal"/>
    <w:next w:val="Normal"/>
    <w:qFormat/>
    <w:pPr>
      <w:keepNext/>
      <w:tabs>
        <w:tab w:val="left" w:pos="-720"/>
        <w:tab w:val="left" w:pos="567"/>
        <w:tab w:val="left" w:pos="4536"/>
      </w:tabs>
      <w:suppressAutoHyphens/>
      <w:spacing w:line="260" w:lineRule="exact"/>
      <w:jc w:val="both"/>
      <w:outlineLvl w:val="6"/>
    </w:pPr>
    <w:rPr>
      <w:i/>
      <w:lang w:val="en-GB"/>
    </w:rPr>
  </w:style>
  <w:style w:type="paragraph" w:styleId="Heading8">
    <w:name w:val="heading 8"/>
    <w:basedOn w:val="Normal"/>
    <w:next w:val="Normal"/>
    <w:qFormat/>
    <w:pPr>
      <w:keepNext/>
      <w:suppressAutoHyphens/>
      <w:ind w:left="567" w:hanging="567"/>
      <w:outlineLvl w:val="7"/>
    </w:pPr>
    <w:rPr>
      <w:i/>
    </w:rPr>
  </w:style>
  <w:style w:type="paragraph" w:styleId="Heading9">
    <w:name w:val="heading 9"/>
    <w:basedOn w:val="Normal"/>
    <w:next w:val="Normal"/>
    <w:qFormat/>
    <w:pPr>
      <w:keepNext/>
      <w:numPr>
        <w:ilvl w:val="12"/>
      </w:numPr>
      <w:ind w:right="-2"/>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tabs>
        <w:tab w:val="left" w:pos="567"/>
      </w:tabs>
    </w:pPr>
  </w:style>
  <w:style w:type="character" w:styleId="EndnoteReference">
    <w:name w:val="endnote reference"/>
    <w:semiHidden/>
    <w:rPr>
      <w:vertAlign w:val="superscript"/>
    </w:rPr>
  </w:style>
  <w:style w:type="paragraph" w:styleId="Header">
    <w:name w:val="header"/>
    <w:basedOn w:val="Normal"/>
    <w:semiHidden/>
    <w:pPr>
      <w:widowControl w:val="0"/>
      <w:tabs>
        <w:tab w:val="left" w:pos="567"/>
        <w:tab w:val="center" w:pos="4320"/>
        <w:tab w:val="right" w:pos="8640"/>
      </w:tabs>
    </w:pPr>
    <w:rPr>
      <w:rFonts w:ascii="Helvetica" w:hAnsi="Helvetica"/>
    </w:rPr>
  </w:style>
  <w:style w:type="paragraph" w:styleId="Footer">
    <w:name w:val="footer"/>
    <w:basedOn w:val="Normal"/>
    <w:semiHidden/>
    <w:pPr>
      <w:widowControl w:val="0"/>
      <w:tabs>
        <w:tab w:val="left" w:pos="567"/>
        <w:tab w:val="center" w:pos="4536"/>
        <w:tab w:val="center" w:pos="8930"/>
      </w:tabs>
    </w:pPr>
    <w:rPr>
      <w:rFonts w:ascii="Helvetica" w:hAnsi="Helvetica"/>
      <w:sz w:val="16"/>
    </w:rPr>
  </w:style>
  <w:style w:type="character" w:styleId="PageNumber">
    <w:name w:val="page number"/>
    <w:basedOn w:val="DefaultParagraphFont"/>
    <w:semiHidden/>
  </w:style>
  <w:style w:type="paragraph" w:styleId="BodyText">
    <w:name w:val="Body Text"/>
    <w:basedOn w:val="Normal"/>
    <w:semiHidden/>
    <w:pPr>
      <w:suppressAutoHyphens/>
      <w:ind w:right="14"/>
      <w:jc w:val="both"/>
    </w:pPr>
    <w:rPr>
      <w:b/>
      <w:noProof/>
    </w:rPr>
  </w:style>
  <w:style w:type="paragraph" w:customStyle="1" w:styleId="EmeaHeading">
    <w:name w:val="Emea Heading"/>
    <w:basedOn w:val="Normal"/>
    <w:pPr>
      <w:framePr w:wrap="notBeside" w:vAnchor="text" w:hAnchor="text" w:y="1"/>
      <w:widowControl w:val="0"/>
      <w:shd w:val="solid" w:color="C0C0C0" w:fill="auto"/>
    </w:pPr>
    <w:rPr>
      <w:lang w:val="en-GB"/>
    </w:rPr>
  </w:style>
  <w:style w:type="paragraph" w:customStyle="1" w:styleId="BodyText21">
    <w:name w:val="Body Text 21"/>
    <w:basedOn w:val="Normal"/>
    <w:pPr>
      <w:suppressAutoHyphens/>
      <w:ind w:left="567" w:hanging="567"/>
    </w:pPr>
    <w:rPr>
      <w:b/>
    </w:rPr>
  </w:style>
  <w:style w:type="paragraph" w:styleId="BodyText2">
    <w:name w:val="Body Text 2"/>
    <w:basedOn w:val="Normal"/>
    <w:semiHidden/>
    <w:pPr>
      <w:suppressAutoHyphens/>
    </w:pPr>
  </w:style>
  <w:style w:type="character" w:styleId="CommentReference">
    <w:name w:val="annotation reference"/>
    <w:semiHidden/>
    <w:rPr>
      <w:sz w:val="16"/>
    </w:rPr>
  </w:style>
  <w:style w:type="paragraph" w:styleId="CommentText">
    <w:name w:val="annotation text"/>
    <w:basedOn w:val="Normal"/>
    <w:semiHidden/>
    <w:pPr>
      <w:tabs>
        <w:tab w:val="left" w:pos="567"/>
      </w:tabs>
      <w:spacing w:line="260" w:lineRule="exact"/>
    </w:pPr>
    <w:rPr>
      <w:lang w:val="en-GB"/>
    </w:rPr>
  </w:style>
  <w:style w:type="paragraph" w:styleId="BlockText">
    <w:name w:val="Block Text"/>
    <w:basedOn w:val="Normal"/>
    <w:semiHidden/>
    <w:pPr>
      <w:tabs>
        <w:tab w:val="left" w:pos="2657"/>
      </w:tabs>
      <w:spacing w:before="120"/>
      <w:ind w:left="-37" w:right="-28"/>
    </w:pPr>
    <w:rPr>
      <w:lang w:val="en-GB"/>
    </w:rPr>
  </w:style>
  <w:style w:type="paragraph" w:styleId="BodyText3">
    <w:name w:val="Body Text 3"/>
    <w:basedOn w:val="Normal"/>
    <w:semiHidden/>
    <w:pPr>
      <w:numPr>
        <w:ilvl w:val="12"/>
      </w:numPr>
      <w:shd w:val="pct25" w:color="000000" w:fill="FFFFFF"/>
      <w:suppressAutoHyphens/>
    </w:pPr>
    <w:rPr>
      <w:i/>
    </w:rPr>
  </w:style>
  <w:style w:type="paragraph" w:styleId="BodyTextIndent">
    <w:name w:val="Body Text Indent"/>
    <w:basedOn w:val="Normal"/>
    <w:semiHidden/>
    <w:pPr>
      <w:suppressAutoHyphens/>
      <w:ind w:left="709" w:hanging="709"/>
    </w:pPr>
  </w:style>
  <w:style w:type="paragraph" w:styleId="DocumentMap">
    <w:name w:val="Document Map"/>
    <w:basedOn w:val="Normal"/>
    <w:semiHidden/>
    <w:pPr>
      <w:shd w:val="clear" w:color="auto" w:fill="000080"/>
    </w:pPr>
    <w:rPr>
      <w:rFonts w:ascii="Tahoma" w:hAnsi="Tahoma"/>
    </w:rPr>
  </w:style>
  <w:style w:type="paragraph" w:customStyle="1" w:styleId="Text">
    <w:name w:val="Text"/>
    <w:basedOn w:val="Normal"/>
    <w:pPr>
      <w:spacing w:before="120"/>
      <w:jc w:val="both"/>
    </w:pPr>
    <w:rPr>
      <w:sz w:val="24"/>
      <w:lang w:val="en-US"/>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pPr>
      <w:tabs>
        <w:tab w:val="clear" w:pos="567"/>
      </w:tabs>
      <w:spacing w:line="240" w:lineRule="auto"/>
    </w:pPr>
    <w:rPr>
      <w:b/>
      <w:bCs/>
      <w:sz w:val="20"/>
      <w:lang w:val="pt-PT"/>
    </w:rPr>
  </w:style>
  <w:style w:type="paragraph" w:customStyle="1" w:styleId="NormalBody">
    <w:name w:val="NormalBody"/>
    <w:basedOn w:val="Normal"/>
    <w:pPr>
      <w:spacing w:after="270" w:line="270" w:lineRule="atLeast"/>
    </w:pPr>
    <w:rPr>
      <w:rFonts w:ascii="Sabon" w:hAnsi="Sabon"/>
    </w:rPr>
  </w:style>
  <w:style w:type="character" w:customStyle="1" w:styleId="TextChar">
    <w:name w:val="Text Char"/>
    <w:rPr>
      <w:sz w:val="24"/>
      <w:lang w:val="en-US" w:eastAsia="en-US" w:bidi="ar-SA"/>
    </w:rPr>
  </w:style>
  <w:style w:type="paragraph" w:customStyle="1" w:styleId="Table">
    <w:name w:val="Table"/>
    <w:basedOn w:val="Normal"/>
    <w:pPr>
      <w:keepNext/>
      <w:keepLines/>
      <w:tabs>
        <w:tab w:val="left" w:pos="284"/>
      </w:tabs>
      <w:spacing w:before="40" w:after="20"/>
    </w:pPr>
    <w:rPr>
      <w:rFonts w:ascii="Arial" w:hAnsi="Arial"/>
      <w:lang w:val="en-US"/>
    </w:rPr>
  </w:style>
  <w:style w:type="character" w:customStyle="1" w:styleId="TableChar">
    <w:name w:val="Table Char"/>
    <w:rPr>
      <w:rFonts w:ascii="Arial" w:hAnsi="Arial"/>
      <w:sz w:val="22"/>
      <w:lang w:val="en-US" w:eastAsia="en-US" w:bidi="ar-SA"/>
    </w:rPr>
  </w:style>
  <w:style w:type="character" w:customStyle="1" w:styleId="EndnoteTextChar">
    <w:name w:val="Endnote Text Char"/>
    <w:rPr>
      <w:sz w:val="22"/>
      <w:lang w:val="pt-PT" w:eastAsia="en-US" w:bidi="ar-SA"/>
    </w:rPr>
  </w:style>
  <w:style w:type="paragraph" w:customStyle="1" w:styleId="Listlevel2">
    <w:name w:val="List level 2"/>
    <w:basedOn w:val="Normal"/>
    <w:pPr>
      <w:spacing w:before="40" w:after="20"/>
      <w:ind w:left="850" w:hanging="425"/>
    </w:pPr>
    <w:rPr>
      <w:sz w:val="24"/>
      <w:lang w:val="en-US"/>
    </w:rPr>
  </w:style>
  <w:style w:type="paragraph" w:customStyle="1" w:styleId="TabletextrowsAgency">
    <w:name w:val="Table text rows (Agency)"/>
    <w:basedOn w:val="Normal"/>
    <w:rsid w:val="00073090"/>
    <w:pPr>
      <w:spacing w:line="280" w:lineRule="exact"/>
    </w:pPr>
    <w:rPr>
      <w:rFonts w:ascii="Verdana" w:hAnsi="Verdana" w:cs="Verdana"/>
      <w:snapToGrid w:val="0"/>
      <w:sz w:val="18"/>
      <w:szCs w:val="18"/>
      <w:lang w:val="en-GB"/>
    </w:rPr>
  </w:style>
  <w:style w:type="paragraph" w:customStyle="1" w:styleId="Nottoc-headings">
    <w:name w:val="Not toc-headings"/>
    <w:basedOn w:val="Normal"/>
    <w:next w:val="Text"/>
    <w:pPr>
      <w:keepNext/>
      <w:keepLines/>
      <w:spacing w:before="240" w:after="60"/>
      <w:ind w:left="1701" w:hanging="1701"/>
    </w:pPr>
    <w:rPr>
      <w:rFonts w:ascii="Arial" w:hAnsi="Arial"/>
      <w:b/>
      <w:sz w:val="24"/>
      <w:lang w:val="en-US"/>
    </w:rPr>
  </w:style>
  <w:style w:type="character" w:customStyle="1" w:styleId="Nottoc-headingsChar">
    <w:name w:val="Not toc-headings Char"/>
    <w:rPr>
      <w:rFonts w:ascii="Arial" w:hAnsi="Arial"/>
      <w:b/>
      <w:sz w:val="24"/>
      <w:lang w:val="en-US" w:eastAsia="en-US" w:bidi="ar-SA"/>
    </w:rPr>
  </w:style>
  <w:style w:type="paragraph" w:customStyle="1" w:styleId="CarcterCarcter">
    <w:name w:val="Carácter Carácter"/>
    <w:basedOn w:val="Normal"/>
    <w:pPr>
      <w:spacing w:after="160" w:line="240" w:lineRule="exact"/>
    </w:pPr>
    <w:rPr>
      <w:rFonts w:ascii="Verdana" w:hAnsi="Verdana" w:cs="Verdana"/>
      <w:sz w:val="20"/>
      <w:lang w:val="en-GB"/>
    </w:rPr>
  </w:style>
  <w:style w:type="paragraph" w:customStyle="1" w:styleId="Style">
    <w:name w:val="Style"/>
    <w:basedOn w:val="Normal"/>
    <w:pPr>
      <w:spacing w:after="160" w:line="240" w:lineRule="exact"/>
    </w:pPr>
    <w:rPr>
      <w:rFonts w:ascii="Verdana" w:hAnsi="Verdana" w:cs="Verdana"/>
      <w:sz w:val="20"/>
      <w:lang w:val="en-GB"/>
    </w:rPr>
  </w:style>
  <w:style w:type="character" w:styleId="Hyperlink">
    <w:name w:val="Hyperlink"/>
    <w:semiHidden/>
    <w:rPr>
      <w:color w:val="0000FF"/>
      <w:u w:val="single"/>
    </w:rPr>
  </w:style>
  <w:style w:type="paragraph" w:customStyle="1" w:styleId="CarcterCarcterCharCarcterCarcter">
    <w:name w:val="Carácter Carácter Char Carácter Carácter"/>
    <w:basedOn w:val="Normal"/>
    <w:pPr>
      <w:spacing w:after="160" w:line="240" w:lineRule="exact"/>
    </w:pPr>
    <w:rPr>
      <w:rFonts w:ascii="Verdana" w:hAnsi="Verdana" w:cs="Verdana"/>
      <w:sz w:val="20"/>
      <w:lang w:val="en-GB"/>
    </w:rPr>
  </w:style>
  <w:style w:type="paragraph" w:styleId="Revision">
    <w:name w:val="Revision"/>
    <w:hidden/>
    <w:semiHidden/>
    <w:rPr>
      <w:sz w:val="22"/>
      <w:lang w:val="pt-PT"/>
    </w:rPr>
  </w:style>
  <w:style w:type="character" w:customStyle="1" w:styleId="st1">
    <w:name w:val="st1"/>
  </w:style>
  <w:style w:type="character" w:customStyle="1" w:styleId="hps">
    <w:name w:val="hps"/>
  </w:style>
  <w:style w:type="paragraph" w:styleId="ListParagraph">
    <w:name w:val="List Paragraph"/>
    <w:basedOn w:val="Normal"/>
    <w:qFormat/>
    <w:pPr>
      <w:ind w:left="708"/>
    </w:pPr>
  </w:style>
  <w:style w:type="character" w:styleId="FollowedHyperlink">
    <w:name w:val="FollowedHyperlink"/>
    <w:uiPriority w:val="99"/>
    <w:semiHidden/>
    <w:unhideWhenUsed/>
    <w:rsid w:val="00FB4789"/>
    <w:rPr>
      <w:color w:val="800080"/>
      <w:u w:val="single"/>
    </w:rPr>
  </w:style>
  <w:style w:type="paragraph" w:customStyle="1" w:styleId="Default">
    <w:name w:val="Default"/>
    <w:rsid w:val="005A7EA9"/>
    <w:pPr>
      <w:autoSpaceDE w:val="0"/>
      <w:autoSpaceDN w:val="0"/>
      <w:adjustRightInd w:val="0"/>
    </w:pPr>
    <w:rPr>
      <w:rFonts w:ascii="Verdana" w:hAnsi="Verdana" w:cs="Verdana"/>
      <w:color w:val="000000"/>
      <w:sz w:val="24"/>
      <w:szCs w:val="24"/>
    </w:rPr>
  </w:style>
  <w:style w:type="paragraph" w:customStyle="1" w:styleId="BodytextAgency">
    <w:name w:val="Body text (Agency)"/>
    <w:basedOn w:val="Normal"/>
    <w:link w:val="BodytextAgencyChar"/>
    <w:qFormat/>
    <w:rsid w:val="00164540"/>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qFormat/>
    <w:locked/>
    <w:rsid w:val="00164540"/>
    <w:rPr>
      <w:rFonts w:ascii="Verdana" w:eastAsia="Verdana" w:hAnsi="Verdana" w:cs="Verdana"/>
      <w:sz w:val="18"/>
      <w:szCs w:val="18"/>
      <w:lang w:val="en-GB" w:eastAsia="en-GB"/>
    </w:rPr>
  </w:style>
  <w:style w:type="paragraph" w:customStyle="1" w:styleId="No-numheading3Agency">
    <w:name w:val="No-num heading 3 (Agency)"/>
    <w:basedOn w:val="Normal"/>
    <w:next w:val="BodytextAgency"/>
    <w:link w:val="No-numheading3AgencyChar"/>
    <w:rsid w:val="00164540"/>
    <w:pPr>
      <w:keepNext/>
      <w:spacing w:before="280" w:after="220"/>
      <w:outlineLvl w:val="2"/>
    </w:pPr>
    <w:rPr>
      <w:rFonts w:ascii="Verdana" w:eastAsia="Verdana" w:hAnsi="Verdana"/>
      <w:b/>
      <w:bCs/>
      <w:kern w:val="32"/>
      <w:szCs w:val="22"/>
      <w:lang w:eastAsia="pt-PT" w:bidi="pt-PT"/>
    </w:rPr>
  </w:style>
  <w:style w:type="character" w:customStyle="1" w:styleId="No-numheading3AgencyChar">
    <w:name w:val="No-num heading 3 (Agency) Char"/>
    <w:link w:val="No-numheading3Agency"/>
    <w:rsid w:val="00164540"/>
    <w:rPr>
      <w:rFonts w:ascii="Verdana" w:eastAsia="Verdana" w:hAnsi="Verdana"/>
      <w:b/>
      <w:bCs/>
      <w:kern w:val="32"/>
      <w:sz w:val="22"/>
      <w:szCs w:val="22"/>
      <w:lang w:val="pt-PT" w:eastAsia="pt-PT" w:bidi="pt-PT"/>
    </w:rPr>
  </w:style>
  <w:style w:type="paragraph" w:customStyle="1" w:styleId="Listlevel1">
    <w:name w:val="List level 1"/>
    <w:basedOn w:val="Normal"/>
    <w:rsid w:val="00341C1A"/>
    <w:pPr>
      <w:spacing w:before="40" w:after="20"/>
      <w:ind w:left="425" w:hanging="425"/>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633987">
      <w:bodyDiv w:val="1"/>
      <w:marLeft w:val="0"/>
      <w:marRight w:val="0"/>
      <w:marTop w:val="0"/>
      <w:marBottom w:val="0"/>
      <w:divBdr>
        <w:top w:val="none" w:sz="0" w:space="0" w:color="auto"/>
        <w:left w:val="none" w:sz="0" w:space="0" w:color="auto"/>
        <w:bottom w:val="none" w:sz="0" w:space="0" w:color="auto"/>
        <w:right w:val="none" w:sz="0" w:space="0" w:color="auto"/>
      </w:divBdr>
    </w:div>
    <w:div w:id="377169208">
      <w:bodyDiv w:val="1"/>
      <w:marLeft w:val="0"/>
      <w:marRight w:val="0"/>
      <w:marTop w:val="0"/>
      <w:marBottom w:val="0"/>
      <w:divBdr>
        <w:top w:val="none" w:sz="0" w:space="0" w:color="auto"/>
        <w:left w:val="none" w:sz="0" w:space="0" w:color="auto"/>
        <w:bottom w:val="none" w:sz="0" w:space="0" w:color="auto"/>
        <w:right w:val="none" w:sz="0" w:space="0" w:color="auto"/>
      </w:divBdr>
    </w:div>
    <w:div w:id="551969469">
      <w:bodyDiv w:val="1"/>
      <w:marLeft w:val="0"/>
      <w:marRight w:val="0"/>
      <w:marTop w:val="0"/>
      <w:marBottom w:val="0"/>
      <w:divBdr>
        <w:top w:val="none" w:sz="0" w:space="0" w:color="auto"/>
        <w:left w:val="none" w:sz="0" w:space="0" w:color="auto"/>
        <w:bottom w:val="none" w:sz="0" w:space="0" w:color="auto"/>
        <w:right w:val="none" w:sz="0" w:space="0" w:color="auto"/>
      </w:divBdr>
    </w:div>
    <w:div w:id="568463794">
      <w:bodyDiv w:val="1"/>
      <w:marLeft w:val="0"/>
      <w:marRight w:val="0"/>
      <w:marTop w:val="0"/>
      <w:marBottom w:val="0"/>
      <w:divBdr>
        <w:top w:val="none" w:sz="0" w:space="0" w:color="auto"/>
        <w:left w:val="none" w:sz="0" w:space="0" w:color="auto"/>
        <w:bottom w:val="none" w:sz="0" w:space="0" w:color="auto"/>
        <w:right w:val="none" w:sz="0" w:space="0" w:color="auto"/>
      </w:divBdr>
    </w:div>
    <w:div w:id="574438703">
      <w:bodyDiv w:val="1"/>
      <w:marLeft w:val="0"/>
      <w:marRight w:val="0"/>
      <w:marTop w:val="0"/>
      <w:marBottom w:val="0"/>
      <w:divBdr>
        <w:top w:val="none" w:sz="0" w:space="0" w:color="auto"/>
        <w:left w:val="none" w:sz="0" w:space="0" w:color="auto"/>
        <w:bottom w:val="none" w:sz="0" w:space="0" w:color="auto"/>
        <w:right w:val="none" w:sz="0" w:space="0" w:color="auto"/>
      </w:divBdr>
    </w:div>
    <w:div w:id="611743685">
      <w:bodyDiv w:val="1"/>
      <w:marLeft w:val="0"/>
      <w:marRight w:val="0"/>
      <w:marTop w:val="0"/>
      <w:marBottom w:val="0"/>
      <w:divBdr>
        <w:top w:val="none" w:sz="0" w:space="0" w:color="auto"/>
        <w:left w:val="none" w:sz="0" w:space="0" w:color="auto"/>
        <w:bottom w:val="none" w:sz="0" w:space="0" w:color="auto"/>
        <w:right w:val="none" w:sz="0" w:space="0" w:color="auto"/>
      </w:divBdr>
    </w:div>
    <w:div w:id="978455548">
      <w:bodyDiv w:val="1"/>
      <w:marLeft w:val="0"/>
      <w:marRight w:val="0"/>
      <w:marTop w:val="0"/>
      <w:marBottom w:val="0"/>
      <w:divBdr>
        <w:top w:val="none" w:sz="0" w:space="0" w:color="auto"/>
        <w:left w:val="none" w:sz="0" w:space="0" w:color="auto"/>
        <w:bottom w:val="none" w:sz="0" w:space="0" w:color="auto"/>
        <w:right w:val="none" w:sz="0" w:space="0" w:color="auto"/>
      </w:divBdr>
    </w:div>
    <w:div w:id="1097597381">
      <w:bodyDiv w:val="1"/>
      <w:marLeft w:val="0"/>
      <w:marRight w:val="0"/>
      <w:marTop w:val="0"/>
      <w:marBottom w:val="0"/>
      <w:divBdr>
        <w:top w:val="none" w:sz="0" w:space="0" w:color="auto"/>
        <w:left w:val="none" w:sz="0" w:space="0" w:color="auto"/>
        <w:bottom w:val="none" w:sz="0" w:space="0" w:color="auto"/>
        <w:right w:val="none" w:sz="0" w:space="0" w:color="auto"/>
      </w:divBdr>
      <w:divsChild>
        <w:div w:id="1718629001">
          <w:marLeft w:val="0"/>
          <w:marRight w:val="0"/>
          <w:marTop w:val="0"/>
          <w:marBottom w:val="0"/>
          <w:divBdr>
            <w:top w:val="none" w:sz="0" w:space="0" w:color="auto"/>
            <w:left w:val="none" w:sz="0" w:space="0" w:color="auto"/>
            <w:bottom w:val="none" w:sz="0" w:space="0" w:color="auto"/>
            <w:right w:val="none" w:sz="0" w:space="0" w:color="auto"/>
          </w:divBdr>
          <w:divsChild>
            <w:div w:id="204608946">
              <w:marLeft w:val="0"/>
              <w:marRight w:val="0"/>
              <w:marTop w:val="0"/>
              <w:marBottom w:val="0"/>
              <w:divBdr>
                <w:top w:val="none" w:sz="0" w:space="0" w:color="auto"/>
                <w:left w:val="none" w:sz="0" w:space="0" w:color="auto"/>
                <w:bottom w:val="none" w:sz="0" w:space="0" w:color="auto"/>
                <w:right w:val="none" w:sz="0" w:space="0" w:color="auto"/>
              </w:divBdr>
              <w:divsChild>
                <w:div w:id="2021466461">
                  <w:marLeft w:val="0"/>
                  <w:marRight w:val="0"/>
                  <w:marTop w:val="0"/>
                  <w:marBottom w:val="0"/>
                  <w:divBdr>
                    <w:top w:val="none" w:sz="0" w:space="0" w:color="auto"/>
                    <w:left w:val="none" w:sz="0" w:space="0" w:color="auto"/>
                    <w:bottom w:val="none" w:sz="0" w:space="0" w:color="auto"/>
                    <w:right w:val="none" w:sz="0" w:space="0" w:color="auto"/>
                  </w:divBdr>
                  <w:divsChild>
                    <w:div w:id="63260270">
                      <w:marLeft w:val="0"/>
                      <w:marRight w:val="0"/>
                      <w:marTop w:val="0"/>
                      <w:marBottom w:val="0"/>
                      <w:divBdr>
                        <w:top w:val="none" w:sz="0" w:space="0" w:color="auto"/>
                        <w:left w:val="none" w:sz="0" w:space="0" w:color="auto"/>
                        <w:bottom w:val="none" w:sz="0" w:space="0" w:color="auto"/>
                        <w:right w:val="none" w:sz="0" w:space="0" w:color="auto"/>
                      </w:divBdr>
                      <w:divsChild>
                        <w:div w:id="1730764513">
                          <w:marLeft w:val="0"/>
                          <w:marRight w:val="0"/>
                          <w:marTop w:val="0"/>
                          <w:marBottom w:val="0"/>
                          <w:divBdr>
                            <w:top w:val="none" w:sz="0" w:space="0" w:color="auto"/>
                            <w:left w:val="none" w:sz="0" w:space="0" w:color="auto"/>
                            <w:bottom w:val="none" w:sz="0" w:space="0" w:color="auto"/>
                            <w:right w:val="none" w:sz="0" w:space="0" w:color="auto"/>
                          </w:divBdr>
                          <w:divsChild>
                            <w:div w:id="1839615938">
                              <w:marLeft w:val="0"/>
                              <w:marRight w:val="0"/>
                              <w:marTop w:val="0"/>
                              <w:marBottom w:val="0"/>
                              <w:divBdr>
                                <w:top w:val="none" w:sz="0" w:space="0" w:color="auto"/>
                                <w:left w:val="none" w:sz="0" w:space="0" w:color="auto"/>
                                <w:bottom w:val="none" w:sz="0" w:space="0" w:color="auto"/>
                                <w:right w:val="none" w:sz="0" w:space="0" w:color="auto"/>
                              </w:divBdr>
                              <w:divsChild>
                                <w:div w:id="1674910982">
                                  <w:marLeft w:val="0"/>
                                  <w:marRight w:val="0"/>
                                  <w:marTop w:val="0"/>
                                  <w:marBottom w:val="0"/>
                                  <w:divBdr>
                                    <w:top w:val="none" w:sz="0" w:space="0" w:color="auto"/>
                                    <w:left w:val="none" w:sz="0" w:space="0" w:color="auto"/>
                                    <w:bottom w:val="none" w:sz="0" w:space="0" w:color="auto"/>
                                    <w:right w:val="none" w:sz="0" w:space="0" w:color="auto"/>
                                  </w:divBdr>
                                  <w:divsChild>
                                    <w:div w:id="1352489773">
                                      <w:marLeft w:val="0"/>
                                      <w:marRight w:val="0"/>
                                      <w:marTop w:val="0"/>
                                      <w:marBottom w:val="0"/>
                                      <w:divBdr>
                                        <w:top w:val="none" w:sz="0" w:space="0" w:color="auto"/>
                                        <w:left w:val="none" w:sz="0" w:space="0" w:color="auto"/>
                                        <w:bottom w:val="none" w:sz="0" w:space="0" w:color="auto"/>
                                        <w:right w:val="none" w:sz="0" w:space="0" w:color="auto"/>
                                      </w:divBdr>
                                      <w:divsChild>
                                        <w:div w:id="1248612476">
                                          <w:marLeft w:val="0"/>
                                          <w:marRight w:val="0"/>
                                          <w:marTop w:val="0"/>
                                          <w:marBottom w:val="0"/>
                                          <w:divBdr>
                                            <w:top w:val="none" w:sz="0" w:space="0" w:color="auto"/>
                                            <w:left w:val="none" w:sz="0" w:space="0" w:color="auto"/>
                                            <w:bottom w:val="none" w:sz="0" w:space="0" w:color="auto"/>
                                            <w:right w:val="none" w:sz="0" w:space="0" w:color="auto"/>
                                          </w:divBdr>
                                          <w:divsChild>
                                            <w:div w:id="602763617">
                                              <w:marLeft w:val="0"/>
                                              <w:marRight w:val="0"/>
                                              <w:marTop w:val="0"/>
                                              <w:marBottom w:val="120"/>
                                              <w:divBdr>
                                                <w:top w:val="single" w:sz="6" w:space="0" w:color="F5F5F5"/>
                                                <w:left w:val="single" w:sz="6" w:space="0" w:color="F5F5F5"/>
                                                <w:bottom w:val="single" w:sz="6" w:space="0" w:color="F5F5F5"/>
                                                <w:right w:val="single" w:sz="6" w:space="0" w:color="F5F5F5"/>
                                              </w:divBdr>
                                              <w:divsChild>
                                                <w:div w:id="524028803">
                                                  <w:marLeft w:val="0"/>
                                                  <w:marRight w:val="0"/>
                                                  <w:marTop w:val="0"/>
                                                  <w:marBottom w:val="0"/>
                                                  <w:divBdr>
                                                    <w:top w:val="none" w:sz="0" w:space="0" w:color="auto"/>
                                                    <w:left w:val="none" w:sz="0" w:space="0" w:color="auto"/>
                                                    <w:bottom w:val="none" w:sz="0" w:space="0" w:color="auto"/>
                                                    <w:right w:val="none" w:sz="0" w:space="0" w:color="auto"/>
                                                  </w:divBdr>
                                                  <w:divsChild>
                                                    <w:div w:id="1251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9764251">
      <w:bodyDiv w:val="1"/>
      <w:marLeft w:val="0"/>
      <w:marRight w:val="0"/>
      <w:marTop w:val="0"/>
      <w:marBottom w:val="0"/>
      <w:divBdr>
        <w:top w:val="none" w:sz="0" w:space="0" w:color="auto"/>
        <w:left w:val="none" w:sz="0" w:space="0" w:color="auto"/>
        <w:bottom w:val="none" w:sz="0" w:space="0" w:color="auto"/>
        <w:right w:val="none" w:sz="0" w:space="0" w:color="auto"/>
      </w:divBdr>
    </w:div>
    <w:div w:id="1241719810">
      <w:bodyDiv w:val="1"/>
      <w:marLeft w:val="0"/>
      <w:marRight w:val="0"/>
      <w:marTop w:val="0"/>
      <w:marBottom w:val="0"/>
      <w:divBdr>
        <w:top w:val="none" w:sz="0" w:space="0" w:color="auto"/>
        <w:left w:val="none" w:sz="0" w:space="0" w:color="auto"/>
        <w:bottom w:val="none" w:sz="0" w:space="0" w:color="auto"/>
        <w:right w:val="none" w:sz="0" w:space="0" w:color="auto"/>
      </w:divBdr>
    </w:div>
    <w:div w:id="1419791204">
      <w:bodyDiv w:val="1"/>
      <w:marLeft w:val="0"/>
      <w:marRight w:val="0"/>
      <w:marTop w:val="0"/>
      <w:marBottom w:val="0"/>
      <w:divBdr>
        <w:top w:val="none" w:sz="0" w:space="0" w:color="auto"/>
        <w:left w:val="none" w:sz="0" w:space="0" w:color="auto"/>
        <w:bottom w:val="none" w:sz="0" w:space="0" w:color="auto"/>
        <w:right w:val="none" w:sz="0" w:space="0" w:color="auto"/>
      </w:divBdr>
    </w:div>
    <w:div w:id="1476534136">
      <w:bodyDiv w:val="1"/>
      <w:marLeft w:val="0"/>
      <w:marRight w:val="0"/>
      <w:marTop w:val="0"/>
      <w:marBottom w:val="0"/>
      <w:divBdr>
        <w:top w:val="none" w:sz="0" w:space="0" w:color="auto"/>
        <w:left w:val="none" w:sz="0" w:space="0" w:color="auto"/>
        <w:bottom w:val="none" w:sz="0" w:space="0" w:color="auto"/>
        <w:right w:val="none" w:sz="0" w:space="0" w:color="auto"/>
      </w:divBdr>
    </w:div>
    <w:div w:id="1526477510">
      <w:bodyDiv w:val="1"/>
      <w:marLeft w:val="0"/>
      <w:marRight w:val="0"/>
      <w:marTop w:val="0"/>
      <w:marBottom w:val="0"/>
      <w:divBdr>
        <w:top w:val="none" w:sz="0" w:space="0" w:color="auto"/>
        <w:left w:val="none" w:sz="0" w:space="0" w:color="auto"/>
        <w:bottom w:val="none" w:sz="0" w:space="0" w:color="auto"/>
        <w:right w:val="none" w:sz="0" w:space="0" w:color="auto"/>
      </w:divBdr>
    </w:div>
    <w:div w:id="1632049918">
      <w:bodyDiv w:val="1"/>
      <w:marLeft w:val="0"/>
      <w:marRight w:val="0"/>
      <w:marTop w:val="0"/>
      <w:marBottom w:val="0"/>
      <w:divBdr>
        <w:top w:val="none" w:sz="0" w:space="0" w:color="auto"/>
        <w:left w:val="none" w:sz="0" w:space="0" w:color="auto"/>
        <w:bottom w:val="none" w:sz="0" w:space="0" w:color="auto"/>
        <w:right w:val="none" w:sz="0" w:space="0" w:color="auto"/>
      </w:divBdr>
    </w:div>
    <w:div w:id="1708136690">
      <w:bodyDiv w:val="1"/>
      <w:marLeft w:val="0"/>
      <w:marRight w:val="0"/>
      <w:marTop w:val="0"/>
      <w:marBottom w:val="0"/>
      <w:divBdr>
        <w:top w:val="none" w:sz="0" w:space="0" w:color="auto"/>
        <w:left w:val="none" w:sz="0" w:space="0" w:color="auto"/>
        <w:bottom w:val="none" w:sz="0" w:space="0" w:color="auto"/>
        <w:right w:val="none" w:sz="0" w:space="0" w:color="auto"/>
      </w:divBdr>
    </w:div>
    <w:div w:id="1847473029">
      <w:bodyDiv w:val="1"/>
      <w:marLeft w:val="0"/>
      <w:marRight w:val="0"/>
      <w:marTop w:val="0"/>
      <w:marBottom w:val="0"/>
      <w:divBdr>
        <w:top w:val="none" w:sz="0" w:space="0" w:color="auto"/>
        <w:left w:val="none" w:sz="0" w:space="0" w:color="auto"/>
        <w:bottom w:val="none" w:sz="0" w:space="0" w:color="auto"/>
        <w:right w:val="none" w:sz="0" w:space="0" w:color="auto"/>
      </w:divBdr>
      <w:divsChild>
        <w:div w:id="1953315723">
          <w:marLeft w:val="0"/>
          <w:marRight w:val="0"/>
          <w:marTop w:val="0"/>
          <w:marBottom w:val="0"/>
          <w:divBdr>
            <w:top w:val="none" w:sz="0" w:space="0" w:color="auto"/>
            <w:left w:val="none" w:sz="0" w:space="0" w:color="auto"/>
            <w:bottom w:val="none" w:sz="0" w:space="0" w:color="auto"/>
            <w:right w:val="none" w:sz="0" w:space="0" w:color="auto"/>
          </w:divBdr>
          <w:divsChild>
            <w:div w:id="1785690257">
              <w:marLeft w:val="0"/>
              <w:marRight w:val="0"/>
              <w:marTop w:val="0"/>
              <w:marBottom w:val="0"/>
              <w:divBdr>
                <w:top w:val="none" w:sz="0" w:space="0" w:color="auto"/>
                <w:left w:val="none" w:sz="0" w:space="0" w:color="auto"/>
                <w:bottom w:val="none" w:sz="0" w:space="0" w:color="auto"/>
                <w:right w:val="none" w:sz="0" w:space="0" w:color="auto"/>
              </w:divBdr>
              <w:divsChild>
                <w:div w:id="1406411401">
                  <w:marLeft w:val="0"/>
                  <w:marRight w:val="0"/>
                  <w:marTop w:val="0"/>
                  <w:marBottom w:val="0"/>
                  <w:divBdr>
                    <w:top w:val="none" w:sz="0" w:space="0" w:color="auto"/>
                    <w:left w:val="none" w:sz="0" w:space="0" w:color="auto"/>
                    <w:bottom w:val="none" w:sz="0" w:space="0" w:color="auto"/>
                    <w:right w:val="none" w:sz="0" w:space="0" w:color="auto"/>
                  </w:divBdr>
                  <w:divsChild>
                    <w:div w:id="1127628650">
                      <w:marLeft w:val="0"/>
                      <w:marRight w:val="0"/>
                      <w:marTop w:val="0"/>
                      <w:marBottom w:val="0"/>
                      <w:divBdr>
                        <w:top w:val="none" w:sz="0" w:space="0" w:color="auto"/>
                        <w:left w:val="none" w:sz="0" w:space="0" w:color="auto"/>
                        <w:bottom w:val="none" w:sz="0" w:space="0" w:color="auto"/>
                        <w:right w:val="none" w:sz="0" w:space="0" w:color="auto"/>
                      </w:divBdr>
                      <w:divsChild>
                        <w:div w:id="704329857">
                          <w:marLeft w:val="0"/>
                          <w:marRight w:val="0"/>
                          <w:marTop w:val="0"/>
                          <w:marBottom w:val="0"/>
                          <w:divBdr>
                            <w:top w:val="none" w:sz="0" w:space="0" w:color="auto"/>
                            <w:left w:val="none" w:sz="0" w:space="0" w:color="auto"/>
                            <w:bottom w:val="none" w:sz="0" w:space="0" w:color="auto"/>
                            <w:right w:val="none" w:sz="0" w:space="0" w:color="auto"/>
                          </w:divBdr>
                          <w:divsChild>
                            <w:div w:id="956134940">
                              <w:marLeft w:val="0"/>
                              <w:marRight w:val="0"/>
                              <w:marTop w:val="0"/>
                              <w:marBottom w:val="0"/>
                              <w:divBdr>
                                <w:top w:val="none" w:sz="0" w:space="0" w:color="auto"/>
                                <w:left w:val="none" w:sz="0" w:space="0" w:color="auto"/>
                                <w:bottom w:val="none" w:sz="0" w:space="0" w:color="auto"/>
                                <w:right w:val="none" w:sz="0" w:space="0" w:color="auto"/>
                              </w:divBdr>
                              <w:divsChild>
                                <w:div w:id="102697202">
                                  <w:marLeft w:val="0"/>
                                  <w:marRight w:val="0"/>
                                  <w:marTop w:val="0"/>
                                  <w:marBottom w:val="0"/>
                                  <w:divBdr>
                                    <w:top w:val="none" w:sz="0" w:space="0" w:color="auto"/>
                                    <w:left w:val="none" w:sz="0" w:space="0" w:color="auto"/>
                                    <w:bottom w:val="none" w:sz="0" w:space="0" w:color="auto"/>
                                    <w:right w:val="none" w:sz="0" w:space="0" w:color="auto"/>
                                  </w:divBdr>
                                  <w:divsChild>
                                    <w:div w:id="1555193312">
                                      <w:marLeft w:val="60"/>
                                      <w:marRight w:val="0"/>
                                      <w:marTop w:val="0"/>
                                      <w:marBottom w:val="0"/>
                                      <w:divBdr>
                                        <w:top w:val="none" w:sz="0" w:space="0" w:color="auto"/>
                                        <w:left w:val="none" w:sz="0" w:space="0" w:color="auto"/>
                                        <w:bottom w:val="none" w:sz="0" w:space="0" w:color="auto"/>
                                        <w:right w:val="none" w:sz="0" w:space="0" w:color="auto"/>
                                      </w:divBdr>
                                      <w:divsChild>
                                        <w:div w:id="999506290">
                                          <w:marLeft w:val="0"/>
                                          <w:marRight w:val="0"/>
                                          <w:marTop w:val="0"/>
                                          <w:marBottom w:val="0"/>
                                          <w:divBdr>
                                            <w:top w:val="none" w:sz="0" w:space="0" w:color="auto"/>
                                            <w:left w:val="none" w:sz="0" w:space="0" w:color="auto"/>
                                            <w:bottom w:val="none" w:sz="0" w:space="0" w:color="auto"/>
                                            <w:right w:val="none" w:sz="0" w:space="0" w:color="auto"/>
                                          </w:divBdr>
                                          <w:divsChild>
                                            <w:div w:id="103814137">
                                              <w:marLeft w:val="0"/>
                                              <w:marRight w:val="0"/>
                                              <w:marTop w:val="0"/>
                                              <w:marBottom w:val="120"/>
                                              <w:divBdr>
                                                <w:top w:val="single" w:sz="6" w:space="0" w:color="F5F5F5"/>
                                                <w:left w:val="single" w:sz="6" w:space="0" w:color="F5F5F5"/>
                                                <w:bottom w:val="single" w:sz="6" w:space="0" w:color="F5F5F5"/>
                                                <w:right w:val="single" w:sz="6" w:space="0" w:color="F5F5F5"/>
                                              </w:divBdr>
                                              <w:divsChild>
                                                <w:div w:id="599946126">
                                                  <w:marLeft w:val="0"/>
                                                  <w:marRight w:val="0"/>
                                                  <w:marTop w:val="0"/>
                                                  <w:marBottom w:val="0"/>
                                                  <w:divBdr>
                                                    <w:top w:val="none" w:sz="0" w:space="0" w:color="auto"/>
                                                    <w:left w:val="none" w:sz="0" w:space="0" w:color="auto"/>
                                                    <w:bottom w:val="none" w:sz="0" w:space="0" w:color="auto"/>
                                                    <w:right w:val="none" w:sz="0" w:space="0" w:color="auto"/>
                                                  </w:divBdr>
                                                  <w:divsChild>
                                                    <w:div w:id="368574972">
                                                      <w:marLeft w:val="0"/>
                                                      <w:marRight w:val="0"/>
                                                      <w:marTop w:val="0"/>
                                                      <w:marBottom w:val="0"/>
                                                      <w:divBdr>
                                                        <w:top w:val="none" w:sz="0" w:space="0" w:color="auto"/>
                                                        <w:left w:val="none" w:sz="0" w:space="0" w:color="auto"/>
                                                        <w:bottom w:val="none" w:sz="0" w:space="0" w:color="auto"/>
                                                        <w:right w:val="none" w:sz="0" w:space="0" w:color="auto"/>
                                                      </w:divBdr>
                                                    </w:div>
                                                  </w:divsChild>
                                                </w:div>
                                                <w:div w:id="787703765">
                                                  <w:marLeft w:val="0"/>
                                                  <w:marRight w:val="0"/>
                                                  <w:marTop w:val="0"/>
                                                  <w:marBottom w:val="0"/>
                                                  <w:divBdr>
                                                    <w:top w:val="none" w:sz="0" w:space="0" w:color="auto"/>
                                                    <w:left w:val="none" w:sz="0" w:space="0" w:color="auto"/>
                                                    <w:bottom w:val="none" w:sz="0" w:space="0" w:color="auto"/>
                                                    <w:right w:val="none" w:sz="0" w:space="0" w:color="auto"/>
                                                  </w:divBdr>
                                                  <w:divsChild>
                                                    <w:div w:id="11400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208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ema.europa.e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53C08-CCFA-4674-AF68-61DA9F91D1ED}">
  <ds:schemaRefs>
    <ds:schemaRef ds:uri="http://schemas.microsoft.com/sharepoint/v3/contenttype/forms"/>
  </ds:schemaRefs>
</ds:datastoreItem>
</file>

<file path=customXml/itemProps2.xml><?xml version="1.0" encoding="utf-8"?>
<ds:datastoreItem xmlns:ds="http://schemas.openxmlformats.org/officeDocument/2006/customXml" ds:itemID="{A8754E51-3A7D-4A6F-A858-E7FF634D0733}">
  <ds:schemaRefs>
    <ds:schemaRef ds:uri="http://schemas.microsoft.com/office/2006/documentManagement/types"/>
    <ds:schemaRef ds:uri="e84aa060-13d4-4ddd-8d65-c3aafff2663b"/>
    <ds:schemaRef ds:uri="http://purl.org/dc/elements/1.1/"/>
    <ds:schemaRef ds:uri="http://schemas.microsoft.com/office/2006/metadata/properties"/>
    <ds:schemaRef ds:uri="08c21c09-beba-4072-8000-1dca26330969"/>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5E350AE9-7D7E-4FA5-A3EC-B68162297C9C}"/>
</file>

<file path=customXml/itemProps4.xml><?xml version="1.0" encoding="utf-8"?>
<ds:datastoreItem xmlns:ds="http://schemas.openxmlformats.org/officeDocument/2006/customXml" ds:itemID="{B522E10A-667C-4A68-8228-84000439D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105</Pages>
  <Words>43312</Words>
  <Characters>238784</Characters>
  <Application>Microsoft Office Word</Application>
  <DocSecurity>0</DocSecurity>
  <Lines>1989</Lines>
  <Paragraphs>563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Glivec, INN-imatinib</vt:lpstr>
      <vt:lpstr>Glivec, INN-imatinib</vt:lpstr>
    </vt:vector>
  </TitlesOfParts>
  <Company>Novartis</Company>
  <LinksUpToDate>false</LinksUpToDate>
  <CharactersWithSpaces>281533</CharactersWithSpaces>
  <SharedDoc>false</SharedDoc>
  <HLinks>
    <vt:vector size="42" baseType="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5</cp:revision>
  <cp:lastPrinted>2011-05-06T16:25:00Z</cp:lastPrinted>
  <dcterms:created xsi:type="dcterms:W3CDTF">2021-02-12T07:45:00Z</dcterms:created>
  <dcterms:modified xsi:type="dcterms:W3CDTF">2021-05-21T16:14:00Z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Information-EMEA/38839/2006</vt:lpwstr>
  </property>
  <property fmtid="{D5CDD505-2E9C-101B-9397-08002B2CF9AE}" pid="6" name="DM_Title">
    <vt:lpwstr/>
  </property>
  <property fmtid="{D5CDD505-2E9C-101B-9397-08002B2CF9AE}" pid="7" name="DM_Language">
    <vt:lpwstr/>
  </property>
  <property fmtid="{D5CDD505-2E9C-101B-9397-08002B2CF9AE}" pid="8" name="DM_Name">
    <vt:lpwstr>GLI-II-027&amp;028-PO-PT</vt:lpwstr>
  </property>
  <property fmtid="{D5CDD505-2E9C-101B-9397-08002B2CF9AE}" pid="9" name="DM_Owner">
    <vt:lpwstr>Yagnik Simonetta</vt:lpwstr>
  </property>
  <property fmtid="{D5CDD505-2E9C-101B-9397-08002B2CF9AE}" pid="10" name="DM_Creation_Date">
    <vt:lpwstr>10/02/2006 16:10:34</vt:lpwstr>
  </property>
  <property fmtid="{D5CDD505-2E9C-101B-9397-08002B2CF9AE}" pid="11" name="DM_Creator_Name">
    <vt:lpwstr>Teixeira Tania</vt:lpwstr>
  </property>
  <property fmtid="{D5CDD505-2E9C-101B-9397-08002B2CF9AE}" pid="12" name="DM_Modifer_Name">
    <vt:lpwstr>Teixeira Tania</vt:lpwstr>
  </property>
  <property fmtid="{D5CDD505-2E9C-101B-9397-08002B2CF9AE}" pid="13" name="DM_Modified_Date">
    <vt:lpwstr>10/02/2006 16:10:34</vt:lpwstr>
  </property>
  <property fmtid="{D5CDD505-2E9C-101B-9397-08002B2CF9AE}" pid="14" name="DM_Type">
    <vt:lpwstr>emea_product_document</vt:lpwstr>
  </property>
  <property fmtid="{D5CDD505-2E9C-101B-9397-08002B2CF9AE}" pid="15" name="DM_Version">
    <vt:lpwstr>0.2, CURRENT</vt:lpwstr>
  </property>
  <property fmtid="{D5CDD505-2E9C-101B-9397-08002B2CF9AE}" pid="16" name="DM_emea_doc_ref_id">
    <vt:lpwstr>EMEA/38839/2006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38839</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EMEA/H/C/000406/II/0027</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II</vt:lpwstr>
  </property>
  <property fmtid="{D5CDD505-2E9C-101B-9397-08002B2CF9AE}" pid="37" name="DM_emea_procedure_number">
    <vt:lpwstr>0027</vt:lpwstr>
  </property>
  <property fmtid="{D5CDD505-2E9C-101B-9397-08002B2CF9AE}" pid="38" name="DM_emea_product_number">
    <vt:lpwstr>000406</vt:lpwstr>
  </property>
  <property fmtid="{D5CDD505-2E9C-101B-9397-08002B2CF9AE}" pid="39" name="DM_emea_product_substance">
    <vt:lpwstr>Glivec</vt:lpwstr>
  </property>
  <property fmtid="{D5CDD505-2E9C-101B-9397-08002B2CF9AE}" pid="40" name="DM_emea_par_dist">
    <vt:lpwstr/>
  </property>
  <property fmtid="{D5CDD505-2E9C-101B-9397-08002B2CF9AE}" pid="41" name="MSIP_Label_4929bff8-5b33-42aa-95d2-28f72e792cb0_Enabled">
    <vt:lpwstr>True</vt:lpwstr>
  </property>
  <property fmtid="{D5CDD505-2E9C-101B-9397-08002B2CF9AE}" pid="42" name="MSIP_Label_4929bff8-5b33-42aa-95d2-28f72e792cb0_SiteId">
    <vt:lpwstr>f35a6974-607f-47d4-82d7-ff31d7dc53a5</vt:lpwstr>
  </property>
  <property fmtid="{D5CDD505-2E9C-101B-9397-08002B2CF9AE}" pid="43" name="MSIP_Label_4929bff8-5b33-42aa-95d2-28f72e792cb0_SetDate">
    <vt:lpwstr>2019-01-28T17:59:28.4036880Z</vt:lpwstr>
  </property>
  <property fmtid="{D5CDD505-2E9C-101B-9397-08002B2CF9AE}" pid="44" name="MSIP_Label_4929bff8-5b33-42aa-95d2-28f72e792cb0_Name">
    <vt:lpwstr>Business Use Only</vt:lpwstr>
  </property>
  <property fmtid="{D5CDD505-2E9C-101B-9397-08002B2CF9AE}" pid="45" name="MSIP_Label_4929bff8-5b33-42aa-95d2-28f72e792cb0_Extended_MSFT_Method">
    <vt:lpwstr>Automatic</vt:lpwstr>
  </property>
  <property fmtid="{D5CDD505-2E9C-101B-9397-08002B2CF9AE}" pid="46" name="Confidentiality">
    <vt:lpwstr>Business Use Only</vt:lpwstr>
  </property>
  <property fmtid="{D5CDD505-2E9C-101B-9397-08002B2CF9AE}" pid="47" name="ContentTypeId">
    <vt:lpwstr>0x010100726F91DD1AE57B44B1BCEB7F1056F5D0</vt:lpwstr>
  </property>
  <property fmtid="{D5CDD505-2E9C-101B-9397-08002B2CF9AE}" pid="48" name="MSIP_Label_0eea11ca-d417-4147-80ed-01a58412c458_Enabled">
    <vt:lpwstr>true</vt:lpwstr>
  </property>
  <property fmtid="{D5CDD505-2E9C-101B-9397-08002B2CF9AE}" pid="49" name="MSIP_Label_0eea11ca-d417-4147-80ed-01a58412c458_SetDate">
    <vt:lpwstr>2021-05-21T16:14:02Z</vt:lpwstr>
  </property>
  <property fmtid="{D5CDD505-2E9C-101B-9397-08002B2CF9AE}" pid="50" name="MSIP_Label_0eea11ca-d417-4147-80ed-01a58412c458_Method">
    <vt:lpwstr>Standard</vt:lpwstr>
  </property>
  <property fmtid="{D5CDD505-2E9C-101B-9397-08002B2CF9AE}" pid="51" name="MSIP_Label_0eea11ca-d417-4147-80ed-01a58412c458_Name">
    <vt:lpwstr>0eea11ca-d417-4147-80ed-01a58412c458</vt:lpwstr>
  </property>
  <property fmtid="{D5CDD505-2E9C-101B-9397-08002B2CF9AE}" pid="52" name="MSIP_Label_0eea11ca-d417-4147-80ed-01a58412c458_SiteId">
    <vt:lpwstr>bc9dc15c-61bc-4f03-b60b-e5b6d8922839</vt:lpwstr>
  </property>
  <property fmtid="{D5CDD505-2E9C-101B-9397-08002B2CF9AE}" pid="53" name="MSIP_Label_0eea11ca-d417-4147-80ed-01a58412c458_ActionId">
    <vt:lpwstr>24c44044-4160-450d-8f37-b7a0ab65c306</vt:lpwstr>
  </property>
  <property fmtid="{D5CDD505-2E9C-101B-9397-08002B2CF9AE}" pid="54" name="MSIP_Label_0eea11ca-d417-4147-80ed-01a58412c458_ContentBits">
    <vt:lpwstr>2</vt:lpwstr>
  </property>
</Properties>
</file>